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pPr>
        <w:pStyle w:val="2"/>
        <w:rPr>
          <w:b/>
          <w:color w:val="auto"/>
          <w:spacing w:val="14"/>
          <w:sz w:val="44"/>
          <w:szCs w:val="44"/>
        </w:rPr>
      </w:pPr>
    </w:p>
    <w:p>
      <w:pPr>
        <w:pStyle w:val="2"/>
        <w:rPr>
          <w:b/>
          <w:color w:val="auto"/>
          <w:spacing w:val="14"/>
          <w:sz w:val="44"/>
          <w:szCs w:val="44"/>
        </w:rPr>
      </w:pPr>
    </w:p>
    <w:p>
      <w:pPr>
        <w:pStyle w:val="2"/>
        <w:ind w:firstLine="360"/>
        <w:rPr>
          <w:color w:val="auto"/>
        </w:rPr>
      </w:pPr>
    </w:p>
    <w:p>
      <w:pPr>
        <w:tabs>
          <w:tab w:val="left" w:pos="3010"/>
          <w:tab w:val="left" w:pos="4085"/>
        </w:tabs>
        <w:spacing w:line="360" w:lineRule="auto"/>
        <w:jc w:val="center"/>
        <w:rPr>
          <w:rFonts w:eastAsia="黑体"/>
          <w:b/>
          <w:color w:val="auto"/>
          <w:spacing w:val="14"/>
          <w:sz w:val="52"/>
          <w:szCs w:val="52"/>
        </w:rPr>
      </w:pPr>
      <w:r>
        <w:rPr>
          <w:rFonts w:eastAsia="黑体"/>
          <w:b/>
          <w:color w:val="auto"/>
          <w:spacing w:val="14"/>
          <w:sz w:val="52"/>
          <w:szCs w:val="52"/>
        </w:rPr>
        <w:t>中卫医疗废物处置中心改造项目</w:t>
      </w:r>
    </w:p>
    <w:p>
      <w:pPr>
        <w:tabs>
          <w:tab w:val="left" w:pos="3010"/>
          <w:tab w:val="left" w:pos="4085"/>
        </w:tabs>
        <w:spacing w:line="360" w:lineRule="auto"/>
        <w:jc w:val="center"/>
        <w:rPr>
          <w:rFonts w:eastAsia="黑体"/>
          <w:b/>
          <w:color w:val="auto"/>
          <w:spacing w:val="14"/>
          <w:sz w:val="72"/>
          <w:szCs w:val="72"/>
        </w:rPr>
      </w:pPr>
      <w:r>
        <w:rPr>
          <w:rFonts w:eastAsia="黑体"/>
          <w:b/>
          <w:color w:val="auto"/>
          <w:spacing w:val="14"/>
          <w:sz w:val="72"/>
          <w:szCs w:val="72"/>
        </w:rPr>
        <w:t>环境影响报告书</w:t>
      </w:r>
    </w:p>
    <w:p>
      <w:pPr>
        <w:tabs>
          <w:tab w:val="left" w:pos="3010"/>
          <w:tab w:val="left" w:pos="4085"/>
        </w:tabs>
        <w:spacing w:line="660" w:lineRule="exact"/>
        <w:ind w:firstLine="698"/>
        <w:jc w:val="center"/>
        <w:rPr>
          <w:b/>
          <w:color w:val="auto"/>
          <w:spacing w:val="14"/>
          <w:sz w:val="32"/>
        </w:rPr>
      </w:pPr>
    </w:p>
    <w:p>
      <w:pPr>
        <w:pStyle w:val="2"/>
        <w:ind w:firstLine="360"/>
        <w:rPr>
          <w:color w:val="auto"/>
        </w:rPr>
      </w:pPr>
    </w:p>
    <w:p>
      <w:pPr>
        <w:tabs>
          <w:tab w:val="left" w:pos="3010"/>
          <w:tab w:val="left" w:pos="4085"/>
        </w:tabs>
        <w:spacing w:line="660" w:lineRule="exact"/>
        <w:ind w:firstLine="698"/>
        <w:jc w:val="right"/>
        <w:rPr>
          <w:b/>
          <w:color w:val="auto"/>
          <w:spacing w:val="14"/>
          <w:sz w:val="32"/>
        </w:rPr>
      </w:pPr>
    </w:p>
    <w:p>
      <w:pPr>
        <w:tabs>
          <w:tab w:val="left" w:pos="3010"/>
          <w:tab w:val="left" w:pos="4085"/>
        </w:tabs>
        <w:spacing w:line="660" w:lineRule="exact"/>
        <w:ind w:firstLine="698"/>
        <w:jc w:val="center"/>
        <w:rPr>
          <w:b/>
          <w:color w:val="auto"/>
          <w:spacing w:val="14"/>
          <w:sz w:val="32"/>
        </w:rPr>
      </w:pPr>
    </w:p>
    <w:p>
      <w:pPr>
        <w:tabs>
          <w:tab w:val="left" w:pos="3010"/>
          <w:tab w:val="left" w:pos="4085"/>
        </w:tabs>
        <w:spacing w:line="660" w:lineRule="exact"/>
        <w:ind w:firstLine="698"/>
        <w:jc w:val="center"/>
        <w:rPr>
          <w:b/>
          <w:color w:val="auto"/>
          <w:spacing w:val="14"/>
          <w:sz w:val="32"/>
        </w:rPr>
      </w:pPr>
    </w:p>
    <w:p>
      <w:pPr>
        <w:tabs>
          <w:tab w:val="left" w:pos="3010"/>
          <w:tab w:val="left" w:pos="4085"/>
        </w:tabs>
        <w:spacing w:line="660" w:lineRule="exact"/>
        <w:ind w:firstLine="698"/>
        <w:jc w:val="center"/>
        <w:rPr>
          <w:b/>
          <w:color w:val="auto"/>
          <w:spacing w:val="14"/>
          <w:sz w:val="32"/>
        </w:rPr>
      </w:pPr>
    </w:p>
    <w:p>
      <w:pPr>
        <w:tabs>
          <w:tab w:val="left" w:pos="3010"/>
          <w:tab w:val="left" w:pos="4085"/>
        </w:tabs>
        <w:spacing w:line="660" w:lineRule="exact"/>
        <w:ind w:firstLine="698"/>
        <w:jc w:val="center"/>
        <w:rPr>
          <w:b/>
          <w:color w:val="auto"/>
          <w:spacing w:val="14"/>
          <w:sz w:val="32"/>
        </w:rPr>
      </w:pPr>
    </w:p>
    <w:p>
      <w:pPr>
        <w:tabs>
          <w:tab w:val="left" w:pos="3010"/>
          <w:tab w:val="left" w:pos="4085"/>
        </w:tabs>
        <w:spacing w:line="660" w:lineRule="exact"/>
        <w:ind w:firstLine="698"/>
        <w:jc w:val="center"/>
        <w:rPr>
          <w:b/>
          <w:color w:val="auto"/>
          <w:spacing w:val="14"/>
          <w:sz w:val="32"/>
        </w:rPr>
      </w:pPr>
    </w:p>
    <w:p>
      <w:pPr>
        <w:tabs>
          <w:tab w:val="left" w:pos="3010"/>
          <w:tab w:val="left" w:pos="4085"/>
        </w:tabs>
        <w:spacing w:line="660" w:lineRule="exact"/>
        <w:ind w:firstLine="698"/>
        <w:jc w:val="center"/>
        <w:rPr>
          <w:b/>
          <w:color w:val="auto"/>
          <w:spacing w:val="14"/>
          <w:sz w:val="32"/>
        </w:rPr>
      </w:pPr>
    </w:p>
    <w:p>
      <w:pPr>
        <w:tabs>
          <w:tab w:val="left" w:pos="3010"/>
          <w:tab w:val="left" w:pos="4085"/>
        </w:tabs>
        <w:spacing w:line="660" w:lineRule="exact"/>
        <w:ind w:firstLine="698"/>
        <w:jc w:val="center"/>
        <w:rPr>
          <w:b/>
          <w:color w:val="auto"/>
          <w:spacing w:val="14"/>
          <w:sz w:val="32"/>
        </w:rPr>
      </w:pPr>
    </w:p>
    <w:p>
      <w:pPr>
        <w:tabs>
          <w:tab w:val="left" w:pos="3010"/>
          <w:tab w:val="left" w:pos="4085"/>
        </w:tabs>
        <w:spacing w:line="660" w:lineRule="exact"/>
        <w:ind w:firstLine="698"/>
        <w:jc w:val="center"/>
        <w:rPr>
          <w:b/>
          <w:color w:val="auto"/>
          <w:spacing w:val="14"/>
          <w:sz w:val="32"/>
        </w:rPr>
      </w:pPr>
    </w:p>
    <w:p>
      <w:pPr>
        <w:tabs>
          <w:tab w:val="left" w:pos="3010"/>
          <w:tab w:val="left" w:pos="4085"/>
        </w:tabs>
        <w:spacing w:line="660" w:lineRule="exact"/>
        <w:jc w:val="center"/>
        <w:rPr>
          <w:b/>
          <w:color w:val="auto"/>
          <w:spacing w:val="14"/>
          <w:sz w:val="32"/>
        </w:rPr>
      </w:pPr>
      <w:r>
        <w:rPr>
          <w:b/>
          <w:color w:val="auto"/>
          <w:spacing w:val="14"/>
          <w:sz w:val="32"/>
        </w:rPr>
        <w:t>建设单位：中卫市应理城乡市政产业（集团）有限公司</w:t>
      </w:r>
    </w:p>
    <w:p>
      <w:pPr>
        <w:tabs>
          <w:tab w:val="left" w:pos="3010"/>
          <w:tab w:val="left" w:pos="4085"/>
        </w:tabs>
        <w:spacing w:line="660" w:lineRule="exact"/>
        <w:jc w:val="center"/>
        <w:rPr>
          <w:b/>
          <w:color w:val="auto"/>
          <w:spacing w:val="14"/>
          <w:sz w:val="32"/>
        </w:rPr>
      </w:pPr>
      <w:r>
        <w:rPr>
          <w:b/>
          <w:color w:val="auto"/>
          <w:spacing w:val="14"/>
          <w:sz w:val="32"/>
        </w:rPr>
        <w:t>评价单位：宁夏鸿旭环境技术有限公司</w:t>
      </w:r>
    </w:p>
    <w:p>
      <w:pPr>
        <w:tabs>
          <w:tab w:val="left" w:pos="3010"/>
          <w:tab w:val="left" w:pos="4085"/>
        </w:tabs>
        <w:spacing w:line="660" w:lineRule="exact"/>
        <w:jc w:val="center"/>
        <w:rPr>
          <w:b/>
          <w:color w:val="auto"/>
          <w:spacing w:val="14"/>
          <w:sz w:val="32"/>
        </w:rPr>
        <w:sectPr>
          <w:headerReference r:id="rId4" w:type="first"/>
          <w:footerReference r:id="rId7" w:type="first"/>
          <w:footerReference r:id="rId5" w:type="default"/>
          <w:headerReference r:id="rId3" w:type="even"/>
          <w:footerReference r:id="rId6" w:type="even"/>
          <w:pgSz w:w="11907" w:h="16840"/>
          <w:pgMar w:top="1417" w:right="1417" w:bottom="1417" w:left="1417" w:header="850" w:footer="1247" w:gutter="0"/>
          <w:pgNumType w:start="1"/>
          <w:cols w:space="720" w:num="1"/>
          <w:docGrid w:linePitch="312" w:charSpace="0"/>
        </w:sectPr>
      </w:pPr>
      <w:r>
        <w:rPr>
          <w:b/>
          <w:color w:val="auto"/>
          <w:spacing w:val="14"/>
          <w:sz w:val="32"/>
        </w:rPr>
        <w:t>二〇二二年</w:t>
      </w:r>
      <w:r>
        <w:rPr>
          <w:rFonts w:hint="eastAsia"/>
          <w:b/>
          <w:color w:val="auto"/>
          <w:spacing w:val="14"/>
          <w:sz w:val="32"/>
          <w:lang w:val="en-US" w:eastAsia="zh-CN"/>
        </w:rPr>
        <w:t>八</w:t>
      </w:r>
      <w:r>
        <w:rPr>
          <w:b/>
          <w:color w:val="auto"/>
          <w:spacing w:val="14"/>
          <w:sz w:val="32"/>
        </w:rPr>
        <w:t>月</w:t>
      </w:r>
    </w:p>
    <w:p>
      <w:pPr>
        <w:pStyle w:val="48"/>
        <w:tabs>
          <w:tab w:val="right" w:leader="dot" w:pos="8296"/>
        </w:tabs>
        <w:jc w:val="center"/>
        <w:rPr>
          <w:rFonts w:eastAsiaTheme="minorEastAsia"/>
          <w:b/>
          <w:color w:val="auto"/>
          <w:sz w:val="32"/>
          <w:szCs w:val="32"/>
        </w:rPr>
      </w:pPr>
      <w:r>
        <w:rPr>
          <w:rFonts w:eastAsiaTheme="minorEastAsia"/>
          <w:b/>
          <w:color w:val="auto"/>
          <w:sz w:val="32"/>
          <w:szCs w:val="32"/>
        </w:rPr>
        <w:t>目录</w:t>
      </w:r>
    </w:p>
    <w:p>
      <w:pPr>
        <w:widowControl/>
        <w:adjustRightInd w:val="0"/>
        <w:snapToGrid w:val="0"/>
        <w:jc w:val="left"/>
        <w:rPr>
          <w:rFonts w:eastAsiaTheme="minorEastAsia"/>
          <w:b/>
          <w:bCs/>
          <w:color w:val="auto"/>
          <w:kern w:val="44"/>
          <w:sz w:val="32"/>
          <w:szCs w:val="32"/>
        </w:rPr>
      </w:pPr>
    </w:p>
    <w:p>
      <w:pPr>
        <w:pStyle w:val="48"/>
        <w:tabs>
          <w:tab w:val="right" w:leader="dot" w:pos="8494"/>
        </w:tabs>
        <w:rPr>
          <w:rFonts w:asciiTheme="minorHAnsi" w:hAnsiTheme="minorHAnsi" w:eastAsiaTheme="minorEastAsia" w:cstheme="minorBidi"/>
          <w:color w:val="auto"/>
        </w:rPr>
      </w:pPr>
      <w:r>
        <w:rPr>
          <w:rFonts w:eastAsiaTheme="minorEastAsia"/>
          <w:b/>
          <w:bCs/>
          <w:color w:val="auto"/>
          <w:kern w:val="44"/>
          <w:sz w:val="32"/>
          <w:szCs w:val="32"/>
        </w:rPr>
        <w:fldChar w:fldCharType="begin"/>
      </w:r>
      <w:r>
        <w:rPr>
          <w:rFonts w:eastAsiaTheme="minorEastAsia"/>
          <w:b/>
          <w:bCs/>
          <w:color w:val="auto"/>
          <w:kern w:val="44"/>
          <w:sz w:val="32"/>
          <w:szCs w:val="32"/>
        </w:rPr>
        <w:instrText xml:space="preserve"> TOC \o "1-3" \h \z \u </w:instrText>
      </w:r>
      <w:r>
        <w:rPr>
          <w:rFonts w:eastAsiaTheme="minorEastAsia"/>
          <w:b/>
          <w:bCs/>
          <w:color w:val="auto"/>
          <w:kern w:val="44"/>
          <w:sz w:val="32"/>
          <w:szCs w:val="32"/>
        </w:rPr>
        <w:fldChar w:fldCharType="separate"/>
      </w:r>
      <w:r>
        <w:rPr>
          <w:color w:val="auto"/>
        </w:rPr>
        <w:fldChar w:fldCharType="begin"/>
      </w:r>
      <w:r>
        <w:rPr>
          <w:color w:val="auto"/>
        </w:rPr>
        <w:instrText xml:space="preserve"> HYPERLINK \l "_Toc109398519" </w:instrText>
      </w:r>
      <w:r>
        <w:rPr>
          <w:color w:val="auto"/>
        </w:rPr>
        <w:fldChar w:fldCharType="separate"/>
      </w:r>
      <w:r>
        <w:rPr>
          <w:rStyle w:val="72"/>
          <w:color w:val="auto"/>
        </w:rPr>
        <w:t>概述</w:t>
      </w:r>
      <w:r>
        <w:rPr>
          <w:color w:val="auto"/>
        </w:rPr>
        <w:tab/>
      </w:r>
      <w:r>
        <w:rPr>
          <w:color w:val="auto"/>
        </w:rPr>
        <w:fldChar w:fldCharType="begin"/>
      </w:r>
      <w:r>
        <w:rPr>
          <w:color w:val="auto"/>
        </w:rPr>
        <w:instrText xml:space="preserve"> PAGEREF _Toc109398519 \h </w:instrText>
      </w:r>
      <w:r>
        <w:rPr>
          <w:color w:val="auto"/>
        </w:rPr>
        <w:fldChar w:fldCharType="separate"/>
      </w:r>
      <w:r>
        <w:rPr>
          <w:color w:val="auto"/>
        </w:rPr>
        <w:t>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"_Toc109398520" </w:instrText>
      </w:r>
      <w:r>
        <w:rPr>
          <w:color w:val="auto"/>
        </w:rPr>
        <w:fldChar w:fldCharType="separate"/>
      </w:r>
      <w:r>
        <w:rPr>
          <w:rStyle w:val="72"/>
          <w:color w:val="auto"/>
        </w:rPr>
        <w:t>1、任务由来</w:t>
      </w:r>
      <w:r>
        <w:rPr>
          <w:color w:val="auto"/>
        </w:rPr>
        <w:tab/>
      </w:r>
      <w:r>
        <w:rPr>
          <w:color w:val="auto"/>
        </w:rPr>
        <w:fldChar w:fldCharType="begin"/>
      </w:r>
      <w:r>
        <w:rPr>
          <w:color w:val="auto"/>
        </w:rPr>
        <w:instrText xml:space="preserve"> PAGEREF _Toc109398520 \h </w:instrText>
      </w:r>
      <w:r>
        <w:rPr>
          <w:color w:val="auto"/>
        </w:rPr>
        <w:fldChar w:fldCharType="separate"/>
      </w:r>
      <w:r>
        <w:rPr>
          <w:color w:val="auto"/>
        </w:rPr>
        <w:t>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"_Toc109398521" </w:instrText>
      </w:r>
      <w:r>
        <w:rPr>
          <w:color w:val="auto"/>
        </w:rPr>
        <w:fldChar w:fldCharType="separate"/>
      </w:r>
      <w:r>
        <w:rPr>
          <w:rStyle w:val="72"/>
          <w:color w:val="auto"/>
        </w:rPr>
        <w:t>2、建设项目特点</w:t>
      </w:r>
      <w:r>
        <w:rPr>
          <w:color w:val="auto"/>
        </w:rPr>
        <w:tab/>
      </w:r>
      <w:r>
        <w:rPr>
          <w:color w:val="auto"/>
        </w:rPr>
        <w:fldChar w:fldCharType="begin"/>
      </w:r>
      <w:r>
        <w:rPr>
          <w:color w:val="auto"/>
        </w:rPr>
        <w:instrText xml:space="preserve"> PAGEREF _Toc109398521 \h </w:instrText>
      </w:r>
      <w:r>
        <w:rPr>
          <w:color w:val="auto"/>
        </w:rPr>
        <w:fldChar w:fldCharType="separate"/>
      </w:r>
      <w:r>
        <w:rPr>
          <w:color w:val="auto"/>
        </w:rPr>
        <w:t>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"_Toc109398522" </w:instrText>
      </w:r>
      <w:r>
        <w:rPr>
          <w:color w:val="auto"/>
        </w:rPr>
        <w:fldChar w:fldCharType="separate"/>
      </w:r>
      <w:r>
        <w:rPr>
          <w:rStyle w:val="72"/>
          <w:color w:val="auto"/>
        </w:rPr>
        <w:t>3、环境影响评价工作过程</w:t>
      </w:r>
      <w:r>
        <w:rPr>
          <w:color w:val="auto"/>
        </w:rPr>
        <w:tab/>
      </w:r>
      <w:r>
        <w:rPr>
          <w:color w:val="auto"/>
        </w:rPr>
        <w:fldChar w:fldCharType="begin"/>
      </w:r>
      <w:r>
        <w:rPr>
          <w:color w:val="auto"/>
        </w:rPr>
        <w:instrText xml:space="preserve"> PAGEREF _Toc109398522 \h </w:instrText>
      </w:r>
      <w:r>
        <w:rPr>
          <w:color w:val="auto"/>
        </w:rPr>
        <w:fldChar w:fldCharType="separate"/>
      </w:r>
      <w:r>
        <w:rPr>
          <w:color w:val="auto"/>
        </w:rPr>
        <w:t>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"_Toc109398523" </w:instrText>
      </w:r>
      <w:r>
        <w:rPr>
          <w:color w:val="auto"/>
        </w:rPr>
        <w:fldChar w:fldCharType="separate"/>
      </w:r>
      <w:r>
        <w:rPr>
          <w:rStyle w:val="72"/>
          <w:color w:val="auto"/>
        </w:rPr>
        <w:t>4、分析判定相关情况</w:t>
      </w:r>
      <w:r>
        <w:rPr>
          <w:color w:val="auto"/>
        </w:rPr>
        <w:tab/>
      </w:r>
      <w:r>
        <w:rPr>
          <w:color w:val="auto"/>
        </w:rPr>
        <w:fldChar w:fldCharType="begin"/>
      </w:r>
      <w:r>
        <w:rPr>
          <w:color w:val="auto"/>
        </w:rPr>
        <w:instrText xml:space="preserve"> PAGEREF _Toc109398523 \h </w:instrText>
      </w:r>
      <w:r>
        <w:rPr>
          <w:color w:val="auto"/>
        </w:rPr>
        <w:fldChar w:fldCharType="separate"/>
      </w:r>
      <w:r>
        <w:rPr>
          <w:color w:val="auto"/>
        </w:rPr>
        <w:t>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"_Toc109398524" </w:instrText>
      </w:r>
      <w:r>
        <w:rPr>
          <w:color w:val="auto"/>
        </w:rPr>
        <w:fldChar w:fldCharType="separate"/>
      </w:r>
      <w:r>
        <w:rPr>
          <w:rStyle w:val="72"/>
          <w:color w:val="auto"/>
        </w:rPr>
        <w:t>4.1产业政策符合性分析</w:t>
      </w:r>
      <w:r>
        <w:rPr>
          <w:color w:val="auto"/>
        </w:rPr>
        <w:tab/>
      </w:r>
      <w:r>
        <w:rPr>
          <w:color w:val="auto"/>
        </w:rPr>
        <w:fldChar w:fldCharType="begin"/>
      </w:r>
      <w:r>
        <w:rPr>
          <w:color w:val="auto"/>
        </w:rPr>
        <w:instrText xml:space="preserve"> PAGEREF _Toc109398524 \h </w:instrText>
      </w:r>
      <w:r>
        <w:rPr>
          <w:color w:val="auto"/>
        </w:rPr>
        <w:fldChar w:fldCharType="separate"/>
      </w:r>
      <w:r>
        <w:rPr>
          <w:color w:val="auto"/>
        </w:rPr>
        <w:t>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"_Toc109398525" </w:instrText>
      </w:r>
      <w:r>
        <w:rPr>
          <w:color w:val="auto"/>
        </w:rPr>
        <w:fldChar w:fldCharType="separate"/>
      </w:r>
      <w:r>
        <w:rPr>
          <w:rStyle w:val="72"/>
          <w:color w:val="auto"/>
        </w:rPr>
        <w:t>4.2“三线一单”符合性分析</w:t>
      </w:r>
      <w:r>
        <w:rPr>
          <w:color w:val="auto"/>
        </w:rPr>
        <w:tab/>
      </w:r>
      <w:r>
        <w:rPr>
          <w:color w:val="auto"/>
        </w:rPr>
        <w:fldChar w:fldCharType="begin"/>
      </w:r>
      <w:r>
        <w:rPr>
          <w:color w:val="auto"/>
        </w:rPr>
        <w:instrText xml:space="preserve"> PAGEREF _Toc109398525 \h </w:instrText>
      </w:r>
      <w:r>
        <w:rPr>
          <w:color w:val="auto"/>
        </w:rPr>
        <w:fldChar w:fldCharType="separate"/>
      </w:r>
      <w:r>
        <w:rPr>
          <w:color w:val="auto"/>
        </w:rPr>
        <w:t>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"_Toc109398526" </w:instrText>
      </w:r>
      <w:r>
        <w:rPr>
          <w:color w:val="auto"/>
        </w:rPr>
        <w:fldChar w:fldCharType="separate"/>
      </w:r>
      <w:r>
        <w:rPr>
          <w:rStyle w:val="72"/>
          <w:color w:val="auto"/>
        </w:rPr>
        <w:t>4.3与相关规划符合性分析</w:t>
      </w:r>
      <w:r>
        <w:rPr>
          <w:color w:val="auto"/>
        </w:rPr>
        <w:tab/>
      </w:r>
      <w:r>
        <w:rPr>
          <w:color w:val="auto"/>
        </w:rPr>
        <w:fldChar w:fldCharType="begin"/>
      </w:r>
      <w:r>
        <w:rPr>
          <w:color w:val="auto"/>
        </w:rPr>
        <w:instrText xml:space="preserve"> PAGEREF _Toc109398526 \h </w:instrText>
      </w:r>
      <w:r>
        <w:rPr>
          <w:color w:val="auto"/>
        </w:rPr>
        <w:fldChar w:fldCharType="separate"/>
      </w:r>
      <w:r>
        <w:rPr>
          <w:color w:val="auto"/>
        </w:rPr>
        <w:t>27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"_Toc109398527" </w:instrText>
      </w:r>
      <w:r>
        <w:rPr>
          <w:color w:val="auto"/>
        </w:rPr>
        <w:fldChar w:fldCharType="separate"/>
      </w:r>
      <w:r>
        <w:rPr>
          <w:rStyle w:val="72"/>
          <w:color w:val="auto"/>
        </w:rPr>
        <w:t>4.4与相关标准及规范符合性分析</w:t>
      </w:r>
      <w:r>
        <w:rPr>
          <w:color w:val="auto"/>
        </w:rPr>
        <w:tab/>
      </w:r>
      <w:r>
        <w:rPr>
          <w:color w:val="auto"/>
        </w:rPr>
        <w:fldChar w:fldCharType="begin"/>
      </w:r>
      <w:r>
        <w:rPr>
          <w:color w:val="auto"/>
        </w:rPr>
        <w:instrText xml:space="preserve"> PAGEREF _Toc109398527 \h </w:instrText>
      </w:r>
      <w:r>
        <w:rPr>
          <w:color w:val="auto"/>
        </w:rPr>
        <w:fldChar w:fldCharType="separate"/>
      </w:r>
      <w:r>
        <w:rPr>
          <w:color w:val="auto"/>
        </w:rPr>
        <w:t>31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"_Toc109398528" </w:instrText>
      </w:r>
      <w:r>
        <w:rPr>
          <w:color w:val="auto"/>
        </w:rPr>
        <w:fldChar w:fldCharType="separate"/>
      </w:r>
      <w:r>
        <w:rPr>
          <w:rStyle w:val="72"/>
          <w:color w:val="auto"/>
        </w:rPr>
        <w:t>4.5选址合理性分析</w:t>
      </w:r>
      <w:r>
        <w:rPr>
          <w:color w:val="auto"/>
        </w:rPr>
        <w:tab/>
      </w:r>
      <w:r>
        <w:rPr>
          <w:color w:val="auto"/>
        </w:rPr>
        <w:fldChar w:fldCharType="begin"/>
      </w:r>
      <w:r>
        <w:rPr>
          <w:color w:val="auto"/>
        </w:rPr>
        <w:instrText xml:space="preserve"> PAGEREF _Toc109398528 \h </w:instrText>
      </w:r>
      <w:r>
        <w:rPr>
          <w:color w:val="auto"/>
        </w:rPr>
        <w:fldChar w:fldCharType="separate"/>
      </w:r>
      <w:r>
        <w:rPr>
          <w:color w:val="auto"/>
        </w:rPr>
        <w:t>38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"_Toc109398529" </w:instrText>
      </w:r>
      <w:r>
        <w:rPr>
          <w:color w:val="auto"/>
        </w:rPr>
        <w:fldChar w:fldCharType="separate"/>
      </w:r>
      <w:r>
        <w:rPr>
          <w:rStyle w:val="72"/>
          <w:color w:val="auto"/>
        </w:rPr>
        <w:t>4.6平面布置合理性分析</w:t>
      </w:r>
      <w:r>
        <w:rPr>
          <w:color w:val="auto"/>
        </w:rPr>
        <w:tab/>
      </w:r>
      <w:r>
        <w:rPr>
          <w:color w:val="auto"/>
        </w:rPr>
        <w:fldChar w:fldCharType="begin"/>
      </w:r>
      <w:r>
        <w:rPr>
          <w:color w:val="auto"/>
        </w:rPr>
        <w:instrText xml:space="preserve"> PAGEREF _Toc109398529 \h </w:instrText>
      </w:r>
      <w:r>
        <w:rPr>
          <w:color w:val="auto"/>
        </w:rPr>
        <w:fldChar w:fldCharType="separate"/>
      </w:r>
      <w:r>
        <w:rPr>
          <w:color w:val="auto"/>
        </w:rPr>
        <w:t>39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"_Toc109398530" </w:instrText>
      </w:r>
      <w:r>
        <w:rPr>
          <w:color w:val="auto"/>
        </w:rPr>
        <w:fldChar w:fldCharType="separate"/>
      </w:r>
      <w:r>
        <w:rPr>
          <w:rStyle w:val="72"/>
          <w:color w:val="auto"/>
        </w:rPr>
        <w:t>5、关注的主要环境问题</w:t>
      </w:r>
      <w:r>
        <w:rPr>
          <w:color w:val="auto"/>
        </w:rPr>
        <w:tab/>
      </w:r>
      <w:r>
        <w:rPr>
          <w:color w:val="auto"/>
        </w:rPr>
        <w:fldChar w:fldCharType="begin"/>
      </w:r>
      <w:r>
        <w:rPr>
          <w:color w:val="auto"/>
        </w:rPr>
        <w:instrText xml:space="preserve"> PAGEREF _Toc109398530 \h </w:instrText>
      </w:r>
      <w:r>
        <w:rPr>
          <w:color w:val="auto"/>
        </w:rPr>
        <w:fldChar w:fldCharType="separate"/>
      </w:r>
      <w:r>
        <w:rPr>
          <w:color w:val="auto"/>
        </w:rPr>
        <w:t>39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"_Toc109398531" </w:instrText>
      </w:r>
      <w:r>
        <w:rPr>
          <w:color w:val="auto"/>
        </w:rPr>
        <w:fldChar w:fldCharType="separate"/>
      </w:r>
      <w:r>
        <w:rPr>
          <w:rStyle w:val="72"/>
          <w:color w:val="auto"/>
        </w:rPr>
        <w:t>6、报告的主要结论</w:t>
      </w:r>
      <w:r>
        <w:rPr>
          <w:color w:val="auto"/>
        </w:rPr>
        <w:tab/>
      </w:r>
      <w:r>
        <w:rPr>
          <w:color w:val="auto"/>
        </w:rPr>
        <w:fldChar w:fldCharType="begin"/>
      </w:r>
      <w:r>
        <w:rPr>
          <w:color w:val="auto"/>
        </w:rPr>
        <w:instrText xml:space="preserve"> PAGEREF _Toc109398531 \h </w:instrText>
      </w:r>
      <w:r>
        <w:rPr>
          <w:color w:val="auto"/>
        </w:rPr>
        <w:fldChar w:fldCharType="separate"/>
      </w:r>
      <w:r>
        <w:rPr>
          <w:color w:val="auto"/>
        </w:rPr>
        <w:t>40</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"_Toc109398532" </w:instrText>
      </w:r>
      <w:r>
        <w:rPr>
          <w:color w:val="auto"/>
        </w:rPr>
        <w:fldChar w:fldCharType="separate"/>
      </w:r>
      <w:r>
        <w:rPr>
          <w:rStyle w:val="72"/>
          <w:color w:val="auto"/>
        </w:rPr>
        <w:t>1总则</w:t>
      </w:r>
      <w:r>
        <w:rPr>
          <w:color w:val="auto"/>
        </w:rPr>
        <w:tab/>
      </w:r>
      <w:r>
        <w:rPr>
          <w:color w:val="auto"/>
        </w:rPr>
        <w:fldChar w:fldCharType="begin"/>
      </w:r>
      <w:r>
        <w:rPr>
          <w:color w:val="auto"/>
        </w:rPr>
        <w:instrText xml:space="preserve"> PAGEREF _Toc109398532 \h </w:instrText>
      </w:r>
      <w:r>
        <w:rPr>
          <w:color w:val="auto"/>
        </w:rPr>
        <w:fldChar w:fldCharType="separate"/>
      </w:r>
      <w:r>
        <w:rPr>
          <w:color w:val="auto"/>
        </w:rPr>
        <w:t>41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"_Toc109398533" </w:instrText>
      </w:r>
      <w:r>
        <w:rPr>
          <w:color w:val="auto"/>
        </w:rPr>
        <w:fldChar w:fldCharType="separate"/>
      </w:r>
      <w:r>
        <w:rPr>
          <w:rStyle w:val="72"/>
          <w:color w:val="auto"/>
        </w:rPr>
        <w:t>1.1编制依据</w:t>
      </w:r>
      <w:r>
        <w:rPr>
          <w:color w:val="auto"/>
        </w:rPr>
        <w:tab/>
      </w:r>
      <w:r>
        <w:rPr>
          <w:color w:val="auto"/>
        </w:rPr>
        <w:fldChar w:fldCharType="begin"/>
      </w:r>
      <w:r>
        <w:rPr>
          <w:color w:val="auto"/>
        </w:rPr>
        <w:instrText xml:space="preserve"> PAGEREF _Toc109398533 \h </w:instrText>
      </w:r>
      <w:r>
        <w:rPr>
          <w:color w:val="auto"/>
        </w:rPr>
        <w:fldChar w:fldCharType="separate"/>
      </w:r>
      <w:r>
        <w:rPr>
          <w:color w:val="auto"/>
        </w:rPr>
        <w:t>41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"_Toc109398534" </w:instrText>
      </w:r>
      <w:r>
        <w:rPr>
          <w:color w:val="auto"/>
        </w:rPr>
        <w:fldChar w:fldCharType="separate"/>
      </w:r>
      <w:r>
        <w:rPr>
          <w:rStyle w:val="72"/>
          <w:color w:val="auto"/>
        </w:rPr>
        <w:t>1.1.1国家相关法律</w:t>
      </w:r>
      <w:r>
        <w:rPr>
          <w:color w:val="auto"/>
        </w:rPr>
        <w:tab/>
      </w:r>
      <w:r>
        <w:rPr>
          <w:color w:val="auto"/>
        </w:rPr>
        <w:fldChar w:fldCharType="begin"/>
      </w:r>
      <w:r>
        <w:rPr>
          <w:color w:val="auto"/>
        </w:rPr>
        <w:instrText xml:space="preserve"> PAGEREF _Toc109398534 \h </w:instrText>
      </w:r>
      <w:r>
        <w:rPr>
          <w:color w:val="auto"/>
        </w:rPr>
        <w:fldChar w:fldCharType="separate"/>
      </w:r>
      <w:r>
        <w:rPr>
          <w:color w:val="auto"/>
        </w:rPr>
        <w:t>41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"_Toc109398535" </w:instrText>
      </w:r>
      <w:r>
        <w:rPr>
          <w:color w:val="auto"/>
        </w:rPr>
        <w:fldChar w:fldCharType="separate"/>
      </w:r>
      <w:r>
        <w:rPr>
          <w:rStyle w:val="72"/>
          <w:color w:val="auto"/>
        </w:rPr>
        <w:t>1.1.2国家法规及政策</w:t>
      </w:r>
      <w:r>
        <w:rPr>
          <w:color w:val="auto"/>
        </w:rPr>
        <w:tab/>
      </w:r>
      <w:r>
        <w:rPr>
          <w:color w:val="auto"/>
        </w:rPr>
        <w:fldChar w:fldCharType="begin"/>
      </w:r>
      <w:r>
        <w:rPr>
          <w:color w:val="auto"/>
        </w:rPr>
        <w:instrText xml:space="preserve"> PAGEREF _Toc109398535 \h </w:instrText>
      </w:r>
      <w:r>
        <w:rPr>
          <w:color w:val="auto"/>
        </w:rPr>
        <w:fldChar w:fldCharType="separate"/>
      </w:r>
      <w:r>
        <w:rPr>
          <w:color w:val="auto"/>
        </w:rPr>
        <w:t>41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"_Toc109398536" </w:instrText>
      </w:r>
      <w:r>
        <w:rPr>
          <w:color w:val="auto"/>
        </w:rPr>
        <w:fldChar w:fldCharType="separate"/>
      </w:r>
      <w:r>
        <w:rPr>
          <w:rStyle w:val="72"/>
          <w:color w:val="auto"/>
        </w:rPr>
        <w:t>1.1.3地方法律法规及规范化文件</w:t>
      </w:r>
      <w:r>
        <w:rPr>
          <w:color w:val="auto"/>
        </w:rPr>
        <w:tab/>
      </w:r>
      <w:r>
        <w:rPr>
          <w:color w:val="auto"/>
        </w:rPr>
        <w:fldChar w:fldCharType="begin"/>
      </w:r>
      <w:r>
        <w:rPr>
          <w:color w:val="auto"/>
        </w:rPr>
        <w:instrText xml:space="preserve"> PAGEREF _Toc109398536 \h </w:instrText>
      </w:r>
      <w:r>
        <w:rPr>
          <w:color w:val="auto"/>
        </w:rPr>
        <w:fldChar w:fldCharType="separate"/>
      </w:r>
      <w:r>
        <w:rPr>
          <w:color w:val="auto"/>
        </w:rPr>
        <w:t>43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"_Toc109398537" </w:instrText>
      </w:r>
      <w:r>
        <w:rPr>
          <w:color w:val="auto"/>
        </w:rPr>
        <w:fldChar w:fldCharType="separate"/>
      </w:r>
      <w:r>
        <w:rPr>
          <w:rStyle w:val="72"/>
          <w:color w:val="auto"/>
        </w:rPr>
        <w:t>1.1.4相关规划</w:t>
      </w:r>
      <w:r>
        <w:rPr>
          <w:color w:val="auto"/>
        </w:rPr>
        <w:tab/>
      </w:r>
      <w:r>
        <w:rPr>
          <w:color w:val="auto"/>
        </w:rPr>
        <w:fldChar w:fldCharType="begin"/>
      </w:r>
      <w:r>
        <w:rPr>
          <w:color w:val="auto"/>
        </w:rPr>
        <w:instrText xml:space="preserve"> PAGEREF _Toc109398537 \h </w:instrText>
      </w:r>
      <w:r>
        <w:rPr>
          <w:color w:val="auto"/>
        </w:rPr>
        <w:fldChar w:fldCharType="separate"/>
      </w:r>
      <w:r>
        <w:rPr>
          <w:color w:val="auto"/>
        </w:rPr>
        <w:t>44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"_Toc109398538" </w:instrText>
      </w:r>
      <w:r>
        <w:rPr>
          <w:color w:val="auto"/>
        </w:rPr>
        <w:fldChar w:fldCharType="separate"/>
      </w:r>
      <w:r>
        <w:rPr>
          <w:rStyle w:val="72"/>
          <w:color w:val="auto"/>
        </w:rPr>
        <w:t>1.1.5技术导则及设计规范</w:t>
      </w:r>
      <w:r>
        <w:rPr>
          <w:color w:val="auto"/>
        </w:rPr>
        <w:tab/>
      </w:r>
      <w:r>
        <w:rPr>
          <w:color w:val="auto"/>
        </w:rPr>
        <w:fldChar w:fldCharType="begin"/>
      </w:r>
      <w:r>
        <w:rPr>
          <w:color w:val="auto"/>
        </w:rPr>
        <w:instrText xml:space="preserve"> PAGEREF _Toc109398538 \h </w:instrText>
      </w:r>
      <w:r>
        <w:rPr>
          <w:color w:val="auto"/>
        </w:rPr>
        <w:fldChar w:fldCharType="separate"/>
      </w:r>
      <w:r>
        <w:rPr>
          <w:color w:val="auto"/>
        </w:rPr>
        <w:t>44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"_Toc109398539" </w:instrText>
      </w:r>
      <w:r>
        <w:rPr>
          <w:color w:val="auto"/>
        </w:rPr>
        <w:fldChar w:fldCharType="separate"/>
      </w:r>
      <w:r>
        <w:rPr>
          <w:rStyle w:val="72"/>
          <w:color w:val="auto"/>
        </w:rPr>
        <w:t>1.1.6项目依据文件</w:t>
      </w:r>
      <w:r>
        <w:rPr>
          <w:color w:val="auto"/>
        </w:rPr>
        <w:tab/>
      </w:r>
      <w:r>
        <w:rPr>
          <w:color w:val="auto"/>
        </w:rPr>
        <w:fldChar w:fldCharType="begin"/>
      </w:r>
      <w:r>
        <w:rPr>
          <w:color w:val="auto"/>
        </w:rPr>
        <w:instrText xml:space="preserve"> PAGEREF _Toc109398539 \h </w:instrText>
      </w:r>
      <w:r>
        <w:rPr>
          <w:color w:val="auto"/>
        </w:rPr>
        <w:fldChar w:fldCharType="separate"/>
      </w:r>
      <w:r>
        <w:rPr>
          <w:color w:val="auto"/>
        </w:rPr>
        <w:t>45</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"_Toc109398540" </w:instrText>
      </w:r>
      <w:r>
        <w:rPr>
          <w:color w:val="auto"/>
        </w:rPr>
        <w:fldChar w:fldCharType="separate"/>
      </w:r>
      <w:r>
        <w:rPr>
          <w:rStyle w:val="72"/>
          <w:color w:val="auto"/>
        </w:rPr>
        <w:t>1.2评价目的及工作内容</w:t>
      </w:r>
      <w:r>
        <w:rPr>
          <w:color w:val="auto"/>
        </w:rPr>
        <w:tab/>
      </w:r>
      <w:r>
        <w:rPr>
          <w:color w:val="auto"/>
        </w:rPr>
        <w:fldChar w:fldCharType="begin"/>
      </w:r>
      <w:r>
        <w:rPr>
          <w:color w:val="auto"/>
        </w:rPr>
        <w:instrText xml:space="preserve"> PAGEREF _Toc109398540 \h </w:instrText>
      </w:r>
      <w:r>
        <w:rPr>
          <w:color w:val="auto"/>
        </w:rPr>
        <w:fldChar w:fldCharType="separate"/>
      </w:r>
      <w:r>
        <w:rPr>
          <w:color w:val="auto"/>
        </w:rPr>
        <w:t>45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"_Toc109398541" </w:instrText>
      </w:r>
      <w:r>
        <w:rPr>
          <w:color w:val="auto"/>
        </w:rPr>
        <w:fldChar w:fldCharType="separate"/>
      </w:r>
      <w:r>
        <w:rPr>
          <w:rStyle w:val="72"/>
          <w:color w:val="auto"/>
        </w:rPr>
        <w:t>1.2.1评价目的</w:t>
      </w:r>
      <w:r>
        <w:rPr>
          <w:color w:val="auto"/>
        </w:rPr>
        <w:tab/>
      </w:r>
      <w:r>
        <w:rPr>
          <w:color w:val="auto"/>
        </w:rPr>
        <w:fldChar w:fldCharType="begin"/>
      </w:r>
      <w:r>
        <w:rPr>
          <w:color w:val="auto"/>
        </w:rPr>
        <w:instrText xml:space="preserve"> PAGEREF _Toc109398541 \h </w:instrText>
      </w:r>
      <w:r>
        <w:rPr>
          <w:color w:val="auto"/>
        </w:rPr>
        <w:fldChar w:fldCharType="separate"/>
      </w:r>
      <w:r>
        <w:rPr>
          <w:color w:val="auto"/>
        </w:rPr>
        <w:t>45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"_Toc109398542" </w:instrText>
      </w:r>
      <w:r>
        <w:rPr>
          <w:color w:val="auto"/>
        </w:rPr>
        <w:fldChar w:fldCharType="separate"/>
      </w:r>
      <w:r>
        <w:rPr>
          <w:rStyle w:val="72"/>
          <w:color w:val="auto"/>
        </w:rPr>
        <w:t>1.2.2评价原则及评价工作内容</w:t>
      </w:r>
      <w:r>
        <w:rPr>
          <w:color w:val="auto"/>
        </w:rPr>
        <w:tab/>
      </w:r>
      <w:r>
        <w:rPr>
          <w:color w:val="auto"/>
        </w:rPr>
        <w:fldChar w:fldCharType="begin"/>
      </w:r>
      <w:r>
        <w:rPr>
          <w:color w:val="auto"/>
        </w:rPr>
        <w:instrText xml:space="preserve"> PAGEREF _Toc109398542 \h </w:instrText>
      </w:r>
      <w:r>
        <w:rPr>
          <w:color w:val="auto"/>
        </w:rPr>
        <w:fldChar w:fldCharType="separate"/>
      </w:r>
      <w:r>
        <w:rPr>
          <w:color w:val="auto"/>
        </w:rPr>
        <w:t>46</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"_Toc109398543" </w:instrText>
      </w:r>
      <w:r>
        <w:rPr>
          <w:color w:val="auto"/>
        </w:rPr>
        <w:fldChar w:fldCharType="separate"/>
      </w:r>
      <w:r>
        <w:rPr>
          <w:rStyle w:val="72"/>
          <w:color w:val="auto"/>
        </w:rPr>
        <w:t>1.3评价因子与评价重点</w:t>
      </w:r>
      <w:r>
        <w:rPr>
          <w:color w:val="auto"/>
        </w:rPr>
        <w:tab/>
      </w:r>
      <w:r>
        <w:rPr>
          <w:color w:val="auto"/>
        </w:rPr>
        <w:fldChar w:fldCharType="begin"/>
      </w:r>
      <w:r>
        <w:rPr>
          <w:color w:val="auto"/>
        </w:rPr>
        <w:instrText xml:space="preserve"> PAGEREF _Toc109398543 \h </w:instrText>
      </w:r>
      <w:r>
        <w:rPr>
          <w:color w:val="auto"/>
        </w:rPr>
        <w:fldChar w:fldCharType="separate"/>
      </w:r>
      <w:r>
        <w:rPr>
          <w:color w:val="auto"/>
        </w:rPr>
        <w:t>47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"_Toc109398544" </w:instrText>
      </w:r>
      <w:r>
        <w:rPr>
          <w:color w:val="auto"/>
        </w:rPr>
        <w:fldChar w:fldCharType="separate"/>
      </w:r>
      <w:r>
        <w:rPr>
          <w:rStyle w:val="72"/>
          <w:color w:val="auto"/>
        </w:rPr>
        <w:t>1.3.1评价因子识别</w:t>
      </w:r>
      <w:r>
        <w:rPr>
          <w:color w:val="auto"/>
        </w:rPr>
        <w:tab/>
      </w:r>
      <w:r>
        <w:rPr>
          <w:color w:val="auto"/>
        </w:rPr>
        <w:fldChar w:fldCharType="begin"/>
      </w:r>
      <w:r>
        <w:rPr>
          <w:color w:val="auto"/>
        </w:rPr>
        <w:instrText xml:space="preserve"> PAGEREF _Toc109398544 \h </w:instrText>
      </w:r>
      <w:r>
        <w:rPr>
          <w:color w:val="auto"/>
        </w:rPr>
        <w:fldChar w:fldCharType="separate"/>
      </w:r>
      <w:r>
        <w:rPr>
          <w:color w:val="auto"/>
        </w:rPr>
        <w:t>47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"_Toc109398545" </w:instrText>
      </w:r>
      <w:r>
        <w:rPr>
          <w:color w:val="auto"/>
        </w:rPr>
        <w:fldChar w:fldCharType="separate"/>
      </w:r>
      <w:r>
        <w:rPr>
          <w:rStyle w:val="72"/>
          <w:color w:val="auto"/>
        </w:rPr>
        <w:t>1.3.2评价重点</w:t>
      </w:r>
      <w:r>
        <w:rPr>
          <w:color w:val="auto"/>
        </w:rPr>
        <w:tab/>
      </w:r>
      <w:r>
        <w:rPr>
          <w:color w:val="auto"/>
        </w:rPr>
        <w:fldChar w:fldCharType="begin"/>
      </w:r>
      <w:r>
        <w:rPr>
          <w:color w:val="auto"/>
        </w:rPr>
        <w:instrText xml:space="preserve"> PAGEREF _Toc109398545 \h </w:instrText>
      </w:r>
      <w:r>
        <w:rPr>
          <w:color w:val="auto"/>
        </w:rPr>
        <w:fldChar w:fldCharType="separate"/>
      </w:r>
      <w:r>
        <w:rPr>
          <w:color w:val="auto"/>
        </w:rPr>
        <w:t>47</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"_Toc109398546" </w:instrText>
      </w:r>
      <w:r>
        <w:rPr>
          <w:color w:val="auto"/>
        </w:rPr>
        <w:fldChar w:fldCharType="separate"/>
      </w:r>
      <w:r>
        <w:rPr>
          <w:rStyle w:val="72"/>
          <w:color w:val="auto"/>
        </w:rPr>
        <w:t>1.4评价标准</w:t>
      </w:r>
      <w:r>
        <w:rPr>
          <w:color w:val="auto"/>
        </w:rPr>
        <w:tab/>
      </w:r>
      <w:r>
        <w:rPr>
          <w:color w:val="auto"/>
        </w:rPr>
        <w:fldChar w:fldCharType="begin"/>
      </w:r>
      <w:r>
        <w:rPr>
          <w:color w:val="auto"/>
        </w:rPr>
        <w:instrText xml:space="preserve"> PAGEREF _Toc109398546 \h </w:instrText>
      </w:r>
      <w:r>
        <w:rPr>
          <w:color w:val="auto"/>
        </w:rPr>
        <w:fldChar w:fldCharType="separate"/>
      </w:r>
      <w:r>
        <w:rPr>
          <w:color w:val="auto"/>
        </w:rPr>
        <w:t>48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"_Toc109398547" </w:instrText>
      </w:r>
      <w:r>
        <w:rPr>
          <w:color w:val="auto"/>
        </w:rPr>
        <w:fldChar w:fldCharType="separate"/>
      </w:r>
      <w:r>
        <w:rPr>
          <w:rStyle w:val="72"/>
          <w:color w:val="auto"/>
        </w:rPr>
        <w:t>1.4.1环境质量标准</w:t>
      </w:r>
      <w:r>
        <w:rPr>
          <w:color w:val="auto"/>
        </w:rPr>
        <w:tab/>
      </w:r>
      <w:r>
        <w:rPr>
          <w:color w:val="auto"/>
        </w:rPr>
        <w:fldChar w:fldCharType="begin"/>
      </w:r>
      <w:r>
        <w:rPr>
          <w:color w:val="auto"/>
        </w:rPr>
        <w:instrText xml:space="preserve"> PAGEREF _Toc109398547 \h </w:instrText>
      </w:r>
      <w:r>
        <w:rPr>
          <w:color w:val="auto"/>
        </w:rPr>
        <w:fldChar w:fldCharType="separate"/>
      </w:r>
      <w:r>
        <w:rPr>
          <w:color w:val="auto"/>
        </w:rPr>
        <w:t>48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"_Toc109398548" </w:instrText>
      </w:r>
      <w:r>
        <w:rPr>
          <w:color w:val="auto"/>
        </w:rPr>
        <w:fldChar w:fldCharType="separate"/>
      </w:r>
      <w:r>
        <w:rPr>
          <w:rStyle w:val="72"/>
          <w:color w:val="auto"/>
        </w:rPr>
        <w:t>1.4.2污染物排放标准</w:t>
      </w:r>
      <w:r>
        <w:rPr>
          <w:color w:val="auto"/>
        </w:rPr>
        <w:tab/>
      </w:r>
      <w:r>
        <w:rPr>
          <w:color w:val="auto"/>
        </w:rPr>
        <w:fldChar w:fldCharType="begin"/>
      </w:r>
      <w:r>
        <w:rPr>
          <w:color w:val="auto"/>
        </w:rPr>
        <w:instrText xml:space="preserve"> PAGEREF _Toc109398548 \h </w:instrText>
      </w:r>
      <w:r>
        <w:rPr>
          <w:color w:val="auto"/>
        </w:rPr>
        <w:fldChar w:fldCharType="separate"/>
      </w:r>
      <w:r>
        <w:rPr>
          <w:color w:val="auto"/>
        </w:rPr>
        <w:t>52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"_Toc109398549" </w:instrText>
      </w:r>
      <w:r>
        <w:rPr>
          <w:color w:val="auto"/>
        </w:rPr>
        <w:fldChar w:fldCharType="separate"/>
      </w:r>
      <w:r>
        <w:rPr>
          <w:rStyle w:val="72"/>
          <w:color w:val="auto"/>
        </w:rPr>
        <w:t>1.5评价工作等级及评价范围</w:t>
      </w:r>
      <w:r>
        <w:rPr>
          <w:color w:val="auto"/>
        </w:rPr>
        <w:tab/>
      </w:r>
      <w:r>
        <w:rPr>
          <w:color w:val="auto"/>
        </w:rPr>
        <w:fldChar w:fldCharType="begin"/>
      </w:r>
      <w:r>
        <w:rPr>
          <w:color w:val="auto"/>
        </w:rPr>
        <w:instrText xml:space="preserve"> PAGEREF _Toc109398549 \h </w:instrText>
      </w:r>
      <w:r>
        <w:rPr>
          <w:color w:val="auto"/>
        </w:rPr>
        <w:fldChar w:fldCharType="separate"/>
      </w:r>
      <w:r>
        <w:rPr>
          <w:color w:val="auto"/>
        </w:rPr>
        <w:t>54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"_Toc109398550" </w:instrText>
      </w:r>
      <w:r>
        <w:rPr>
          <w:color w:val="auto"/>
        </w:rPr>
        <w:fldChar w:fldCharType="separate"/>
      </w:r>
      <w:r>
        <w:rPr>
          <w:rStyle w:val="72"/>
          <w:color w:val="auto"/>
        </w:rPr>
        <w:t>1.5.1环境空气</w:t>
      </w:r>
      <w:r>
        <w:rPr>
          <w:color w:val="auto"/>
        </w:rPr>
        <w:tab/>
      </w:r>
      <w:r>
        <w:rPr>
          <w:color w:val="auto"/>
        </w:rPr>
        <w:fldChar w:fldCharType="begin"/>
      </w:r>
      <w:r>
        <w:rPr>
          <w:color w:val="auto"/>
        </w:rPr>
        <w:instrText xml:space="preserve"> PAGEREF _Toc109398550 \h </w:instrText>
      </w:r>
      <w:r>
        <w:rPr>
          <w:color w:val="auto"/>
        </w:rPr>
        <w:fldChar w:fldCharType="separate"/>
      </w:r>
      <w:r>
        <w:rPr>
          <w:color w:val="auto"/>
        </w:rPr>
        <w:t>54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"_Toc109398551" </w:instrText>
      </w:r>
      <w:r>
        <w:rPr>
          <w:color w:val="auto"/>
        </w:rPr>
        <w:fldChar w:fldCharType="separate"/>
      </w:r>
      <w:r>
        <w:rPr>
          <w:rStyle w:val="72"/>
          <w:color w:val="auto"/>
        </w:rPr>
        <w:t>1.5.2地表水环境</w:t>
      </w:r>
      <w:r>
        <w:rPr>
          <w:color w:val="auto"/>
        </w:rPr>
        <w:tab/>
      </w:r>
      <w:r>
        <w:rPr>
          <w:color w:val="auto"/>
        </w:rPr>
        <w:fldChar w:fldCharType="begin"/>
      </w:r>
      <w:r>
        <w:rPr>
          <w:color w:val="auto"/>
        </w:rPr>
        <w:instrText xml:space="preserve"> PAGEREF _Toc109398551 \h </w:instrText>
      </w:r>
      <w:r>
        <w:rPr>
          <w:color w:val="auto"/>
        </w:rPr>
        <w:fldChar w:fldCharType="separate"/>
      </w:r>
      <w:r>
        <w:rPr>
          <w:color w:val="auto"/>
        </w:rPr>
        <w:t>56</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"_Toc109398552" </w:instrText>
      </w:r>
      <w:r>
        <w:rPr>
          <w:color w:val="auto"/>
        </w:rPr>
        <w:fldChar w:fldCharType="separate"/>
      </w:r>
      <w:r>
        <w:rPr>
          <w:rStyle w:val="72"/>
          <w:color w:val="auto"/>
        </w:rPr>
        <w:t>1.5.3地下水环境</w:t>
      </w:r>
      <w:r>
        <w:rPr>
          <w:color w:val="auto"/>
        </w:rPr>
        <w:tab/>
      </w:r>
      <w:r>
        <w:rPr>
          <w:color w:val="auto"/>
        </w:rPr>
        <w:fldChar w:fldCharType="begin"/>
      </w:r>
      <w:r>
        <w:rPr>
          <w:color w:val="auto"/>
        </w:rPr>
        <w:instrText xml:space="preserve"> PAGEREF _Toc109398552 \h </w:instrText>
      </w:r>
      <w:r>
        <w:rPr>
          <w:color w:val="auto"/>
        </w:rPr>
        <w:fldChar w:fldCharType="separate"/>
      </w:r>
      <w:r>
        <w:rPr>
          <w:color w:val="auto"/>
        </w:rPr>
        <w:t>57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"_Toc109398553" </w:instrText>
      </w:r>
      <w:r>
        <w:rPr>
          <w:color w:val="auto"/>
        </w:rPr>
        <w:fldChar w:fldCharType="separate"/>
      </w:r>
      <w:r>
        <w:rPr>
          <w:rStyle w:val="72"/>
          <w:color w:val="auto"/>
        </w:rPr>
        <w:t>1.5.4声环境</w:t>
      </w:r>
      <w:r>
        <w:rPr>
          <w:color w:val="auto"/>
        </w:rPr>
        <w:tab/>
      </w:r>
      <w:r>
        <w:rPr>
          <w:color w:val="auto"/>
        </w:rPr>
        <w:fldChar w:fldCharType="begin"/>
      </w:r>
      <w:r>
        <w:rPr>
          <w:color w:val="auto"/>
        </w:rPr>
        <w:instrText xml:space="preserve"> PAGEREF _Toc109398553 \h </w:instrText>
      </w:r>
      <w:r>
        <w:rPr>
          <w:color w:val="auto"/>
        </w:rPr>
        <w:fldChar w:fldCharType="separate"/>
      </w:r>
      <w:r>
        <w:rPr>
          <w:color w:val="auto"/>
        </w:rPr>
        <w:t>59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"_Toc109398554" </w:instrText>
      </w:r>
      <w:r>
        <w:rPr>
          <w:color w:val="auto"/>
        </w:rPr>
        <w:fldChar w:fldCharType="separate"/>
      </w:r>
      <w:r>
        <w:rPr>
          <w:rStyle w:val="72"/>
          <w:color w:val="auto"/>
        </w:rPr>
        <w:t>1.5.5土壤环境</w:t>
      </w:r>
      <w:r>
        <w:rPr>
          <w:color w:val="auto"/>
        </w:rPr>
        <w:tab/>
      </w:r>
      <w:r>
        <w:rPr>
          <w:color w:val="auto"/>
        </w:rPr>
        <w:fldChar w:fldCharType="begin"/>
      </w:r>
      <w:r>
        <w:rPr>
          <w:color w:val="auto"/>
        </w:rPr>
        <w:instrText xml:space="preserve"> PAGEREF _Toc109398554 \h </w:instrText>
      </w:r>
      <w:r>
        <w:rPr>
          <w:color w:val="auto"/>
        </w:rPr>
        <w:fldChar w:fldCharType="separate"/>
      </w:r>
      <w:r>
        <w:rPr>
          <w:color w:val="auto"/>
        </w:rPr>
        <w:t>60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"_Toc109398555" </w:instrText>
      </w:r>
      <w:r>
        <w:rPr>
          <w:color w:val="auto"/>
        </w:rPr>
        <w:fldChar w:fldCharType="separate"/>
      </w:r>
      <w:r>
        <w:rPr>
          <w:rStyle w:val="72"/>
          <w:color w:val="auto"/>
        </w:rPr>
        <w:t>1.5.6风险评价</w:t>
      </w:r>
      <w:r>
        <w:rPr>
          <w:color w:val="auto"/>
        </w:rPr>
        <w:tab/>
      </w:r>
      <w:r>
        <w:rPr>
          <w:color w:val="auto"/>
        </w:rPr>
        <w:fldChar w:fldCharType="begin"/>
      </w:r>
      <w:r>
        <w:rPr>
          <w:color w:val="auto"/>
        </w:rPr>
        <w:instrText xml:space="preserve"> PAGEREF _Toc109398555 \h </w:instrText>
      </w:r>
      <w:r>
        <w:rPr>
          <w:color w:val="auto"/>
        </w:rPr>
        <w:fldChar w:fldCharType="separate"/>
      </w:r>
      <w:r>
        <w:rPr>
          <w:color w:val="auto"/>
        </w:rPr>
        <w:t>61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"_Toc109398556" </w:instrText>
      </w:r>
      <w:r>
        <w:rPr>
          <w:color w:val="auto"/>
        </w:rPr>
        <w:fldChar w:fldCharType="separate"/>
      </w:r>
      <w:r>
        <w:rPr>
          <w:rStyle w:val="72"/>
          <w:color w:val="auto"/>
        </w:rPr>
        <w:t>1.5.7生态环境</w:t>
      </w:r>
      <w:r>
        <w:rPr>
          <w:color w:val="auto"/>
        </w:rPr>
        <w:tab/>
      </w:r>
      <w:r>
        <w:rPr>
          <w:color w:val="auto"/>
        </w:rPr>
        <w:fldChar w:fldCharType="begin"/>
      </w:r>
      <w:r>
        <w:rPr>
          <w:color w:val="auto"/>
        </w:rPr>
        <w:instrText xml:space="preserve"> PAGEREF _Toc109398556 \h </w:instrText>
      </w:r>
      <w:r>
        <w:rPr>
          <w:color w:val="auto"/>
        </w:rPr>
        <w:fldChar w:fldCharType="separate"/>
      </w:r>
      <w:r>
        <w:rPr>
          <w:color w:val="auto"/>
        </w:rPr>
        <w:t>62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"_Toc109398557" </w:instrText>
      </w:r>
      <w:r>
        <w:rPr>
          <w:color w:val="auto"/>
        </w:rPr>
        <w:fldChar w:fldCharType="separate"/>
      </w:r>
      <w:r>
        <w:rPr>
          <w:rStyle w:val="72"/>
          <w:color w:val="auto"/>
        </w:rPr>
        <w:t>1.6环境保护目标</w:t>
      </w:r>
      <w:r>
        <w:rPr>
          <w:color w:val="auto"/>
        </w:rPr>
        <w:tab/>
      </w:r>
      <w:r>
        <w:rPr>
          <w:color w:val="auto"/>
        </w:rPr>
        <w:fldChar w:fldCharType="begin"/>
      </w:r>
      <w:r>
        <w:rPr>
          <w:color w:val="auto"/>
        </w:rPr>
        <w:instrText xml:space="preserve"> PAGEREF _Toc109398557 \h </w:instrText>
      </w:r>
      <w:r>
        <w:rPr>
          <w:color w:val="auto"/>
        </w:rPr>
        <w:fldChar w:fldCharType="separate"/>
      </w:r>
      <w:r>
        <w:rPr>
          <w:color w:val="auto"/>
        </w:rPr>
        <w:t>63</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"_Toc109398558" </w:instrText>
      </w:r>
      <w:r>
        <w:rPr>
          <w:color w:val="auto"/>
        </w:rPr>
        <w:fldChar w:fldCharType="separate"/>
      </w:r>
      <w:r>
        <w:rPr>
          <w:rStyle w:val="72"/>
          <w:color w:val="auto"/>
        </w:rPr>
        <w:t>2现有工程概况</w:t>
      </w:r>
      <w:r>
        <w:rPr>
          <w:color w:val="auto"/>
        </w:rPr>
        <w:tab/>
      </w:r>
      <w:r>
        <w:rPr>
          <w:color w:val="auto"/>
        </w:rPr>
        <w:fldChar w:fldCharType="begin"/>
      </w:r>
      <w:r>
        <w:rPr>
          <w:color w:val="auto"/>
        </w:rPr>
        <w:instrText xml:space="preserve"> PAGEREF _Toc109398558 \h </w:instrText>
      </w:r>
      <w:r>
        <w:rPr>
          <w:color w:val="auto"/>
        </w:rPr>
        <w:fldChar w:fldCharType="separate"/>
      </w:r>
      <w:r>
        <w:rPr>
          <w:color w:val="auto"/>
        </w:rPr>
        <w:t>64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"_Toc109398559" </w:instrText>
      </w:r>
      <w:r>
        <w:rPr>
          <w:color w:val="auto"/>
        </w:rPr>
        <w:fldChar w:fldCharType="separate"/>
      </w:r>
      <w:r>
        <w:rPr>
          <w:rStyle w:val="72"/>
          <w:color w:val="auto"/>
        </w:rPr>
        <w:t>2.1现有工程项目概况</w:t>
      </w:r>
      <w:r>
        <w:rPr>
          <w:color w:val="auto"/>
        </w:rPr>
        <w:tab/>
      </w:r>
      <w:r>
        <w:rPr>
          <w:color w:val="auto"/>
        </w:rPr>
        <w:fldChar w:fldCharType="begin"/>
      </w:r>
      <w:r>
        <w:rPr>
          <w:color w:val="auto"/>
        </w:rPr>
        <w:instrText xml:space="preserve"> PAGEREF _Toc109398559 \h </w:instrText>
      </w:r>
      <w:r>
        <w:rPr>
          <w:color w:val="auto"/>
        </w:rPr>
        <w:fldChar w:fldCharType="separate"/>
      </w:r>
      <w:r>
        <w:rPr>
          <w:color w:val="auto"/>
        </w:rPr>
        <w:t>64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"_Toc109398560" </w:instrText>
      </w:r>
      <w:r>
        <w:rPr>
          <w:color w:val="auto"/>
        </w:rPr>
        <w:fldChar w:fldCharType="separate"/>
      </w:r>
      <w:r>
        <w:rPr>
          <w:rStyle w:val="72"/>
          <w:color w:val="auto"/>
        </w:rPr>
        <w:t>2.1.1现有工程项目基本情况</w:t>
      </w:r>
      <w:r>
        <w:rPr>
          <w:color w:val="auto"/>
        </w:rPr>
        <w:tab/>
      </w:r>
      <w:r>
        <w:rPr>
          <w:color w:val="auto"/>
        </w:rPr>
        <w:fldChar w:fldCharType="begin"/>
      </w:r>
      <w:r>
        <w:rPr>
          <w:color w:val="auto"/>
        </w:rPr>
        <w:instrText xml:space="preserve"> PAGEREF _Toc109398560 \h </w:instrText>
      </w:r>
      <w:r>
        <w:rPr>
          <w:color w:val="auto"/>
        </w:rPr>
        <w:fldChar w:fldCharType="separate"/>
      </w:r>
      <w:r>
        <w:rPr>
          <w:color w:val="auto"/>
        </w:rPr>
        <w:t>64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"_Toc109398561" </w:instrText>
      </w:r>
      <w:r>
        <w:rPr>
          <w:color w:val="auto"/>
        </w:rPr>
        <w:fldChar w:fldCharType="separate"/>
      </w:r>
      <w:r>
        <w:rPr>
          <w:rStyle w:val="72"/>
          <w:color w:val="auto"/>
        </w:rPr>
        <w:t>2.1.2现有工程项目工程组成</w:t>
      </w:r>
      <w:r>
        <w:rPr>
          <w:color w:val="auto"/>
        </w:rPr>
        <w:tab/>
      </w:r>
      <w:r>
        <w:rPr>
          <w:color w:val="auto"/>
        </w:rPr>
        <w:fldChar w:fldCharType="begin"/>
      </w:r>
      <w:r>
        <w:rPr>
          <w:color w:val="auto"/>
        </w:rPr>
        <w:instrText xml:space="preserve"> PAGEREF _Toc109398561 \h </w:instrText>
      </w:r>
      <w:r>
        <w:rPr>
          <w:color w:val="auto"/>
        </w:rPr>
        <w:fldChar w:fldCharType="separate"/>
      </w:r>
      <w:r>
        <w:rPr>
          <w:color w:val="auto"/>
        </w:rPr>
        <w:t>65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"_Toc109398562" </w:instrText>
      </w:r>
      <w:r>
        <w:rPr>
          <w:color w:val="auto"/>
        </w:rPr>
        <w:fldChar w:fldCharType="separate"/>
      </w:r>
      <w:r>
        <w:rPr>
          <w:rStyle w:val="72"/>
          <w:color w:val="auto"/>
        </w:rPr>
        <w:t>2.1.3现有工程项目公用工程</w:t>
      </w:r>
      <w:r>
        <w:rPr>
          <w:color w:val="auto"/>
        </w:rPr>
        <w:tab/>
      </w:r>
      <w:r>
        <w:rPr>
          <w:color w:val="auto"/>
        </w:rPr>
        <w:fldChar w:fldCharType="begin"/>
      </w:r>
      <w:r>
        <w:rPr>
          <w:color w:val="auto"/>
        </w:rPr>
        <w:instrText xml:space="preserve"> PAGEREF _Toc109398562 \h </w:instrText>
      </w:r>
      <w:r>
        <w:rPr>
          <w:color w:val="auto"/>
        </w:rPr>
        <w:fldChar w:fldCharType="separate"/>
      </w:r>
      <w:r>
        <w:rPr>
          <w:color w:val="auto"/>
        </w:rPr>
        <w:t>67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"_Toc109398563" </w:instrText>
      </w:r>
      <w:r>
        <w:rPr>
          <w:color w:val="auto"/>
        </w:rPr>
        <w:fldChar w:fldCharType="separate"/>
      </w:r>
      <w:r>
        <w:rPr>
          <w:rStyle w:val="72"/>
          <w:color w:val="auto"/>
        </w:rPr>
        <w:t>2.1.5现有工程医疗废物来源及范围</w:t>
      </w:r>
      <w:r>
        <w:rPr>
          <w:color w:val="auto"/>
        </w:rPr>
        <w:tab/>
      </w:r>
      <w:r>
        <w:rPr>
          <w:color w:val="auto"/>
        </w:rPr>
        <w:fldChar w:fldCharType="begin"/>
      </w:r>
      <w:r>
        <w:rPr>
          <w:color w:val="auto"/>
        </w:rPr>
        <w:instrText xml:space="preserve"> PAGEREF _Toc109398563 \h </w:instrText>
      </w:r>
      <w:r>
        <w:rPr>
          <w:color w:val="auto"/>
        </w:rPr>
        <w:fldChar w:fldCharType="separate"/>
      </w:r>
      <w:r>
        <w:rPr>
          <w:color w:val="auto"/>
        </w:rPr>
        <w:t>68</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"_Toc109398564" </w:instrText>
      </w:r>
      <w:r>
        <w:rPr>
          <w:color w:val="auto"/>
        </w:rPr>
        <w:fldChar w:fldCharType="separate"/>
      </w:r>
      <w:r>
        <w:rPr>
          <w:rStyle w:val="72"/>
          <w:color w:val="auto"/>
        </w:rPr>
        <w:t>2.2现有工程项目工艺流程及产污节点</w:t>
      </w:r>
      <w:r>
        <w:rPr>
          <w:color w:val="auto"/>
        </w:rPr>
        <w:tab/>
      </w:r>
      <w:r>
        <w:rPr>
          <w:color w:val="auto"/>
        </w:rPr>
        <w:fldChar w:fldCharType="begin"/>
      </w:r>
      <w:r>
        <w:rPr>
          <w:color w:val="auto"/>
        </w:rPr>
        <w:instrText xml:space="preserve"> PAGEREF _Toc109398564 \h </w:instrText>
      </w:r>
      <w:r>
        <w:rPr>
          <w:color w:val="auto"/>
        </w:rPr>
        <w:fldChar w:fldCharType="separate"/>
      </w:r>
      <w:r>
        <w:rPr>
          <w:color w:val="auto"/>
        </w:rPr>
        <w:t>70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"_Toc109398565" </w:instrText>
      </w:r>
      <w:r>
        <w:rPr>
          <w:color w:val="auto"/>
        </w:rPr>
        <w:fldChar w:fldCharType="separate"/>
      </w:r>
      <w:r>
        <w:rPr>
          <w:rStyle w:val="72"/>
          <w:color w:val="auto"/>
        </w:rPr>
        <w:t>2.2.1现有工程收集、运输及储存</w:t>
      </w:r>
      <w:r>
        <w:rPr>
          <w:color w:val="auto"/>
        </w:rPr>
        <w:tab/>
      </w:r>
      <w:r>
        <w:rPr>
          <w:color w:val="auto"/>
        </w:rPr>
        <w:fldChar w:fldCharType="begin"/>
      </w:r>
      <w:r>
        <w:rPr>
          <w:color w:val="auto"/>
        </w:rPr>
        <w:instrText xml:space="preserve"> PAGEREF _Toc109398565 \h </w:instrText>
      </w:r>
      <w:r>
        <w:rPr>
          <w:color w:val="auto"/>
        </w:rPr>
        <w:fldChar w:fldCharType="separate"/>
      </w:r>
      <w:r>
        <w:rPr>
          <w:color w:val="auto"/>
        </w:rPr>
        <w:t>70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"_Toc109398566" </w:instrText>
      </w:r>
      <w:r>
        <w:rPr>
          <w:color w:val="auto"/>
        </w:rPr>
        <w:fldChar w:fldCharType="separate"/>
      </w:r>
      <w:r>
        <w:rPr>
          <w:rStyle w:val="72"/>
          <w:color w:val="auto"/>
        </w:rPr>
        <w:t>2.2.2现有工程医废运输车辆和周转箱消毒、清洗</w:t>
      </w:r>
      <w:r>
        <w:rPr>
          <w:color w:val="auto"/>
        </w:rPr>
        <w:tab/>
      </w:r>
      <w:r>
        <w:rPr>
          <w:color w:val="auto"/>
        </w:rPr>
        <w:fldChar w:fldCharType="begin"/>
      </w:r>
      <w:r>
        <w:rPr>
          <w:color w:val="auto"/>
        </w:rPr>
        <w:instrText xml:space="preserve"> PAGEREF _Toc109398566 \h </w:instrText>
      </w:r>
      <w:r>
        <w:rPr>
          <w:color w:val="auto"/>
        </w:rPr>
        <w:fldChar w:fldCharType="separate"/>
      </w:r>
      <w:r>
        <w:rPr>
          <w:color w:val="auto"/>
        </w:rPr>
        <w:t>73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"_Toc109398567" </w:instrText>
      </w:r>
      <w:r>
        <w:rPr>
          <w:color w:val="auto"/>
        </w:rPr>
        <w:fldChar w:fldCharType="separate"/>
      </w:r>
      <w:r>
        <w:rPr>
          <w:rStyle w:val="72"/>
          <w:color w:val="auto"/>
        </w:rPr>
        <w:t>2.2.3现有工程产污节点</w:t>
      </w:r>
      <w:r>
        <w:rPr>
          <w:color w:val="auto"/>
        </w:rPr>
        <w:tab/>
      </w:r>
      <w:r>
        <w:rPr>
          <w:color w:val="auto"/>
        </w:rPr>
        <w:fldChar w:fldCharType="begin"/>
      </w:r>
      <w:r>
        <w:rPr>
          <w:color w:val="auto"/>
        </w:rPr>
        <w:instrText xml:space="preserve"> PAGEREF _Toc109398567 \h </w:instrText>
      </w:r>
      <w:r>
        <w:rPr>
          <w:color w:val="auto"/>
        </w:rPr>
        <w:fldChar w:fldCharType="separate"/>
      </w:r>
      <w:r>
        <w:rPr>
          <w:color w:val="auto"/>
        </w:rPr>
        <w:t>73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"_Toc109398568" </w:instrText>
      </w:r>
      <w:r>
        <w:rPr>
          <w:color w:val="auto"/>
        </w:rPr>
        <w:fldChar w:fldCharType="separate"/>
      </w:r>
      <w:r>
        <w:rPr>
          <w:rStyle w:val="72"/>
          <w:color w:val="auto"/>
        </w:rPr>
        <w:t>2.3现有工程项目环评及验收落实情况</w:t>
      </w:r>
      <w:r>
        <w:rPr>
          <w:color w:val="auto"/>
        </w:rPr>
        <w:tab/>
      </w:r>
      <w:r>
        <w:rPr>
          <w:color w:val="auto"/>
        </w:rPr>
        <w:fldChar w:fldCharType="begin"/>
      </w:r>
      <w:r>
        <w:rPr>
          <w:color w:val="auto"/>
        </w:rPr>
        <w:instrText xml:space="preserve"> PAGEREF _Toc109398568 \h </w:instrText>
      </w:r>
      <w:r>
        <w:rPr>
          <w:color w:val="auto"/>
        </w:rPr>
        <w:fldChar w:fldCharType="separate"/>
      </w:r>
      <w:r>
        <w:rPr>
          <w:color w:val="auto"/>
        </w:rPr>
        <w:t>74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"_Toc109398569" </w:instrText>
      </w:r>
      <w:r>
        <w:rPr>
          <w:color w:val="auto"/>
        </w:rPr>
        <w:fldChar w:fldCharType="separate"/>
      </w:r>
      <w:r>
        <w:rPr>
          <w:rStyle w:val="72"/>
          <w:color w:val="auto"/>
        </w:rPr>
        <w:t>2.4现有工程项目污染物排放达标情况</w:t>
      </w:r>
      <w:r>
        <w:rPr>
          <w:color w:val="auto"/>
        </w:rPr>
        <w:tab/>
      </w:r>
      <w:r>
        <w:rPr>
          <w:color w:val="auto"/>
        </w:rPr>
        <w:fldChar w:fldCharType="begin"/>
      </w:r>
      <w:r>
        <w:rPr>
          <w:color w:val="auto"/>
        </w:rPr>
        <w:instrText xml:space="preserve"> PAGEREF _Toc109398569 \h </w:instrText>
      </w:r>
      <w:r>
        <w:rPr>
          <w:color w:val="auto"/>
        </w:rPr>
        <w:fldChar w:fldCharType="separate"/>
      </w:r>
      <w:r>
        <w:rPr>
          <w:color w:val="auto"/>
        </w:rPr>
        <w:t>74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"_Toc109398570" </w:instrText>
      </w:r>
      <w:r>
        <w:rPr>
          <w:color w:val="auto"/>
        </w:rPr>
        <w:fldChar w:fldCharType="separate"/>
      </w:r>
      <w:r>
        <w:rPr>
          <w:rStyle w:val="72"/>
          <w:color w:val="auto"/>
        </w:rPr>
        <w:t>2.5现有工程项目存在的环境问题及“以新带老”方案</w:t>
      </w:r>
      <w:r>
        <w:rPr>
          <w:color w:val="auto"/>
        </w:rPr>
        <w:tab/>
      </w:r>
      <w:r>
        <w:rPr>
          <w:color w:val="auto"/>
        </w:rPr>
        <w:fldChar w:fldCharType="begin"/>
      </w:r>
      <w:r>
        <w:rPr>
          <w:color w:val="auto"/>
        </w:rPr>
        <w:instrText xml:space="preserve"> PAGEREF _Toc109398570 \h </w:instrText>
      </w:r>
      <w:r>
        <w:rPr>
          <w:color w:val="auto"/>
        </w:rPr>
        <w:fldChar w:fldCharType="separate"/>
      </w:r>
      <w:r>
        <w:rPr>
          <w:color w:val="auto"/>
        </w:rPr>
        <w:t>77</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"_Toc109398571" </w:instrText>
      </w:r>
      <w:r>
        <w:rPr>
          <w:color w:val="auto"/>
        </w:rPr>
        <w:fldChar w:fldCharType="separate"/>
      </w:r>
      <w:r>
        <w:rPr>
          <w:rStyle w:val="72"/>
          <w:color w:val="auto"/>
        </w:rPr>
        <w:t>3工程变动情况分析</w:t>
      </w:r>
      <w:r>
        <w:rPr>
          <w:color w:val="auto"/>
        </w:rPr>
        <w:tab/>
      </w:r>
      <w:r>
        <w:rPr>
          <w:color w:val="auto"/>
        </w:rPr>
        <w:fldChar w:fldCharType="begin"/>
      </w:r>
      <w:r>
        <w:rPr>
          <w:color w:val="auto"/>
        </w:rPr>
        <w:instrText xml:space="preserve"> PAGEREF _Toc109398571 \h </w:instrText>
      </w:r>
      <w:r>
        <w:rPr>
          <w:color w:val="auto"/>
        </w:rPr>
        <w:fldChar w:fldCharType="separate"/>
      </w:r>
      <w:r>
        <w:rPr>
          <w:color w:val="auto"/>
        </w:rPr>
        <w:t>78</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"_Toc109398572" </w:instrText>
      </w:r>
      <w:r>
        <w:rPr>
          <w:color w:val="auto"/>
        </w:rPr>
        <w:fldChar w:fldCharType="separate"/>
      </w:r>
      <w:r>
        <w:rPr>
          <w:rStyle w:val="72"/>
          <w:color w:val="auto"/>
        </w:rPr>
        <w:t>3.1建设项目前期工作历程</w:t>
      </w:r>
      <w:r>
        <w:rPr>
          <w:color w:val="auto"/>
        </w:rPr>
        <w:tab/>
      </w:r>
      <w:r>
        <w:rPr>
          <w:color w:val="auto"/>
        </w:rPr>
        <w:fldChar w:fldCharType="begin"/>
      </w:r>
      <w:r>
        <w:rPr>
          <w:color w:val="auto"/>
        </w:rPr>
        <w:instrText xml:space="preserve"> PAGEREF _Toc109398572 \h </w:instrText>
      </w:r>
      <w:r>
        <w:rPr>
          <w:color w:val="auto"/>
        </w:rPr>
        <w:fldChar w:fldCharType="separate"/>
      </w:r>
      <w:r>
        <w:rPr>
          <w:color w:val="auto"/>
        </w:rPr>
        <w:t>78</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"_Toc109398573" </w:instrText>
      </w:r>
      <w:r>
        <w:rPr>
          <w:color w:val="auto"/>
        </w:rPr>
        <w:fldChar w:fldCharType="separate"/>
      </w:r>
      <w:r>
        <w:rPr>
          <w:rStyle w:val="72"/>
          <w:color w:val="auto"/>
        </w:rPr>
        <w:t>3.2变更内容分析</w:t>
      </w:r>
      <w:r>
        <w:rPr>
          <w:color w:val="auto"/>
        </w:rPr>
        <w:tab/>
      </w:r>
      <w:r>
        <w:rPr>
          <w:color w:val="auto"/>
        </w:rPr>
        <w:fldChar w:fldCharType="begin"/>
      </w:r>
      <w:r>
        <w:rPr>
          <w:color w:val="auto"/>
        </w:rPr>
        <w:instrText xml:space="preserve"> PAGEREF _Toc109398573 \h </w:instrText>
      </w:r>
      <w:r>
        <w:rPr>
          <w:color w:val="auto"/>
        </w:rPr>
        <w:fldChar w:fldCharType="separate"/>
      </w:r>
      <w:r>
        <w:rPr>
          <w:color w:val="auto"/>
        </w:rPr>
        <w:t>78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"_Toc109398574" </w:instrText>
      </w:r>
      <w:r>
        <w:rPr>
          <w:color w:val="auto"/>
        </w:rPr>
        <w:fldChar w:fldCharType="separate"/>
      </w:r>
      <w:r>
        <w:rPr>
          <w:rStyle w:val="72"/>
          <w:color w:val="auto"/>
        </w:rPr>
        <w:t>3.2.1建设性质变化</w:t>
      </w:r>
      <w:r>
        <w:rPr>
          <w:color w:val="auto"/>
        </w:rPr>
        <w:tab/>
      </w:r>
      <w:r>
        <w:rPr>
          <w:color w:val="auto"/>
        </w:rPr>
        <w:fldChar w:fldCharType="begin"/>
      </w:r>
      <w:r>
        <w:rPr>
          <w:color w:val="auto"/>
        </w:rPr>
        <w:instrText xml:space="preserve"> PAGEREF _Toc109398574 \h </w:instrText>
      </w:r>
      <w:r>
        <w:rPr>
          <w:color w:val="auto"/>
        </w:rPr>
        <w:fldChar w:fldCharType="separate"/>
      </w:r>
      <w:r>
        <w:rPr>
          <w:color w:val="auto"/>
        </w:rPr>
        <w:t>78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"_Toc109398575" </w:instrText>
      </w:r>
      <w:r>
        <w:rPr>
          <w:color w:val="auto"/>
        </w:rPr>
        <w:fldChar w:fldCharType="separate"/>
      </w:r>
      <w:r>
        <w:rPr>
          <w:rStyle w:val="72"/>
          <w:color w:val="auto"/>
        </w:rPr>
        <w:t>3.2.2处置规模变化</w:t>
      </w:r>
      <w:r>
        <w:rPr>
          <w:color w:val="auto"/>
        </w:rPr>
        <w:tab/>
      </w:r>
      <w:r>
        <w:rPr>
          <w:color w:val="auto"/>
        </w:rPr>
        <w:fldChar w:fldCharType="begin"/>
      </w:r>
      <w:r>
        <w:rPr>
          <w:color w:val="auto"/>
        </w:rPr>
        <w:instrText xml:space="preserve"> PAGEREF _Toc109398575 \h </w:instrText>
      </w:r>
      <w:r>
        <w:rPr>
          <w:color w:val="auto"/>
        </w:rPr>
        <w:fldChar w:fldCharType="separate"/>
      </w:r>
      <w:r>
        <w:rPr>
          <w:color w:val="auto"/>
        </w:rPr>
        <w:t>78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"_Toc109398576" </w:instrText>
      </w:r>
      <w:r>
        <w:rPr>
          <w:color w:val="auto"/>
        </w:rPr>
        <w:fldChar w:fldCharType="separate"/>
      </w:r>
      <w:r>
        <w:rPr>
          <w:rStyle w:val="72"/>
          <w:color w:val="auto"/>
        </w:rPr>
        <w:t>3.2.3医疗废物服务范围和处理对象变化</w:t>
      </w:r>
      <w:r>
        <w:rPr>
          <w:color w:val="auto"/>
        </w:rPr>
        <w:tab/>
      </w:r>
      <w:r>
        <w:rPr>
          <w:color w:val="auto"/>
        </w:rPr>
        <w:fldChar w:fldCharType="begin"/>
      </w:r>
      <w:r>
        <w:rPr>
          <w:color w:val="auto"/>
        </w:rPr>
        <w:instrText xml:space="preserve"> PAGEREF _Toc109398576 \h </w:instrText>
      </w:r>
      <w:r>
        <w:rPr>
          <w:color w:val="auto"/>
        </w:rPr>
        <w:fldChar w:fldCharType="separate"/>
      </w:r>
      <w:r>
        <w:rPr>
          <w:color w:val="auto"/>
        </w:rPr>
        <w:t>79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"_Toc109398577" </w:instrText>
      </w:r>
      <w:r>
        <w:rPr>
          <w:color w:val="auto"/>
        </w:rPr>
        <w:fldChar w:fldCharType="separate"/>
      </w:r>
      <w:r>
        <w:rPr>
          <w:rStyle w:val="72"/>
          <w:color w:val="auto"/>
        </w:rPr>
        <w:t>3.2.4运营期主要设备变化</w:t>
      </w:r>
      <w:r>
        <w:rPr>
          <w:color w:val="auto"/>
        </w:rPr>
        <w:tab/>
      </w:r>
      <w:r>
        <w:rPr>
          <w:color w:val="auto"/>
        </w:rPr>
        <w:fldChar w:fldCharType="begin"/>
      </w:r>
      <w:r>
        <w:rPr>
          <w:color w:val="auto"/>
        </w:rPr>
        <w:instrText xml:space="preserve"> PAGEREF _Toc109398577 \h </w:instrText>
      </w:r>
      <w:r>
        <w:rPr>
          <w:color w:val="auto"/>
        </w:rPr>
        <w:fldChar w:fldCharType="separate"/>
      </w:r>
      <w:r>
        <w:rPr>
          <w:color w:val="auto"/>
        </w:rPr>
        <w:t>79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"_Toc109398578" </w:instrText>
      </w:r>
      <w:r>
        <w:rPr>
          <w:color w:val="auto"/>
        </w:rPr>
        <w:fldChar w:fldCharType="separate"/>
      </w:r>
      <w:r>
        <w:rPr>
          <w:rStyle w:val="72"/>
          <w:color w:val="auto"/>
        </w:rPr>
        <w:t>3.2.5建设地点（含总平面布局）变化情况</w:t>
      </w:r>
      <w:r>
        <w:rPr>
          <w:color w:val="auto"/>
        </w:rPr>
        <w:tab/>
      </w:r>
      <w:r>
        <w:rPr>
          <w:color w:val="auto"/>
        </w:rPr>
        <w:fldChar w:fldCharType="begin"/>
      </w:r>
      <w:r>
        <w:rPr>
          <w:color w:val="auto"/>
        </w:rPr>
        <w:instrText xml:space="preserve"> PAGEREF _Toc109398578 \h </w:instrText>
      </w:r>
      <w:r>
        <w:rPr>
          <w:color w:val="auto"/>
        </w:rPr>
        <w:fldChar w:fldCharType="separate"/>
      </w:r>
      <w:r>
        <w:rPr>
          <w:color w:val="auto"/>
        </w:rPr>
        <w:t>79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"_Toc109398579" </w:instrText>
      </w:r>
      <w:r>
        <w:rPr>
          <w:color w:val="auto"/>
        </w:rPr>
        <w:fldChar w:fldCharType="separate"/>
      </w:r>
      <w:r>
        <w:rPr>
          <w:rStyle w:val="72"/>
          <w:color w:val="auto"/>
        </w:rPr>
        <w:t>3.2.6生产工艺变化情况</w:t>
      </w:r>
      <w:r>
        <w:rPr>
          <w:color w:val="auto"/>
        </w:rPr>
        <w:tab/>
      </w:r>
      <w:r>
        <w:rPr>
          <w:color w:val="auto"/>
        </w:rPr>
        <w:fldChar w:fldCharType="begin"/>
      </w:r>
      <w:r>
        <w:rPr>
          <w:color w:val="auto"/>
        </w:rPr>
        <w:instrText xml:space="preserve"> PAGEREF _Toc109398579 \h </w:instrText>
      </w:r>
      <w:r>
        <w:rPr>
          <w:color w:val="auto"/>
        </w:rPr>
        <w:fldChar w:fldCharType="separate"/>
      </w:r>
      <w:r>
        <w:rPr>
          <w:color w:val="auto"/>
        </w:rPr>
        <w:t>79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"_Toc109398580" </w:instrText>
      </w:r>
      <w:r>
        <w:rPr>
          <w:color w:val="auto"/>
        </w:rPr>
        <w:fldChar w:fldCharType="separate"/>
      </w:r>
      <w:r>
        <w:rPr>
          <w:rStyle w:val="72"/>
          <w:color w:val="auto"/>
        </w:rPr>
        <w:t>3.2.7主要环境保护措施变化</w:t>
      </w:r>
      <w:r>
        <w:rPr>
          <w:color w:val="auto"/>
        </w:rPr>
        <w:tab/>
      </w:r>
      <w:r>
        <w:rPr>
          <w:color w:val="auto"/>
        </w:rPr>
        <w:fldChar w:fldCharType="begin"/>
      </w:r>
      <w:r>
        <w:rPr>
          <w:color w:val="auto"/>
        </w:rPr>
        <w:instrText xml:space="preserve"> PAGEREF _Toc109398580 \h </w:instrText>
      </w:r>
      <w:r>
        <w:rPr>
          <w:color w:val="auto"/>
        </w:rPr>
        <w:fldChar w:fldCharType="separate"/>
      </w:r>
      <w:r>
        <w:rPr>
          <w:color w:val="auto"/>
        </w:rPr>
        <w:t>80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"_Toc109398581" </w:instrText>
      </w:r>
      <w:r>
        <w:rPr>
          <w:color w:val="auto"/>
        </w:rPr>
        <w:fldChar w:fldCharType="separate"/>
      </w:r>
      <w:r>
        <w:rPr>
          <w:rStyle w:val="72"/>
          <w:color w:val="auto"/>
        </w:rPr>
        <w:t>3.2.8全厂污染物排放总量变化</w:t>
      </w:r>
      <w:r>
        <w:rPr>
          <w:color w:val="auto"/>
        </w:rPr>
        <w:tab/>
      </w:r>
      <w:r>
        <w:rPr>
          <w:color w:val="auto"/>
        </w:rPr>
        <w:fldChar w:fldCharType="begin"/>
      </w:r>
      <w:r>
        <w:rPr>
          <w:color w:val="auto"/>
        </w:rPr>
        <w:instrText xml:space="preserve"> PAGEREF _Toc109398581 \h </w:instrText>
      </w:r>
      <w:r>
        <w:rPr>
          <w:color w:val="auto"/>
        </w:rPr>
        <w:fldChar w:fldCharType="separate"/>
      </w:r>
      <w:r>
        <w:rPr>
          <w:color w:val="auto"/>
        </w:rPr>
        <w:t>81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"_Toc109398582" </w:instrText>
      </w:r>
      <w:r>
        <w:rPr>
          <w:color w:val="auto"/>
        </w:rPr>
        <w:fldChar w:fldCharType="separate"/>
      </w:r>
      <w:r>
        <w:rPr>
          <w:rStyle w:val="72"/>
          <w:color w:val="auto"/>
        </w:rPr>
        <w:t>3.3变更影响分析</w:t>
      </w:r>
      <w:r>
        <w:rPr>
          <w:color w:val="auto"/>
        </w:rPr>
        <w:tab/>
      </w:r>
      <w:r>
        <w:rPr>
          <w:color w:val="auto"/>
        </w:rPr>
        <w:fldChar w:fldCharType="begin"/>
      </w:r>
      <w:r>
        <w:rPr>
          <w:color w:val="auto"/>
        </w:rPr>
        <w:instrText xml:space="preserve"> PAGEREF _Toc109398582 \h </w:instrText>
      </w:r>
      <w:r>
        <w:rPr>
          <w:color w:val="auto"/>
        </w:rPr>
        <w:fldChar w:fldCharType="separate"/>
      </w:r>
      <w:r>
        <w:rPr>
          <w:color w:val="auto"/>
        </w:rPr>
        <w:t>81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"_Toc109398583" </w:instrText>
      </w:r>
      <w:r>
        <w:rPr>
          <w:color w:val="auto"/>
        </w:rPr>
        <w:fldChar w:fldCharType="separate"/>
      </w:r>
      <w:r>
        <w:rPr>
          <w:rStyle w:val="72"/>
          <w:color w:val="auto"/>
        </w:rPr>
        <w:t>3.3.1项目执行标准对比分析</w:t>
      </w:r>
      <w:r>
        <w:rPr>
          <w:color w:val="auto"/>
        </w:rPr>
        <w:tab/>
      </w:r>
      <w:r>
        <w:rPr>
          <w:color w:val="auto"/>
        </w:rPr>
        <w:fldChar w:fldCharType="begin"/>
      </w:r>
      <w:r>
        <w:rPr>
          <w:color w:val="auto"/>
        </w:rPr>
        <w:instrText xml:space="preserve"> PAGEREF _Toc109398583 \h </w:instrText>
      </w:r>
      <w:r>
        <w:rPr>
          <w:color w:val="auto"/>
        </w:rPr>
        <w:fldChar w:fldCharType="separate"/>
      </w:r>
      <w:r>
        <w:rPr>
          <w:color w:val="auto"/>
        </w:rPr>
        <w:t>81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"_Toc109398584" </w:instrText>
      </w:r>
      <w:r>
        <w:rPr>
          <w:color w:val="auto"/>
        </w:rPr>
        <w:fldChar w:fldCharType="separate"/>
      </w:r>
      <w:r>
        <w:rPr>
          <w:rStyle w:val="72"/>
          <w:color w:val="auto"/>
        </w:rPr>
        <w:t>3.3.2环保措施及环保投资对比分析</w:t>
      </w:r>
      <w:r>
        <w:rPr>
          <w:color w:val="auto"/>
        </w:rPr>
        <w:tab/>
      </w:r>
      <w:r>
        <w:rPr>
          <w:color w:val="auto"/>
        </w:rPr>
        <w:fldChar w:fldCharType="begin"/>
      </w:r>
      <w:r>
        <w:rPr>
          <w:color w:val="auto"/>
        </w:rPr>
        <w:instrText xml:space="preserve"> PAGEREF _Toc109398584 \h </w:instrText>
      </w:r>
      <w:r>
        <w:rPr>
          <w:color w:val="auto"/>
        </w:rPr>
        <w:fldChar w:fldCharType="separate"/>
      </w:r>
      <w:r>
        <w:rPr>
          <w:color w:val="auto"/>
        </w:rPr>
        <w:t>83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"_Toc109398585" </w:instrText>
      </w:r>
      <w:r>
        <w:rPr>
          <w:color w:val="auto"/>
        </w:rPr>
        <w:fldChar w:fldCharType="separate"/>
      </w:r>
      <w:r>
        <w:rPr>
          <w:rStyle w:val="72"/>
          <w:color w:val="auto"/>
        </w:rPr>
        <w:t>3.3.3环境质量现状工作内容对比分析</w:t>
      </w:r>
      <w:r>
        <w:rPr>
          <w:color w:val="auto"/>
        </w:rPr>
        <w:tab/>
      </w:r>
      <w:r>
        <w:rPr>
          <w:color w:val="auto"/>
        </w:rPr>
        <w:fldChar w:fldCharType="begin"/>
      </w:r>
      <w:r>
        <w:rPr>
          <w:color w:val="auto"/>
        </w:rPr>
        <w:instrText xml:space="preserve"> PAGEREF _Toc109398585 \h </w:instrText>
      </w:r>
      <w:r>
        <w:rPr>
          <w:color w:val="auto"/>
        </w:rPr>
        <w:fldChar w:fldCharType="separate"/>
      </w:r>
      <w:r>
        <w:rPr>
          <w:color w:val="auto"/>
        </w:rPr>
        <w:t>83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"_Toc109398586" </w:instrText>
      </w:r>
      <w:r>
        <w:rPr>
          <w:color w:val="auto"/>
        </w:rPr>
        <w:fldChar w:fldCharType="separate"/>
      </w:r>
      <w:r>
        <w:rPr>
          <w:rStyle w:val="72"/>
          <w:color w:val="auto"/>
        </w:rPr>
        <w:t>3.3.4环境保护目标对比</w:t>
      </w:r>
      <w:r>
        <w:rPr>
          <w:color w:val="auto"/>
        </w:rPr>
        <w:tab/>
      </w:r>
      <w:r>
        <w:rPr>
          <w:color w:val="auto"/>
        </w:rPr>
        <w:fldChar w:fldCharType="begin"/>
      </w:r>
      <w:r>
        <w:rPr>
          <w:color w:val="auto"/>
        </w:rPr>
        <w:instrText xml:space="preserve"> PAGEREF _Toc109398586 \h </w:instrText>
      </w:r>
      <w:r>
        <w:rPr>
          <w:color w:val="auto"/>
        </w:rPr>
        <w:fldChar w:fldCharType="separate"/>
      </w:r>
      <w:r>
        <w:rPr>
          <w:color w:val="auto"/>
        </w:rPr>
        <w:t>84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"_Toc109398587" </w:instrText>
      </w:r>
      <w:r>
        <w:rPr>
          <w:color w:val="auto"/>
        </w:rPr>
        <w:fldChar w:fldCharType="separate"/>
      </w:r>
      <w:r>
        <w:rPr>
          <w:rStyle w:val="72"/>
          <w:color w:val="auto"/>
        </w:rPr>
        <w:t>3.3.5环境影响对比分析</w:t>
      </w:r>
      <w:r>
        <w:rPr>
          <w:color w:val="auto"/>
        </w:rPr>
        <w:tab/>
      </w:r>
      <w:r>
        <w:rPr>
          <w:color w:val="auto"/>
        </w:rPr>
        <w:fldChar w:fldCharType="begin"/>
      </w:r>
      <w:r>
        <w:rPr>
          <w:color w:val="auto"/>
        </w:rPr>
        <w:instrText xml:space="preserve"> PAGEREF _Toc109398587 \h </w:instrText>
      </w:r>
      <w:r>
        <w:rPr>
          <w:color w:val="auto"/>
        </w:rPr>
        <w:fldChar w:fldCharType="separate"/>
      </w:r>
      <w:r>
        <w:rPr>
          <w:color w:val="auto"/>
        </w:rPr>
        <w:t>84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"_Toc109398588" </w:instrText>
      </w:r>
      <w:r>
        <w:rPr>
          <w:color w:val="auto"/>
        </w:rPr>
        <w:fldChar w:fldCharType="separate"/>
      </w:r>
      <w:r>
        <w:rPr>
          <w:rStyle w:val="72"/>
          <w:color w:val="auto"/>
        </w:rPr>
        <w:t>3.4本次评价内容界定</w:t>
      </w:r>
      <w:r>
        <w:rPr>
          <w:color w:val="auto"/>
        </w:rPr>
        <w:tab/>
      </w:r>
      <w:r>
        <w:rPr>
          <w:color w:val="auto"/>
        </w:rPr>
        <w:fldChar w:fldCharType="begin"/>
      </w:r>
      <w:r>
        <w:rPr>
          <w:color w:val="auto"/>
        </w:rPr>
        <w:instrText xml:space="preserve"> PAGEREF _Toc109398588 \h </w:instrText>
      </w:r>
      <w:r>
        <w:rPr>
          <w:color w:val="auto"/>
        </w:rPr>
        <w:fldChar w:fldCharType="separate"/>
      </w:r>
      <w:r>
        <w:rPr>
          <w:color w:val="auto"/>
        </w:rPr>
        <w:t>85</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"_Toc109398589" </w:instrText>
      </w:r>
      <w:r>
        <w:rPr>
          <w:color w:val="auto"/>
        </w:rPr>
        <w:fldChar w:fldCharType="separate"/>
      </w:r>
      <w:r>
        <w:rPr>
          <w:rStyle w:val="72"/>
          <w:color w:val="auto"/>
        </w:rPr>
        <w:t>4工程分析</w:t>
      </w:r>
      <w:r>
        <w:rPr>
          <w:color w:val="auto"/>
        </w:rPr>
        <w:tab/>
      </w:r>
      <w:r>
        <w:rPr>
          <w:color w:val="auto"/>
        </w:rPr>
        <w:fldChar w:fldCharType="begin"/>
      </w:r>
      <w:r>
        <w:rPr>
          <w:color w:val="auto"/>
        </w:rPr>
        <w:instrText xml:space="preserve"> PAGEREF _Toc109398589 \h </w:instrText>
      </w:r>
      <w:r>
        <w:rPr>
          <w:color w:val="auto"/>
        </w:rPr>
        <w:fldChar w:fldCharType="separate"/>
      </w:r>
      <w:r>
        <w:rPr>
          <w:color w:val="auto"/>
        </w:rPr>
        <w:t>86</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"_Toc109398590" </w:instrText>
      </w:r>
      <w:r>
        <w:rPr>
          <w:color w:val="auto"/>
        </w:rPr>
        <w:fldChar w:fldCharType="separate"/>
      </w:r>
      <w:r>
        <w:rPr>
          <w:rStyle w:val="72"/>
          <w:color w:val="auto"/>
        </w:rPr>
        <w:t>4.1建设项目概况</w:t>
      </w:r>
      <w:r>
        <w:rPr>
          <w:color w:val="auto"/>
        </w:rPr>
        <w:tab/>
      </w:r>
      <w:r>
        <w:rPr>
          <w:color w:val="auto"/>
        </w:rPr>
        <w:fldChar w:fldCharType="begin"/>
      </w:r>
      <w:r>
        <w:rPr>
          <w:color w:val="auto"/>
        </w:rPr>
        <w:instrText xml:space="preserve"> PAGEREF _Toc109398590 \h </w:instrText>
      </w:r>
      <w:r>
        <w:rPr>
          <w:color w:val="auto"/>
        </w:rPr>
        <w:fldChar w:fldCharType="separate"/>
      </w:r>
      <w:r>
        <w:rPr>
          <w:color w:val="auto"/>
        </w:rPr>
        <w:t>86</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"_Toc109398591" </w:instrText>
      </w:r>
      <w:r>
        <w:rPr>
          <w:color w:val="auto"/>
        </w:rPr>
        <w:fldChar w:fldCharType="separate"/>
      </w:r>
      <w:r>
        <w:rPr>
          <w:rStyle w:val="72"/>
          <w:color w:val="auto"/>
        </w:rPr>
        <w:t>4.1.1项目基本情况</w:t>
      </w:r>
      <w:r>
        <w:rPr>
          <w:color w:val="auto"/>
        </w:rPr>
        <w:tab/>
      </w:r>
      <w:r>
        <w:rPr>
          <w:color w:val="auto"/>
        </w:rPr>
        <w:fldChar w:fldCharType="begin"/>
      </w:r>
      <w:r>
        <w:rPr>
          <w:color w:val="auto"/>
        </w:rPr>
        <w:instrText xml:space="preserve"> PAGEREF _Toc109398591 \h </w:instrText>
      </w:r>
      <w:r>
        <w:rPr>
          <w:color w:val="auto"/>
        </w:rPr>
        <w:fldChar w:fldCharType="separate"/>
      </w:r>
      <w:r>
        <w:rPr>
          <w:color w:val="auto"/>
        </w:rPr>
        <w:t>86</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"_Toc109398592" </w:instrText>
      </w:r>
      <w:r>
        <w:rPr>
          <w:color w:val="auto"/>
        </w:rPr>
        <w:fldChar w:fldCharType="separate"/>
      </w:r>
      <w:r>
        <w:rPr>
          <w:rStyle w:val="72"/>
          <w:color w:val="auto"/>
        </w:rPr>
        <w:t>4.1.2建设内容及规模</w:t>
      </w:r>
      <w:r>
        <w:rPr>
          <w:color w:val="auto"/>
        </w:rPr>
        <w:tab/>
      </w:r>
      <w:r>
        <w:rPr>
          <w:color w:val="auto"/>
        </w:rPr>
        <w:fldChar w:fldCharType="begin"/>
      </w:r>
      <w:r>
        <w:rPr>
          <w:color w:val="auto"/>
        </w:rPr>
        <w:instrText xml:space="preserve"> PAGEREF _Toc109398592 \h </w:instrText>
      </w:r>
      <w:r>
        <w:rPr>
          <w:color w:val="auto"/>
        </w:rPr>
        <w:fldChar w:fldCharType="separate"/>
      </w:r>
      <w:r>
        <w:rPr>
          <w:color w:val="auto"/>
        </w:rPr>
        <w:t>86</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"_Toc109398593" </w:instrText>
      </w:r>
      <w:r>
        <w:rPr>
          <w:color w:val="auto"/>
        </w:rPr>
        <w:fldChar w:fldCharType="separate"/>
      </w:r>
      <w:r>
        <w:rPr>
          <w:rStyle w:val="72"/>
          <w:color w:val="auto"/>
        </w:rPr>
        <w:t>4.1.3公用工程依托可行性分析</w:t>
      </w:r>
      <w:r>
        <w:rPr>
          <w:color w:val="auto"/>
        </w:rPr>
        <w:tab/>
      </w:r>
      <w:r>
        <w:rPr>
          <w:color w:val="auto"/>
        </w:rPr>
        <w:fldChar w:fldCharType="begin"/>
      </w:r>
      <w:r>
        <w:rPr>
          <w:color w:val="auto"/>
        </w:rPr>
        <w:instrText xml:space="preserve"> PAGEREF _Toc109398593 \h </w:instrText>
      </w:r>
      <w:r>
        <w:rPr>
          <w:color w:val="auto"/>
        </w:rPr>
        <w:fldChar w:fldCharType="separate"/>
      </w:r>
      <w:r>
        <w:rPr>
          <w:color w:val="auto"/>
        </w:rPr>
        <w:t>88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"_Toc109398594" </w:instrText>
      </w:r>
      <w:r>
        <w:rPr>
          <w:color w:val="auto"/>
        </w:rPr>
        <w:fldChar w:fldCharType="separate"/>
      </w:r>
      <w:r>
        <w:rPr>
          <w:rStyle w:val="72"/>
          <w:color w:val="auto"/>
        </w:rPr>
        <w:t>4.1.4设备清单</w:t>
      </w:r>
      <w:r>
        <w:rPr>
          <w:color w:val="auto"/>
        </w:rPr>
        <w:tab/>
      </w:r>
      <w:r>
        <w:rPr>
          <w:color w:val="auto"/>
        </w:rPr>
        <w:fldChar w:fldCharType="begin"/>
      </w:r>
      <w:r>
        <w:rPr>
          <w:color w:val="auto"/>
        </w:rPr>
        <w:instrText xml:space="preserve"> PAGEREF _Toc109398594 \h </w:instrText>
      </w:r>
      <w:r>
        <w:rPr>
          <w:color w:val="auto"/>
        </w:rPr>
        <w:fldChar w:fldCharType="separate"/>
      </w:r>
      <w:r>
        <w:rPr>
          <w:color w:val="auto"/>
        </w:rPr>
        <w:t>89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"_Toc109398595" </w:instrText>
      </w:r>
      <w:r>
        <w:rPr>
          <w:color w:val="auto"/>
        </w:rPr>
        <w:fldChar w:fldCharType="separate"/>
      </w:r>
      <w:r>
        <w:rPr>
          <w:rStyle w:val="72"/>
          <w:color w:val="auto"/>
        </w:rPr>
        <w:t>4.1.5原辅材料消耗情况</w:t>
      </w:r>
      <w:r>
        <w:rPr>
          <w:color w:val="auto"/>
        </w:rPr>
        <w:tab/>
      </w:r>
      <w:r>
        <w:rPr>
          <w:color w:val="auto"/>
        </w:rPr>
        <w:fldChar w:fldCharType="begin"/>
      </w:r>
      <w:r>
        <w:rPr>
          <w:color w:val="auto"/>
        </w:rPr>
        <w:instrText xml:space="preserve"> PAGEREF _Toc109398595 \h </w:instrText>
      </w:r>
      <w:r>
        <w:rPr>
          <w:color w:val="auto"/>
        </w:rPr>
        <w:fldChar w:fldCharType="separate"/>
      </w:r>
      <w:r>
        <w:rPr>
          <w:color w:val="auto"/>
        </w:rPr>
        <w:t>90</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"_Toc109398596" </w:instrText>
      </w:r>
      <w:r>
        <w:rPr>
          <w:color w:val="auto"/>
        </w:rPr>
        <w:fldChar w:fldCharType="separate"/>
      </w:r>
      <w:r>
        <w:rPr>
          <w:rStyle w:val="72"/>
          <w:color w:val="auto"/>
        </w:rPr>
        <w:t>4.2公用工程</w:t>
      </w:r>
      <w:r>
        <w:rPr>
          <w:color w:val="auto"/>
        </w:rPr>
        <w:tab/>
      </w:r>
      <w:r>
        <w:rPr>
          <w:color w:val="auto"/>
        </w:rPr>
        <w:fldChar w:fldCharType="begin"/>
      </w:r>
      <w:r>
        <w:rPr>
          <w:color w:val="auto"/>
        </w:rPr>
        <w:instrText xml:space="preserve"> PAGEREF _Toc109398596 \h </w:instrText>
      </w:r>
      <w:r>
        <w:rPr>
          <w:color w:val="auto"/>
        </w:rPr>
        <w:fldChar w:fldCharType="separate"/>
      </w:r>
      <w:r>
        <w:rPr>
          <w:color w:val="auto"/>
        </w:rPr>
        <w:t>90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"_Toc109398597" </w:instrText>
      </w:r>
      <w:r>
        <w:rPr>
          <w:color w:val="auto"/>
        </w:rPr>
        <w:fldChar w:fldCharType="separate"/>
      </w:r>
      <w:r>
        <w:rPr>
          <w:rStyle w:val="72"/>
          <w:color w:val="auto"/>
        </w:rPr>
        <w:t>4.2.1本项目给排水情况</w:t>
      </w:r>
      <w:r>
        <w:rPr>
          <w:color w:val="auto"/>
        </w:rPr>
        <w:tab/>
      </w:r>
      <w:r>
        <w:rPr>
          <w:color w:val="auto"/>
        </w:rPr>
        <w:fldChar w:fldCharType="begin"/>
      </w:r>
      <w:r>
        <w:rPr>
          <w:color w:val="auto"/>
        </w:rPr>
        <w:instrText xml:space="preserve"> PAGEREF _Toc109398597 \h </w:instrText>
      </w:r>
      <w:r>
        <w:rPr>
          <w:color w:val="auto"/>
        </w:rPr>
        <w:fldChar w:fldCharType="separate"/>
      </w:r>
      <w:r>
        <w:rPr>
          <w:color w:val="auto"/>
        </w:rPr>
        <w:t>90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"_Toc109398598" </w:instrText>
      </w:r>
      <w:r>
        <w:rPr>
          <w:color w:val="auto"/>
        </w:rPr>
        <w:fldChar w:fldCharType="separate"/>
      </w:r>
      <w:r>
        <w:rPr>
          <w:rStyle w:val="72"/>
          <w:color w:val="auto"/>
        </w:rPr>
        <w:t>4.2.2供电</w:t>
      </w:r>
      <w:r>
        <w:rPr>
          <w:color w:val="auto"/>
        </w:rPr>
        <w:tab/>
      </w:r>
      <w:r>
        <w:rPr>
          <w:color w:val="auto"/>
        </w:rPr>
        <w:fldChar w:fldCharType="begin"/>
      </w:r>
      <w:r>
        <w:rPr>
          <w:color w:val="auto"/>
        </w:rPr>
        <w:instrText xml:space="preserve"> PAGEREF _Toc109398598 \h </w:instrText>
      </w:r>
      <w:r>
        <w:rPr>
          <w:color w:val="auto"/>
        </w:rPr>
        <w:fldChar w:fldCharType="separate"/>
      </w:r>
      <w:r>
        <w:rPr>
          <w:color w:val="auto"/>
        </w:rPr>
        <w:t>98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"_Toc109398599" </w:instrText>
      </w:r>
      <w:r>
        <w:rPr>
          <w:color w:val="auto"/>
        </w:rPr>
        <w:fldChar w:fldCharType="separate"/>
      </w:r>
      <w:r>
        <w:rPr>
          <w:rStyle w:val="72"/>
          <w:color w:val="auto"/>
        </w:rPr>
        <w:t>4.2.3供暖</w:t>
      </w:r>
      <w:r>
        <w:rPr>
          <w:color w:val="auto"/>
        </w:rPr>
        <w:tab/>
      </w:r>
      <w:r>
        <w:rPr>
          <w:color w:val="auto"/>
        </w:rPr>
        <w:fldChar w:fldCharType="begin"/>
      </w:r>
      <w:r>
        <w:rPr>
          <w:color w:val="auto"/>
        </w:rPr>
        <w:instrText xml:space="preserve"> PAGEREF _Toc109398599 \h </w:instrText>
      </w:r>
      <w:r>
        <w:rPr>
          <w:color w:val="auto"/>
        </w:rPr>
        <w:fldChar w:fldCharType="separate"/>
      </w:r>
      <w:r>
        <w:rPr>
          <w:color w:val="auto"/>
        </w:rPr>
        <w:t>99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"_Toc109398600" </w:instrText>
      </w:r>
      <w:r>
        <w:rPr>
          <w:color w:val="auto"/>
        </w:rPr>
        <w:fldChar w:fldCharType="separate"/>
      </w:r>
      <w:r>
        <w:rPr>
          <w:rStyle w:val="72"/>
          <w:color w:val="auto"/>
        </w:rPr>
        <w:t>4.2.4供蒸汽</w:t>
      </w:r>
      <w:r>
        <w:rPr>
          <w:color w:val="auto"/>
        </w:rPr>
        <w:tab/>
      </w:r>
      <w:r>
        <w:rPr>
          <w:color w:val="auto"/>
        </w:rPr>
        <w:fldChar w:fldCharType="begin"/>
      </w:r>
      <w:r>
        <w:rPr>
          <w:color w:val="auto"/>
        </w:rPr>
        <w:instrText xml:space="preserve"> PAGEREF _Toc109398600 \h </w:instrText>
      </w:r>
      <w:r>
        <w:rPr>
          <w:color w:val="auto"/>
        </w:rPr>
        <w:fldChar w:fldCharType="separate"/>
      </w:r>
      <w:r>
        <w:rPr>
          <w:color w:val="auto"/>
        </w:rPr>
        <w:t>99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"_Toc109398601" </w:instrText>
      </w:r>
      <w:r>
        <w:rPr>
          <w:color w:val="auto"/>
        </w:rPr>
        <w:fldChar w:fldCharType="separate"/>
      </w:r>
      <w:r>
        <w:rPr>
          <w:rStyle w:val="72"/>
          <w:color w:val="auto"/>
        </w:rPr>
        <w:t>4.2.5制冷</w:t>
      </w:r>
      <w:r>
        <w:rPr>
          <w:color w:val="auto"/>
        </w:rPr>
        <w:tab/>
      </w:r>
      <w:r>
        <w:rPr>
          <w:color w:val="auto"/>
        </w:rPr>
        <w:fldChar w:fldCharType="begin"/>
      </w:r>
      <w:r>
        <w:rPr>
          <w:color w:val="auto"/>
        </w:rPr>
        <w:instrText xml:space="preserve"> PAGEREF _Toc109398601 \h </w:instrText>
      </w:r>
      <w:r>
        <w:rPr>
          <w:color w:val="auto"/>
        </w:rPr>
        <w:fldChar w:fldCharType="separate"/>
      </w:r>
      <w:r>
        <w:rPr>
          <w:color w:val="auto"/>
        </w:rPr>
        <w:t>99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"_Toc109398602" </w:instrText>
      </w:r>
      <w:r>
        <w:rPr>
          <w:color w:val="auto"/>
        </w:rPr>
        <w:fldChar w:fldCharType="separate"/>
      </w:r>
      <w:r>
        <w:rPr>
          <w:rStyle w:val="72"/>
          <w:color w:val="auto"/>
        </w:rPr>
        <w:t>4.3医疗废物来源及范围</w:t>
      </w:r>
      <w:r>
        <w:rPr>
          <w:color w:val="auto"/>
        </w:rPr>
        <w:tab/>
      </w:r>
      <w:r>
        <w:rPr>
          <w:color w:val="auto"/>
        </w:rPr>
        <w:fldChar w:fldCharType="begin"/>
      </w:r>
      <w:r>
        <w:rPr>
          <w:color w:val="auto"/>
        </w:rPr>
        <w:instrText xml:space="preserve"> PAGEREF _Toc109398602 \h </w:instrText>
      </w:r>
      <w:r>
        <w:rPr>
          <w:color w:val="auto"/>
        </w:rPr>
        <w:fldChar w:fldCharType="separate"/>
      </w:r>
      <w:r>
        <w:rPr>
          <w:color w:val="auto"/>
        </w:rPr>
        <w:t>99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"_Toc109398603" </w:instrText>
      </w:r>
      <w:r>
        <w:rPr>
          <w:color w:val="auto"/>
        </w:rPr>
        <w:fldChar w:fldCharType="separate"/>
      </w:r>
      <w:r>
        <w:rPr>
          <w:rStyle w:val="72"/>
          <w:color w:val="auto"/>
        </w:rPr>
        <w:t>4.3.1医疗废物处置规模确定</w:t>
      </w:r>
      <w:r>
        <w:rPr>
          <w:color w:val="auto"/>
        </w:rPr>
        <w:tab/>
      </w:r>
      <w:r>
        <w:rPr>
          <w:color w:val="auto"/>
        </w:rPr>
        <w:fldChar w:fldCharType="begin"/>
      </w:r>
      <w:r>
        <w:rPr>
          <w:color w:val="auto"/>
        </w:rPr>
        <w:instrText xml:space="preserve"> PAGEREF _Toc109398603 \h </w:instrText>
      </w:r>
      <w:r>
        <w:rPr>
          <w:color w:val="auto"/>
        </w:rPr>
        <w:fldChar w:fldCharType="separate"/>
      </w:r>
      <w:r>
        <w:rPr>
          <w:color w:val="auto"/>
        </w:rPr>
        <w:t>99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"_Toc109398604" </w:instrText>
      </w:r>
      <w:r>
        <w:rPr>
          <w:color w:val="auto"/>
        </w:rPr>
        <w:fldChar w:fldCharType="separate"/>
      </w:r>
      <w:r>
        <w:rPr>
          <w:rStyle w:val="72"/>
          <w:color w:val="auto"/>
        </w:rPr>
        <w:t>4.3.2医疗废物服务范围和处理对象</w:t>
      </w:r>
      <w:r>
        <w:rPr>
          <w:color w:val="auto"/>
        </w:rPr>
        <w:tab/>
      </w:r>
      <w:r>
        <w:rPr>
          <w:color w:val="auto"/>
        </w:rPr>
        <w:fldChar w:fldCharType="begin"/>
      </w:r>
      <w:r>
        <w:rPr>
          <w:color w:val="auto"/>
        </w:rPr>
        <w:instrText xml:space="preserve"> PAGEREF _Toc109398604 \h </w:instrText>
      </w:r>
      <w:r>
        <w:rPr>
          <w:color w:val="auto"/>
        </w:rPr>
        <w:fldChar w:fldCharType="separate"/>
      </w:r>
      <w:r>
        <w:rPr>
          <w:color w:val="auto"/>
        </w:rPr>
        <w:t>100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"_Toc109398605" </w:instrText>
      </w:r>
      <w:r>
        <w:rPr>
          <w:color w:val="auto"/>
        </w:rPr>
        <w:fldChar w:fldCharType="separate"/>
      </w:r>
      <w:r>
        <w:rPr>
          <w:rStyle w:val="72"/>
          <w:color w:val="auto"/>
        </w:rPr>
        <w:t>4.3.3运输路线</w:t>
      </w:r>
      <w:r>
        <w:rPr>
          <w:color w:val="auto"/>
        </w:rPr>
        <w:tab/>
      </w:r>
      <w:r>
        <w:rPr>
          <w:color w:val="auto"/>
        </w:rPr>
        <w:fldChar w:fldCharType="begin"/>
      </w:r>
      <w:r>
        <w:rPr>
          <w:color w:val="auto"/>
        </w:rPr>
        <w:instrText xml:space="preserve"> PAGEREF _Toc109398605 \h </w:instrText>
      </w:r>
      <w:r>
        <w:rPr>
          <w:color w:val="auto"/>
        </w:rPr>
        <w:fldChar w:fldCharType="separate"/>
      </w:r>
      <w:r>
        <w:rPr>
          <w:color w:val="auto"/>
        </w:rPr>
        <w:t>101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"_Toc109398606" </w:instrText>
      </w:r>
      <w:r>
        <w:rPr>
          <w:color w:val="auto"/>
        </w:rPr>
        <w:fldChar w:fldCharType="separate"/>
      </w:r>
      <w:r>
        <w:rPr>
          <w:rStyle w:val="72"/>
          <w:color w:val="auto"/>
        </w:rPr>
        <w:t>4.4医疗废物处理工艺流程</w:t>
      </w:r>
      <w:r>
        <w:rPr>
          <w:color w:val="auto"/>
        </w:rPr>
        <w:tab/>
      </w:r>
      <w:r>
        <w:rPr>
          <w:color w:val="auto"/>
        </w:rPr>
        <w:fldChar w:fldCharType="begin"/>
      </w:r>
      <w:r>
        <w:rPr>
          <w:color w:val="auto"/>
        </w:rPr>
        <w:instrText xml:space="preserve"> PAGEREF _Toc109398606 \h </w:instrText>
      </w:r>
      <w:r>
        <w:rPr>
          <w:color w:val="auto"/>
        </w:rPr>
        <w:fldChar w:fldCharType="separate"/>
      </w:r>
      <w:r>
        <w:rPr>
          <w:color w:val="auto"/>
        </w:rPr>
        <w:t>105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"_Toc109398607" </w:instrText>
      </w:r>
      <w:r>
        <w:rPr>
          <w:color w:val="auto"/>
        </w:rPr>
        <w:fldChar w:fldCharType="separate"/>
      </w:r>
      <w:r>
        <w:rPr>
          <w:rStyle w:val="72"/>
          <w:color w:val="auto"/>
        </w:rPr>
        <w:t>4.4.1医疗废物处理工艺确定</w:t>
      </w:r>
      <w:r>
        <w:rPr>
          <w:color w:val="auto"/>
        </w:rPr>
        <w:tab/>
      </w:r>
      <w:r>
        <w:rPr>
          <w:color w:val="auto"/>
        </w:rPr>
        <w:fldChar w:fldCharType="begin"/>
      </w:r>
      <w:r>
        <w:rPr>
          <w:color w:val="auto"/>
        </w:rPr>
        <w:instrText xml:space="preserve"> PAGEREF _Toc109398607 \h </w:instrText>
      </w:r>
      <w:r>
        <w:rPr>
          <w:color w:val="auto"/>
        </w:rPr>
        <w:fldChar w:fldCharType="separate"/>
      </w:r>
      <w:r>
        <w:rPr>
          <w:color w:val="auto"/>
        </w:rPr>
        <w:t>105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"_Toc109398608" </w:instrText>
      </w:r>
      <w:r>
        <w:rPr>
          <w:color w:val="auto"/>
        </w:rPr>
        <w:fldChar w:fldCharType="separate"/>
      </w:r>
      <w:r>
        <w:rPr>
          <w:rStyle w:val="72"/>
          <w:color w:val="auto"/>
        </w:rPr>
        <w:t>4.4.2收集、运输及储存</w:t>
      </w:r>
      <w:r>
        <w:rPr>
          <w:color w:val="auto"/>
        </w:rPr>
        <w:tab/>
      </w:r>
      <w:r>
        <w:rPr>
          <w:color w:val="auto"/>
        </w:rPr>
        <w:fldChar w:fldCharType="begin"/>
      </w:r>
      <w:r>
        <w:rPr>
          <w:color w:val="auto"/>
        </w:rPr>
        <w:instrText xml:space="preserve"> PAGEREF _Toc109398608 \h </w:instrText>
      </w:r>
      <w:r>
        <w:rPr>
          <w:color w:val="auto"/>
        </w:rPr>
        <w:fldChar w:fldCharType="separate"/>
      </w:r>
      <w:r>
        <w:rPr>
          <w:color w:val="auto"/>
        </w:rPr>
        <w:t>105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"_Toc109398609" </w:instrText>
      </w:r>
      <w:r>
        <w:rPr>
          <w:color w:val="auto"/>
        </w:rPr>
        <w:fldChar w:fldCharType="separate"/>
      </w:r>
      <w:r>
        <w:rPr>
          <w:rStyle w:val="72"/>
          <w:color w:val="auto"/>
        </w:rPr>
        <w:t>4.4.3高温蒸汽灭菌工艺流程</w:t>
      </w:r>
      <w:r>
        <w:rPr>
          <w:color w:val="auto"/>
        </w:rPr>
        <w:tab/>
      </w:r>
      <w:r>
        <w:rPr>
          <w:color w:val="auto"/>
        </w:rPr>
        <w:fldChar w:fldCharType="begin"/>
      </w:r>
      <w:r>
        <w:rPr>
          <w:color w:val="auto"/>
        </w:rPr>
        <w:instrText xml:space="preserve"> PAGEREF _Toc109398609 \h </w:instrText>
      </w:r>
      <w:r>
        <w:rPr>
          <w:color w:val="auto"/>
        </w:rPr>
        <w:fldChar w:fldCharType="separate"/>
      </w:r>
      <w:r>
        <w:rPr>
          <w:color w:val="auto"/>
        </w:rPr>
        <w:t>107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"_Toc109398610" </w:instrText>
      </w:r>
      <w:r>
        <w:rPr>
          <w:color w:val="auto"/>
        </w:rPr>
        <w:fldChar w:fldCharType="separate"/>
      </w:r>
      <w:r>
        <w:rPr>
          <w:rStyle w:val="72"/>
          <w:color w:val="auto"/>
        </w:rPr>
        <w:t>4.4.4医废运输车辆和周转箱等消毒、清洗</w:t>
      </w:r>
      <w:r>
        <w:rPr>
          <w:color w:val="auto"/>
        </w:rPr>
        <w:tab/>
      </w:r>
      <w:r>
        <w:rPr>
          <w:color w:val="auto"/>
        </w:rPr>
        <w:fldChar w:fldCharType="begin"/>
      </w:r>
      <w:r>
        <w:rPr>
          <w:color w:val="auto"/>
        </w:rPr>
        <w:instrText xml:space="preserve"> PAGEREF _Toc109398610 \h </w:instrText>
      </w:r>
      <w:r>
        <w:rPr>
          <w:color w:val="auto"/>
        </w:rPr>
        <w:fldChar w:fldCharType="separate"/>
      </w:r>
      <w:r>
        <w:rPr>
          <w:color w:val="auto"/>
        </w:rPr>
        <w:t>110</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"_Toc109398611" </w:instrText>
      </w:r>
      <w:r>
        <w:rPr>
          <w:color w:val="auto"/>
        </w:rPr>
        <w:fldChar w:fldCharType="separate"/>
      </w:r>
      <w:r>
        <w:rPr>
          <w:rStyle w:val="72"/>
          <w:color w:val="auto"/>
        </w:rPr>
        <w:t>4.5本项目生产工艺流程及产污环节分析</w:t>
      </w:r>
      <w:r>
        <w:rPr>
          <w:color w:val="auto"/>
        </w:rPr>
        <w:tab/>
      </w:r>
      <w:r>
        <w:rPr>
          <w:color w:val="auto"/>
        </w:rPr>
        <w:fldChar w:fldCharType="begin"/>
      </w:r>
      <w:r>
        <w:rPr>
          <w:color w:val="auto"/>
        </w:rPr>
        <w:instrText xml:space="preserve"> PAGEREF _Toc109398611 \h </w:instrText>
      </w:r>
      <w:r>
        <w:rPr>
          <w:color w:val="auto"/>
        </w:rPr>
        <w:fldChar w:fldCharType="separate"/>
      </w:r>
      <w:r>
        <w:rPr>
          <w:color w:val="auto"/>
        </w:rPr>
        <w:t>111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"_Toc109398612" </w:instrText>
      </w:r>
      <w:r>
        <w:rPr>
          <w:color w:val="auto"/>
        </w:rPr>
        <w:fldChar w:fldCharType="separate"/>
      </w:r>
      <w:r>
        <w:rPr>
          <w:rStyle w:val="72"/>
          <w:color w:val="auto"/>
        </w:rPr>
        <w:t>4.6物料平衡分析</w:t>
      </w:r>
      <w:r>
        <w:rPr>
          <w:color w:val="auto"/>
        </w:rPr>
        <w:tab/>
      </w:r>
      <w:r>
        <w:rPr>
          <w:color w:val="auto"/>
        </w:rPr>
        <w:fldChar w:fldCharType="begin"/>
      </w:r>
      <w:r>
        <w:rPr>
          <w:color w:val="auto"/>
        </w:rPr>
        <w:instrText xml:space="preserve"> PAGEREF _Toc109398612 \h </w:instrText>
      </w:r>
      <w:r>
        <w:rPr>
          <w:color w:val="auto"/>
        </w:rPr>
        <w:fldChar w:fldCharType="separate"/>
      </w:r>
      <w:r>
        <w:rPr>
          <w:color w:val="auto"/>
        </w:rPr>
        <w:t>112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"_Toc109398613" </w:instrText>
      </w:r>
      <w:r>
        <w:rPr>
          <w:color w:val="auto"/>
        </w:rPr>
        <w:fldChar w:fldCharType="separate"/>
      </w:r>
      <w:r>
        <w:rPr>
          <w:rStyle w:val="72"/>
          <w:color w:val="auto"/>
        </w:rPr>
        <w:t>4.7施工期污染物产排情况</w:t>
      </w:r>
      <w:r>
        <w:rPr>
          <w:color w:val="auto"/>
        </w:rPr>
        <w:tab/>
      </w:r>
      <w:r>
        <w:rPr>
          <w:color w:val="auto"/>
        </w:rPr>
        <w:fldChar w:fldCharType="begin"/>
      </w:r>
      <w:r>
        <w:rPr>
          <w:color w:val="auto"/>
        </w:rPr>
        <w:instrText xml:space="preserve"> PAGEREF _Toc109398613 \h </w:instrText>
      </w:r>
      <w:r>
        <w:rPr>
          <w:color w:val="auto"/>
        </w:rPr>
        <w:fldChar w:fldCharType="separate"/>
      </w:r>
      <w:r>
        <w:rPr>
          <w:color w:val="auto"/>
        </w:rPr>
        <w:t>113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"_Toc109398614" </w:instrText>
      </w:r>
      <w:r>
        <w:rPr>
          <w:color w:val="auto"/>
        </w:rPr>
        <w:fldChar w:fldCharType="separate"/>
      </w:r>
      <w:r>
        <w:rPr>
          <w:rStyle w:val="72"/>
          <w:color w:val="auto"/>
        </w:rPr>
        <w:t>4.8运营期污染物产排情况</w:t>
      </w:r>
      <w:r>
        <w:rPr>
          <w:color w:val="auto"/>
        </w:rPr>
        <w:tab/>
      </w:r>
      <w:r>
        <w:rPr>
          <w:color w:val="auto"/>
        </w:rPr>
        <w:fldChar w:fldCharType="begin"/>
      </w:r>
      <w:r>
        <w:rPr>
          <w:color w:val="auto"/>
        </w:rPr>
        <w:instrText xml:space="preserve"> PAGEREF _Toc109398614 \h </w:instrText>
      </w:r>
      <w:r>
        <w:rPr>
          <w:color w:val="auto"/>
        </w:rPr>
        <w:fldChar w:fldCharType="separate"/>
      </w:r>
      <w:r>
        <w:rPr>
          <w:color w:val="auto"/>
        </w:rPr>
        <w:t>113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"_Toc109398615" </w:instrText>
      </w:r>
      <w:r>
        <w:rPr>
          <w:color w:val="auto"/>
        </w:rPr>
        <w:fldChar w:fldCharType="separate"/>
      </w:r>
      <w:r>
        <w:rPr>
          <w:rStyle w:val="72"/>
          <w:color w:val="auto"/>
        </w:rPr>
        <w:t>4.8.1废水</w:t>
      </w:r>
      <w:r>
        <w:rPr>
          <w:color w:val="auto"/>
        </w:rPr>
        <w:tab/>
      </w:r>
      <w:r>
        <w:rPr>
          <w:color w:val="auto"/>
        </w:rPr>
        <w:fldChar w:fldCharType="begin"/>
      </w:r>
      <w:r>
        <w:rPr>
          <w:color w:val="auto"/>
        </w:rPr>
        <w:instrText xml:space="preserve"> PAGEREF _Toc109398615 \h </w:instrText>
      </w:r>
      <w:r>
        <w:rPr>
          <w:color w:val="auto"/>
        </w:rPr>
        <w:fldChar w:fldCharType="separate"/>
      </w:r>
      <w:r>
        <w:rPr>
          <w:color w:val="auto"/>
        </w:rPr>
        <w:t>113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"_Toc109398616" </w:instrText>
      </w:r>
      <w:r>
        <w:rPr>
          <w:color w:val="auto"/>
        </w:rPr>
        <w:fldChar w:fldCharType="separate"/>
      </w:r>
      <w:r>
        <w:rPr>
          <w:rStyle w:val="72"/>
          <w:color w:val="auto"/>
        </w:rPr>
        <w:t>4.8.2废气</w:t>
      </w:r>
      <w:r>
        <w:rPr>
          <w:color w:val="auto"/>
        </w:rPr>
        <w:tab/>
      </w:r>
      <w:r>
        <w:rPr>
          <w:color w:val="auto"/>
        </w:rPr>
        <w:fldChar w:fldCharType="begin"/>
      </w:r>
      <w:r>
        <w:rPr>
          <w:color w:val="auto"/>
        </w:rPr>
        <w:instrText xml:space="preserve"> PAGEREF _Toc109398616 \h </w:instrText>
      </w:r>
      <w:r>
        <w:rPr>
          <w:color w:val="auto"/>
        </w:rPr>
        <w:fldChar w:fldCharType="separate"/>
      </w:r>
      <w:r>
        <w:rPr>
          <w:color w:val="auto"/>
        </w:rPr>
        <w:t>118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"_Toc109398617" </w:instrText>
      </w:r>
      <w:r>
        <w:rPr>
          <w:color w:val="auto"/>
        </w:rPr>
        <w:fldChar w:fldCharType="separate"/>
      </w:r>
      <w:r>
        <w:rPr>
          <w:rStyle w:val="72"/>
          <w:snapToGrid w:val="0"/>
          <w:color w:val="auto"/>
        </w:rPr>
        <w:t>4.8.3噪声</w:t>
      </w:r>
      <w:r>
        <w:rPr>
          <w:color w:val="auto"/>
        </w:rPr>
        <w:tab/>
      </w:r>
      <w:r>
        <w:rPr>
          <w:color w:val="auto"/>
        </w:rPr>
        <w:fldChar w:fldCharType="begin"/>
      </w:r>
      <w:r>
        <w:rPr>
          <w:color w:val="auto"/>
        </w:rPr>
        <w:instrText xml:space="preserve"> PAGEREF _Toc109398617 \h </w:instrText>
      </w:r>
      <w:r>
        <w:rPr>
          <w:color w:val="auto"/>
        </w:rPr>
        <w:fldChar w:fldCharType="separate"/>
      </w:r>
      <w:r>
        <w:rPr>
          <w:color w:val="auto"/>
        </w:rPr>
        <w:t>133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"_Toc109398618" </w:instrText>
      </w:r>
      <w:r>
        <w:rPr>
          <w:color w:val="auto"/>
        </w:rPr>
        <w:fldChar w:fldCharType="separate"/>
      </w:r>
      <w:r>
        <w:rPr>
          <w:rStyle w:val="72"/>
          <w:snapToGrid w:val="0"/>
          <w:color w:val="auto"/>
        </w:rPr>
        <w:t>4.8.4固体废物</w:t>
      </w:r>
      <w:r>
        <w:rPr>
          <w:color w:val="auto"/>
        </w:rPr>
        <w:tab/>
      </w:r>
      <w:r>
        <w:rPr>
          <w:color w:val="auto"/>
        </w:rPr>
        <w:fldChar w:fldCharType="begin"/>
      </w:r>
      <w:r>
        <w:rPr>
          <w:color w:val="auto"/>
        </w:rPr>
        <w:instrText xml:space="preserve"> PAGEREF _Toc109398618 \h </w:instrText>
      </w:r>
      <w:r>
        <w:rPr>
          <w:color w:val="auto"/>
        </w:rPr>
        <w:fldChar w:fldCharType="separate"/>
      </w:r>
      <w:r>
        <w:rPr>
          <w:color w:val="auto"/>
        </w:rPr>
        <w:t>134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"_Toc109398619" </w:instrText>
      </w:r>
      <w:r>
        <w:rPr>
          <w:color w:val="auto"/>
        </w:rPr>
        <w:fldChar w:fldCharType="separate"/>
      </w:r>
      <w:r>
        <w:rPr>
          <w:rStyle w:val="72"/>
          <w:color w:val="auto"/>
        </w:rPr>
        <w:t>4.9项目改造前后污染物排放三本帐</w:t>
      </w:r>
      <w:r>
        <w:rPr>
          <w:color w:val="auto"/>
        </w:rPr>
        <w:tab/>
      </w:r>
      <w:r>
        <w:rPr>
          <w:color w:val="auto"/>
        </w:rPr>
        <w:fldChar w:fldCharType="begin"/>
      </w:r>
      <w:r>
        <w:rPr>
          <w:color w:val="auto"/>
        </w:rPr>
        <w:instrText xml:space="preserve"> PAGEREF _Toc109398619 \h </w:instrText>
      </w:r>
      <w:r>
        <w:rPr>
          <w:color w:val="auto"/>
        </w:rPr>
        <w:fldChar w:fldCharType="separate"/>
      </w:r>
      <w:r>
        <w:rPr>
          <w:color w:val="auto"/>
        </w:rPr>
        <w:t>139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"_Toc109398620" </w:instrText>
      </w:r>
      <w:r>
        <w:rPr>
          <w:color w:val="auto"/>
        </w:rPr>
        <w:fldChar w:fldCharType="separate"/>
      </w:r>
      <w:r>
        <w:rPr>
          <w:rStyle w:val="72"/>
          <w:color w:val="auto"/>
        </w:rPr>
        <w:t>4.10清洁生产</w:t>
      </w:r>
      <w:r>
        <w:rPr>
          <w:color w:val="auto"/>
        </w:rPr>
        <w:tab/>
      </w:r>
      <w:r>
        <w:rPr>
          <w:color w:val="auto"/>
        </w:rPr>
        <w:fldChar w:fldCharType="begin"/>
      </w:r>
      <w:r>
        <w:rPr>
          <w:color w:val="auto"/>
        </w:rPr>
        <w:instrText xml:space="preserve"> PAGEREF _Toc109398620 \h </w:instrText>
      </w:r>
      <w:r>
        <w:rPr>
          <w:color w:val="auto"/>
        </w:rPr>
        <w:fldChar w:fldCharType="separate"/>
      </w:r>
      <w:r>
        <w:rPr>
          <w:color w:val="auto"/>
        </w:rPr>
        <w:t>139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"_Toc109398621" </w:instrText>
      </w:r>
      <w:r>
        <w:rPr>
          <w:color w:val="auto"/>
        </w:rPr>
        <w:fldChar w:fldCharType="separate"/>
      </w:r>
      <w:r>
        <w:rPr>
          <w:rStyle w:val="72"/>
          <w:color w:val="auto"/>
        </w:rPr>
        <w:t>4.10.1清洁生产的目的和意义</w:t>
      </w:r>
      <w:r>
        <w:rPr>
          <w:color w:val="auto"/>
        </w:rPr>
        <w:tab/>
      </w:r>
      <w:r>
        <w:rPr>
          <w:color w:val="auto"/>
        </w:rPr>
        <w:fldChar w:fldCharType="begin"/>
      </w:r>
      <w:r>
        <w:rPr>
          <w:color w:val="auto"/>
        </w:rPr>
        <w:instrText xml:space="preserve"> PAGEREF _Toc109398621 \h </w:instrText>
      </w:r>
      <w:r>
        <w:rPr>
          <w:color w:val="auto"/>
        </w:rPr>
        <w:fldChar w:fldCharType="separate"/>
      </w:r>
      <w:r>
        <w:rPr>
          <w:color w:val="auto"/>
        </w:rPr>
        <w:t>139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"_Toc109398622" </w:instrText>
      </w:r>
      <w:r>
        <w:rPr>
          <w:color w:val="auto"/>
        </w:rPr>
        <w:fldChar w:fldCharType="separate"/>
      </w:r>
      <w:r>
        <w:rPr>
          <w:rStyle w:val="72"/>
          <w:color w:val="auto"/>
        </w:rPr>
        <w:t>4.10.2清洁生产的原则</w:t>
      </w:r>
      <w:r>
        <w:rPr>
          <w:color w:val="auto"/>
        </w:rPr>
        <w:tab/>
      </w:r>
      <w:r>
        <w:rPr>
          <w:color w:val="auto"/>
        </w:rPr>
        <w:fldChar w:fldCharType="begin"/>
      </w:r>
      <w:r>
        <w:rPr>
          <w:color w:val="auto"/>
        </w:rPr>
        <w:instrText xml:space="preserve"> PAGEREF _Toc109398622 \h </w:instrText>
      </w:r>
      <w:r>
        <w:rPr>
          <w:color w:val="auto"/>
        </w:rPr>
        <w:fldChar w:fldCharType="separate"/>
      </w:r>
      <w:r>
        <w:rPr>
          <w:color w:val="auto"/>
        </w:rPr>
        <w:t>140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"_Toc109398623" </w:instrText>
      </w:r>
      <w:r>
        <w:rPr>
          <w:color w:val="auto"/>
        </w:rPr>
        <w:fldChar w:fldCharType="separate"/>
      </w:r>
      <w:r>
        <w:rPr>
          <w:rStyle w:val="72"/>
          <w:color w:val="auto"/>
        </w:rPr>
        <w:t>4.10.3生产工艺分析</w:t>
      </w:r>
      <w:r>
        <w:rPr>
          <w:color w:val="auto"/>
        </w:rPr>
        <w:tab/>
      </w:r>
      <w:r>
        <w:rPr>
          <w:color w:val="auto"/>
        </w:rPr>
        <w:fldChar w:fldCharType="begin"/>
      </w:r>
      <w:r>
        <w:rPr>
          <w:color w:val="auto"/>
        </w:rPr>
        <w:instrText xml:space="preserve"> PAGEREF _Toc109398623 \h </w:instrText>
      </w:r>
      <w:r>
        <w:rPr>
          <w:color w:val="auto"/>
        </w:rPr>
        <w:fldChar w:fldCharType="separate"/>
      </w:r>
      <w:r>
        <w:rPr>
          <w:color w:val="auto"/>
        </w:rPr>
        <w:t>140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"_Toc109398624" </w:instrText>
      </w:r>
      <w:r>
        <w:rPr>
          <w:color w:val="auto"/>
        </w:rPr>
        <w:fldChar w:fldCharType="separate"/>
      </w:r>
      <w:r>
        <w:rPr>
          <w:rStyle w:val="72"/>
          <w:color w:val="auto"/>
        </w:rPr>
        <w:t>4.10.4污染物产生及废物回收利用</w:t>
      </w:r>
      <w:r>
        <w:rPr>
          <w:color w:val="auto"/>
        </w:rPr>
        <w:tab/>
      </w:r>
      <w:r>
        <w:rPr>
          <w:color w:val="auto"/>
        </w:rPr>
        <w:fldChar w:fldCharType="begin"/>
      </w:r>
      <w:r>
        <w:rPr>
          <w:color w:val="auto"/>
        </w:rPr>
        <w:instrText xml:space="preserve"> PAGEREF _Toc109398624 \h </w:instrText>
      </w:r>
      <w:r>
        <w:rPr>
          <w:color w:val="auto"/>
        </w:rPr>
        <w:fldChar w:fldCharType="separate"/>
      </w:r>
      <w:r>
        <w:rPr>
          <w:color w:val="auto"/>
        </w:rPr>
        <w:t>141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"_Toc109398625" </w:instrText>
      </w:r>
      <w:r>
        <w:rPr>
          <w:color w:val="auto"/>
        </w:rPr>
        <w:fldChar w:fldCharType="separate"/>
      </w:r>
      <w:r>
        <w:rPr>
          <w:rStyle w:val="72"/>
          <w:color w:val="auto"/>
        </w:rPr>
        <w:t>4.10.5生产管理</w:t>
      </w:r>
      <w:r>
        <w:rPr>
          <w:color w:val="auto"/>
        </w:rPr>
        <w:tab/>
      </w:r>
      <w:r>
        <w:rPr>
          <w:color w:val="auto"/>
        </w:rPr>
        <w:fldChar w:fldCharType="begin"/>
      </w:r>
      <w:r>
        <w:rPr>
          <w:color w:val="auto"/>
        </w:rPr>
        <w:instrText xml:space="preserve"> PAGEREF _Toc109398625 \h </w:instrText>
      </w:r>
      <w:r>
        <w:rPr>
          <w:color w:val="auto"/>
        </w:rPr>
        <w:fldChar w:fldCharType="separate"/>
      </w:r>
      <w:r>
        <w:rPr>
          <w:color w:val="auto"/>
        </w:rPr>
        <w:t>141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"_Toc109398626" </w:instrText>
      </w:r>
      <w:r>
        <w:rPr>
          <w:color w:val="auto"/>
        </w:rPr>
        <w:fldChar w:fldCharType="separate"/>
      </w:r>
      <w:r>
        <w:rPr>
          <w:rStyle w:val="72"/>
          <w:color w:val="auto"/>
        </w:rPr>
        <w:t>4.10.6清洁生产建议</w:t>
      </w:r>
      <w:r>
        <w:rPr>
          <w:color w:val="auto"/>
        </w:rPr>
        <w:tab/>
      </w:r>
      <w:r>
        <w:rPr>
          <w:color w:val="auto"/>
        </w:rPr>
        <w:fldChar w:fldCharType="begin"/>
      </w:r>
      <w:r>
        <w:rPr>
          <w:color w:val="auto"/>
        </w:rPr>
        <w:instrText xml:space="preserve"> PAGEREF _Toc109398626 \h </w:instrText>
      </w:r>
      <w:r>
        <w:rPr>
          <w:color w:val="auto"/>
        </w:rPr>
        <w:fldChar w:fldCharType="separate"/>
      </w:r>
      <w:r>
        <w:rPr>
          <w:color w:val="auto"/>
        </w:rPr>
        <w:t>141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"_Toc109398627" </w:instrText>
      </w:r>
      <w:r>
        <w:rPr>
          <w:color w:val="auto"/>
        </w:rPr>
        <w:fldChar w:fldCharType="separate"/>
      </w:r>
      <w:r>
        <w:rPr>
          <w:rStyle w:val="72"/>
          <w:color w:val="auto"/>
        </w:rPr>
        <w:t>4.10.7清洁生产小结</w:t>
      </w:r>
      <w:r>
        <w:rPr>
          <w:color w:val="auto"/>
        </w:rPr>
        <w:tab/>
      </w:r>
      <w:r>
        <w:rPr>
          <w:color w:val="auto"/>
        </w:rPr>
        <w:fldChar w:fldCharType="begin"/>
      </w:r>
      <w:r>
        <w:rPr>
          <w:color w:val="auto"/>
        </w:rPr>
        <w:instrText xml:space="preserve"> PAGEREF _Toc109398627 \h </w:instrText>
      </w:r>
      <w:r>
        <w:rPr>
          <w:color w:val="auto"/>
        </w:rPr>
        <w:fldChar w:fldCharType="separate"/>
      </w:r>
      <w:r>
        <w:rPr>
          <w:color w:val="auto"/>
        </w:rPr>
        <w:t>142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"_Toc109398628" </w:instrText>
      </w:r>
      <w:r>
        <w:rPr>
          <w:color w:val="auto"/>
        </w:rPr>
        <w:fldChar w:fldCharType="separate"/>
      </w:r>
      <w:r>
        <w:rPr>
          <w:rStyle w:val="72"/>
          <w:color w:val="auto"/>
        </w:rPr>
        <w:t>4.11本项目已建成部分存在的环境保护问题及整改措施</w:t>
      </w:r>
      <w:r>
        <w:rPr>
          <w:color w:val="auto"/>
        </w:rPr>
        <w:tab/>
      </w:r>
      <w:r>
        <w:rPr>
          <w:color w:val="auto"/>
        </w:rPr>
        <w:fldChar w:fldCharType="begin"/>
      </w:r>
      <w:r>
        <w:rPr>
          <w:color w:val="auto"/>
        </w:rPr>
        <w:instrText xml:space="preserve"> PAGEREF _Toc109398628 \h </w:instrText>
      </w:r>
      <w:r>
        <w:rPr>
          <w:color w:val="auto"/>
        </w:rPr>
        <w:fldChar w:fldCharType="separate"/>
      </w:r>
      <w:r>
        <w:rPr>
          <w:color w:val="auto"/>
        </w:rPr>
        <w:t>142</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"_Toc109398629" </w:instrText>
      </w:r>
      <w:r>
        <w:rPr>
          <w:color w:val="auto"/>
        </w:rPr>
        <w:fldChar w:fldCharType="separate"/>
      </w:r>
      <w:r>
        <w:rPr>
          <w:rStyle w:val="72"/>
          <w:color w:val="auto"/>
        </w:rPr>
        <w:t>5区域环境概况</w:t>
      </w:r>
      <w:r>
        <w:rPr>
          <w:color w:val="auto"/>
        </w:rPr>
        <w:tab/>
      </w:r>
      <w:r>
        <w:rPr>
          <w:color w:val="auto"/>
        </w:rPr>
        <w:fldChar w:fldCharType="begin"/>
      </w:r>
      <w:r>
        <w:rPr>
          <w:color w:val="auto"/>
        </w:rPr>
        <w:instrText xml:space="preserve"> PAGEREF _Toc109398629 \h </w:instrText>
      </w:r>
      <w:r>
        <w:rPr>
          <w:color w:val="auto"/>
        </w:rPr>
        <w:fldChar w:fldCharType="separate"/>
      </w:r>
      <w:r>
        <w:rPr>
          <w:color w:val="auto"/>
        </w:rPr>
        <w:t>143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"_Toc109398630" </w:instrText>
      </w:r>
      <w:r>
        <w:rPr>
          <w:color w:val="auto"/>
        </w:rPr>
        <w:fldChar w:fldCharType="separate"/>
      </w:r>
      <w:r>
        <w:rPr>
          <w:rStyle w:val="72"/>
          <w:color w:val="auto"/>
        </w:rPr>
        <w:t>5.1地理位置</w:t>
      </w:r>
      <w:r>
        <w:rPr>
          <w:color w:val="auto"/>
        </w:rPr>
        <w:tab/>
      </w:r>
      <w:r>
        <w:rPr>
          <w:color w:val="auto"/>
        </w:rPr>
        <w:fldChar w:fldCharType="begin"/>
      </w:r>
      <w:r>
        <w:rPr>
          <w:color w:val="auto"/>
        </w:rPr>
        <w:instrText xml:space="preserve"> PAGEREF _Toc109398630 \h </w:instrText>
      </w:r>
      <w:r>
        <w:rPr>
          <w:color w:val="auto"/>
        </w:rPr>
        <w:fldChar w:fldCharType="separate"/>
      </w:r>
      <w:r>
        <w:rPr>
          <w:color w:val="auto"/>
        </w:rPr>
        <w:t>143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"_Toc109398631" </w:instrText>
      </w:r>
      <w:r>
        <w:rPr>
          <w:color w:val="auto"/>
        </w:rPr>
        <w:fldChar w:fldCharType="separate"/>
      </w:r>
      <w:r>
        <w:rPr>
          <w:rStyle w:val="72"/>
          <w:color w:val="auto"/>
        </w:rPr>
        <w:t>5.2地形地貌</w:t>
      </w:r>
      <w:r>
        <w:rPr>
          <w:color w:val="auto"/>
        </w:rPr>
        <w:tab/>
      </w:r>
      <w:r>
        <w:rPr>
          <w:color w:val="auto"/>
        </w:rPr>
        <w:fldChar w:fldCharType="begin"/>
      </w:r>
      <w:r>
        <w:rPr>
          <w:color w:val="auto"/>
        </w:rPr>
        <w:instrText xml:space="preserve"> PAGEREF _Toc109398631 \h </w:instrText>
      </w:r>
      <w:r>
        <w:rPr>
          <w:color w:val="auto"/>
        </w:rPr>
        <w:fldChar w:fldCharType="separate"/>
      </w:r>
      <w:r>
        <w:rPr>
          <w:color w:val="auto"/>
        </w:rPr>
        <w:t>143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"_Toc109398632" </w:instrText>
      </w:r>
      <w:r>
        <w:rPr>
          <w:color w:val="auto"/>
        </w:rPr>
        <w:fldChar w:fldCharType="separate"/>
      </w:r>
      <w:r>
        <w:rPr>
          <w:rStyle w:val="72"/>
          <w:color w:val="auto"/>
        </w:rPr>
        <w:t>5.3地层概况</w:t>
      </w:r>
      <w:r>
        <w:rPr>
          <w:color w:val="auto"/>
        </w:rPr>
        <w:tab/>
      </w:r>
      <w:r>
        <w:rPr>
          <w:color w:val="auto"/>
        </w:rPr>
        <w:fldChar w:fldCharType="begin"/>
      </w:r>
      <w:r>
        <w:rPr>
          <w:color w:val="auto"/>
        </w:rPr>
        <w:instrText xml:space="preserve"> PAGEREF _Toc109398632 \h </w:instrText>
      </w:r>
      <w:r>
        <w:rPr>
          <w:color w:val="auto"/>
        </w:rPr>
        <w:fldChar w:fldCharType="separate"/>
      </w:r>
      <w:r>
        <w:rPr>
          <w:color w:val="auto"/>
        </w:rPr>
        <w:t>145</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"_Toc109398633" </w:instrText>
      </w:r>
      <w:r>
        <w:rPr>
          <w:color w:val="auto"/>
        </w:rPr>
        <w:fldChar w:fldCharType="separate"/>
      </w:r>
      <w:r>
        <w:rPr>
          <w:rStyle w:val="72"/>
          <w:color w:val="auto"/>
        </w:rPr>
        <w:t>5.4区域构造</w:t>
      </w:r>
      <w:r>
        <w:rPr>
          <w:color w:val="auto"/>
        </w:rPr>
        <w:tab/>
      </w:r>
      <w:r>
        <w:rPr>
          <w:color w:val="auto"/>
        </w:rPr>
        <w:fldChar w:fldCharType="begin"/>
      </w:r>
      <w:r>
        <w:rPr>
          <w:color w:val="auto"/>
        </w:rPr>
        <w:instrText xml:space="preserve"> PAGEREF _Toc109398633 \h </w:instrText>
      </w:r>
      <w:r>
        <w:rPr>
          <w:color w:val="auto"/>
        </w:rPr>
        <w:fldChar w:fldCharType="separate"/>
      </w:r>
      <w:r>
        <w:rPr>
          <w:color w:val="auto"/>
        </w:rPr>
        <w:t>148</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"_Toc109398634" </w:instrText>
      </w:r>
      <w:r>
        <w:rPr>
          <w:color w:val="auto"/>
        </w:rPr>
        <w:fldChar w:fldCharType="separate"/>
      </w:r>
      <w:r>
        <w:rPr>
          <w:rStyle w:val="72"/>
          <w:color w:val="auto"/>
        </w:rPr>
        <w:t>5.5气象气候</w:t>
      </w:r>
      <w:r>
        <w:rPr>
          <w:color w:val="auto"/>
        </w:rPr>
        <w:tab/>
      </w:r>
      <w:r>
        <w:rPr>
          <w:color w:val="auto"/>
        </w:rPr>
        <w:fldChar w:fldCharType="begin"/>
      </w:r>
      <w:r>
        <w:rPr>
          <w:color w:val="auto"/>
        </w:rPr>
        <w:instrText xml:space="preserve"> PAGEREF _Toc109398634 \h </w:instrText>
      </w:r>
      <w:r>
        <w:rPr>
          <w:color w:val="auto"/>
        </w:rPr>
        <w:fldChar w:fldCharType="separate"/>
      </w:r>
      <w:r>
        <w:rPr>
          <w:color w:val="auto"/>
        </w:rPr>
        <w:t>150</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"_Toc109398635" </w:instrText>
      </w:r>
      <w:r>
        <w:rPr>
          <w:color w:val="auto"/>
        </w:rPr>
        <w:fldChar w:fldCharType="separate"/>
      </w:r>
      <w:r>
        <w:rPr>
          <w:rStyle w:val="72"/>
          <w:color w:val="auto"/>
        </w:rPr>
        <w:t>5.6地表水</w:t>
      </w:r>
      <w:r>
        <w:rPr>
          <w:color w:val="auto"/>
        </w:rPr>
        <w:tab/>
      </w:r>
      <w:r>
        <w:rPr>
          <w:color w:val="auto"/>
        </w:rPr>
        <w:fldChar w:fldCharType="begin"/>
      </w:r>
      <w:r>
        <w:rPr>
          <w:color w:val="auto"/>
        </w:rPr>
        <w:instrText xml:space="preserve"> PAGEREF _Toc109398635 \h </w:instrText>
      </w:r>
      <w:r>
        <w:rPr>
          <w:color w:val="auto"/>
        </w:rPr>
        <w:fldChar w:fldCharType="separate"/>
      </w:r>
      <w:r>
        <w:rPr>
          <w:color w:val="auto"/>
        </w:rPr>
        <w:t>151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"_Toc109398636" </w:instrText>
      </w:r>
      <w:r>
        <w:rPr>
          <w:color w:val="auto"/>
        </w:rPr>
        <w:fldChar w:fldCharType="separate"/>
      </w:r>
      <w:r>
        <w:rPr>
          <w:rStyle w:val="72"/>
          <w:color w:val="auto"/>
        </w:rPr>
        <w:t>5.7区域水文地质条件</w:t>
      </w:r>
      <w:r>
        <w:rPr>
          <w:color w:val="auto"/>
        </w:rPr>
        <w:tab/>
      </w:r>
      <w:r>
        <w:rPr>
          <w:color w:val="auto"/>
        </w:rPr>
        <w:fldChar w:fldCharType="begin"/>
      </w:r>
      <w:r>
        <w:rPr>
          <w:color w:val="auto"/>
        </w:rPr>
        <w:instrText xml:space="preserve"> PAGEREF _Toc109398636 \h </w:instrText>
      </w:r>
      <w:r>
        <w:rPr>
          <w:color w:val="auto"/>
        </w:rPr>
        <w:fldChar w:fldCharType="separate"/>
      </w:r>
      <w:r>
        <w:rPr>
          <w:color w:val="auto"/>
        </w:rPr>
        <w:t>151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"_Toc109398637" </w:instrText>
      </w:r>
      <w:r>
        <w:rPr>
          <w:color w:val="auto"/>
        </w:rPr>
        <w:fldChar w:fldCharType="separate"/>
      </w:r>
      <w:r>
        <w:rPr>
          <w:rStyle w:val="72"/>
          <w:color w:val="auto"/>
        </w:rPr>
        <w:t>5.7.1黄河冲积平原水文地质区</w:t>
      </w:r>
      <w:r>
        <w:rPr>
          <w:color w:val="auto"/>
        </w:rPr>
        <w:tab/>
      </w:r>
      <w:r>
        <w:rPr>
          <w:color w:val="auto"/>
        </w:rPr>
        <w:fldChar w:fldCharType="begin"/>
      </w:r>
      <w:r>
        <w:rPr>
          <w:color w:val="auto"/>
        </w:rPr>
        <w:instrText xml:space="preserve"> PAGEREF _Toc109398637 \h </w:instrText>
      </w:r>
      <w:r>
        <w:rPr>
          <w:color w:val="auto"/>
        </w:rPr>
        <w:fldChar w:fldCharType="separate"/>
      </w:r>
      <w:r>
        <w:rPr>
          <w:color w:val="auto"/>
        </w:rPr>
        <w:t>151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"_Toc109398638" </w:instrText>
      </w:r>
      <w:r>
        <w:rPr>
          <w:color w:val="auto"/>
        </w:rPr>
        <w:fldChar w:fldCharType="separate"/>
      </w:r>
      <w:r>
        <w:rPr>
          <w:rStyle w:val="72"/>
          <w:color w:val="auto"/>
        </w:rPr>
        <w:t>5.7.2南山台子山前冲洪积高台地水文地质区</w:t>
      </w:r>
      <w:r>
        <w:rPr>
          <w:color w:val="auto"/>
        </w:rPr>
        <w:tab/>
      </w:r>
      <w:r>
        <w:rPr>
          <w:color w:val="auto"/>
        </w:rPr>
        <w:fldChar w:fldCharType="begin"/>
      </w:r>
      <w:r>
        <w:rPr>
          <w:color w:val="auto"/>
        </w:rPr>
        <w:instrText xml:space="preserve"> PAGEREF _Toc109398638 \h </w:instrText>
      </w:r>
      <w:r>
        <w:rPr>
          <w:color w:val="auto"/>
        </w:rPr>
        <w:fldChar w:fldCharType="separate"/>
      </w:r>
      <w:r>
        <w:rPr>
          <w:color w:val="auto"/>
        </w:rPr>
        <w:t>152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"_Toc109398639" </w:instrText>
      </w:r>
      <w:r>
        <w:rPr>
          <w:color w:val="auto"/>
        </w:rPr>
        <w:fldChar w:fldCharType="separate"/>
      </w:r>
      <w:r>
        <w:rPr>
          <w:rStyle w:val="72"/>
          <w:color w:val="auto"/>
        </w:rPr>
        <w:t>5.8动植物及土壤</w:t>
      </w:r>
      <w:r>
        <w:rPr>
          <w:color w:val="auto"/>
        </w:rPr>
        <w:tab/>
      </w:r>
      <w:r>
        <w:rPr>
          <w:color w:val="auto"/>
        </w:rPr>
        <w:fldChar w:fldCharType="begin"/>
      </w:r>
      <w:r>
        <w:rPr>
          <w:color w:val="auto"/>
        </w:rPr>
        <w:instrText xml:space="preserve"> PAGEREF _Toc109398639 \h </w:instrText>
      </w:r>
      <w:r>
        <w:rPr>
          <w:color w:val="auto"/>
        </w:rPr>
        <w:fldChar w:fldCharType="separate"/>
      </w:r>
      <w:r>
        <w:rPr>
          <w:color w:val="auto"/>
        </w:rPr>
        <w:t>152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"_Toc109398640" </w:instrText>
      </w:r>
      <w:r>
        <w:rPr>
          <w:color w:val="auto"/>
        </w:rPr>
        <w:fldChar w:fldCharType="separate"/>
      </w:r>
      <w:r>
        <w:rPr>
          <w:rStyle w:val="72"/>
          <w:color w:val="auto"/>
        </w:rPr>
        <w:t>5.9地震</w:t>
      </w:r>
      <w:r>
        <w:rPr>
          <w:color w:val="auto"/>
        </w:rPr>
        <w:tab/>
      </w:r>
      <w:r>
        <w:rPr>
          <w:color w:val="auto"/>
        </w:rPr>
        <w:fldChar w:fldCharType="begin"/>
      </w:r>
      <w:r>
        <w:rPr>
          <w:color w:val="auto"/>
        </w:rPr>
        <w:instrText xml:space="preserve"> PAGEREF _Toc109398640 \h </w:instrText>
      </w:r>
      <w:r>
        <w:rPr>
          <w:color w:val="auto"/>
        </w:rPr>
        <w:fldChar w:fldCharType="separate"/>
      </w:r>
      <w:r>
        <w:rPr>
          <w:color w:val="auto"/>
        </w:rPr>
        <w:t>153</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"_Toc109398641" </w:instrText>
      </w:r>
      <w:r>
        <w:rPr>
          <w:color w:val="auto"/>
        </w:rPr>
        <w:fldChar w:fldCharType="separate"/>
      </w:r>
      <w:r>
        <w:rPr>
          <w:rStyle w:val="72"/>
          <w:color w:val="auto"/>
        </w:rPr>
        <w:t>6环境质量现状监测与评价</w:t>
      </w:r>
      <w:r>
        <w:rPr>
          <w:color w:val="auto"/>
        </w:rPr>
        <w:tab/>
      </w:r>
      <w:r>
        <w:rPr>
          <w:color w:val="auto"/>
        </w:rPr>
        <w:fldChar w:fldCharType="begin"/>
      </w:r>
      <w:r>
        <w:rPr>
          <w:color w:val="auto"/>
        </w:rPr>
        <w:instrText xml:space="preserve"> PAGEREF _Toc109398641 \h </w:instrText>
      </w:r>
      <w:r>
        <w:rPr>
          <w:color w:val="auto"/>
        </w:rPr>
        <w:fldChar w:fldCharType="separate"/>
      </w:r>
      <w:r>
        <w:rPr>
          <w:color w:val="auto"/>
        </w:rPr>
        <w:t>154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"_Toc109398642" </w:instrText>
      </w:r>
      <w:r>
        <w:rPr>
          <w:color w:val="auto"/>
        </w:rPr>
        <w:fldChar w:fldCharType="separate"/>
      </w:r>
      <w:r>
        <w:rPr>
          <w:rStyle w:val="72"/>
          <w:color w:val="auto"/>
        </w:rPr>
        <w:t>6.1环境空气质量现状监测与评价</w:t>
      </w:r>
      <w:r>
        <w:rPr>
          <w:color w:val="auto"/>
        </w:rPr>
        <w:tab/>
      </w:r>
      <w:r>
        <w:rPr>
          <w:color w:val="auto"/>
        </w:rPr>
        <w:fldChar w:fldCharType="begin"/>
      </w:r>
      <w:r>
        <w:rPr>
          <w:color w:val="auto"/>
        </w:rPr>
        <w:instrText xml:space="preserve"> PAGEREF _Toc109398642 \h </w:instrText>
      </w:r>
      <w:r>
        <w:rPr>
          <w:color w:val="auto"/>
        </w:rPr>
        <w:fldChar w:fldCharType="separate"/>
      </w:r>
      <w:r>
        <w:rPr>
          <w:color w:val="auto"/>
        </w:rPr>
        <w:t>154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"_Toc109398643" </w:instrText>
      </w:r>
      <w:r>
        <w:rPr>
          <w:color w:val="auto"/>
        </w:rPr>
        <w:fldChar w:fldCharType="separate"/>
      </w:r>
      <w:r>
        <w:rPr>
          <w:rStyle w:val="72"/>
          <w:color w:val="auto"/>
        </w:rPr>
        <w:t>6.1.1基本污染物现状</w:t>
      </w:r>
      <w:r>
        <w:rPr>
          <w:color w:val="auto"/>
        </w:rPr>
        <w:tab/>
      </w:r>
      <w:r>
        <w:rPr>
          <w:color w:val="auto"/>
        </w:rPr>
        <w:fldChar w:fldCharType="begin"/>
      </w:r>
      <w:r>
        <w:rPr>
          <w:color w:val="auto"/>
        </w:rPr>
        <w:instrText xml:space="preserve"> PAGEREF _Toc109398643 \h </w:instrText>
      </w:r>
      <w:r>
        <w:rPr>
          <w:color w:val="auto"/>
        </w:rPr>
        <w:fldChar w:fldCharType="separate"/>
      </w:r>
      <w:r>
        <w:rPr>
          <w:color w:val="auto"/>
        </w:rPr>
        <w:t>154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"_Toc109398644" </w:instrText>
      </w:r>
      <w:r>
        <w:rPr>
          <w:color w:val="auto"/>
        </w:rPr>
        <w:fldChar w:fldCharType="separate"/>
      </w:r>
      <w:r>
        <w:rPr>
          <w:rStyle w:val="72"/>
          <w:color w:val="auto"/>
        </w:rPr>
        <w:t>6.1.2其他污染物现状</w:t>
      </w:r>
      <w:r>
        <w:rPr>
          <w:color w:val="auto"/>
        </w:rPr>
        <w:tab/>
      </w:r>
      <w:r>
        <w:rPr>
          <w:color w:val="auto"/>
        </w:rPr>
        <w:fldChar w:fldCharType="begin"/>
      </w:r>
      <w:r>
        <w:rPr>
          <w:color w:val="auto"/>
        </w:rPr>
        <w:instrText xml:space="preserve"> PAGEREF _Toc109398644 \h </w:instrText>
      </w:r>
      <w:r>
        <w:rPr>
          <w:color w:val="auto"/>
        </w:rPr>
        <w:fldChar w:fldCharType="separate"/>
      </w:r>
      <w:r>
        <w:rPr>
          <w:color w:val="auto"/>
        </w:rPr>
        <w:t>154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"_Toc109398645" </w:instrText>
      </w:r>
      <w:r>
        <w:rPr>
          <w:color w:val="auto"/>
        </w:rPr>
        <w:fldChar w:fldCharType="separate"/>
      </w:r>
      <w:r>
        <w:rPr>
          <w:rStyle w:val="72"/>
          <w:color w:val="auto"/>
        </w:rPr>
        <w:t>6.2地表水质量现状监测与评价</w:t>
      </w:r>
      <w:r>
        <w:rPr>
          <w:color w:val="auto"/>
        </w:rPr>
        <w:tab/>
      </w:r>
      <w:r>
        <w:rPr>
          <w:color w:val="auto"/>
        </w:rPr>
        <w:fldChar w:fldCharType="begin"/>
      </w:r>
      <w:r>
        <w:rPr>
          <w:color w:val="auto"/>
        </w:rPr>
        <w:instrText xml:space="preserve"> PAGEREF _Toc109398645 \h </w:instrText>
      </w:r>
      <w:r>
        <w:rPr>
          <w:color w:val="auto"/>
        </w:rPr>
        <w:fldChar w:fldCharType="separate"/>
      </w:r>
      <w:r>
        <w:rPr>
          <w:color w:val="auto"/>
        </w:rPr>
        <w:t>158</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"_Toc109398646" </w:instrText>
      </w:r>
      <w:r>
        <w:rPr>
          <w:color w:val="auto"/>
        </w:rPr>
        <w:fldChar w:fldCharType="separate"/>
      </w:r>
      <w:r>
        <w:rPr>
          <w:rStyle w:val="72"/>
          <w:color w:val="auto"/>
        </w:rPr>
        <w:t>6.3地下水质量现状监测与评价</w:t>
      </w:r>
      <w:r>
        <w:rPr>
          <w:color w:val="auto"/>
        </w:rPr>
        <w:tab/>
      </w:r>
      <w:r>
        <w:rPr>
          <w:color w:val="auto"/>
        </w:rPr>
        <w:fldChar w:fldCharType="begin"/>
      </w:r>
      <w:r>
        <w:rPr>
          <w:color w:val="auto"/>
        </w:rPr>
        <w:instrText xml:space="preserve"> PAGEREF _Toc109398646 \h </w:instrText>
      </w:r>
      <w:r>
        <w:rPr>
          <w:color w:val="auto"/>
        </w:rPr>
        <w:fldChar w:fldCharType="separate"/>
      </w:r>
      <w:r>
        <w:rPr>
          <w:color w:val="auto"/>
        </w:rPr>
        <w:t>158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"_Toc109398647" </w:instrText>
      </w:r>
      <w:r>
        <w:rPr>
          <w:color w:val="auto"/>
        </w:rPr>
        <w:fldChar w:fldCharType="separate"/>
      </w:r>
      <w:r>
        <w:rPr>
          <w:rStyle w:val="72"/>
          <w:color w:val="auto"/>
        </w:rPr>
        <w:t>6.3.1监测点位布设情况</w:t>
      </w:r>
      <w:r>
        <w:rPr>
          <w:color w:val="auto"/>
        </w:rPr>
        <w:tab/>
      </w:r>
      <w:r>
        <w:rPr>
          <w:color w:val="auto"/>
        </w:rPr>
        <w:fldChar w:fldCharType="begin"/>
      </w:r>
      <w:r>
        <w:rPr>
          <w:color w:val="auto"/>
        </w:rPr>
        <w:instrText xml:space="preserve"> PAGEREF _Toc109398647 \h </w:instrText>
      </w:r>
      <w:r>
        <w:rPr>
          <w:color w:val="auto"/>
        </w:rPr>
        <w:fldChar w:fldCharType="separate"/>
      </w:r>
      <w:r>
        <w:rPr>
          <w:color w:val="auto"/>
        </w:rPr>
        <w:t>158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"_Toc109398648" </w:instrText>
      </w:r>
      <w:r>
        <w:rPr>
          <w:color w:val="auto"/>
        </w:rPr>
        <w:fldChar w:fldCharType="separate"/>
      </w:r>
      <w:r>
        <w:rPr>
          <w:rStyle w:val="72"/>
          <w:color w:val="auto"/>
        </w:rPr>
        <w:t>6.3.2监测分析方法</w:t>
      </w:r>
      <w:r>
        <w:rPr>
          <w:color w:val="auto"/>
        </w:rPr>
        <w:tab/>
      </w:r>
      <w:r>
        <w:rPr>
          <w:color w:val="auto"/>
        </w:rPr>
        <w:fldChar w:fldCharType="begin"/>
      </w:r>
      <w:r>
        <w:rPr>
          <w:color w:val="auto"/>
        </w:rPr>
        <w:instrText xml:space="preserve"> PAGEREF _Toc109398648 \h </w:instrText>
      </w:r>
      <w:r>
        <w:rPr>
          <w:color w:val="auto"/>
        </w:rPr>
        <w:fldChar w:fldCharType="separate"/>
      </w:r>
      <w:r>
        <w:rPr>
          <w:color w:val="auto"/>
        </w:rPr>
        <w:t>159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"_Toc109398649" </w:instrText>
      </w:r>
      <w:r>
        <w:rPr>
          <w:color w:val="auto"/>
        </w:rPr>
        <w:fldChar w:fldCharType="separate"/>
      </w:r>
      <w:r>
        <w:rPr>
          <w:rStyle w:val="72"/>
          <w:color w:val="auto"/>
        </w:rPr>
        <w:t>6.3.3监测结果统计</w:t>
      </w:r>
      <w:r>
        <w:rPr>
          <w:color w:val="auto"/>
        </w:rPr>
        <w:tab/>
      </w:r>
      <w:r>
        <w:rPr>
          <w:color w:val="auto"/>
        </w:rPr>
        <w:fldChar w:fldCharType="begin"/>
      </w:r>
      <w:r>
        <w:rPr>
          <w:color w:val="auto"/>
        </w:rPr>
        <w:instrText xml:space="preserve"> PAGEREF _Toc109398649 \h </w:instrText>
      </w:r>
      <w:r>
        <w:rPr>
          <w:color w:val="auto"/>
        </w:rPr>
        <w:fldChar w:fldCharType="separate"/>
      </w:r>
      <w:r>
        <w:rPr>
          <w:color w:val="auto"/>
        </w:rPr>
        <w:t>160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"_Toc109398650" </w:instrText>
      </w:r>
      <w:r>
        <w:rPr>
          <w:color w:val="auto"/>
        </w:rPr>
        <w:fldChar w:fldCharType="separate"/>
      </w:r>
      <w:r>
        <w:rPr>
          <w:rStyle w:val="72"/>
          <w:color w:val="auto"/>
        </w:rPr>
        <w:t>6.3.4地下水化学类型</w:t>
      </w:r>
      <w:r>
        <w:rPr>
          <w:color w:val="auto"/>
        </w:rPr>
        <w:tab/>
      </w:r>
      <w:r>
        <w:rPr>
          <w:color w:val="auto"/>
        </w:rPr>
        <w:fldChar w:fldCharType="begin"/>
      </w:r>
      <w:r>
        <w:rPr>
          <w:color w:val="auto"/>
        </w:rPr>
        <w:instrText xml:space="preserve"> PAGEREF _Toc109398650 \h </w:instrText>
      </w:r>
      <w:r>
        <w:rPr>
          <w:color w:val="auto"/>
        </w:rPr>
        <w:fldChar w:fldCharType="separate"/>
      </w:r>
      <w:r>
        <w:rPr>
          <w:color w:val="auto"/>
        </w:rPr>
        <w:t>161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"_Toc109398651" </w:instrText>
      </w:r>
      <w:r>
        <w:rPr>
          <w:color w:val="auto"/>
        </w:rPr>
        <w:fldChar w:fldCharType="separate"/>
      </w:r>
      <w:r>
        <w:rPr>
          <w:rStyle w:val="72"/>
          <w:color w:val="auto"/>
        </w:rPr>
        <w:t>6.3.5包气带现状污染调查</w:t>
      </w:r>
      <w:r>
        <w:rPr>
          <w:color w:val="auto"/>
        </w:rPr>
        <w:tab/>
      </w:r>
      <w:r>
        <w:rPr>
          <w:color w:val="auto"/>
        </w:rPr>
        <w:fldChar w:fldCharType="begin"/>
      </w:r>
      <w:r>
        <w:rPr>
          <w:color w:val="auto"/>
        </w:rPr>
        <w:instrText xml:space="preserve"> PAGEREF _Toc109398651 \h </w:instrText>
      </w:r>
      <w:r>
        <w:rPr>
          <w:color w:val="auto"/>
        </w:rPr>
        <w:fldChar w:fldCharType="separate"/>
      </w:r>
      <w:r>
        <w:rPr>
          <w:color w:val="auto"/>
        </w:rPr>
        <w:t>162</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"_Toc109398652" </w:instrText>
      </w:r>
      <w:r>
        <w:rPr>
          <w:color w:val="auto"/>
        </w:rPr>
        <w:fldChar w:fldCharType="separate"/>
      </w:r>
      <w:r>
        <w:rPr>
          <w:rStyle w:val="72"/>
          <w:color w:val="auto"/>
        </w:rPr>
        <w:t>6.3.6地下水质量现状评价</w:t>
      </w:r>
      <w:r>
        <w:rPr>
          <w:color w:val="auto"/>
        </w:rPr>
        <w:tab/>
      </w:r>
      <w:r>
        <w:rPr>
          <w:color w:val="auto"/>
        </w:rPr>
        <w:fldChar w:fldCharType="begin"/>
      </w:r>
      <w:r>
        <w:rPr>
          <w:color w:val="auto"/>
        </w:rPr>
        <w:instrText xml:space="preserve"> PAGEREF _Toc109398652 \h </w:instrText>
      </w:r>
      <w:r>
        <w:rPr>
          <w:color w:val="auto"/>
        </w:rPr>
        <w:fldChar w:fldCharType="separate"/>
      </w:r>
      <w:r>
        <w:rPr>
          <w:color w:val="auto"/>
        </w:rPr>
        <w:t>163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"_Toc109398653" </w:instrText>
      </w:r>
      <w:r>
        <w:rPr>
          <w:color w:val="auto"/>
        </w:rPr>
        <w:fldChar w:fldCharType="separate"/>
      </w:r>
      <w:r>
        <w:rPr>
          <w:rStyle w:val="72"/>
          <w:color w:val="auto"/>
        </w:rPr>
        <w:t>6.4声环境质量现状监测与评价</w:t>
      </w:r>
      <w:r>
        <w:rPr>
          <w:color w:val="auto"/>
        </w:rPr>
        <w:tab/>
      </w:r>
      <w:r>
        <w:rPr>
          <w:color w:val="auto"/>
        </w:rPr>
        <w:fldChar w:fldCharType="begin"/>
      </w:r>
      <w:r>
        <w:rPr>
          <w:color w:val="auto"/>
        </w:rPr>
        <w:instrText xml:space="preserve"> PAGEREF _Toc109398653 \h </w:instrText>
      </w:r>
      <w:r>
        <w:rPr>
          <w:color w:val="auto"/>
        </w:rPr>
        <w:fldChar w:fldCharType="separate"/>
      </w:r>
      <w:r>
        <w:rPr>
          <w:color w:val="auto"/>
        </w:rPr>
        <w:t>165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"_Toc109398654" </w:instrText>
      </w:r>
      <w:r>
        <w:rPr>
          <w:color w:val="auto"/>
        </w:rPr>
        <w:fldChar w:fldCharType="separate"/>
      </w:r>
      <w:r>
        <w:rPr>
          <w:rStyle w:val="72"/>
          <w:color w:val="auto"/>
        </w:rPr>
        <w:t>6.4.1监测点布设情况</w:t>
      </w:r>
      <w:r>
        <w:rPr>
          <w:color w:val="auto"/>
        </w:rPr>
        <w:tab/>
      </w:r>
      <w:r>
        <w:rPr>
          <w:color w:val="auto"/>
        </w:rPr>
        <w:fldChar w:fldCharType="begin"/>
      </w:r>
      <w:r>
        <w:rPr>
          <w:color w:val="auto"/>
        </w:rPr>
        <w:instrText xml:space="preserve"> PAGEREF _Toc109398654 \h </w:instrText>
      </w:r>
      <w:r>
        <w:rPr>
          <w:color w:val="auto"/>
        </w:rPr>
        <w:fldChar w:fldCharType="separate"/>
      </w:r>
      <w:r>
        <w:rPr>
          <w:color w:val="auto"/>
        </w:rPr>
        <w:t>165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"_Toc109398655" </w:instrText>
      </w:r>
      <w:r>
        <w:rPr>
          <w:color w:val="auto"/>
        </w:rPr>
        <w:fldChar w:fldCharType="separate"/>
      </w:r>
      <w:r>
        <w:rPr>
          <w:rStyle w:val="72"/>
          <w:color w:val="auto"/>
        </w:rPr>
        <w:t>6.4.2评价结论</w:t>
      </w:r>
      <w:r>
        <w:rPr>
          <w:color w:val="auto"/>
        </w:rPr>
        <w:tab/>
      </w:r>
      <w:r>
        <w:rPr>
          <w:color w:val="auto"/>
        </w:rPr>
        <w:fldChar w:fldCharType="begin"/>
      </w:r>
      <w:r>
        <w:rPr>
          <w:color w:val="auto"/>
        </w:rPr>
        <w:instrText xml:space="preserve"> PAGEREF _Toc109398655 \h </w:instrText>
      </w:r>
      <w:r>
        <w:rPr>
          <w:color w:val="auto"/>
        </w:rPr>
        <w:fldChar w:fldCharType="separate"/>
      </w:r>
      <w:r>
        <w:rPr>
          <w:color w:val="auto"/>
        </w:rPr>
        <w:t>166</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"_Toc109398656" </w:instrText>
      </w:r>
      <w:r>
        <w:rPr>
          <w:color w:val="auto"/>
        </w:rPr>
        <w:fldChar w:fldCharType="separate"/>
      </w:r>
      <w:r>
        <w:rPr>
          <w:rStyle w:val="72"/>
          <w:color w:val="auto"/>
        </w:rPr>
        <w:t>6.5土壤现状监测与评价</w:t>
      </w:r>
      <w:r>
        <w:rPr>
          <w:color w:val="auto"/>
        </w:rPr>
        <w:tab/>
      </w:r>
      <w:r>
        <w:rPr>
          <w:color w:val="auto"/>
        </w:rPr>
        <w:fldChar w:fldCharType="begin"/>
      </w:r>
      <w:r>
        <w:rPr>
          <w:color w:val="auto"/>
        </w:rPr>
        <w:instrText xml:space="preserve"> PAGEREF _Toc109398656 \h </w:instrText>
      </w:r>
      <w:r>
        <w:rPr>
          <w:color w:val="auto"/>
        </w:rPr>
        <w:fldChar w:fldCharType="separate"/>
      </w:r>
      <w:r>
        <w:rPr>
          <w:color w:val="auto"/>
        </w:rPr>
        <w:t>166</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"_Toc109398657" </w:instrText>
      </w:r>
      <w:r>
        <w:rPr>
          <w:color w:val="auto"/>
        </w:rPr>
        <w:fldChar w:fldCharType="separate"/>
      </w:r>
      <w:r>
        <w:rPr>
          <w:rStyle w:val="72"/>
          <w:color w:val="auto"/>
        </w:rPr>
        <w:t>6.5.1监测点位布设</w:t>
      </w:r>
      <w:r>
        <w:rPr>
          <w:color w:val="auto"/>
        </w:rPr>
        <w:tab/>
      </w:r>
      <w:r>
        <w:rPr>
          <w:color w:val="auto"/>
        </w:rPr>
        <w:fldChar w:fldCharType="begin"/>
      </w:r>
      <w:r>
        <w:rPr>
          <w:color w:val="auto"/>
        </w:rPr>
        <w:instrText xml:space="preserve"> PAGEREF _Toc109398657 \h </w:instrText>
      </w:r>
      <w:r>
        <w:rPr>
          <w:color w:val="auto"/>
        </w:rPr>
        <w:fldChar w:fldCharType="separate"/>
      </w:r>
      <w:r>
        <w:rPr>
          <w:color w:val="auto"/>
        </w:rPr>
        <w:t>166</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"_Toc109398658" </w:instrText>
      </w:r>
      <w:r>
        <w:rPr>
          <w:color w:val="auto"/>
        </w:rPr>
        <w:fldChar w:fldCharType="separate"/>
      </w:r>
      <w:r>
        <w:rPr>
          <w:rStyle w:val="72"/>
          <w:color w:val="auto"/>
        </w:rPr>
        <w:t>6.5.2监测分析方法</w:t>
      </w:r>
      <w:r>
        <w:rPr>
          <w:color w:val="auto"/>
        </w:rPr>
        <w:tab/>
      </w:r>
      <w:r>
        <w:rPr>
          <w:color w:val="auto"/>
        </w:rPr>
        <w:fldChar w:fldCharType="begin"/>
      </w:r>
      <w:r>
        <w:rPr>
          <w:color w:val="auto"/>
        </w:rPr>
        <w:instrText xml:space="preserve"> PAGEREF _Toc109398658 \h </w:instrText>
      </w:r>
      <w:r>
        <w:rPr>
          <w:color w:val="auto"/>
        </w:rPr>
        <w:fldChar w:fldCharType="separate"/>
      </w:r>
      <w:r>
        <w:rPr>
          <w:color w:val="auto"/>
        </w:rPr>
        <w:t>167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"_Toc109398659" </w:instrText>
      </w:r>
      <w:r>
        <w:rPr>
          <w:color w:val="auto"/>
        </w:rPr>
        <w:fldChar w:fldCharType="separate"/>
      </w:r>
      <w:r>
        <w:rPr>
          <w:rStyle w:val="72"/>
          <w:color w:val="auto"/>
        </w:rPr>
        <w:t>6.5.3监测结果统计</w:t>
      </w:r>
      <w:r>
        <w:rPr>
          <w:color w:val="auto"/>
        </w:rPr>
        <w:tab/>
      </w:r>
      <w:r>
        <w:rPr>
          <w:color w:val="auto"/>
        </w:rPr>
        <w:fldChar w:fldCharType="begin"/>
      </w:r>
      <w:r>
        <w:rPr>
          <w:color w:val="auto"/>
        </w:rPr>
        <w:instrText xml:space="preserve"> PAGEREF _Toc109398659 \h </w:instrText>
      </w:r>
      <w:r>
        <w:rPr>
          <w:color w:val="auto"/>
        </w:rPr>
        <w:fldChar w:fldCharType="separate"/>
      </w:r>
      <w:r>
        <w:rPr>
          <w:color w:val="auto"/>
        </w:rPr>
        <w:t>170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"_Toc109398660" </w:instrText>
      </w:r>
      <w:r>
        <w:rPr>
          <w:color w:val="auto"/>
        </w:rPr>
        <w:fldChar w:fldCharType="separate"/>
      </w:r>
      <w:r>
        <w:rPr>
          <w:rStyle w:val="72"/>
          <w:color w:val="auto"/>
        </w:rPr>
        <w:t>6.5.4土壤理化性质调查</w:t>
      </w:r>
      <w:r>
        <w:rPr>
          <w:color w:val="auto"/>
        </w:rPr>
        <w:tab/>
      </w:r>
      <w:r>
        <w:rPr>
          <w:color w:val="auto"/>
        </w:rPr>
        <w:fldChar w:fldCharType="begin"/>
      </w:r>
      <w:r>
        <w:rPr>
          <w:color w:val="auto"/>
        </w:rPr>
        <w:instrText xml:space="preserve"> PAGEREF _Toc109398660 \h </w:instrText>
      </w:r>
      <w:r>
        <w:rPr>
          <w:color w:val="auto"/>
        </w:rPr>
        <w:fldChar w:fldCharType="separate"/>
      </w:r>
      <w:r>
        <w:rPr>
          <w:color w:val="auto"/>
        </w:rPr>
        <w:t>177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"_Toc109398661" </w:instrText>
      </w:r>
      <w:r>
        <w:rPr>
          <w:color w:val="auto"/>
        </w:rPr>
        <w:fldChar w:fldCharType="separate"/>
      </w:r>
      <w:r>
        <w:rPr>
          <w:rStyle w:val="72"/>
          <w:color w:val="auto"/>
        </w:rPr>
        <w:t>6.5.5评价结论</w:t>
      </w:r>
      <w:r>
        <w:rPr>
          <w:color w:val="auto"/>
        </w:rPr>
        <w:tab/>
      </w:r>
      <w:r>
        <w:rPr>
          <w:color w:val="auto"/>
        </w:rPr>
        <w:fldChar w:fldCharType="begin"/>
      </w:r>
      <w:r>
        <w:rPr>
          <w:color w:val="auto"/>
        </w:rPr>
        <w:instrText xml:space="preserve"> PAGEREF _Toc109398661 \h </w:instrText>
      </w:r>
      <w:r>
        <w:rPr>
          <w:color w:val="auto"/>
        </w:rPr>
        <w:fldChar w:fldCharType="separate"/>
      </w:r>
      <w:r>
        <w:rPr>
          <w:color w:val="auto"/>
        </w:rPr>
        <w:t>179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"_Toc109398662" </w:instrText>
      </w:r>
      <w:r>
        <w:rPr>
          <w:color w:val="auto"/>
        </w:rPr>
        <w:fldChar w:fldCharType="separate"/>
      </w:r>
      <w:r>
        <w:rPr>
          <w:rStyle w:val="72"/>
          <w:color w:val="auto"/>
        </w:rPr>
        <w:t>6.6生态环境质量现状调查与评价</w:t>
      </w:r>
      <w:r>
        <w:rPr>
          <w:color w:val="auto"/>
        </w:rPr>
        <w:tab/>
      </w:r>
      <w:r>
        <w:rPr>
          <w:color w:val="auto"/>
        </w:rPr>
        <w:fldChar w:fldCharType="begin"/>
      </w:r>
      <w:r>
        <w:rPr>
          <w:color w:val="auto"/>
        </w:rPr>
        <w:instrText xml:space="preserve"> PAGEREF _Toc109398662 \h </w:instrText>
      </w:r>
      <w:r>
        <w:rPr>
          <w:color w:val="auto"/>
        </w:rPr>
        <w:fldChar w:fldCharType="separate"/>
      </w:r>
      <w:r>
        <w:rPr>
          <w:color w:val="auto"/>
        </w:rPr>
        <w:t>180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"_Toc109398663" </w:instrText>
      </w:r>
      <w:r>
        <w:rPr>
          <w:color w:val="auto"/>
        </w:rPr>
        <w:fldChar w:fldCharType="separate"/>
      </w:r>
      <w:r>
        <w:rPr>
          <w:rStyle w:val="72"/>
          <w:color w:val="auto"/>
        </w:rPr>
        <w:t>6.6.1植被分布情况</w:t>
      </w:r>
      <w:r>
        <w:rPr>
          <w:color w:val="auto"/>
        </w:rPr>
        <w:tab/>
      </w:r>
      <w:r>
        <w:rPr>
          <w:color w:val="auto"/>
        </w:rPr>
        <w:fldChar w:fldCharType="begin"/>
      </w:r>
      <w:r>
        <w:rPr>
          <w:color w:val="auto"/>
        </w:rPr>
        <w:instrText xml:space="preserve"> PAGEREF _Toc109398663 \h </w:instrText>
      </w:r>
      <w:r>
        <w:rPr>
          <w:color w:val="auto"/>
        </w:rPr>
        <w:fldChar w:fldCharType="separate"/>
      </w:r>
      <w:r>
        <w:rPr>
          <w:color w:val="auto"/>
        </w:rPr>
        <w:t>180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"_Toc109398664" </w:instrText>
      </w:r>
      <w:r>
        <w:rPr>
          <w:color w:val="auto"/>
        </w:rPr>
        <w:fldChar w:fldCharType="separate"/>
      </w:r>
      <w:r>
        <w:rPr>
          <w:rStyle w:val="72"/>
          <w:color w:val="auto"/>
        </w:rPr>
        <w:t>6.6.2动物分布情况</w:t>
      </w:r>
      <w:r>
        <w:rPr>
          <w:color w:val="auto"/>
        </w:rPr>
        <w:tab/>
      </w:r>
      <w:r>
        <w:rPr>
          <w:color w:val="auto"/>
        </w:rPr>
        <w:fldChar w:fldCharType="begin"/>
      </w:r>
      <w:r>
        <w:rPr>
          <w:color w:val="auto"/>
        </w:rPr>
        <w:instrText xml:space="preserve"> PAGEREF _Toc109398664 \h </w:instrText>
      </w:r>
      <w:r>
        <w:rPr>
          <w:color w:val="auto"/>
        </w:rPr>
        <w:fldChar w:fldCharType="separate"/>
      </w:r>
      <w:r>
        <w:rPr>
          <w:color w:val="auto"/>
        </w:rPr>
        <w:t>180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"_Toc109398665" </w:instrText>
      </w:r>
      <w:r>
        <w:rPr>
          <w:color w:val="auto"/>
        </w:rPr>
        <w:fldChar w:fldCharType="separate"/>
      </w:r>
      <w:r>
        <w:rPr>
          <w:rStyle w:val="72"/>
          <w:color w:val="auto"/>
        </w:rPr>
        <w:t>6.6.3水土流失</w:t>
      </w:r>
      <w:r>
        <w:rPr>
          <w:color w:val="auto"/>
        </w:rPr>
        <w:tab/>
      </w:r>
      <w:r>
        <w:rPr>
          <w:color w:val="auto"/>
        </w:rPr>
        <w:fldChar w:fldCharType="begin"/>
      </w:r>
      <w:r>
        <w:rPr>
          <w:color w:val="auto"/>
        </w:rPr>
        <w:instrText xml:space="preserve"> PAGEREF _Toc109398665 \h </w:instrText>
      </w:r>
      <w:r>
        <w:rPr>
          <w:color w:val="auto"/>
        </w:rPr>
        <w:fldChar w:fldCharType="separate"/>
      </w:r>
      <w:r>
        <w:rPr>
          <w:color w:val="auto"/>
        </w:rPr>
        <w:t>180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"_Toc109398666" </w:instrText>
      </w:r>
      <w:r>
        <w:rPr>
          <w:color w:val="auto"/>
        </w:rPr>
        <w:fldChar w:fldCharType="separate"/>
      </w:r>
      <w:r>
        <w:rPr>
          <w:rStyle w:val="72"/>
          <w:color w:val="auto"/>
        </w:rPr>
        <w:t>6.6.4生态功能区划</w:t>
      </w:r>
      <w:r>
        <w:rPr>
          <w:color w:val="auto"/>
        </w:rPr>
        <w:tab/>
      </w:r>
      <w:r>
        <w:rPr>
          <w:color w:val="auto"/>
        </w:rPr>
        <w:fldChar w:fldCharType="begin"/>
      </w:r>
      <w:r>
        <w:rPr>
          <w:color w:val="auto"/>
        </w:rPr>
        <w:instrText xml:space="preserve"> PAGEREF _Toc109398666 \h </w:instrText>
      </w:r>
      <w:r>
        <w:rPr>
          <w:color w:val="auto"/>
        </w:rPr>
        <w:fldChar w:fldCharType="separate"/>
      </w:r>
      <w:r>
        <w:rPr>
          <w:color w:val="auto"/>
        </w:rPr>
        <w:t>180</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"_Toc109398667" </w:instrText>
      </w:r>
      <w:r>
        <w:rPr>
          <w:color w:val="auto"/>
        </w:rPr>
        <w:fldChar w:fldCharType="separate"/>
      </w:r>
      <w:r>
        <w:rPr>
          <w:rStyle w:val="72"/>
          <w:color w:val="auto"/>
        </w:rPr>
        <w:t>7环境影响预测与评价</w:t>
      </w:r>
      <w:r>
        <w:rPr>
          <w:color w:val="auto"/>
        </w:rPr>
        <w:tab/>
      </w:r>
      <w:r>
        <w:rPr>
          <w:color w:val="auto"/>
        </w:rPr>
        <w:fldChar w:fldCharType="begin"/>
      </w:r>
      <w:r>
        <w:rPr>
          <w:color w:val="auto"/>
        </w:rPr>
        <w:instrText xml:space="preserve"> PAGEREF _Toc109398667 \h </w:instrText>
      </w:r>
      <w:r>
        <w:rPr>
          <w:color w:val="auto"/>
        </w:rPr>
        <w:fldChar w:fldCharType="separate"/>
      </w:r>
      <w:r>
        <w:rPr>
          <w:color w:val="auto"/>
        </w:rPr>
        <w:t>181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"_Toc109398668" </w:instrText>
      </w:r>
      <w:r>
        <w:rPr>
          <w:color w:val="auto"/>
        </w:rPr>
        <w:fldChar w:fldCharType="separate"/>
      </w:r>
      <w:r>
        <w:rPr>
          <w:rStyle w:val="72"/>
          <w:color w:val="auto"/>
        </w:rPr>
        <w:t>7.1施工期环境影响预测与评价</w:t>
      </w:r>
      <w:r>
        <w:rPr>
          <w:color w:val="auto"/>
        </w:rPr>
        <w:tab/>
      </w:r>
      <w:r>
        <w:rPr>
          <w:color w:val="auto"/>
        </w:rPr>
        <w:fldChar w:fldCharType="begin"/>
      </w:r>
      <w:r>
        <w:rPr>
          <w:color w:val="auto"/>
        </w:rPr>
        <w:instrText xml:space="preserve"> PAGEREF _Toc109398668 \h </w:instrText>
      </w:r>
      <w:r>
        <w:rPr>
          <w:color w:val="auto"/>
        </w:rPr>
        <w:fldChar w:fldCharType="separate"/>
      </w:r>
      <w:r>
        <w:rPr>
          <w:color w:val="auto"/>
        </w:rPr>
        <w:t>181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"_Toc109398669" </w:instrText>
      </w:r>
      <w:r>
        <w:rPr>
          <w:color w:val="auto"/>
        </w:rPr>
        <w:fldChar w:fldCharType="separate"/>
      </w:r>
      <w:r>
        <w:rPr>
          <w:rStyle w:val="72"/>
          <w:color w:val="auto"/>
        </w:rPr>
        <w:t>7.2运营期环境空气影响预测与评价</w:t>
      </w:r>
      <w:r>
        <w:rPr>
          <w:color w:val="auto"/>
        </w:rPr>
        <w:tab/>
      </w:r>
      <w:r>
        <w:rPr>
          <w:color w:val="auto"/>
        </w:rPr>
        <w:fldChar w:fldCharType="begin"/>
      </w:r>
      <w:r>
        <w:rPr>
          <w:color w:val="auto"/>
        </w:rPr>
        <w:instrText xml:space="preserve"> PAGEREF _Toc109398669 \h </w:instrText>
      </w:r>
      <w:r>
        <w:rPr>
          <w:color w:val="auto"/>
        </w:rPr>
        <w:fldChar w:fldCharType="separate"/>
      </w:r>
      <w:r>
        <w:rPr>
          <w:color w:val="auto"/>
        </w:rPr>
        <w:t>181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"_Toc109398670" </w:instrText>
      </w:r>
      <w:r>
        <w:rPr>
          <w:color w:val="auto"/>
        </w:rPr>
        <w:fldChar w:fldCharType="separate"/>
      </w:r>
      <w:r>
        <w:rPr>
          <w:rStyle w:val="72"/>
          <w:color w:val="auto"/>
        </w:rPr>
        <w:t>7.2.1气象数据统计</w:t>
      </w:r>
      <w:r>
        <w:rPr>
          <w:color w:val="auto"/>
        </w:rPr>
        <w:tab/>
      </w:r>
      <w:r>
        <w:rPr>
          <w:color w:val="auto"/>
        </w:rPr>
        <w:fldChar w:fldCharType="begin"/>
      </w:r>
      <w:r>
        <w:rPr>
          <w:color w:val="auto"/>
        </w:rPr>
        <w:instrText xml:space="preserve"> PAGEREF _Toc109398670 \h </w:instrText>
      </w:r>
      <w:r>
        <w:rPr>
          <w:color w:val="auto"/>
        </w:rPr>
        <w:fldChar w:fldCharType="separate"/>
      </w:r>
      <w:r>
        <w:rPr>
          <w:color w:val="auto"/>
        </w:rPr>
        <w:t>181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"_Toc109398671" </w:instrText>
      </w:r>
      <w:r>
        <w:rPr>
          <w:color w:val="auto"/>
        </w:rPr>
        <w:fldChar w:fldCharType="separate"/>
      </w:r>
      <w:r>
        <w:rPr>
          <w:rStyle w:val="72"/>
          <w:color w:val="auto"/>
        </w:rPr>
        <w:t>7.2.2环境空气影响预测与评价</w:t>
      </w:r>
      <w:r>
        <w:rPr>
          <w:color w:val="auto"/>
        </w:rPr>
        <w:tab/>
      </w:r>
      <w:r>
        <w:rPr>
          <w:color w:val="auto"/>
        </w:rPr>
        <w:fldChar w:fldCharType="begin"/>
      </w:r>
      <w:r>
        <w:rPr>
          <w:color w:val="auto"/>
        </w:rPr>
        <w:instrText xml:space="preserve"> PAGEREF _Toc109398671 \h </w:instrText>
      </w:r>
      <w:r>
        <w:rPr>
          <w:color w:val="auto"/>
        </w:rPr>
        <w:fldChar w:fldCharType="separate"/>
      </w:r>
      <w:r>
        <w:rPr>
          <w:color w:val="auto"/>
        </w:rPr>
        <w:t>183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"_Toc109398672" </w:instrText>
      </w:r>
      <w:r>
        <w:rPr>
          <w:color w:val="auto"/>
        </w:rPr>
        <w:fldChar w:fldCharType="separate"/>
      </w:r>
      <w:r>
        <w:rPr>
          <w:rStyle w:val="72"/>
          <w:color w:val="auto"/>
        </w:rPr>
        <w:t>7.3运营期地表水环境影响分析及评价</w:t>
      </w:r>
      <w:r>
        <w:rPr>
          <w:color w:val="auto"/>
        </w:rPr>
        <w:tab/>
      </w:r>
      <w:r>
        <w:rPr>
          <w:color w:val="auto"/>
        </w:rPr>
        <w:fldChar w:fldCharType="begin"/>
      </w:r>
      <w:r>
        <w:rPr>
          <w:color w:val="auto"/>
        </w:rPr>
        <w:instrText xml:space="preserve"> PAGEREF _Toc109398672 \h </w:instrText>
      </w:r>
      <w:r>
        <w:rPr>
          <w:color w:val="auto"/>
        </w:rPr>
        <w:fldChar w:fldCharType="separate"/>
      </w:r>
      <w:r>
        <w:rPr>
          <w:color w:val="auto"/>
        </w:rPr>
        <w:t>192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"_Toc109398673" </w:instrText>
      </w:r>
      <w:r>
        <w:rPr>
          <w:color w:val="auto"/>
        </w:rPr>
        <w:fldChar w:fldCharType="separate"/>
      </w:r>
      <w:r>
        <w:rPr>
          <w:rStyle w:val="72"/>
          <w:color w:val="auto"/>
        </w:rPr>
        <w:t>7.4运营期地下水环境影响分析及评价</w:t>
      </w:r>
      <w:r>
        <w:rPr>
          <w:color w:val="auto"/>
        </w:rPr>
        <w:tab/>
      </w:r>
      <w:r>
        <w:rPr>
          <w:color w:val="auto"/>
        </w:rPr>
        <w:fldChar w:fldCharType="begin"/>
      </w:r>
      <w:r>
        <w:rPr>
          <w:color w:val="auto"/>
        </w:rPr>
        <w:instrText xml:space="preserve"> PAGEREF _Toc109398673 \h </w:instrText>
      </w:r>
      <w:r>
        <w:rPr>
          <w:color w:val="auto"/>
        </w:rPr>
        <w:fldChar w:fldCharType="separate"/>
      </w:r>
      <w:r>
        <w:rPr>
          <w:color w:val="auto"/>
        </w:rPr>
        <w:t>196</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"_Toc109398674" </w:instrText>
      </w:r>
      <w:r>
        <w:rPr>
          <w:color w:val="auto"/>
        </w:rPr>
        <w:fldChar w:fldCharType="separate"/>
      </w:r>
      <w:r>
        <w:rPr>
          <w:rStyle w:val="72"/>
          <w:color w:val="auto"/>
        </w:rPr>
        <w:t>7.4.1区域水文地质条件</w:t>
      </w:r>
      <w:r>
        <w:rPr>
          <w:color w:val="auto"/>
        </w:rPr>
        <w:tab/>
      </w:r>
      <w:r>
        <w:rPr>
          <w:color w:val="auto"/>
        </w:rPr>
        <w:fldChar w:fldCharType="begin"/>
      </w:r>
      <w:r>
        <w:rPr>
          <w:color w:val="auto"/>
        </w:rPr>
        <w:instrText xml:space="preserve"> PAGEREF _Toc109398674 \h </w:instrText>
      </w:r>
      <w:r>
        <w:rPr>
          <w:color w:val="auto"/>
        </w:rPr>
        <w:fldChar w:fldCharType="separate"/>
      </w:r>
      <w:r>
        <w:rPr>
          <w:color w:val="auto"/>
        </w:rPr>
        <w:t>196</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"_Toc109398675" </w:instrText>
      </w:r>
      <w:r>
        <w:rPr>
          <w:color w:val="auto"/>
        </w:rPr>
        <w:fldChar w:fldCharType="separate"/>
      </w:r>
      <w:r>
        <w:rPr>
          <w:rStyle w:val="72"/>
          <w:color w:val="auto"/>
        </w:rPr>
        <w:t>7.4.2本项目厂区水文地质条件</w:t>
      </w:r>
      <w:r>
        <w:rPr>
          <w:color w:val="auto"/>
        </w:rPr>
        <w:tab/>
      </w:r>
      <w:r>
        <w:rPr>
          <w:color w:val="auto"/>
        </w:rPr>
        <w:fldChar w:fldCharType="begin"/>
      </w:r>
      <w:r>
        <w:rPr>
          <w:color w:val="auto"/>
        </w:rPr>
        <w:instrText xml:space="preserve"> PAGEREF _Toc109398675 \h </w:instrText>
      </w:r>
      <w:r>
        <w:rPr>
          <w:color w:val="auto"/>
        </w:rPr>
        <w:fldChar w:fldCharType="separate"/>
      </w:r>
      <w:r>
        <w:rPr>
          <w:color w:val="auto"/>
        </w:rPr>
        <w:t>198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"_Toc109398676" </w:instrText>
      </w:r>
      <w:r>
        <w:rPr>
          <w:color w:val="auto"/>
        </w:rPr>
        <w:fldChar w:fldCharType="separate"/>
      </w:r>
      <w:r>
        <w:rPr>
          <w:rStyle w:val="72"/>
          <w:color w:val="auto"/>
        </w:rPr>
        <w:t>7.4.3地下水环境影响分析与预测</w:t>
      </w:r>
      <w:r>
        <w:rPr>
          <w:color w:val="auto"/>
        </w:rPr>
        <w:tab/>
      </w:r>
      <w:r>
        <w:rPr>
          <w:color w:val="auto"/>
        </w:rPr>
        <w:fldChar w:fldCharType="begin"/>
      </w:r>
      <w:r>
        <w:rPr>
          <w:color w:val="auto"/>
        </w:rPr>
        <w:instrText xml:space="preserve"> PAGEREF _Toc109398676 \h </w:instrText>
      </w:r>
      <w:r>
        <w:rPr>
          <w:color w:val="auto"/>
        </w:rPr>
        <w:fldChar w:fldCharType="separate"/>
      </w:r>
      <w:r>
        <w:rPr>
          <w:color w:val="auto"/>
        </w:rPr>
        <w:t>201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"_Toc109398677" </w:instrText>
      </w:r>
      <w:r>
        <w:rPr>
          <w:color w:val="auto"/>
        </w:rPr>
        <w:fldChar w:fldCharType="separate"/>
      </w:r>
      <w:r>
        <w:rPr>
          <w:rStyle w:val="72"/>
          <w:color w:val="auto"/>
        </w:rPr>
        <w:t>7.4.4地下水环境影响评价结论</w:t>
      </w:r>
      <w:r>
        <w:rPr>
          <w:color w:val="auto"/>
        </w:rPr>
        <w:tab/>
      </w:r>
      <w:r>
        <w:rPr>
          <w:color w:val="auto"/>
        </w:rPr>
        <w:fldChar w:fldCharType="begin"/>
      </w:r>
      <w:r>
        <w:rPr>
          <w:color w:val="auto"/>
        </w:rPr>
        <w:instrText xml:space="preserve"> PAGEREF _Toc109398677 \h </w:instrText>
      </w:r>
      <w:r>
        <w:rPr>
          <w:color w:val="auto"/>
        </w:rPr>
        <w:fldChar w:fldCharType="separate"/>
      </w:r>
      <w:r>
        <w:rPr>
          <w:color w:val="auto"/>
        </w:rPr>
        <w:t>207</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"_Toc109398678" </w:instrText>
      </w:r>
      <w:r>
        <w:rPr>
          <w:color w:val="auto"/>
        </w:rPr>
        <w:fldChar w:fldCharType="separate"/>
      </w:r>
      <w:r>
        <w:rPr>
          <w:rStyle w:val="72"/>
          <w:color w:val="auto"/>
        </w:rPr>
        <w:t>7.5运营期声环境影响分析及评价</w:t>
      </w:r>
      <w:r>
        <w:rPr>
          <w:color w:val="auto"/>
        </w:rPr>
        <w:tab/>
      </w:r>
      <w:r>
        <w:rPr>
          <w:color w:val="auto"/>
        </w:rPr>
        <w:fldChar w:fldCharType="begin"/>
      </w:r>
      <w:r>
        <w:rPr>
          <w:color w:val="auto"/>
        </w:rPr>
        <w:instrText xml:space="preserve"> PAGEREF _Toc109398678 \h </w:instrText>
      </w:r>
      <w:r>
        <w:rPr>
          <w:color w:val="auto"/>
        </w:rPr>
        <w:fldChar w:fldCharType="separate"/>
      </w:r>
      <w:r>
        <w:rPr>
          <w:color w:val="auto"/>
        </w:rPr>
        <w:t>207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"_Toc109398679" </w:instrText>
      </w:r>
      <w:r>
        <w:rPr>
          <w:color w:val="auto"/>
        </w:rPr>
        <w:fldChar w:fldCharType="separate"/>
      </w:r>
      <w:r>
        <w:rPr>
          <w:rStyle w:val="72"/>
          <w:color w:val="auto"/>
        </w:rPr>
        <w:t>7.5.1预测模式</w:t>
      </w:r>
      <w:r>
        <w:rPr>
          <w:color w:val="auto"/>
        </w:rPr>
        <w:tab/>
      </w:r>
      <w:r>
        <w:rPr>
          <w:color w:val="auto"/>
        </w:rPr>
        <w:fldChar w:fldCharType="begin"/>
      </w:r>
      <w:r>
        <w:rPr>
          <w:color w:val="auto"/>
        </w:rPr>
        <w:instrText xml:space="preserve"> PAGEREF _Toc109398679 \h </w:instrText>
      </w:r>
      <w:r>
        <w:rPr>
          <w:color w:val="auto"/>
        </w:rPr>
        <w:fldChar w:fldCharType="separate"/>
      </w:r>
      <w:r>
        <w:rPr>
          <w:color w:val="auto"/>
        </w:rPr>
        <w:t>208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"_Toc109398680" </w:instrText>
      </w:r>
      <w:r>
        <w:rPr>
          <w:color w:val="auto"/>
        </w:rPr>
        <w:fldChar w:fldCharType="separate"/>
      </w:r>
      <w:r>
        <w:rPr>
          <w:rStyle w:val="72"/>
          <w:color w:val="auto"/>
        </w:rPr>
        <w:t>7.5.2预测结果</w:t>
      </w:r>
      <w:r>
        <w:rPr>
          <w:color w:val="auto"/>
        </w:rPr>
        <w:tab/>
      </w:r>
      <w:r>
        <w:rPr>
          <w:color w:val="auto"/>
        </w:rPr>
        <w:fldChar w:fldCharType="begin"/>
      </w:r>
      <w:r>
        <w:rPr>
          <w:color w:val="auto"/>
        </w:rPr>
        <w:instrText xml:space="preserve"> PAGEREF _Toc109398680 \h </w:instrText>
      </w:r>
      <w:r>
        <w:rPr>
          <w:color w:val="auto"/>
        </w:rPr>
        <w:fldChar w:fldCharType="separate"/>
      </w:r>
      <w:r>
        <w:rPr>
          <w:color w:val="auto"/>
        </w:rPr>
        <w:t>209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"_Toc109398681" </w:instrText>
      </w:r>
      <w:r>
        <w:rPr>
          <w:color w:val="auto"/>
        </w:rPr>
        <w:fldChar w:fldCharType="separate"/>
      </w:r>
      <w:r>
        <w:rPr>
          <w:rStyle w:val="72"/>
          <w:color w:val="auto"/>
        </w:rPr>
        <w:t>7.6运营期固体废物环境影响分析及评价</w:t>
      </w:r>
      <w:r>
        <w:rPr>
          <w:color w:val="auto"/>
        </w:rPr>
        <w:tab/>
      </w:r>
      <w:r>
        <w:rPr>
          <w:color w:val="auto"/>
        </w:rPr>
        <w:fldChar w:fldCharType="begin"/>
      </w:r>
      <w:r>
        <w:rPr>
          <w:color w:val="auto"/>
        </w:rPr>
        <w:instrText xml:space="preserve"> PAGEREF _Toc109398681 \h </w:instrText>
      </w:r>
      <w:r>
        <w:rPr>
          <w:color w:val="auto"/>
        </w:rPr>
        <w:fldChar w:fldCharType="separate"/>
      </w:r>
      <w:r>
        <w:rPr>
          <w:color w:val="auto"/>
        </w:rPr>
        <w:t>210</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"_Toc109398682" </w:instrText>
      </w:r>
      <w:r>
        <w:rPr>
          <w:color w:val="auto"/>
        </w:rPr>
        <w:fldChar w:fldCharType="separate"/>
      </w:r>
      <w:r>
        <w:rPr>
          <w:rStyle w:val="72"/>
          <w:color w:val="auto"/>
        </w:rPr>
        <w:t>7.7运营期土壤环境影响分析与评价</w:t>
      </w:r>
      <w:r>
        <w:rPr>
          <w:color w:val="auto"/>
        </w:rPr>
        <w:tab/>
      </w:r>
      <w:r>
        <w:rPr>
          <w:color w:val="auto"/>
        </w:rPr>
        <w:fldChar w:fldCharType="begin"/>
      </w:r>
      <w:r>
        <w:rPr>
          <w:color w:val="auto"/>
        </w:rPr>
        <w:instrText xml:space="preserve"> PAGEREF _Toc109398682 \h </w:instrText>
      </w:r>
      <w:r>
        <w:rPr>
          <w:color w:val="auto"/>
        </w:rPr>
        <w:fldChar w:fldCharType="separate"/>
      </w:r>
      <w:r>
        <w:rPr>
          <w:color w:val="auto"/>
        </w:rPr>
        <w:t>211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"_Toc109398683" </w:instrText>
      </w:r>
      <w:r>
        <w:rPr>
          <w:color w:val="auto"/>
        </w:rPr>
        <w:fldChar w:fldCharType="separate"/>
      </w:r>
      <w:r>
        <w:rPr>
          <w:rStyle w:val="72"/>
          <w:color w:val="auto"/>
        </w:rPr>
        <w:t>7.7.1土壤类型及质量调查</w:t>
      </w:r>
      <w:r>
        <w:rPr>
          <w:color w:val="auto"/>
        </w:rPr>
        <w:tab/>
      </w:r>
      <w:r>
        <w:rPr>
          <w:color w:val="auto"/>
        </w:rPr>
        <w:fldChar w:fldCharType="begin"/>
      </w:r>
      <w:r>
        <w:rPr>
          <w:color w:val="auto"/>
        </w:rPr>
        <w:instrText xml:space="preserve"> PAGEREF _Toc109398683 \h </w:instrText>
      </w:r>
      <w:r>
        <w:rPr>
          <w:color w:val="auto"/>
        </w:rPr>
        <w:fldChar w:fldCharType="separate"/>
      </w:r>
      <w:r>
        <w:rPr>
          <w:color w:val="auto"/>
        </w:rPr>
        <w:t>211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"_Toc109398684" </w:instrText>
      </w:r>
      <w:r>
        <w:rPr>
          <w:color w:val="auto"/>
        </w:rPr>
        <w:fldChar w:fldCharType="separate"/>
      </w:r>
      <w:r>
        <w:rPr>
          <w:rStyle w:val="72"/>
          <w:color w:val="auto"/>
        </w:rPr>
        <w:t>7.7.2土壤评价等级</w:t>
      </w:r>
      <w:r>
        <w:rPr>
          <w:color w:val="auto"/>
        </w:rPr>
        <w:tab/>
      </w:r>
      <w:r>
        <w:rPr>
          <w:color w:val="auto"/>
        </w:rPr>
        <w:fldChar w:fldCharType="begin"/>
      </w:r>
      <w:r>
        <w:rPr>
          <w:color w:val="auto"/>
        </w:rPr>
        <w:instrText xml:space="preserve"> PAGEREF _Toc109398684 \h </w:instrText>
      </w:r>
      <w:r>
        <w:rPr>
          <w:color w:val="auto"/>
        </w:rPr>
        <w:fldChar w:fldCharType="separate"/>
      </w:r>
      <w:r>
        <w:rPr>
          <w:color w:val="auto"/>
        </w:rPr>
        <w:t>211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"_Toc109398685" </w:instrText>
      </w:r>
      <w:r>
        <w:rPr>
          <w:color w:val="auto"/>
        </w:rPr>
        <w:fldChar w:fldCharType="separate"/>
      </w:r>
      <w:r>
        <w:rPr>
          <w:rStyle w:val="72"/>
          <w:color w:val="auto"/>
        </w:rPr>
        <w:t>7.7.3土壤影响途径及因子识别</w:t>
      </w:r>
      <w:r>
        <w:rPr>
          <w:color w:val="auto"/>
        </w:rPr>
        <w:tab/>
      </w:r>
      <w:r>
        <w:rPr>
          <w:color w:val="auto"/>
        </w:rPr>
        <w:fldChar w:fldCharType="begin"/>
      </w:r>
      <w:r>
        <w:rPr>
          <w:color w:val="auto"/>
        </w:rPr>
        <w:instrText xml:space="preserve"> PAGEREF _Toc109398685 \h </w:instrText>
      </w:r>
      <w:r>
        <w:rPr>
          <w:color w:val="auto"/>
        </w:rPr>
        <w:fldChar w:fldCharType="separate"/>
      </w:r>
      <w:r>
        <w:rPr>
          <w:color w:val="auto"/>
        </w:rPr>
        <w:t>211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"_Toc109398686" </w:instrText>
      </w:r>
      <w:r>
        <w:rPr>
          <w:color w:val="auto"/>
        </w:rPr>
        <w:fldChar w:fldCharType="separate"/>
      </w:r>
      <w:r>
        <w:rPr>
          <w:rStyle w:val="72"/>
          <w:color w:val="auto"/>
        </w:rPr>
        <w:t>7.7.4土壤环境影响分析与评价</w:t>
      </w:r>
      <w:r>
        <w:rPr>
          <w:color w:val="auto"/>
        </w:rPr>
        <w:tab/>
      </w:r>
      <w:r>
        <w:rPr>
          <w:color w:val="auto"/>
        </w:rPr>
        <w:fldChar w:fldCharType="begin"/>
      </w:r>
      <w:r>
        <w:rPr>
          <w:color w:val="auto"/>
        </w:rPr>
        <w:instrText xml:space="preserve"> PAGEREF _Toc109398686 \h </w:instrText>
      </w:r>
      <w:r>
        <w:rPr>
          <w:color w:val="auto"/>
        </w:rPr>
        <w:fldChar w:fldCharType="separate"/>
      </w:r>
      <w:r>
        <w:rPr>
          <w:color w:val="auto"/>
        </w:rPr>
        <w:t>212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"_Toc109398687" </w:instrText>
      </w:r>
      <w:r>
        <w:rPr>
          <w:color w:val="auto"/>
        </w:rPr>
        <w:fldChar w:fldCharType="separate"/>
      </w:r>
      <w:r>
        <w:rPr>
          <w:rStyle w:val="72"/>
          <w:color w:val="auto"/>
        </w:rPr>
        <w:t>7.8运营期生态环境环境影响分析与评价</w:t>
      </w:r>
      <w:r>
        <w:rPr>
          <w:color w:val="auto"/>
        </w:rPr>
        <w:tab/>
      </w:r>
      <w:r>
        <w:rPr>
          <w:color w:val="auto"/>
        </w:rPr>
        <w:fldChar w:fldCharType="begin"/>
      </w:r>
      <w:r>
        <w:rPr>
          <w:color w:val="auto"/>
        </w:rPr>
        <w:instrText xml:space="preserve"> PAGEREF _Toc109398687 \h </w:instrText>
      </w:r>
      <w:r>
        <w:rPr>
          <w:color w:val="auto"/>
        </w:rPr>
        <w:fldChar w:fldCharType="separate"/>
      </w:r>
      <w:r>
        <w:rPr>
          <w:color w:val="auto"/>
        </w:rPr>
        <w:t>216</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"_Toc109398688" </w:instrText>
      </w:r>
      <w:r>
        <w:rPr>
          <w:color w:val="auto"/>
        </w:rPr>
        <w:fldChar w:fldCharType="separate"/>
      </w:r>
      <w:r>
        <w:rPr>
          <w:rStyle w:val="72"/>
          <w:color w:val="auto"/>
        </w:rPr>
        <w:t>7.9运输过程环境影响分析</w:t>
      </w:r>
      <w:r>
        <w:rPr>
          <w:color w:val="auto"/>
        </w:rPr>
        <w:tab/>
      </w:r>
      <w:r>
        <w:rPr>
          <w:color w:val="auto"/>
        </w:rPr>
        <w:fldChar w:fldCharType="begin"/>
      </w:r>
      <w:r>
        <w:rPr>
          <w:color w:val="auto"/>
        </w:rPr>
        <w:instrText xml:space="preserve"> PAGEREF _Toc109398688 \h </w:instrText>
      </w:r>
      <w:r>
        <w:rPr>
          <w:color w:val="auto"/>
        </w:rPr>
        <w:fldChar w:fldCharType="separate"/>
      </w:r>
      <w:r>
        <w:rPr>
          <w:color w:val="auto"/>
        </w:rPr>
        <w:t>217</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"_Toc109398689" </w:instrText>
      </w:r>
      <w:r>
        <w:rPr>
          <w:color w:val="auto"/>
        </w:rPr>
        <w:fldChar w:fldCharType="separate"/>
      </w:r>
      <w:r>
        <w:rPr>
          <w:rStyle w:val="72"/>
          <w:color w:val="auto"/>
        </w:rPr>
        <w:t>7.10环境风险评价</w:t>
      </w:r>
      <w:r>
        <w:rPr>
          <w:color w:val="auto"/>
        </w:rPr>
        <w:tab/>
      </w:r>
      <w:r>
        <w:rPr>
          <w:color w:val="auto"/>
        </w:rPr>
        <w:fldChar w:fldCharType="begin"/>
      </w:r>
      <w:r>
        <w:rPr>
          <w:color w:val="auto"/>
        </w:rPr>
        <w:instrText xml:space="preserve"> PAGEREF _Toc109398689 \h </w:instrText>
      </w:r>
      <w:r>
        <w:rPr>
          <w:color w:val="auto"/>
        </w:rPr>
        <w:fldChar w:fldCharType="separate"/>
      </w:r>
      <w:r>
        <w:rPr>
          <w:color w:val="auto"/>
        </w:rPr>
        <w:t>220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"_Toc109398690" </w:instrText>
      </w:r>
      <w:r>
        <w:rPr>
          <w:color w:val="auto"/>
        </w:rPr>
        <w:fldChar w:fldCharType="separate"/>
      </w:r>
      <w:r>
        <w:rPr>
          <w:rStyle w:val="72"/>
          <w:color w:val="auto"/>
        </w:rPr>
        <w:t>7.10.1评价内容和程序</w:t>
      </w:r>
      <w:r>
        <w:rPr>
          <w:color w:val="auto"/>
        </w:rPr>
        <w:tab/>
      </w:r>
      <w:r>
        <w:rPr>
          <w:color w:val="auto"/>
        </w:rPr>
        <w:fldChar w:fldCharType="begin"/>
      </w:r>
      <w:r>
        <w:rPr>
          <w:color w:val="auto"/>
        </w:rPr>
        <w:instrText xml:space="preserve"> PAGEREF _Toc109398690 \h </w:instrText>
      </w:r>
      <w:r>
        <w:rPr>
          <w:color w:val="auto"/>
        </w:rPr>
        <w:fldChar w:fldCharType="separate"/>
      </w:r>
      <w:r>
        <w:rPr>
          <w:color w:val="auto"/>
        </w:rPr>
        <w:t>220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"_Toc109398691" </w:instrText>
      </w:r>
      <w:r>
        <w:rPr>
          <w:color w:val="auto"/>
        </w:rPr>
        <w:fldChar w:fldCharType="separate"/>
      </w:r>
      <w:r>
        <w:rPr>
          <w:rStyle w:val="72"/>
          <w:color w:val="auto"/>
        </w:rPr>
        <w:t>7.10.2风险调查</w:t>
      </w:r>
      <w:r>
        <w:rPr>
          <w:color w:val="auto"/>
        </w:rPr>
        <w:tab/>
      </w:r>
      <w:r>
        <w:rPr>
          <w:color w:val="auto"/>
        </w:rPr>
        <w:fldChar w:fldCharType="begin"/>
      </w:r>
      <w:r>
        <w:rPr>
          <w:color w:val="auto"/>
        </w:rPr>
        <w:instrText xml:space="preserve"> PAGEREF _Toc109398691 \h </w:instrText>
      </w:r>
      <w:r>
        <w:rPr>
          <w:color w:val="auto"/>
        </w:rPr>
        <w:fldChar w:fldCharType="separate"/>
      </w:r>
      <w:r>
        <w:rPr>
          <w:color w:val="auto"/>
        </w:rPr>
        <w:t>220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"_Toc109398692" </w:instrText>
      </w:r>
      <w:r>
        <w:rPr>
          <w:color w:val="auto"/>
        </w:rPr>
        <w:fldChar w:fldCharType="separate"/>
      </w:r>
      <w:r>
        <w:rPr>
          <w:rStyle w:val="72"/>
          <w:color w:val="auto"/>
        </w:rPr>
        <w:t>7.10.3风险潜势初判</w:t>
      </w:r>
      <w:r>
        <w:rPr>
          <w:color w:val="auto"/>
        </w:rPr>
        <w:tab/>
      </w:r>
      <w:r>
        <w:rPr>
          <w:color w:val="auto"/>
        </w:rPr>
        <w:fldChar w:fldCharType="begin"/>
      </w:r>
      <w:r>
        <w:rPr>
          <w:color w:val="auto"/>
        </w:rPr>
        <w:instrText xml:space="preserve"> PAGEREF _Toc109398692 \h </w:instrText>
      </w:r>
      <w:r>
        <w:rPr>
          <w:color w:val="auto"/>
        </w:rPr>
        <w:fldChar w:fldCharType="separate"/>
      </w:r>
      <w:r>
        <w:rPr>
          <w:color w:val="auto"/>
        </w:rPr>
        <w:t>222</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"_Toc109398693" </w:instrText>
      </w:r>
      <w:r>
        <w:rPr>
          <w:color w:val="auto"/>
        </w:rPr>
        <w:fldChar w:fldCharType="separate"/>
      </w:r>
      <w:r>
        <w:rPr>
          <w:rStyle w:val="72"/>
          <w:color w:val="auto"/>
        </w:rPr>
        <w:t>7.10.4评价等级</w:t>
      </w:r>
      <w:r>
        <w:rPr>
          <w:color w:val="auto"/>
        </w:rPr>
        <w:tab/>
      </w:r>
      <w:r>
        <w:rPr>
          <w:color w:val="auto"/>
        </w:rPr>
        <w:fldChar w:fldCharType="begin"/>
      </w:r>
      <w:r>
        <w:rPr>
          <w:color w:val="auto"/>
        </w:rPr>
        <w:instrText xml:space="preserve"> PAGEREF _Toc109398693 \h </w:instrText>
      </w:r>
      <w:r>
        <w:rPr>
          <w:color w:val="auto"/>
        </w:rPr>
        <w:fldChar w:fldCharType="separate"/>
      </w:r>
      <w:r>
        <w:rPr>
          <w:color w:val="auto"/>
        </w:rPr>
        <w:t>223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"_Toc109398694" </w:instrText>
      </w:r>
      <w:r>
        <w:rPr>
          <w:color w:val="auto"/>
        </w:rPr>
        <w:fldChar w:fldCharType="separate"/>
      </w:r>
      <w:r>
        <w:rPr>
          <w:rStyle w:val="72"/>
          <w:color w:val="auto"/>
        </w:rPr>
        <w:t>7.10.5环境敏感目标</w:t>
      </w:r>
      <w:r>
        <w:rPr>
          <w:color w:val="auto"/>
        </w:rPr>
        <w:tab/>
      </w:r>
      <w:r>
        <w:rPr>
          <w:color w:val="auto"/>
        </w:rPr>
        <w:fldChar w:fldCharType="begin"/>
      </w:r>
      <w:r>
        <w:rPr>
          <w:color w:val="auto"/>
        </w:rPr>
        <w:instrText xml:space="preserve"> PAGEREF _Toc109398694 \h </w:instrText>
      </w:r>
      <w:r>
        <w:rPr>
          <w:color w:val="auto"/>
        </w:rPr>
        <w:fldChar w:fldCharType="separate"/>
      </w:r>
      <w:r>
        <w:rPr>
          <w:color w:val="auto"/>
        </w:rPr>
        <w:t>223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"_Toc109398695" </w:instrText>
      </w:r>
      <w:r>
        <w:rPr>
          <w:color w:val="auto"/>
        </w:rPr>
        <w:fldChar w:fldCharType="separate"/>
      </w:r>
      <w:r>
        <w:rPr>
          <w:rStyle w:val="72"/>
          <w:color w:val="auto"/>
        </w:rPr>
        <w:t>7.10.6风险识别及风险分析</w:t>
      </w:r>
      <w:r>
        <w:rPr>
          <w:color w:val="auto"/>
        </w:rPr>
        <w:tab/>
      </w:r>
      <w:r>
        <w:rPr>
          <w:color w:val="auto"/>
        </w:rPr>
        <w:fldChar w:fldCharType="begin"/>
      </w:r>
      <w:r>
        <w:rPr>
          <w:color w:val="auto"/>
        </w:rPr>
        <w:instrText xml:space="preserve"> PAGEREF _Toc109398695 \h </w:instrText>
      </w:r>
      <w:r>
        <w:rPr>
          <w:color w:val="auto"/>
        </w:rPr>
        <w:fldChar w:fldCharType="separate"/>
      </w:r>
      <w:r>
        <w:rPr>
          <w:color w:val="auto"/>
        </w:rPr>
        <w:t>223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"_Toc109398696" </w:instrText>
      </w:r>
      <w:r>
        <w:rPr>
          <w:color w:val="auto"/>
        </w:rPr>
        <w:fldChar w:fldCharType="separate"/>
      </w:r>
      <w:r>
        <w:rPr>
          <w:rStyle w:val="72"/>
          <w:color w:val="auto"/>
        </w:rPr>
        <w:t>7.10.7风险防范措施</w:t>
      </w:r>
      <w:r>
        <w:rPr>
          <w:color w:val="auto"/>
        </w:rPr>
        <w:tab/>
      </w:r>
      <w:r>
        <w:rPr>
          <w:color w:val="auto"/>
        </w:rPr>
        <w:fldChar w:fldCharType="begin"/>
      </w:r>
      <w:r>
        <w:rPr>
          <w:color w:val="auto"/>
        </w:rPr>
        <w:instrText xml:space="preserve"> PAGEREF _Toc109398696 \h </w:instrText>
      </w:r>
      <w:r>
        <w:rPr>
          <w:color w:val="auto"/>
        </w:rPr>
        <w:fldChar w:fldCharType="separate"/>
      </w:r>
      <w:r>
        <w:rPr>
          <w:color w:val="auto"/>
        </w:rPr>
        <w:t>224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"_Toc109398697" </w:instrText>
      </w:r>
      <w:r>
        <w:rPr>
          <w:color w:val="auto"/>
        </w:rPr>
        <w:fldChar w:fldCharType="separate"/>
      </w:r>
      <w:r>
        <w:rPr>
          <w:rStyle w:val="72"/>
          <w:color w:val="auto"/>
        </w:rPr>
        <w:t>7.10.8风险评价结论</w:t>
      </w:r>
      <w:r>
        <w:rPr>
          <w:color w:val="auto"/>
        </w:rPr>
        <w:tab/>
      </w:r>
      <w:r>
        <w:rPr>
          <w:color w:val="auto"/>
        </w:rPr>
        <w:fldChar w:fldCharType="begin"/>
      </w:r>
      <w:r>
        <w:rPr>
          <w:color w:val="auto"/>
        </w:rPr>
        <w:instrText xml:space="preserve"> PAGEREF _Toc109398697 \h </w:instrText>
      </w:r>
      <w:r>
        <w:rPr>
          <w:color w:val="auto"/>
        </w:rPr>
        <w:fldChar w:fldCharType="separate"/>
      </w:r>
      <w:r>
        <w:rPr>
          <w:color w:val="auto"/>
        </w:rPr>
        <w:t>237</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"_Toc109398698" </w:instrText>
      </w:r>
      <w:r>
        <w:rPr>
          <w:color w:val="auto"/>
        </w:rPr>
        <w:fldChar w:fldCharType="separate"/>
      </w:r>
      <w:r>
        <w:rPr>
          <w:rStyle w:val="72"/>
          <w:color w:val="auto"/>
        </w:rPr>
        <w:t>8环境保护措施及其可行性论证</w:t>
      </w:r>
      <w:r>
        <w:rPr>
          <w:color w:val="auto"/>
        </w:rPr>
        <w:tab/>
      </w:r>
      <w:r>
        <w:rPr>
          <w:color w:val="auto"/>
        </w:rPr>
        <w:fldChar w:fldCharType="begin"/>
      </w:r>
      <w:r>
        <w:rPr>
          <w:color w:val="auto"/>
        </w:rPr>
        <w:instrText xml:space="preserve"> PAGEREF _Toc109398698 \h </w:instrText>
      </w:r>
      <w:r>
        <w:rPr>
          <w:color w:val="auto"/>
        </w:rPr>
        <w:fldChar w:fldCharType="separate"/>
      </w:r>
      <w:r>
        <w:rPr>
          <w:color w:val="auto"/>
        </w:rPr>
        <w:t>239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"_Toc109398699" </w:instrText>
      </w:r>
      <w:r>
        <w:rPr>
          <w:color w:val="auto"/>
        </w:rPr>
        <w:fldChar w:fldCharType="separate"/>
      </w:r>
      <w:r>
        <w:rPr>
          <w:rStyle w:val="72"/>
          <w:color w:val="auto"/>
        </w:rPr>
        <w:t>8.1施工期污染防治措施及其可行性论证</w:t>
      </w:r>
      <w:r>
        <w:rPr>
          <w:color w:val="auto"/>
        </w:rPr>
        <w:tab/>
      </w:r>
      <w:r>
        <w:rPr>
          <w:color w:val="auto"/>
        </w:rPr>
        <w:fldChar w:fldCharType="begin"/>
      </w:r>
      <w:r>
        <w:rPr>
          <w:color w:val="auto"/>
        </w:rPr>
        <w:instrText xml:space="preserve"> PAGEREF _Toc109398699 \h </w:instrText>
      </w:r>
      <w:r>
        <w:rPr>
          <w:color w:val="auto"/>
        </w:rPr>
        <w:fldChar w:fldCharType="separate"/>
      </w:r>
      <w:r>
        <w:rPr>
          <w:color w:val="auto"/>
        </w:rPr>
        <w:t>239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"_Toc109398700" </w:instrText>
      </w:r>
      <w:r>
        <w:rPr>
          <w:color w:val="auto"/>
        </w:rPr>
        <w:fldChar w:fldCharType="separate"/>
      </w:r>
      <w:r>
        <w:rPr>
          <w:rStyle w:val="72"/>
          <w:color w:val="auto"/>
        </w:rPr>
        <w:t>8.2医疗废物收集、运输及贮存过程污染防治措施</w:t>
      </w:r>
      <w:r>
        <w:rPr>
          <w:color w:val="auto"/>
        </w:rPr>
        <w:tab/>
      </w:r>
      <w:r>
        <w:rPr>
          <w:color w:val="auto"/>
        </w:rPr>
        <w:fldChar w:fldCharType="begin"/>
      </w:r>
      <w:r>
        <w:rPr>
          <w:color w:val="auto"/>
        </w:rPr>
        <w:instrText xml:space="preserve"> PAGEREF _Toc109398700 \h </w:instrText>
      </w:r>
      <w:r>
        <w:rPr>
          <w:color w:val="auto"/>
        </w:rPr>
        <w:fldChar w:fldCharType="separate"/>
      </w:r>
      <w:r>
        <w:rPr>
          <w:color w:val="auto"/>
        </w:rPr>
        <w:t>239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"_Toc109398701" </w:instrText>
      </w:r>
      <w:r>
        <w:rPr>
          <w:color w:val="auto"/>
        </w:rPr>
        <w:fldChar w:fldCharType="separate"/>
      </w:r>
      <w:r>
        <w:rPr>
          <w:rStyle w:val="72"/>
          <w:color w:val="auto"/>
        </w:rPr>
        <w:t>8.2.1医疗废物的收集</w:t>
      </w:r>
      <w:r>
        <w:rPr>
          <w:color w:val="auto"/>
        </w:rPr>
        <w:tab/>
      </w:r>
      <w:r>
        <w:rPr>
          <w:color w:val="auto"/>
        </w:rPr>
        <w:fldChar w:fldCharType="begin"/>
      </w:r>
      <w:r>
        <w:rPr>
          <w:color w:val="auto"/>
        </w:rPr>
        <w:instrText xml:space="preserve"> PAGEREF _Toc109398701 \h </w:instrText>
      </w:r>
      <w:r>
        <w:rPr>
          <w:color w:val="auto"/>
        </w:rPr>
        <w:fldChar w:fldCharType="separate"/>
      </w:r>
      <w:r>
        <w:rPr>
          <w:color w:val="auto"/>
        </w:rPr>
        <w:t>239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"_Toc109398702" </w:instrText>
      </w:r>
      <w:r>
        <w:rPr>
          <w:color w:val="auto"/>
        </w:rPr>
        <w:fldChar w:fldCharType="separate"/>
      </w:r>
      <w:r>
        <w:rPr>
          <w:rStyle w:val="72"/>
          <w:color w:val="auto"/>
        </w:rPr>
        <w:t>8.2.2医疗废物的运输</w:t>
      </w:r>
      <w:r>
        <w:rPr>
          <w:color w:val="auto"/>
        </w:rPr>
        <w:tab/>
      </w:r>
      <w:r>
        <w:rPr>
          <w:color w:val="auto"/>
        </w:rPr>
        <w:fldChar w:fldCharType="begin"/>
      </w:r>
      <w:r>
        <w:rPr>
          <w:color w:val="auto"/>
        </w:rPr>
        <w:instrText xml:space="preserve"> PAGEREF _Toc109398702 \h </w:instrText>
      </w:r>
      <w:r>
        <w:rPr>
          <w:color w:val="auto"/>
        </w:rPr>
        <w:fldChar w:fldCharType="separate"/>
      </w:r>
      <w:r>
        <w:rPr>
          <w:color w:val="auto"/>
        </w:rPr>
        <w:t>240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"_Toc109398703" </w:instrText>
      </w:r>
      <w:r>
        <w:rPr>
          <w:color w:val="auto"/>
        </w:rPr>
        <w:fldChar w:fldCharType="separate"/>
      </w:r>
      <w:r>
        <w:rPr>
          <w:rStyle w:val="72"/>
          <w:color w:val="auto"/>
        </w:rPr>
        <w:t>8.2.3医疗废物临时贮存与场内运输</w:t>
      </w:r>
      <w:r>
        <w:rPr>
          <w:color w:val="auto"/>
        </w:rPr>
        <w:tab/>
      </w:r>
      <w:r>
        <w:rPr>
          <w:color w:val="auto"/>
        </w:rPr>
        <w:fldChar w:fldCharType="begin"/>
      </w:r>
      <w:r>
        <w:rPr>
          <w:color w:val="auto"/>
        </w:rPr>
        <w:instrText xml:space="preserve"> PAGEREF _Toc109398703 \h </w:instrText>
      </w:r>
      <w:r>
        <w:rPr>
          <w:color w:val="auto"/>
        </w:rPr>
        <w:fldChar w:fldCharType="separate"/>
      </w:r>
      <w:r>
        <w:rPr>
          <w:color w:val="auto"/>
        </w:rPr>
        <w:t>241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"_Toc109398704" </w:instrText>
      </w:r>
      <w:r>
        <w:rPr>
          <w:color w:val="auto"/>
        </w:rPr>
        <w:fldChar w:fldCharType="separate"/>
      </w:r>
      <w:r>
        <w:rPr>
          <w:rStyle w:val="72"/>
          <w:color w:val="auto"/>
        </w:rPr>
        <w:t>8.3运营期大气污染防治措施及其可行性分析</w:t>
      </w:r>
      <w:r>
        <w:rPr>
          <w:color w:val="auto"/>
        </w:rPr>
        <w:tab/>
      </w:r>
      <w:r>
        <w:rPr>
          <w:color w:val="auto"/>
        </w:rPr>
        <w:fldChar w:fldCharType="begin"/>
      </w:r>
      <w:r>
        <w:rPr>
          <w:color w:val="auto"/>
        </w:rPr>
        <w:instrText xml:space="preserve"> PAGEREF _Toc109398704 \h </w:instrText>
      </w:r>
      <w:r>
        <w:rPr>
          <w:color w:val="auto"/>
        </w:rPr>
        <w:fldChar w:fldCharType="separate"/>
      </w:r>
      <w:r>
        <w:rPr>
          <w:color w:val="auto"/>
        </w:rPr>
        <w:t>241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"_Toc109398705" </w:instrText>
      </w:r>
      <w:r>
        <w:rPr>
          <w:color w:val="auto"/>
        </w:rPr>
        <w:fldChar w:fldCharType="separate"/>
      </w:r>
      <w:r>
        <w:rPr>
          <w:rStyle w:val="72"/>
          <w:color w:val="auto"/>
        </w:rPr>
        <w:t>8.3.1废气处理工艺原理</w:t>
      </w:r>
      <w:r>
        <w:rPr>
          <w:color w:val="auto"/>
        </w:rPr>
        <w:tab/>
      </w:r>
      <w:r>
        <w:rPr>
          <w:color w:val="auto"/>
        </w:rPr>
        <w:fldChar w:fldCharType="begin"/>
      </w:r>
      <w:r>
        <w:rPr>
          <w:color w:val="auto"/>
        </w:rPr>
        <w:instrText xml:space="preserve"> PAGEREF _Toc109398705 \h </w:instrText>
      </w:r>
      <w:r>
        <w:rPr>
          <w:color w:val="auto"/>
        </w:rPr>
        <w:fldChar w:fldCharType="separate"/>
      </w:r>
      <w:r>
        <w:rPr>
          <w:color w:val="auto"/>
        </w:rPr>
        <w:t>242</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"_Toc109398706" </w:instrText>
      </w:r>
      <w:r>
        <w:rPr>
          <w:color w:val="auto"/>
        </w:rPr>
        <w:fldChar w:fldCharType="separate"/>
      </w:r>
      <w:r>
        <w:rPr>
          <w:rStyle w:val="72"/>
          <w:color w:val="auto"/>
        </w:rPr>
        <w:t>8.3.2无组织废气防治措施</w:t>
      </w:r>
      <w:r>
        <w:rPr>
          <w:color w:val="auto"/>
        </w:rPr>
        <w:tab/>
      </w:r>
      <w:r>
        <w:rPr>
          <w:color w:val="auto"/>
        </w:rPr>
        <w:fldChar w:fldCharType="begin"/>
      </w:r>
      <w:r>
        <w:rPr>
          <w:color w:val="auto"/>
        </w:rPr>
        <w:instrText xml:space="preserve"> PAGEREF _Toc109398706 \h </w:instrText>
      </w:r>
      <w:r>
        <w:rPr>
          <w:color w:val="auto"/>
        </w:rPr>
        <w:fldChar w:fldCharType="separate"/>
      </w:r>
      <w:r>
        <w:rPr>
          <w:color w:val="auto"/>
        </w:rPr>
        <w:t>244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"_Toc109398707" </w:instrText>
      </w:r>
      <w:r>
        <w:rPr>
          <w:color w:val="auto"/>
        </w:rPr>
        <w:fldChar w:fldCharType="separate"/>
      </w:r>
      <w:r>
        <w:rPr>
          <w:rStyle w:val="72"/>
          <w:color w:val="auto"/>
        </w:rPr>
        <w:t>8.3.3非正常工况防治措施</w:t>
      </w:r>
      <w:r>
        <w:rPr>
          <w:color w:val="auto"/>
        </w:rPr>
        <w:tab/>
      </w:r>
      <w:r>
        <w:rPr>
          <w:color w:val="auto"/>
        </w:rPr>
        <w:fldChar w:fldCharType="begin"/>
      </w:r>
      <w:r>
        <w:rPr>
          <w:color w:val="auto"/>
        </w:rPr>
        <w:instrText xml:space="preserve"> PAGEREF _Toc109398707 \h </w:instrText>
      </w:r>
      <w:r>
        <w:rPr>
          <w:color w:val="auto"/>
        </w:rPr>
        <w:fldChar w:fldCharType="separate"/>
      </w:r>
      <w:r>
        <w:rPr>
          <w:color w:val="auto"/>
        </w:rPr>
        <w:t>245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"_Toc109398708" </w:instrText>
      </w:r>
      <w:r>
        <w:rPr>
          <w:color w:val="auto"/>
        </w:rPr>
        <w:fldChar w:fldCharType="separate"/>
      </w:r>
      <w:r>
        <w:rPr>
          <w:rStyle w:val="72"/>
          <w:color w:val="auto"/>
        </w:rPr>
        <w:t>8.3.4废气治理措施可行性及治理效果分析</w:t>
      </w:r>
      <w:r>
        <w:rPr>
          <w:color w:val="auto"/>
        </w:rPr>
        <w:tab/>
      </w:r>
      <w:r>
        <w:rPr>
          <w:color w:val="auto"/>
        </w:rPr>
        <w:fldChar w:fldCharType="begin"/>
      </w:r>
      <w:r>
        <w:rPr>
          <w:color w:val="auto"/>
        </w:rPr>
        <w:instrText xml:space="preserve"> PAGEREF _Toc109398708 \h </w:instrText>
      </w:r>
      <w:r>
        <w:rPr>
          <w:color w:val="auto"/>
        </w:rPr>
        <w:fldChar w:fldCharType="separate"/>
      </w:r>
      <w:r>
        <w:rPr>
          <w:color w:val="auto"/>
        </w:rPr>
        <w:t>245</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"_Toc109398709" </w:instrText>
      </w:r>
      <w:r>
        <w:rPr>
          <w:color w:val="auto"/>
        </w:rPr>
        <w:fldChar w:fldCharType="separate"/>
      </w:r>
      <w:r>
        <w:rPr>
          <w:rStyle w:val="72"/>
          <w:color w:val="auto"/>
        </w:rPr>
        <w:t>8.4地表水污染防治措施及其可行性分析</w:t>
      </w:r>
      <w:r>
        <w:rPr>
          <w:color w:val="auto"/>
        </w:rPr>
        <w:tab/>
      </w:r>
      <w:r>
        <w:rPr>
          <w:color w:val="auto"/>
        </w:rPr>
        <w:fldChar w:fldCharType="begin"/>
      </w:r>
      <w:r>
        <w:rPr>
          <w:color w:val="auto"/>
        </w:rPr>
        <w:instrText xml:space="preserve"> PAGEREF _Toc109398709 \h </w:instrText>
      </w:r>
      <w:r>
        <w:rPr>
          <w:color w:val="auto"/>
        </w:rPr>
        <w:fldChar w:fldCharType="separate"/>
      </w:r>
      <w:r>
        <w:rPr>
          <w:color w:val="auto"/>
        </w:rPr>
        <w:t>246</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"_Toc109398710" </w:instrText>
      </w:r>
      <w:r>
        <w:rPr>
          <w:color w:val="auto"/>
        </w:rPr>
        <w:fldChar w:fldCharType="separate"/>
      </w:r>
      <w:r>
        <w:rPr>
          <w:rStyle w:val="72"/>
          <w:color w:val="auto"/>
        </w:rPr>
        <w:t>8.4.1生产废水污水处理工艺及设计规模</w:t>
      </w:r>
      <w:r>
        <w:rPr>
          <w:color w:val="auto"/>
        </w:rPr>
        <w:tab/>
      </w:r>
      <w:r>
        <w:rPr>
          <w:color w:val="auto"/>
        </w:rPr>
        <w:fldChar w:fldCharType="begin"/>
      </w:r>
      <w:r>
        <w:rPr>
          <w:color w:val="auto"/>
        </w:rPr>
        <w:instrText xml:space="preserve"> PAGEREF _Toc109398710 \h </w:instrText>
      </w:r>
      <w:r>
        <w:rPr>
          <w:color w:val="auto"/>
        </w:rPr>
        <w:fldChar w:fldCharType="separate"/>
      </w:r>
      <w:r>
        <w:rPr>
          <w:color w:val="auto"/>
        </w:rPr>
        <w:t>247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"_Toc109398711" </w:instrText>
      </w:r>
      <w:r>
        <w:rPr>
          <w:color w:val="auto"/>
        </w:rPr>
        <w:fldChar w:fldCharType="separate"/>
      </w:r>
      <w:r>
        <w:rPr>
          <w:rStyle w:val="72"/>
          <w:color w:val="auto"/>
        </w:rPr>
        <w:t>8.4.2生活污水依托可行性分析</w:t>
      </w:r>
      <w:r>
        <w:rPr>
          <w:color w:val="auto"/>
        </w:rPr>
        <w:tab/>
      </w:r>
      <w:r>
        <w:rPr>
          <w:color w:val="auto"/>
        </w:rPr>
        <w:fldChar w:fldCharType="begin"/>
      </w:r>
      <w:r>
        <w:rPr>
          <w:color w:val="auto"/>
        </w:rPr>
        <w:instrText xml:space="preserve"> PAGEREF _Toc109398711 \h </w:instrText>
      </w:r>
      <w:r>
        <w:rPr>
          <w:color w:val="auto"/>
        </w:rPr>
        <w:fldChar w:fldCharType="separate"/>
      </w:r>
      <w:r>
        <w:rPr>
          <w:color w:val="auto"/>
        </w:rPr>
        <w:t>249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"_Toc109398712" </w:instrText>
      </w:r>
      <w:r>
        <w:rPr>
          <w:color w:val="auto"/>
        </w:rPr>
        <w:fldChar w:fldCharType="separate"/>
      </w:r>
      <w:r>
        <w:rPr>
          <w:rStyle w:val="72"/>
          <w:color w:val="auto"/>
        </w:rPr>
        <w:t>8.4.3事故废水收集处置措施</w:t>
      </w:r>
      <w:r>
        <w:rPr>
          <w:color w:val="auto"/>
        </w:rPr>
        <w:tab/>
      </w:r>
      <w:r>
        <w:rPr>
          <w:color w:val="auto"/>
        </w:rPr>
        <w:fldChar w:fldCharType="begin"/>
      </w:r>
      <w:r>
        <w:rPr>
          <w:color w:val="auto"/>
        </w:rPr>
        <w:instrText xml:space="preserve"> PAGEREF _Toc109398712 \h </w:instrText>
      </w:r>
      <w:r>
        <w:rPr>
          <w:color w:val="auto"/>
        </w:rPr>
        <w:fldChar w:fldCharType="separate"/>
      </w:r>
      <w:r>
        <w:rPr>
          <w:color w:val="auto"/>
        </w:rPr>
        <w:t>249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"_Toc109398713" </w:instrText>
      </w:r>
      <w:r>
        <w:rPr>
          <w:color w:val="auto"/>
        </w:rPr>
        <w:fldChar w:fldCharType="separate"/>
      </w:r>
      <w:r>
        <w:rPr>
          <w:rStyle w:val="72"/>
          <w:color w:val="auto"/>
        </w:rPr>
        <w:t>8.5噪声污染防治措施</w:t>
      </w:r>
      <w:r>
        <w:rPr>
          <w:color w:val="auto"/>
        </w:rPr>
        <w:tab/>
      </w:r>
      <w:r>
        <w:rPr>
          <w:color w:val="auto"/>
        </w:rPr>
        <w:fldChar w:fldCharType="begin"/>
      </w:r>
      <w:r>
        <w:rPr>
          <w:color w:val="auto"/>
        </w:rPr>
        <w:instrText xml:space="preserve"> PAGEREF _Toc109398713 \h </w:instrText>
      </w:r>
      <w:r>
        <w:rPr>
          <w:color w:val="auto"/>
        </w:rPr>
        <w:fldChar w:fldCharType="separate"/>
      </w:r>
      <w:r>
        <w:rPr>
          <w:color w:val="auto"/>
        </w:rPr>
        <w:t>250</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"_Toc109398714" </w:instrText>
      </w:r>
      <w:r>
        <w:rPr>
          <w:color w:val="auto"/>
        </w:rPr>
        <w:fldChar w:fldCharType="separate"/>
      </w:r>
      <w:r>
        <w:rPr>
          <w:rStyle w:val="72"/>
          <w:color w:val="auto"/>
        </w:rPr>
        <w:t>8.6固体废物污染防治措施</w:t>
      </w:r>
      <w:r>
        <w:rPr>
          <w:color w:val="auto"/>
        </w:rPr>
        <w:tab/>
      </w:r>
      <w:r>
        <w:rPr>
          <w:color w:val="auto"/>
        </w:rPr>
        <w:fldChar w:fldCharType="begin"/>
      </w:r>
      <w:r>
        <w:rPr>
          <w:color w:val="auto"/>
        </w:rPr>
        <w:instrText xml:space="preserve"> PAGEREF _Toc109398714 \h </w:instrText>
      </w:r>
      <w:r>
        <w:rPr>
          <w:color w:val="auto"/>
        </w:rPr>
        <w:fldChar w:fldCharType="separate"/>
      </w:r>
      <w:r>
        <w:rPr>
          <w:color w:val="auto"/>
        </w:rPr>
        <w:t>251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"_Toc109398715" </w:instrText>
      </w:r>
      <w:r>
        <w:rPr>
          <w:color w:val="auto"/>
        </w:rPr>
        <w:fldChar w:fldCharType="separate"/>
      </w:r>
      <w:r>
        <w:rPr>
          <w:rStyle w:val="72"/>
          <w:snapToGrid w:val="0"/>
          <w:color w:val="auto"/>
        </w:rPr>
        <w:t>8.6.1固体废物处置原则</w:t>
      </w:r>
      <w:r>
        <w:rPr>
          <w:color w:val="auto"/>
        </w:rPr>
        <w:tab/>
      </w:r>
      <w:r>
        <w:rPr>
          <w:color w:val="auto"/>
        </w:rPr>
        <w:fldChar w:fldCharType="begin"/>
      </w:r>
      <w:r>
        <w:rPr>
          <w:color w:val="auto"/>
        </w:rPr>
        <w:instrText xml:space="preserve"> PAGEREF _Toc109398715 \h </w:instrText>
      </w:r>
      <w:r>
        <w:rPr>
          <w:color w:val="auto"/>
        </w:rPr>
        <w:fldChar w:fldCharType="separate"/>
      </w:r>
      <w:r>
        <w:rPr>
          <w:color w:val="auto"/>
        </w:rPr>
        <w:t>251</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"_Toc109398716" </w:instrText>
      </w:r>
      <w:r>
        <w:rPr>
          <w:color w:val="auto"/>
        </w:rPr>
        <w:fldChar w:fldCharType="separate"/>
      </w:r>
      <w:r>
        <w:rPr>
          <w:rStyle w:val="72"/>
          <w:snapToGrid w:val="0"/>
          <w:color w:val="auto"/>
        </w:rPr>
        <w:t>8.6.2固体废物处置情况</w:t>
      </w:r>
      <w:r>
        <w:rPr>
          <w:color w:val="auto"/>
        </w:rPr>
        <w:tab/>
      </w:r>
      <w:r>
        <w:rPr>
          <w:color w:val="auto"/>
        </w:rPr>
        <w:fldChar w:fldCharType="begin"/>
      </w:r>
      <w:r>
        <w:rPr>
          <w:color w:val="auto"/>
        </w:rPr>
        <w:instrText xml:space="preserve"> PAGEREF _Toc109398716 \h </w:instrText>
      </w:r>
      <w:r>
        <w:rPr>
          <w:color w:val="auto"/>
        </w:rPr>
        <w:fldChar w:fldCharType="separate"/>
      </w:r>
      <w:r>
        <w:rPr>
          <w:color w:val="auto"/>
        </w:rPr>
        <w:t>251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"_Toc109398717" </w:instrText>
      </w:r>
      <w:r>
        <w:rPr>
          <w:color w:val="auto"/>
        </w:rPr>
        <w:fldChar w:fldCharType="separate"/>
      </w:r>
      <w:r>
        <w:rPr>
          <w:rStyle w:val="72"/>
          <w:color w:val="auto"/>
        </w:rPr>
        <w:t>8.7地下水污染防治措施</w:t>
      </w:r>
      <w:r>
        <w:rPr>
          <w:color w:val="auto"/>
        </w:rPr>
        <w:tab/>
      </w:r>
      <w:r>
        <w:rPr>
          <w:color w:val="auto"/>
        </w:rPr>
        <w:fldChar w:fldCharType="begin"/>
      </w:r>
      <w:r>
        <w:rPr>
          <w:color w:val="auto"/>
        </w:rPr>
        <w:instrText xml:space="preserve"> PAGEREF _Toc109398717 \h </w:instrText>
      </w:r>
      <w:r>
        <w:rPr>
          <w:color w:val="auto"/>
        </w:rPr>
        <w:fldChar w:fldCharType="separate"/>
      </w:r>
      <w:r>
        <w:rPr>
          <w:color w:val="auto"/>
        </w:rPr>
        <w:t>253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"_Toc109398718" </w:instrText>
      </w:r>
      <w:r>
        <w:rPr>
          <w:color w:val="auto"/>
        </w:rPr>
        <w:fldChar w:fldCharType="separate"/>
      </w:r>
      <w:r>
        <w:rPr>
          <w:rStyle w:val="72"/>
          <w:color w:val="auto"/>
        </w:rPr>
        <w:t>8.7.1防污原则</w:t>
      </w:r>
      <w:r>
        <w:rPr>
          <w:color w:val="auto"/>
        </w:rPr>
        <w:tab/>
      </w:r>
      <w:r>
        <w:rPr>
          <w:color w:val="auto"/>
        </w:rPr>
        <w:fldChar w:fldCharType="begin"/>
      </w:r>
      <w:r>
        <w:rPr>
          <w:color w:val="auto"/>
        </w:rPr>
        <w:instrText xml:space="preserve"> PAGEREF _Toc109398718 \h </w:instrText>
      </w:r>
      <w:r>
        <w:rPr>
          <w:color w:val="auto"/>
        </w:rPr>
        <w:fldChar w:fldCharType="separate"/>
      </w:r>
      <w:r>
        <w:rPr>
          <w:color w:val="auto"/>
        </w:rPr>
        <w:t>253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"_Toc109398719" </w:instrText>
      </w:r>
      <w:r>
        <w:rPr>
          <w:color w:val="auto"/>
        </w:rPr>
        <w:fldChar w:fldCharType="separate"/>
      </w:r>
      <w:r>
        <w:rPr>
          <w:rStyle w:val="72"/>
          <w:color w:val="auto"/>
        </w:rPr>
        <w:t>8.7.2污染源控制措施</w:t>
      </w:r>
      <w:r>
        <w:rPr>
          <w:color w:val="auto"/>
        </w:rPr>
        <w:tab/>
      </w:r>
      <w:r>
        <w:rPr>
          <w:color w:val="auto"/>
        </w:rPr>
        <w:fldChar w:fldCharType="begin"/>
      </w:r>
      <w:r>
        <w:rPr>
          <w:color w:val="auto"/>
        </w:rPr>
        <w:instrText xml:space="preserve"> PAGEREF _Toc109398719 \h </w:instrText>
      </w:r>
      <w:r>
        <w:rPr>
          <w:color w:val="auto"/>
        </w:rPr>
        <w:fldChar w:fldCharType="separate"/>
      </w:r>
      <w:r>
        <w:rPr>
          <w:color w:val="auto"/>
        </w:rPr>
        <w:t>253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"_Toc109398720" </w:instrText>
      </w:r>
      <w:r>
        <w:rPr>
          <w:color w:val="auto"/>
        </w:rPr>
        <w:fldChar w:fldCharType="separate"/>
      </w:r>
      <w:r>
        <w:rPr>
          <w:rStyle w:val="72"/>
          <w:color w:val="auto"/>
        </w:rPr>
        <w:t>8.7.3地下水污染防治分区</w:t>
      </w:r>
      <w:r>
        <w:rPr>
          <w:color w:val="auto"/>
        </w:rPr>
        <w:tab/>
      </w:r>
      <w:r>
        <w:rPr>
          <w:color w:val="auto"/>
        </w:rPr>
        <w:fldChar w:fldCharType="begin"/>
      </w:r>
      <w:r>
        <w:rPr>
          <w:color w:val="auto"/>
        </w:rPr>
        <w:instrText xml:space="preserve"> PAGEREF _Toc109398720 \h </w:instrText>
      </w:r>
      <w:r>
        <w:rPr>
          <w:color w:val="auto"/>
        </w:rPr>
        <w:fldChar w:fldCharType="separate"/>
      </w:r>
      <w:r>
        <w:rPr>
          <w:color w:val="auto"/>
        </w:rPr>
        <w:t>254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"_Toc109398721" </w:instrText>
      </w:r>
      <w:r>
        <w:rPr>
          <w:color w:val="auto"/>
        </w:rPr>
        <w:fldChar w:fldCharType="separate"/>
      </w:r>
      <w:r>
        <w:rPr>
          <w:rStyle w:val="72"/>
          <w:color w:val="auto"/>
        </w:rPr>
        <w:t>8.7.4分区防渗措施</w:t>
      </w:r>
      <w:r>
        <w:rPr>
          <w:color w:val="auto"/>
        </w:rPr>
        <w:tab/>
      </w:r>
      <w:r>
        <w:rPr>
          <w:color w:val="auto"/>
        </w:rPr>
        <w:fldChar w:fldCharType="begin"/>
      </w:r>
      <w:r>
        <w:rPr>
          <w:color w:val="auto"/>
        </w:rPr>
        <w:instrText xml:space="preserve"> PAGEREF _Toc109398721 \h </w:instrText>
      </w:r>
      <w:r>
        <w:rPr>
          <w:color w:val="auto"/>
        </w:rPr>
        <w:fldChar w:fldCharType="separate"/>
      </w:r>
      <w:r>
        <w:rPr>
          <w:color w:val="auto"/>
        </w:rPr>
        <w:t>254</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"_Toc109398722" </w:instrText>
      </w:r>
      <w:r>
        <w:rPr>
          <w:color w:val="auto"/>
        </w:rPr>
        <w:fldChar w:fldCharType="separate"/>
      </w:r>
      <w:r>
        <w:rPr>
          <w:rStyle w:val="72"/>
          <w:color w:val="auto"/>
        </w:rPr>
        <w:t>8.7.5地下水监测及控制要求</w:t>
      </w:r>
      <w:r>
        <w:rPr>
          <w:color w:val="auto"/>
        </w:rPr>
        <w:tab/>
      </w:r>
      <w:r>
        <w:rPr>
          <w:color w:val="auto"/>
        </w:rPr>
        <w:fldChar w:fldCharType="begin"/>
      </w:r>
      <w:r>
        <w:rPr>
          <w:color w:val="auto"/>
        </w:rPr>
        <w:instrText xml:space="preserve"> PAGEREF _Toc109398722 \h </w:instrText>
      </w:r>
      <w:r>
        <w:rPr>
          <w:color w:val="auto"/>
        </w:rPr>
        <w:fldChar w:fldCharType="separate"/>
      </w:r>
      <w:r>
        <w:rPr>
          <w:color w:val="auto"/>
        </w:rPr>
        <w:t>257</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"_Toc109398723" </w:instrText>
      </w:r>
      <w:r>
        <w:rPr>
          <w:color w:val="auto"/>
        </w:rPr>
        <w:fldChar w:fldCharType="separate"/>
      </w:r>
      <w:r>
        <w:rPr>
          <w:rStyle w:val="72"/>
          <w:color w:val="auto"/>
        </w:rPr>
        <w:t>8.8土壤污染防治措施</w:t>
      </w:r>
      <w:r>
        <w:rPr>
          <w:color w:val="auto"/>
        </w:rPr>
        <w:tab/>
      </w:r>
      <w:r>
        <w:rPr>
          <w:color w:val="auto"/>
        </w:rPr>
        <w:fldChar w:fldCharType="begin"/>
      </w:r>
      <w:r>
        <w:rPr>
          <w:color w:val="auto"/>
        </w:rPr>
        <w:instrText xml:space="preserve"> PAGEREF _Toc109398723 \h </w:instrText>
      </w:r>
      <w:r>
        <w:rPr>
          <w:color w:val="auto"/>
        </w:rPr>
        <w:fldChar w:fldCharType="separate"/>
      </w:r>
      <w:r>
        <w:rPr>
          <w:color w:val="auto"/>
        </w:rPr>
        <w:t>258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"_Toc109398724" </w:instrText>
      </w:r>
      <w:r>
        <w:rPr>
          <w:color w:val="auto"/>
        </w:rPr>
        <w:fldChar w:fldCharType="separate"/>
      </w:r>
      <w:r>
        <w:rPr>
          <w:rStyle w:val="72"/>
          <w:color w:val="auto"/>
        </w:rPr>
        <w:t>8.8.1源头控制</w:t>
      </w:r>
      <w:r>
        <w:rPr>
          <w:color w:val="auto"/>
        </w:rPr>
        <w:tab/>
      </w:r>
      <w:r>
        <w:rPr>
          <w:color w:val="auto"/>
        </w:rPr>
        <w:fldChar w:fldCharType="begin"/>
      </w:r>
      <w:r>
        <w:rPr>
          <w:color w:val="auto"/>
        </w:rPr>
        <w:instrText xml:space="preserve"> PAGEREF _Toc109398724 \h </w:instrText>
      </w:r>
      <w:r>
        <w:rPr>
          <w:color w:val="auto"/>
        </w:rPr>
        <w:fldChar w:fldCharType="separate"/>
      </w:r>
      <w:r>
        <w:rPr>
          <w:color w:val="auto"/>
        </w:rPr>
        <w:t>258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"_Toc109398725" </w:instrText>
      </w:r>
      <w:r>
        <w:rPr>
          <w:color w:val="auto"/>
        </w:rPr>
        <w:fldChar w:fldCharType="separate"/>
      </w:r>
      <w:r>
        <w:rPr>
          <w:rStyle w:val="72"/>
          <w:color w:val="auto"/>
        </w:rPr>
        <w:t>8.8.2过程控制</w:t>
      </w:r>
      <w:r>
        <w:rPr>
          <w:color w:val="auto"/>
        </w:rPr>
        <w:tab/>
      </w:r>
      <w:r>
        <w:rPr>
          <w:color w:val="auto"/>
        </w:rPr>
        <w:fldChar w:fldCharType="begin"/>
      </w:r>
      <w:r>
        <w:rPr>
          <w:color w:val="auto"/>
        </w:rPr>
        <w:instrText xml:space="preserve"> PAGEREF _Toc109398725 \h </w:instrText>
      </w:r>
      <w:r>
        <w:rPr>
          <w:color w:val="auto"/>
        </w:rPr>
        <w:fldChar w:fldCharType="separate"/>
      </w:r>
      <w:r>
        <w:rPr>
          <w:color w:val="auto"/>
        </w:rPr>
        <w:t>259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"_Toc109398726" </w:instrText>
      </w:r>
      <w:r>
        <w:rPr>
          <w:color w:val="auto"/>
        </w:rPr>
        <w:fldChar w:fldCharType="separate"/>
      </w:r>
      <w:r>
        <w:rPr>
          <w:rStyle w:val="72"/>
          <w:color w:val="auto"/>
        </w:rPr>
        <w:t>8.8.3跟踪监测</w:t>
      </w:r>
      <w:r>
        <w:rPr>
          <w:color w:val="auto"/>
        </w:rPr>
        <w:tab/>
      </w:r>
      <w:r>
        <w:rPr>
          <w:color w:val="auto"/>
        </w:rPr>
        <w:fldChar w:fldCharType="begin"/>
      </w:r>
      <w:r>
        <w:rPr>
          <w:color w:val="auto"/>
        </w:rPr>
        <w:instrText xml:space="preserve"> PAGEREF _Toc109398726 \h </w:instrText>
      </w:r>
      <w:r>
        <w:rPr>
          <w:color w:val="auto"/>
        </w:rPr>
        <w:fldChar w:fldCharType="separate"/>
      </w:r>
      <w:r>
        <w:rPr>
          <w:color w:val="auto"/>
        </w:rPr>
        <w:t>259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"_Toc109398727" </w:instrText>
      </w:r>
      <w:r>
        <w:rPr>
          <w:color w:val="auto"/>
        </w:rPr>
        <w:fldChar w:fldCharType="separate"/>
      </w:r>
      <w:r>
        <w:rPr>
          <w:rStyle w:val="72"/>
          <w:color w:val="auto"/>
        </w:rPr>
        <w:t>8.9绿化措施</w:t>
      </w:r>
      <w:r>
        <w:rPr>
          <w:color w:val="auto"/>
        </w:rPr>
        <w:tab/>
      </w:r>
      <w:r>
        <w:rPr>
          <w:color w:val="auto"/>
        </w:rPr>
        <w:fldChar w:fldCharType="begin"/>
      </w:r>
      <w:r>
        <w:rPr>
          <w:color w:val="auto"/>
        </w:rPr>
        <w:instrText xml:space="preserve"> PAGEREF _Toc109398727 \h </w:instrText>
      </w:r>
      <w:r>
        <w:rPr>
          <w:color w:val="auto"/>
        </w:rPr>
        <w:fldChar w:fldCharType="separate"/>
      </w:r>
      <w:r>
        <w:rPr>
          <w:color w:val="auto"/>
        </w:rPr>
        <w:t>260</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"_Toc109398728" </w:instrText>
      </w:r>
      <w:r>
        <w:rPr>
          <w:color w:val="auto"/>
        </w:rPr>
        <w:fldChar w:fldCharType="separate"/>
      </w:r>
      <w:r>
        <w:rPr>
          <w:rStyle w:val="72"/>
          <w:color w:val="auto"/>
        </w:rPr>
        <w:t>9环境影响经济损益分析</w:t>
      </w:r>
      <w:r>
        <w:rPr>
          <w:color w:val="auto"/>
        </w:rPr>
        <w:tab/>
      </w:r>
      <w:r>
        <w:rPr>
          <w:color w:val="auto"/>
        </w:rPr>
        <w:fldChar w:fldCharType="begin"/>
      </w:r>
      <w:r>
        <w:rPr>
          <w:color w:val="auto"/>
        </w:rPr>
        <w:instrText xml:space="preserve"> PAGEREF _Toc109398728 \h </w:instrText>
      </w:r>
      <w:r>
        <w:rPr>
          <w:color w:val="auto"/>
        </w:rPr>
        <w:fldChar w:fldCharType="separate"/>
      </w:r>
      <w:r>
        <w:rPr>
          <w:color w:val="auto"/>
        </w:rPr>
        <w:t>261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"_Toc109398729" </w:instrText>
      </w:r>
      <w:r>
        <w:rPr>
          <w:color w:val="auto"/>
        </w:rPr>
        <w:fldChar w:fldCharType="separate"/>
      </w:r>
      <w:r>
        <w:rPr>
          <w:rStyle w:val="72"/>
          <w:color w:val="auto"/>
        </w:rPr>
        <w:t>9.1环保投资分析</w:t>
      </w:r>
      <w:r>
        <w:rPr>
          <w:color w:val="auto"/>
        </w:rPr>
        <w:tab/>
      </w:r>
      <w:r>
        <w:rPr>
          <w:color w:val="auto"/>
        </w:rPr>
        <w:fldChar w:fldCharType="begin"/>
      </w:r>
      <w:r>
        <w:rPr>
          <w:color w:val="auto"/>
        </w:rPr>
        <w:instrText xml:space="preserve"> PAGEREF _Toc109398729 \h </w:instrText>
      </w:r>
      <w:r>
        <w:rPr>
          <w:color w:val="auto"/>
        </w:rPr>
        <w:fldChar w:fldCharType="separate"/>
      </w:r>
      <w:r>
        <w:rPr>
          <w:color w:val="auto"/>
        </w:rPr>
        <w:t>261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"_Toc109398730" </w:instrText>
      </w:r>
      <w:r>
        <w:rPr>
          <w:color w:val="auto"/>
        </w:rPr>
        <w:fldChar w:fldCharType="separate"/>
      </w:r>
      <w:r>
        <w:rPr>
          <w:rStyle w:val="72"/>
          <w:color w:val="auto"/>
        </w:rPr>
        <w:t>9.2环境效益分析</w:t>
      </w:r>
      <w:r>
        <w:rPr>
          <w:color w:val="auto"/>
        </w:rPr>
        <w:tab/>
      </w:r>
      <w:r>
        <w:rPr>
          <w:color w:val="auto"/>
        </w:rPr>
        <w:fldChar w:fldCharType="begin"/>
      </w:r>
      <w:r>
        <w:rPr>
          <w:color w:val="auto"/>
        </w:rPr>
        <w:instrText xml:space="preserve"> PAGEREF _Toc109398730 \h </w:instrText>
      </w:r>
      <w:r>
        <w:rPr>
          <w:color w:val="auto"/>
        </w:rPr>
        <w:fldChar w:fldCharType="separate"/>
      </w:r>
      <w:r>
        <w:rPr>
          <w:color w:val="auto"/>
        </w:rPr>
        <w:t>262</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"_Toc109398731" </w:instrText>
      </w:r>
      <w:r>
        <w:rPr>
          <w:color w:val="auto"/>
        </w:rPr>
        <w:fldChar w:fldCharType="separate"/>
      </w:r>
      <w:r>
        <w:rPr>
          <w:rStyle w:val="72"/>
          <w:color w:val="auto"/>
        </w:rPr>
        <w:t>9.3社会效益分析</w:t>
      </w:r>
      <w:r>
        <w:rPr>
          <w:color w:val="auto"/>
        </w:rPr>
        <w:tab/>
      </w:r>
      <w:r>
        <w:rPr>
          <w:color w:val="auto"/>
        </w:rPr>
        <w:fldChar w:fldCharType="begin"/>
      </w:r>
      <w:r>
        <w:rPr>
          <w:color w:val="auto"/>
        </w:rPr>
        <w:instrText xml:space="preserve"> PAGEREF _Toc109398731 \h </w:instrText>
      </w:r>
      <w:r>
        <w:rPr>
          <w:color w:val="auto"/>
        </w:rPr>
        <w:fldChar w:fldCharType="separate"/>
      </w:r>
      <w:r>
        <w:rPr>
          <w:color w:val="auto"/>
        </w:rPr>
        <w:t>263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"_Toc109398732" </w:instrText>
      </w:r>
      <w:r>
        <w:rPr>
          <w:color w:val="auto"/>
        </w:rPr>
        <w:fldChar w:fldCharType="separate"/>
      </w:r>
      <w:r>
        <w:rPr>
          <w:rStyle w:val="72"/>
          <w:color w:val="auto"/>
        </w:rPr>
        <w:t>9.4经济效益分析</w:t>
      </w:r>
      <w:r>
        <w:rPr>
          <w:color w:val="auto"/>
        </w:rPr>
        <w:tab/>
      </w:r>
      <w:r>
        <w:rPr>
          <w:color w:val="auto"/>
        </w:rPr>
        <w:fldChar w:fldCharType="begin"/>
      </w:r>
      <w:r>
        <w:rPr>
          <w:color w:val="auto"/>
        </w:rPr>
        <w:instrText xml:space="preserve"> PAGEREF _Toc109398732 \h </w:instrText>
      </w:r>
      <w:r>
        <w:rPr>
          <w:color w:val="auto"/>
        </w:rPr>
        <w:fldChar w:fldCharType="separate"/>
      </w:r>
      <w:r>
        <w:rPr>
          <w:color w:val="auto"/>
        </w:rPr>
        <w:t>264</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"_Toc109398733" </w:instrText>
      </w:r>
      <w:r>
        <w:rPr>
          <w:color w:val="auto"/>
        </w:rPr>
        <w:fldChar w:fldCharType="separate"/>
      </w:r>
      <w:r>
        <w:rPr>
          <w:rStyle w:val="72"/>
          <w:color w:val="auto"/>
        </w:rPr>
        <w:t>10环境管理与监测计划</w:t>
      </w:r>
      <w:r>
        <w:rPr>
          <w:color w:val="auto"/>
        </w:rPr>
        <w:tab/>
      </w:r>
      <w:r>
        <w:rPr>
          <w:color w:val="auto"/>
        </w:rPr>
        <w:fldChar w:fldCharType="begin"/>
      </w:r>
      <w:r>
        <w:rPr>
          <w:color w:val="auto"/>
        </w:rPr>
        <w:instrText xml:space="preserve"> PAGEREF _Toc109398733 \h </w:instrText>
      </w:r>
      <w:r>
        <w:rPr>
          <w:color w:val="auto"/>
        </w:rPr>
        <w:fldChar w:fldCharType="separate"/>
      </w:r>
      <w:r>
        <w:rPr>
          <w:color w:val="auto"/>
        </w:rPr>
        <w:t>265</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"_Toc109398734" </w:instrText>
      </w:r>
      <w:r>
        <w:rPr>
          <w:color w:val="auto"/>
        </w:rPr>
        <w:fldChar w:fldCharType="separate"/>
      </w:r>
      <w:r>
        <w:rPr>
          <w:rStyle w:val="72"/>
          <w:color w:val="auto"/>
        </w:rPr>
        <w:t>10.1环境管理计划</w:t>
      </w:r>
      <w:r>
        <w:rPr>
          <w:color w:val="auto"/>
        </w:rPr>
        <w:tab/>
      </w:r>
      <w:r>
        <w:rPr>
          <w:color w:val="auto"/>
        </w:rPr>
        <w:fldChar w:fldCharType="begin"/>
      </w:r>
      <w:r>
        <w:rPr>
          <w:color w:val="auto"/>
        </w:rPr>
        <w:instrText xml:space="preserve"> PAGEREF _Toc109398734 \h </w:instrText>
      </w:r>
      <w:r>
        <w:rPr>
          <w:color w:val="auto"/>
        </w:rPr>
        <w:fldChar w:fldCharType="separate"/>
      </w:r>
      <w:r>
        <w:rPr>
          <w:color w:val="auto"/>
        </w:rPr>
        <w:t>265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"_Toc109398735" </w:instrText>
      </w:r>
      <w:r>
        <w:rPr>
          <w:color w:val="auto"/>
        </w:rPr>
        <w:fldChar w:fldCharType="separate"/>
      </w:r>
      <w:r>
        <w:rPr>
          <w:rStyle w:val="72"/>
          <w:color w:val="auto"/>
        </w:rPr>
        <w:t>10.1.1环境管理体系</w:t>
      </w:r>
      <w:r>
        <w:rPr>
          <w:color w:val="auto"/>
        </w:rPr>
        <w:tab/>
      </w:r>
      <w:r>
        <w:rPr>
          <w:color w:val="auto"/>
        </w:rPr>
        <w:fldChar w:fldCharType="begin"/>
      </w:r>
      <w:r>
        <w:rPr>
          <w:color w:val="auto"/>
        </w:rPr>
        <w:instrText xml:space="preserve"> PAGEREF _Toc109398735 \h </w:instrText>
      </w:r>
      <w:r>
        <w:rPr>
          <w:color w:val="auto"/>
        </w:rPr>
        <w:fldChar w:fldCharType="separate"/>
      </w:r>
      <w:r>
        <w:rPr>
          <w:color w:val="auto"/>
        </w:rPr>
        <w:t>265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"_Toc109398736" </w:instrText>
      </w:r>
      <w:r>
        <w:rPr>
          <w:color w:val="auto"/>
        </w:rPr>
        <w:fldChar w:fldCharType="separate"/>
      </w:r>
      <w:r>
        <w:rPr>
          <w:rStyle w:val="72"/>
          <w:color w:val="auto"/>
        </w:rPr>
        <w:t>10.1.2环境管理机构</w:t>
      </w:r>
      <w:r>
        <w:rPr>
          <w:color w:val="auto"/>
        </w:rPr>
        <w:tab/>
      </w:r>
      <w:r>
        <w:rPr>
          <w:color w:val="auto"/>
        </w:rPr>
        <w:fldChar w:fldCharType="begin"/>
      </w:r>
      <w:r>
        <w:rPr>
          <w:color w:val="auto"/>
        </w:rPr>
        <w:instrText xml:space="preserve"> PAGEREF _Toc109398736 \h </w:instrText>
      </w:r>
      <w:r>
        <w:rPr>
          <w:color w:val="auto"/>
        </w:rPr>
        <w:fldChar w:fldCharType="separate"/>
      </w:r>
      <w:r>
        <w:rPr>
          <w:color w:val="auto"/>
        </w:rPr>
        <w:t>265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"_Toc109398737" </w:instrText>
      </w:r>
      <w:r>
        <w:rPr>
          <w:color w:val="auto"/>
        </w:rPr>
        <w:fldChar w:fldCharType="separate"/>
      </w:r>
      <w:r>
        <w:rPr>
          <w:rStyle w:val="72"/>
          <w:color w:val="auto"/>
        </w:rPr>
        <w:t>10.1.3环保部职责</w:t>
      </w:r>
      <w:r>
        <w:rPr>
          <w:color w:val="auto"/>
        </w:rPr>
        <w:tab/>
      </w:r>
      <w:r>
        <w:rPr>
          <w:color w:val="auto"/>
        </w:rPr>
        <w:fldChar w:fldCharType="begin"/>
      </w:r>
      <w:r>
        <w:rPr>
          <w:color w:val="auto"/>
        </w:rPr>
        <w:instrText xml:space="preserve"> PAGEREF _Toc109398737 \h </w:instrText>
      </w:r>
      <w:r>
        <w:rPr>
          <w:color w:val="auto"/>
        </w:rPr>
        <w:fldChar w:fldCharType="separate"/>
      </w:r>
      <w:r>
        <w:rPr>
          <w:color w:val="auto"/>
        </w:rPr>
        <w:t>265</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"_Toc109398738" </w:instrText>
      </w:r>
      <w:r>
        <w:rPr>
          <w:color w:val="auto"/>
        </w:rPr>
        <w:fldChar w:fldCharType="separate"/>
      </w:r>
      <w:r>
        <w:rPr>
          <w:rStyle w:val="72"/>
          <w:color w:val="auto"/>
        </w:rPr>
        <w:t>10.1.4环境管理实施计划</w:t>
      </w:r>
      <w:r>
        <w:rPr>
          <w:color w:val="auto"/>
        </w:rPr>
        <w:tab/>
      </w:r>
      <w:r>
        <w:rPr>
          <w:color w:val="auto"/>
        </w:rPr>
        <w:fldChar w:fldCharType="begin"/>
      </w:r>
      <w:r>
        <w:rPr>
          <w:color w:val="auto"/>
        </w:rPr>
        <w:instrText xml:space="preserve"> PAGEREF _Toc109398738 \h </w:instrText>
      </w:r>
      <w:r>
        <w:rPr>
          <w:color w:val="auto"/>
        </w:rPr>
        <w:fldChar w:fldCharType="separate"/>
      </w:r>
      <w:r>
        <w:rPr>
          <w:color w:val="auto"/>
        </w:rPr>
        <w:t>266</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"_Toc109398739" </w:instrText>
      </w:r>
      <w:r>
        <w:rPr>
          <w:color w:val="auto"/>
        </w:rPr>
        <w:fldChar w:fldCharType="separate"/>
      </w:r>
      <w:r>
        <w:rPr>
          <w:rStyle w:val="72"/>
          <w:color w:val="auto"/>
        </w:rPr>
        <w:t>10.2环境管理目标</w:t>
      </w:r>
      <w:r>
        <w:rPr>
          <w:color w:val="auto"/>
        </w:rPr>
        <w:tab/>
      </w:r>
      <w:r>
        <w:rPr>
          <w:color w:val="auto"/>
        </w:rPr>
        <w:fldChar w:fldCharType="begin"/>
      </w:r>
      <w:r>
        <w:rPr>
          <w:color w:val="auto"/>
        </w:rPr>
        <w:instrText xml:space="preserve"> PAGEREF _Toc109398739 \h </w:instrText>
      </w:r>
      <w:r>
        <w:rPr>
          <w:color w:val="auto"/>
        </w:rPr>
        <w:fldChar w:fldCharType="separate"/>
      </w:r>
      <w:r>
        <w:rPr>
          <w:color w:val="auto"/>
        </w:rPr>
        <w:t>267</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"_Toc109398740" </w:instrText>
      </w:r>
      <w:r>
        <w:rPr>
          <w:color w:val="auto"/>
        </w:rPr>
        <w:fldChar w:fldCharType="separate"/>
      </w:r>
      <w:r>
        <w:rPr>
          <w:rStyle w:val="72"/>
          <w:color w:val="auto"/>
        </w:rPr>
        <w:t>10.3总量控制指标</w:t>
      </w:r>
      <w:r>
        <w:rPr>
          <w:color w:val="auto"/>
        </w:rPr>
        <w:tab/>
      </w:r>
      <w:r>
        <w:rPr>
          <w:color w:val="auto"/>
        </w:rPr>
        <w:fldChar w:fldCharType="begin"/>
      </w:r>
      <w:r>
        <w:rPr>
          <w:color w:val="auto"/>
        </w:rPr>
        <w:instrText xml:space="preserve"> PAGEREF _Toc109398740 \h </w:instrText>
      </w:r>
      <w:r>
        <w:rPr>
          <w:color w:val="auto"/>
        </w:rPr>
        <w:fldChar w:fldCharType="separate"/>
      </w:r>
      <w:r>
        <w:rPr>
          <w:color w:val="auto"/>
        </w:rPr>
        <w:t>267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"_Toc109398741" </w:instrText>
      </w:r>
      <w:r>
        <w:rPr>
          <w:color w:val="auto"/>
        </w:rPr>
        <w:fldChar w:fldCharType="separate"/>
      </w:r>
      <w:r>
        <w:rPr>
          <w:rStyle w:val="72"/>
          <w:color w:val="auto"/>
        </w:rPr>
        <w:t>10.3.1总量控制原则和意义</w:t>
      </w:r>
      <w:r>
        <w:rPr>
          <w:color w:val="auto"/>
        </w:rPr>
        <w:tab/>
      </w:r>
      <w:r>
        <w:rPr>
          <w:color w:val="auto"/>
        </w:rPr>
        <w:fldChar w:fldCharType="begin"/>
      </w:r>
      <w:r>
        <w:rPr>
          <w:color w:val="auto"/>
        </w:rPr>
        <w:instrText xml:space="preserve"> PAGEREF _Toc109398741 \h </w:instrText>
      </w:r>
      <w:r>
        <w:rPr>
          <w:color w:val="auto"/>
        </w:rPr>
        <w:fldChar w:fldCharType="separate"/>
      </w:r>
      <w:r>
        <w:rPr>
          <w:color w:val="auto"/>
        </w:rPr>
        <w:t>267</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"_Toc109398742" </w:instrText>
      </w:r>
      <w:r>
        <w:rPr>
          <w:color w:val="auto"/>
        </w:rPr>
        <w:fldChar w:fldCharType="separate"/>
      </w:r>
      <w:r>
        <w:rPr>
          <w:rStyle w:val="72"/>
          <w:color w:val="auto"/>
        </w:rPr>
        <w:t>10.3.2总量控制因子</w:t>
      </w:r>
      <w:r>
        <w:rPr>
          <w:color w:val="auto"/>
        </w:rPr>
        <w:tab/>
      </w:r>
      <w:r>
        <w:rPr>
          <w:color w:val="auto"/>
        </w:rPr>
        <w:fldChar w:fldCharType="begin"/>
      </w:r>
      <w:r>
        <w:rPr>
          <w:color w:val="auto"/>
        </w:rPr>
        <w:instrText xml:space="preserve"> PAGEREF _Toc109398742 \h </w:instrText>
      </w:r>
      <w:r>
        <w:rPr>
          <w:color w:val="auto"/>
        </w:rPr>
        <w:fldChar w:fldCharType="separate"/>
      </w:r>
      <w:r>
        <w:rPr>
          <w:color w:val="auto"/>
        </w:rPr>
        <w:t>268</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"_Toc109398743" </w:instrText>
      </w:r>
      <w:r>
        <w:rPr>
          <w:color w:val="auto"/>
        </w:rPr>
        <w:fldChar w:fldCharType="separate"/>
      </w:r>
      <w:r>
        <w:rPr>
          <w:rStyle w:val="72"/>
          <w:color w:val="auto"/>
        </w:rPr>
        <w:t>10.4环境监测计划</w:t>
      </w:r>
      <w:r>
        <w:rPr>
          <w:color w:val="auto"/>
        </w:rPr>
        <w:tab/>
      </w:r>
      <w:r>
        <w:rPr>
          <w:color w:val="auto"/>
        </w:rPr>
        <w:fldChar w:fldCharType="begin"/>
      </w:r>
      <w:r>
        <w:rPr>
          <w:color w:val="auto"/>
        </w:rPr>
        <w:instrText xml:space="preserve"> PAGEREF _Toc109398743 \h </w:instrText>
      </w:r>
      <w:r>
        <w:rPr>
          <w:color w:val="auto"/>
        </w:rPr>
        <w:fldChar w:fldCharType="separate"/>
      </w:r>
      <w:r>
        <w:rPr>
          <w:color w:val="auto"/>
        </w:rPr>
        <w:t>268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"_Toc109398744" </w:instrText>
      </w:r>
      <w:r>
        <w:rPr>
          <w:color w:val="auto"/>
        </w:rPr>
        <w:fldChar w:fldCharType="separate"/>
      </w:r>
      <w:r>
        <w:rPr>
          <w:rStyle w:val="72"/>
          <w:color w:val="auto"/>
        </w:rPr>
        <w:t>10.4.1监测目的</w:t>
      </w:r>
      <w:r>
        <w:rPr>
          <w:color w:val="auto"/>
        </w:rPr>
        <w:tab/>
      </w:r>
      <w:r>
        <w:rPr>
          <w:color w:val="auto"/>
        </w:rPr>
        <w:fldChar w:fldCharType="begin"/>
      </w:r>
      <w:r>
        <w:rPr>
          <w:color w:val="auto"/>
        </w:rPr>
        <w:instrText xml:space="preserve"> PAGEREF _Toc109398744 \h </w:instrText>
      </w:r>
      <w:r>
        <w:rPr>
          <w:color w:val="auto"/>
        </w:rPr>
        <w:fldChar w:fldCharType="separate"/>
      </w:r>
      <w:r>
        <w:rPr>
          <w:color w:val="auto"/>
        </w:rPr>
        <w:t>268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"_Toc109398745" </w:instrText>
      </w:r>
      <w:r>
        <w:rPr>
          <w:color w:val="auto"/>
        </w:rPr>
        <w:fldChar w:fldCharType="separate"/>
      </w:r>
      <w:r>
        <w:rPr>
          <w:rStyle w:val="72"/>
          <w:color w:val="auto"/>
        </w:rPr>
        <w:t>10.4.2监测计划</w:t>
      </w:r>
      <w:r>
        <w:rPr>
          <w:color w:val="auto"/>
        </w:rPr>
        <w:tab/>
      </w:r>
      <w:r>
        <w:rPr>
          <w:color w:val="auto"/>
        </w:rPr>
        <w:fldChar w:fldCharType="begin"/>
      </w:r>
      <w:r>
        <w:rPr>
          <w:color w:val="auto"/>
        </w:rPr>
        <w:instrText xml:space="preserve"> PAGEREF _Toc109398745 \h </w:instrText>
      </w:r>
      <w:r>
        <w:rPr>
          <w:color w:val="auto"/>
        </w:rPr>
        <w:fldChar w:fldCharType="separate"/>
      </w:r>
      <w:r>
        <w:rPr>
          <w:color w:val="auto"/>
        </w:rPr>
        <w:t>269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"_Toc109398746" </w:instrText>
      </w:r>
      <w:r>
        <w:rPr>
          <w:color w:val="auto"/>
        </w:rPr>
        <w:fldChar w:fldCharType="separate"/>
      </w:r>
      <w:r>
        <w:rPr>
          <w:rStyle w:val="72"/>
          <w:color w:val="auto"/>
        </w:rPr>
        <w:t>10.4.3监测分析方法</w:t>
      </w:r>
      <w:r>
        <w:rPr>
          <w:color w:val="auto"/>
        </w:rPr>
        <w:tab/>
      </w:r>
      <w:r>
        <w:rPr>
          <w:color w:val="auto"/>
        </w:rPr>
        <w:fldChar w:fldCharType="begin"/>
      </w:r>
      <w:r>
        <w:rPr>
          <w:color w:val="auto"/>
        </w:rPr>
        <w:instrText xml:space="preserve"> PAGEREF _Toc109398746 \h </w:instrText>
      </w:r>
      <w:r>
        <w:rPr>
          <w:color w:val="auto"/>
        </w:rPr>
        <w:fldChar w:fldCharType="separate"/>
      </w:r>
      <w:r>
        <w:rPr>
          <w:color w:val="auto"/>
        </w:rPr>
        <w:t>269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"_Toc109398747" </w:instrText>
      </w:r>
      <w:r>
        <w:rPr>
          <w:color w:val="auto"/>
        </w:rPr>
        <w:fldChar w:fldCharType="separate"/>
      </w:r>
      <w:r>
        <w:rPr>
          <w:rStyle w:val="72"/>
          <w:color w:val="auto"/>
        </w:rPr>
        <w:t>10.4.4监测数据的管理</w:t>
      </w:r>
      <w:r>
        <w:rPr>
          <w:color w:val="auto"/>
        </w:rPr>
        <w:tab/>
      </w:r>
      <w:r>
        <w:rPr>
          <w:color w:val="auto"/>
        </w:rPr>
        <w:fldChar w:fldCharType="begin"/>
      </w:r>
      <w:r>
        <w:rPr>
          <w:color w:val="auto"/>
        </w:rPr>
        <w:instrText xml:space="preserve"> PAGEREF _Toc109398747 \h </w:instrText>
      </w:r>
      <w:r>
        <w:rPr>
          <w:color w:val="auto"/>
        </w:rPr>
        <w:fldChar w:fldCharType="separate"/>
      </w:r>
      <w:r>
        <w:rPr>
          <w:color w:val="auto"/>
        </w:rPr>
        <w:t>270</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"_Toc109398748" </w:instrText>
      </w:r>
      <w:r>
        <w:rPr>
          <w:color w:val="auto"/>
        </w:rPr>
        <w:fldChar w:fldCharType="separate"/>
      </w:r>
      <w:r>
        <w:rPr>
          <w:rStyle w:val="72"/>
          <w:color w:val="auto"/>
        </w:rPr>
        <w:t>10.5排污口规范化管理</w:t>
      </w:r>
      <w:r>
        <w:rPr>
          <w:color w:val="auto"/>
        </w:rPr>
        <w:tab/>
      </w:r>
      <w:r>
        <w:rPr>
          <w:color w:val="auto"/>
        </w:rPr>
        <w:fldChar w:fldCharType="begin"/>
      </w:r>
      <w:r>
        <w:rPr>
          <w:color w:val="auto"/>
        </w:rPr>
        <w:instrText xml:space="preserve"> PAGEREF _Toc109398748 \h </w:instrText>
      </w:r>
      <w:r>
        <w:rPr>
          <w:color w:val="auto"/>
        </w:rPr>
        <w:fldChar w:fldCharType="separate"/>
      </w:r>
      <w:r>
        <w:rPr>
          <w:color w:val="auto"/>
        </w:rPr>
        <w:t>270</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"_Toc109398749" </w:instrText>
      </w:r>
      <w:r>
        <w:rPr>
          <w:color w:val="auto"/>
        </w:rPr>
        <w:fldChar w:fldCharType="separate"/>
      </w:r>
      <w:r>
        <w:rPr>
          <w:rStyle w:val="72"/>
          <w:color w:val="auto"/>
        </w:rPr>
        <w:t>10.6环境信息公开要求</w:t>
      </w:r>
      <w:r>
        <w:rPr>
          <w:color w:val="auto"/>
        </w:rPr>
        <w:tab/>
      </w:r>
      <w:r>
        <w:rPr>
          <w:color w:val="auto"/>
        </w:rPr>
        <w:fldChar w:fldCharType="begin"/>
      </w:r>
      <w:r>
        <w:rPr>
          <w:color w:val="auto"/>
        </w:rPr>
        <w:instrText xml:space="preserve"> PAGEREF _Toc109398749 \h </w:instrText>
      </w:r>
      <w:r>
        <w:rPr>
          <w:color w:val="auto"/>
        </w:rPr>
        <w:fldChar w:fldCharType="separate"/>
      </w:r>
      <w:r>
        <w:rPr>
          <w:color w:val="auto"/>
        </w:rPr>
        <w:t>272</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"_Toc109398750" </w:instrText>
      </w:r>
      <w:r>
        <w:rPr>
          <w:color w:val="auto"/>
        </w:rPr>
        <w:fldChar w:fldCharType="separate"/>
      </w:r>
      <w:r>
        <w:rPr>
          <w:rStyle w:val="72"/>
          <w:color w:val="auto"/>
        </w:rPr>
        <w:t>10.6.1环评信息公开</w:t>
      </w:r>
      <w:r>
        <w:rPr>
          <w:color w:val="auto"/>
        </w:rPr>
        <w:tab/>
      </w:r>
      <w:r>
        <w:rPr>
          <w:color w:val="auto"/>
        </w:rPr>
        <w:fldChar w:fldCharType="begin"/>
      </w:r>
      <w:r>
        <w:rPr>
          <w:color w:val="auto"/>
        </w:rPr>
        <w:instrText xml:space="preserve"> PAGEREF _Toc109398750 \h </w:instrText>
      </w:r>
      <w:r>
        <w:rPr>
          <w:color w:val="auto"/>
        </w:rPr>
        <w:fldChar w:fldCharType="separate"/>
      </w:r>
      <w:r>
        <w:rPr>
          <w:color w:val="auto"/>
        </w:rPr>
        <w:t>272</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"_Toc109398751" </w:instrText>
      </w:r>
      <w:r>
        <w:rPr>
          <w:color w:val="auto"/>
        </w:rPr>
        <w:fldChar w:fldCharType="separate"/>
      </w:r>
      <w:r>
        <w:rPr>
          <w:rStyle w:val="72"/>
          <w:color w:val="auto"/>
        </w:rPr>
        <w:t>10.6.2项目建设信息公开</w:t>
      </w:r>
      <w:r>
        <w:rPr>
          <w:color w:val="auto"/>
        </w:rPr>
        <w:tab/>
      </w:r>
      <w:r>
        <w:rPr>
          <w:color w:val="auto"/>
        </w:rPr>
        <w:fldChar w:fldCharType="begin"/>
      </w:r>
      <w:r>
        <w:rPr>
          <w:color w:val="auto"/>
        </w:rPr>
        <w:instrText xml:space="preserve"> PAGEREF _Toc109398751 \h </w:instrText>
      </w:r>
      <w:r>
        <w:rPr>
          <w:color w:val="auto"/>
        </w:rPr>
        <w:fldChar w:fldCharType="separate"/>
      </w:r>
      <w:r>
        <w:rPr>
          <w:color w:val="auto"/>
        </w:rPr>
        <w:t>272</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"_Toc109398752" </w:instrText>
      </w:r>
      <w:r>
        <w:rPr>
          <w:color w:val="auto"/>
        </w:rPr>
        <w:fldChar w:fldCharType="separate"/>
      </w:r>
      <w:r>
        <w:rPr>
          <w:rStyle w:val="72"/>
          <w:color w:val="auto"/>
        </w:rPr>
        <w:t>10.6.3排污信息公开</w:t>
      </w:r>
      <w:r>
        <w:rPr>
          <w:color w:val="auto"/>
        </w:rPr>
        <w:tab/>
      </w:r>
      <w:r>
        <w:rPr>
          <w:color w:val="auto"/>
        </w:rPr>
        <w:fldChar w:fldCharType="begin"/>
      </w:r>
      <w:r>
        <w:rPr>
          <w:color w:val="auto"/>
        </w:rPr>
        <w:instrText xml:space="preserve"> PAGEREF _Toc109398752 \h </w:instrText>
      </w:r>
      <w:r>
        <w:rPr>
          <w:color w:val="auto"/>
        </w:rPr>
        <w:fldChar w:fldCharType="separate"/>
      </w:r>
      <w:r>
        <w:rPr>
          <w:color w:val="auto"/>
        </w:rPr>
        <w:t>273</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"_Toc109398753" </w:instrText>
      </w:r>
      <w:r>
        <w:rPr>
          <w:color w:val="auto"/>
        </w:rPr>
        <w:fldChar w:fldCharType="separate"/>
      </w:r>
      <w:r>
        <w:rPr>
          <w:rStyle w:val="72"/>
          <w:color w:val="auto"/>
        </w:rPr>
        <w:t>10.6.4环境应急信息公开</w:t>
      </w:r>
      <w:r>
        <w:rPr>
          <w:color w:val="auto"/>
        </w:rPr>
        <w:tab/>
      </w:r>
      <w:r>
        <w:rPr>
          <w:color w:val="auto"/>
        </w:rPr>
        <w:fldChar w:fldCharType="begin"/>
      </w:r>
      <w:r>
        <w:rPr>
          <w:color w:val="auto"/>
        </w:rPr>
        <w:instrText xml:space="preserve"> PAGEREF _Toc109398753 \h </w:instrText>
      </w:r>
      <w:r>
        <w:rPr>
          <w:color w:val="auto"/>
        </w:rPr>
        <w:fldChar w:fldCharType="separate"/>
      </w:r>
      <w:r>
        <w:rPr>
          <w:color w:val="auto"/>
        </w:rPr>
        <w:t>273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"_Toc109398754" </w:instrText>
      </w:r>
      <w:r>
        <w:rPr>
          <w:color w:val="auto"/>
        </w:rPr>
        <w:fldChar w:fldCharType="separate"/>
      </w:r>
      <w:r>
        <w:rPr>
          <w:rStyle w:val="72"/>
          <w:color w:val="auto"/>
        </w:rPr>
        <w:t>10.7污染物排放清单</w:t>
      </w:r>
      <w:r>
        <w:rPr>
          <w:color w:val="auto"/>
        </w:rPr>
        <w:tab/>
      </w:r>
      <w:r>
        <w:rPr>
          <w:color w:val="auto"/>
        </w:rPr>
        <w:fldChar w:fldCharType="begin"/>
      </w:r>
      <w:r>
        <w:rPr>
          <w:color w:val="auto"/>
        </w:rPr>
        <w:instrText xml:space="preserve"> PAGEREF _Toc109398754 \h </w:instrText>
      </w:r>
      <w:r>
        <w:rPr>
          <w:color w:val="auto"/>
        </w:rPr>
        <w:fldChar w:fldCharType="separate"/>
      </w:r>
      <w:r>
        <w:rPr>
          <w:color w:val="auto"/>
        </w:rPr>
        <w:t>273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"_Toc109398755" </w:instrText>
      </w:r>
      <w:r>
        <w:rPr>
          <w:color w:val="auto"/>
        </w:rPr>
        <w:fldChar w:fldCharType="separate"/>
      </w:r>
      <w:r>
        <w:rPr>
          <w:rStyle w:val="72"/>
          <w:color w:val="auto"/>
        </w:rPr>
        <w:t>10.8环境保护措施竣工验收管理</w:t>
      </w:r>
      <w:r>
        <w:rPr>
          <w:color w:val="auto"/>
        </w:rPr>
        <w:tab/>
      </w:r>
      <w:r>
        <w:rPr>
          <w:color w:val="auto"/>
        </w:rPr>
        <w:fldChar w:fldCharType="begin"/>
      </w:r>
      <w:r>
        <w:rPr>
          <w:color w:val="auto"/>
        </w:rPr>
        <w:instrText xml:space="preserve"> PAGEREF _Toc109398755 \h </w:instrText>
      </w:r>
      <w:r>
        <w:rPr>
          <w:color w:val="auto"/>
        </w:rPr>
        <w:fldChar w:fldCharType="separate"/>
      </w:r>
      <w:r>
        <w:rPr>
          <w:color w:val="auto"/>
        </w:rPr>
        <w:t>276</w:t>
      </w:r>
      <w:r>
        <w:rPr>
          <w:color w:val="auto"/>
        </w:rPr>
        <w:fldChar w:fldCharType="end"/>
      </w:r>
      <w:r>
        <w:rPr>
          <w:color w:val="auto"/>
        </w:rPr>
        <w:fldChar w:fldCharType="end"/>
      </w:r>
    </w:p>
    <w:p>
      <w:pPr>
        <w:pStyle w:val="48"/>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"_Toc109398756" </w:instrText>
      </w:r>
      <w:r>
        <w:rPr>
          <w:color w:val="auto"/>
        </w:rPr>
        <w:fldChar w:fldCharType="separate"/>
      </w:r>
      <w:r>
        <w:rPr>
          <w:rStyle w:val="72"/>
          <w:color w:val="auto"/>
        </w:rPr>
        <w:t>11结论与建议</w:t>
      </w:r>
      <w:r>
        <w:rPr>
          <w:color w:val="auto"/>
        </w:rPr>
        <w:tab/>
      </w:r>
      <w:r>
        <w:rPr>
          <w:color w:val="auto"/>
        </w:rPr>
        <w:fldChar w:fldCharType="begin"/>
      </w:r>
      <w:r>
        <w:rPr>
          <w:color w:val="auto"/>
        </w:rPr>
        <w:instrText xml:space="preserve"> PAGEREF _Toc109398756 \h </w:instrText>
      </w:r>
      <w:r>
        <w:rPr>
          <w:color w:val="auto"/>
        </w:rPr>
        <w:fldChar w:fldCharType="separate"/>
      </w:r>
      <w:r>
        <w:rPr>
          <w:color w:val="auto"/>
        </w:rPr>
        <w:t>278</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"_Toc109398757" </w:instrText>
      </w:r>
      <w:r>
        <w:rPr>
          <w:color w:val="auto"/>
        </w:rPr>
        <w:fldChar w:fldCharType="separate"/>
      </w:r>
      <w:r>
        <w:rPr>
          <w:rStyle w:val="72"/>
          <w:color w:val="auto"/>
        </w:rPr>
        <w:t>11.1建设项目概况结论</w:t>
      </w:r>
      <w:r>
        <w:rPr>
          <w:color w:val="auto"/>
        </w:rPr>
        <w:tab/>
      </w:r>
      <w:r>
        <w:rPr>
          <w:color w:val="auto"/>
        </w:rPr>
        <w:fldChar w:fldCharType="begin"/>
      </w:r>
      <w:r>
        <w:rPr>
          <w:color w:val="auto"/>
        </w:rPr>
        <w:instrText xml:space="preserve"> PAGEREF _Toc109398757 \h </w:instrText>
      </w:r>
      <w:r>
        <w:rPr>
          <w:color w:val="auto"/>
        </w:rPr>
        <w:fldChar w:fldCharType="separate"/>
      </w:r>
      <w:r>
        <w:rPr>
          <w:color w:val="auto"/>
        </w:rPr>
        <w:t>278</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"_Toc109398758" </w:instrText>
      </w:r>
      <w:r>
        <w:rPr>
          <w:color w:val="auto"/>
        </w:rPr>
        <w:fldChar w:fldCharType="separate"/>
      </w:r>
      <w:r>
        <w:rPr>
          <w:rStyle w:val="72"/>
          <w:color w:val="auto"/>
        </w:rPr>
        <w:t>11.2项目与产业政策及地方相关规划的符合性结论</w:t>
      </w:r>
      <w:r>
        <w:rPr>
          <w:color w:val="auto"/>
        </w:rPr>
        <w:tab/>
      </w:r>
      <w:r>
        <w:rPr>
          <w:color w:val="auto"/>
        </w:rPr>
        <w:fldChar w:fldCharType="begin"/>
      </w:r>
      <w:r>
        <w:rPr>
          <w:color w:val="auto"/>
        </w:rPr>
        <w:instrText xml:space="preserve"> PAGEREF _Toc109398758 \h </w:instrText>
      </w:r>
      <w:r>
        <w:rPr>
          <w:color w:val="auto"/>
        </w:rPr>
        <w:fldChar w:fldCharType="separate"/>
      </w:r>
      <w:r>
        <w:rPr>
          <w:color w:val="auto"/>
        </w:rPr>
        <w:t>278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"_Toc109398759" </w:instrText>
      </w:r>
      <w:r>
        <w:rPr>
          <w:color w:val="auto"/>
        </w:rPr>
        <w:fldChar w:fldCharType="separate"/>
      </w:r>
      <w:r>
        <w:rPr>
          <w:rStyle w:val="72"/>
          <w:color w:val="auto"/>
        </w:rPr>
        <w:t>11.2.1与《产业结构调整指导目录》（2019年本）相符性分析</w:t>
      </w:r>
      <w:r>
        <w:rPr>
          <w:color w:val="auto"/>
        </w:rPr>
        <w:tab/>
      </w:r>
      <w:r>
        <w:rPr>
          <w:color w:val="auto"/>
        </w:rPr>
        <w:fldChar w:fldCharType="begin"/>
      </w:r>
      <w:r>
        <w:rPr>
          <w:color w:val="auto"/>
        </w:rPr>
        <w:instrText xml:space="preserve"> PAGEREF _Toc109398759 \h </w:instrText>
      </w:r>
      <w:r>
        <w:rPr>
          <w:color w:val="auto"/>
        </w:rPr>
        <w:fldChar w:fldCharType="separate"/>
      </w:r>
      <w:r>
        <w:rPr>
          <w:color w:val="auto"/>
        </w:rPr>
        <w:t>278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"_Toc109398760" </w:instrText>
      </w:r>
      <w:r>
        <w:rPr>
          <w:color w:val="auto"/>
        </w:rPr>
        <w:fldChar w:fldCharType="separate"/>
      </w:r>
      <w:r>
        <w:rPr>
          <w:rStyle w:val="72"/>
          <w:color w:val="auto"/>
        </w:rPr>
        <w:t>11.2.2相关规划相符性和选址可行性分析</w:t>
      </w:r>
      <w:r>
        <w:rPr>
          <w:color w:val="auto"/>
        </w:rPr>
        <w:tab/>
      </w:r>
      <w:r>
        <w:rPr>
          <w:color w:val="auto"/>
        </w:rPr>
        <w:fldChar w:fldCharType="begin"/>
      </w:r>
      <w:r>
        <w:rPr>
          <w:color w:val="auto"/>
        </w:rPr>
        <w:instrText xml:space="preserve"> PAGEREF _Toc109398760 \h </w:instrText>
      </w:r>
      <w:r>
        <w:rPr>
          <w:color w:val="auto"/>
        </w:rPr>
        <w:fldChar w:fldCharType="separate"/>
      </w:r>
      <w:r>
        <w:rPr>
          <w:color w:val="auto"/>
        </w:rPr>
        <w:t>278</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"_Toc109398761" </w:instrText>
      </w:r>
      <w:r>
        <w:rPr>
          <w:color w:val="auto"/>
        </w:rPr>
        <w:fldChar w:fldCharType="separate"/>
      </w:r>
      <w:r>
        <w:rPr>
          <w:rStyle w:val="72"/>
          <w:color w:val="auto"/>
        </w:rPr>
        <w:t>11.2.3项目选址合理性</w:t>
      </w:r>
      <w:r>
        <w:rPr>
          <w:color w:val="auto"/>
        </w:rPr>
        <w:tab/>
      </w:r>
      <w:r>
        <w:rPr>
          <w:color w:val="auto"/>
        </w:rPr>
        <w:fldChar w:fldCharType="begin"/>
      </w:r>
      <w:r>
        <w:rPr>
          <w:color w:val="auto"/>
        </w:rPr>
        <w:instrText xml:space="preserve"> PAGEREF _Toc109398761 \h </w:instrText>
      </w:r>
      <w:r>
        <w:rPr>
          <w:color w:val="auto"/>
        </w:rPr>
        <w:fldChar w:fldCharType="separate"/>
      </w:r>
      <w:r>
        <w:rPr>
          <w:color w:val="auto"/>
        </w:rPr>
        <w:t>279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"_Toc109398762" </w:instrText>
      </w:r>
      <w:r>
        <w:rPr>
          <w:color w:val="auto"/>
        </w:rPr>
        <w:fldChar w:fldCharType="separate"/>
      </w:r>
      <w:r>
        <w:rPr>
          <w:rStyle w:val="72"/>
          <w:color w:val="auto"/>
        </w:rPr>
        <w:t>11.2.4平面布置合理性分析</w:t>
      </w:r>
      <w:r>
        <w:rPr>
          <w:color w:val="auto"/>
        </w:rPr>
        <w:tab/>
      </w:r>
      <w:r>
        <w:rPr>
          <w:color w:val="auto"/>
        </w:rPr>
        <w:fldChar w:fldCharType="begin"/>
      </w:r>
      <w:r>
        <w:rPr>
          <w:color w:val="auto"/>
        </w:rPr>
        <w:instrText xml:space="preserve"> PAGEREF _Toc109398762 \h </w:instrText>
      </w:r>
      <w:r>
        <w:rPr>
          <w:color w:val="auto"/>
        </w:rPr>
        <w:fldChar w:fldCharType="separate"/>
      </w:r>
      <w:r>
        <w:rPr>
          <w:color w:val="auto"/>
        </w:rPr>
        <w:t>279</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"_Toc109398763" </w:instrText>
      </w:r>
      <w:r>
        <w:rPr>
          <w:color w:val="auto"/>
        </w:rPr>
        <w:fldChar w:fldCharType="separate"/>
      </w:r>
      <w:r>
        <w:rPr>
          <w:rStyle w:val="72"/>
          <w:color w:val="auto"/>
        </w:rPr>
        <w:t>11.3环境质量现状结论</w:t>
      </w:r>
      <w:r>
        <w:rPr>
          <w:color w:val="auto"/>
        </w:rPr>
        <w:tab/>
      </w:r>
      <w:r>
        <w:rPr>
          <w:color w:val="auto"/>
        </w:rPr>
        <w:fldChar w:fldCharType="begin"/>
      </w:r>
      <w:r>
        <w:rPr>
          <w:color w:val="auto"/>
        </w:rPr>
        <w:instrText xml:space="preserve"> PAGEREF _Toc109398763 \h </w:instrText>
      </w:r>
      <w:r>
        <w:rPr>
          <w:color w:val="auto"/>
        </w:rPr>
        <w:fldChar w:fldCharType="separate"/>
      </w:r>
      <w:r>
        <w:rPr>
          <w:color w:val="auto"/>
        </w:rPr>
        <w:t>279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"_Toc109398764" </w:instrText>
      </w:r>
      <w:r>
        <w:rPr>
          <w:color w:val="auto"/>
        </w:rPr>
        <w:fldChar w:fldCharType="separate"/>
      </w:r>
      <w:r>
        <w:rPr>
          <w:rStyle w:val="72"/>
          <w:color w:val="auto"/>
        </w:rPr>
        <w:t>11.3.1环境空气</w:t>
      </w:r>
      <w:r>
        <w:rPr>
          <w:color w:val="auto"/>
        </w:rPr>
        <w:tab/>
      </w:r>
      <w:r>
        <w:rPr>
          <w:color w:val="auto"/>
        </w:rPr>
        <w:fldChar w:fldCharType="begin"/>
      </w:r>
      <w:r>
        <w:rPr>
          <w:color w:val="auto"/>
        </w:rPr>
        <w:instrText xml:space="preserve"> PAGEREF _Toc109398764 \h </w:instrText>
      </w:r>
      <w:r>
        <w:rPr>
          <w:color w:val="auto"/>
        </w:rPr>
        <w:fldChar w:fldCharType="separate"/>
      </w:r>
      <w:r>
        <w:rPr>
          <w:color w:val="auto"/>
        </w:rPr>
        <w:t>279</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"_Toc109398765" </w:instrText>
      </w:r>
      <w:r>
        <w:rPr>
          <w:color w:val="auto"/>
        </w:rPr>
        <w:fldChar w:fldCharType="separate"/>
      </w:r>
      <w:r>
        <w:rPr>
          <w:rStyle w:val="72"/>
          <w:color w:val="auto"/>
        </w:rPr>
        <w:t>11.3.2地表水环境</w:t>
      </w:r>
      <w:r>
        <w:rPr>
          <w:color w:val="auto"/>
        </w:rPr>
        <w:tab/>
      </w:r>
      <w:r>
        <w:rPr>
          <w:color w:val="auto"/>
        </w:rPr>
        <w:fldChar w:fldCharType="begin"/>
      </w:r>
      <w:r>
        <w:rPr>
          <w:color w:val="auto"/>
        </w:rPr>
        <w:instrText xml:space="preserve"> PAGEREF _Toc109398765 \h </w:instrText>
      </w:r>
      <w:r>
        <w:rPr>
          <w:color w:val="auto"/>
        </w:rPr>
        <w:fldChar w:fldCharType="separate"/>
      </w:r>
      <w:r>
        <w:rPr>
          <w:color w:val="auto"/>
        </w:rPr>
        <w:t>280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"_Toc109398766" </w:instrText>
      </w:r>
      <w:r>
        <w:rPr>
          <w:color w:val="auto"/>
        </w:rPr>
        <w:fldChar w:fldCharType="separate"/>
      </w:r>
      <w:r>
        <w:rPr>
          <w:rStyle w:val="72"/>
          <w:color w:val="auto"/>
        </w:rPr>
        <w:t>11.3.3地下水环境</w:t>
      </w:r>
      <w:r>
        <w:rPr>
          <w:color w:val="auto"/>
        </w:rPr>
        <w:tab/>
      </w:r>
      <w:r>
        <w:rPr>
          <w:color w:val="auto"/>
        </w:rPr>
        <w:fldChar w:fldCharType="begin"/>
      </w:r>
      <w:r>
        <w:rPr>
          <w:color w:val="auto"/>
        </w:rPr>
        <w:instrText xml:space="preserve"> PAGEREF _Toc109398766 \h </w:instrText>
      </w:r>
      <w:r>
        <w:rPr>
          <w:color w:val="auto"/>
        </w:rPr>
        <w:fldChar w:fldCharType="separate"/>
      </w:r>
      <w:r>
        <w:rPr>
          <w:color w:val="auto"/>
        </w:rPr>
        <w:t>280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"_Toc109398767" </w:instrText>
      </w:r>
      <w:r>
        <w:rPr>
          <w:color w:val="auto"/>
        </w:rPr>
        <w:fldChar w:fldCharType="separate"/>
      </w:r>
      <w:r>
        <w:rPr>
          <w:rStyle w:val="72"/>
          <w:color w:val="auto"/>
        </w:rPr>
        <w:t>11.3.4声环境</w:t>
      </w:r>
      <w:r>
        <w:rPr>
          <w:color w:val="auto"/>
        </w:rPr>
        <w:tab/>
      </w:r>
      <w:r>
        <w:rPr>
          <w:color w:val="auto"/>
        </w:rPr>
        <w:fldChar w:fldCharType="begin"/>
      </w:r>
      <w:r>
        <w:rPr>
          <w:color w:val="auto"/>
        </w:rPr>
        <w:instrText xml:space="preserve"> PAGEREF _Toc109398767 \h </w:instrText>
      </w:r>
      <w:r>
        <w:rPr>
          <w:color w:val="auto"/>
        </w:rPr>
        <w:fldChar w:fldCharType="separate"/>
      </w:r>
      <w:r>
        <w:rPr>
          <w:color w:val="auto"/>
        </w:rPr>
        <w:t>280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"_Toc109398768" </w:instrText>
      </w:r>
      <w:r>
        <w:rPr>
          <w:color w:val="auto"/>
        </w:rPr>
        <w:fldChar w:fldCharType="separate"/>
      </w:r>
      <w:r>
        <w:rPr>
          <w:rStyle w:val="72"/>
          <w:color w:val="auto"/>
        </w:rPr>
        <w:t>11.3.5土壤环境</w:t>
      </w:r>
      <w:r>
        <w:rPr>
          <w:color w:val="auto"/>
        </w:rPr>
        <w:tab/>
      </w:r>
      <w:r>
        <w:rPr>
          <w:color w:val="auto"/>
        </w:rPr>
        <w:fldChar w:fldCharType="begin"/>
      </w:r>
      <w:r>
        <w:rPr>
          <w:color w:val="auto"/>
        </w:rPr>
        <w:instrText xml:space="preserve"> PAGEREF _Toc109398768 \h </w:instrText>
      </w:r>
      <w:r>
        <w:rPr>
          <w:color w:val="auto"/>
        </w:rPr>
        <w:fldChar w:fldCharType="separate"/>
      </w:r>
      <w:r>
        <w:rPr>
          <w:color w:val="auto"/>
        </w:rPr>
        <w:t>280</w:t>
      </w:r>
      <w:r>
        <w:rPr>
          <w:color w:val="auto"/>
        </w:rPr>
        <w:fldChar w:fldCharType="end"/>
      </w:r>
      <w:r>
        <w:rPr>
          <w:color w:val="auto"/>
        </w:rPr>
        <w:fldChar w:fldCharType="end"/>
      </w:r>
    </w:p>
    <w:p>
      <w:pPr>
        <w:pStyle w:val="36"/>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"_Toc109398769" </w:instrText>
      </w:r>
      <w:r>
        <w:rPr>
          <w:color w:val="auto"/>
        </w:rPr>
        <w:fldChar w:fldCharType="separate"/>
      </w:r>
      <w:r>
        <w:rPr>
          <w:rStyle w:val="72"/>
          <w:color w:val="auto"/>
        </w:rPr>
        <w:t>11.3.6生态环境</w:t>
      </w:r>
      <w:r>
        <w:rPr>
          <w:color w:val="auto"/>
        </w:rPr>
        <w:tab/>
      </w:r>
      <w:r>
        <w:rPr>
          <w:color w:val="auto"/>
        </w:rPr>
        <w:fldChar w:fldCharType="begin"/>
      </w:r>
      <w:r>
        <w:rPr>
          <w:color w:val="auto"/>
        </w:rPr>
        <w:instrText xml:space="preserve"> PAGEREF _Toc109398769 \h </w:instrText>
      </w:r>
      <w:r>
        <w:rPr>
          <w:color w:val="auto"/>
        </w:rPr>
        <w:fldChar w:fldCharType="separate"/>
      </w:r>
      <w:r>
        <w:rPr>
          <w:color w:val="auto"/>
        </w:rPr>
        <w:t>281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"_Toc109398770" </w:instrText>
      </w:r>
      <w:r>
        <w:rPr>
          <w:color w:val="auto"/>
        </w:rPr>
        <w:fldChar w:fldCharType="separate"/>
      </w:r>
      <w:r>
        <w:rPr>
          <w:rStyle w:val="72"/>
          <w:color w:val="auto"/>
        </w:rPr>
        <w:t>11.4环境影响分析结论</w:t>
      </w:r>
      <w:r>
        <w:rPr>
          <w:color w:val="auto"/>
        </w:rPr>
        <w:tab/>
      </w:r>
      <w:r>
        <w:rPr>
          <w:color w:val="auto"/>
        </w:rPr>
        <w:fldChar w:fldCharType="begin"/>
      </w:r>
      <w:r>
        <w:rPr>
          <w:color w:val="auto"/>
        </w:rPr>
        <w:instrText xml:space="preserve"> PAGEREF _Toc109398770 \h </w:instrText>
      </w:r>
      <w:r>
        <w:rPr>
          <w:color w:val="auto"/>
        </w:rPr>
        <w:fldChar w:fldCharType="separate"/>
      </w:r>
      <w:r>
        <w:rPr>
          <w:color w:val="auto"/>
        </w:rPr>
        <w:t>281</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"_Toc109398771" </w:instrText>
      </w:r>
      <w:r>
        <w:rPr>
          <w:color w:val="auto"/>
        </w:rPr>
        <w:fldChar w:fldCharType="separate"/>
      </w:r>
      <w:r>
        <w:rPr>
          <w:rStyle w:val="72"/>
          <w:color w:val="auto"/>
        </w:rPr>
        <w:t>11.5环境风险结论</w:t>
      </w:r>
      <w:r>
        <w:rPr>
          <w:color w:val="auto"/>
        </w:rPr>
        <w:tab/>
      </w:r>
      <w:r>
        <w:rPr>
          <w:color w:val="auto"/>
        </w:rPr>
        <w:fldChar w:fldCharType="begin"/>
      </w:r>
      <w:r>
        <w:rPr>
          <w:color w:val="auto"/>
        </w:rPr>
        <w:instrText xml:space="preserve"> PAGEREF _Toc109398771 \h </w:instrText>
      </w:r>
      <w:r>
        <w:rPr>
          <w:color w:val="auto"/>
        </w:rPr>
        <w:fldChar w:fldCharType="separate"/>
      </w:r>
      <w:r>
        <w:rPr>
          <w:color w:val="auto"/>
        </w:rPr>
        <w:t>283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"_Toc109398772" </w:instrText>
      </w:r>
      <w:r>
        <w:rPr>
          <w:color w:val="auto"/>
        </w:rPr>
        <w:fldChar w:fldCharType="separate"/>
      </w:r>
      <w:r>
        <w:rPr>
          <w:rStyle w:val="72"/>
          <w:color w:val="auto"/>
        </w:rPr>
        <w:t>11.6总量控制指标结论</w:t>
      </w:r>
      <w:r>
        <w:rPr>
          <w:color w:val="auto"/>
        </w:rPr>
        <w:tab/>
      </w:r>
      <w:r>
        <w:rPr>
          <w:color w:val="auto"/>
        </w:rPr>
        <w:fldChar w:fldCharType="begin"/>
      </w:r>
      <w:r>
        <w:rPr>
          <w:color w:val="auto"/>
        </w:rPr>
        <w:instrText xml:space="preserve"> PAGEREF _Toc109398772 \h </w:instrText>
      </w:r>
      <w:r>
        <w:rPr>
          <w:color w:val="auto"/>
        </w:rPr>
        <w:fldChar w:fldCharType="separate"/>
      </w:r>
      <w:r>
        <w:rPr>
          <w:color w:val="auto"/>
        </w:rPr>
        <w:t>283</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"_Toc109398773" </w:instrText>
      </w:r>
      <w:r>
        <w:rPr>
          <w:color w:val="auto"/>
        </w:rPr>
        <w:fldChar w:fldCharType="separate"/>
      </w:r>
      <w:r>
        <w:rPr>
          <w:rStyle w:val="72"/>
          <w:color w:val="auto"/>
        </w:rPr>
        <w:t>11.7公众参与结论</w:t>
      </w:r>
      <w:r>
        <w:rPr>
          <w:color w:val="auto"/>
        </w:rPr>
        <w:tab/>
      </w:r>
      <w:r>
        <w:rPr>
          <w:color w:val="auto"/>
        </w:rPr>
        <w:fldChar w:fldCharType="begin"/>
      </w:r>
      <w:r>
        <w:rPr>
          <w:color w:val="auto"/>
        </w:rPr>
        <w:instrText xml:space="preserve"> PAGEREF _Toc109398773 \h </w:instrText>
      </w:r>
      <w:r>
        <w:rPr>
          <w:color w:val="auto"/>
        </w:rPr>
        <w:fldChar w:fldCharType="separate"/>
      </w:r>
      <w:r>
        <w:rPr>
          <w:color w:val="auto"/>
        </w:rPr>
        <w:t>284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"_Toc109398774" </w:instrText>
      </w:r>
      <w:r>
        <w:rPr>
          <w:color w:val="auto"/>
        </w:rPr>
        <w:fldChar w:fldCharType="separate"/>
      </w:r>
      <w:r>
        <w:rPr>
          <w:rStyle w:val="72"/>
          <w:color w:val="auto"/>
        </w:rPr>
        <w:t>11.8环境影响损益分析总结</w:t>
      </w:r>
      <w:r>
        <w:rPr>
          <w:color w:val="auto"/>
        </w:rPr>
        <w:tab/>
      </w:r>
      <w:r>
        <w:rPr>
          <w:color w:val="auto"/>
        </w:rPr>
        <w:fldChar w:fldCharType="begin"/>
      </w:r>
      <w:r>
        <w:rPr>
          <w:color w:val="auto"/>
        </w:rPr>
        <w:instrText xml:space="preserve"> PAGEREF _Toc109398774 \h </w:instrText>
      </w:r>
      <w:r>
        <w:rPr>
          <w:color w:val="auto"/>
        </w:rPr>
        <w:fldChar w:fldCharType="separate"/>
      </w:r>
      <w:r>
        <w:rPr>
          <w:color w:val="auto"/>
        </w:rPr>
        <w:t>284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"_Toc109398775" </w:instrText>
      </w:r>
      <w:r>
        <w:rPr>
          <w:color w:val="auto"/>
        </w:rPr>
        <w:fldChar w:fldCharType="separate"/>
      </w:r>
      <w:r>
        <w:rPr>
          <w:rStyle w:val="72"/>
          <w:color w:val="auto"/>
        </w:rPr>
        <w:t>11.9环境管理与监测计划</w:t>
      </w:r>
      <w:r>
        <w:rPr>
          <w:color w:val="auto"/>
        </w:rPr>
        <w:tab/>
      </w:r>
      <w:r>
        <w:rPr>
          <w:color w:val="auto"/>
        </w:rPr>
        <w:fldChar w:fldCharType="begin"/>
      </w:r>
      <w:r>
        <w:rPr>
          <w:color w:val="auto"/>
        </w:rPr>
        <w:instrText xml:space="preserve"> PAGEREF _Toc109398775 \h </w:instrText>
      </w:r>
      <w:r>
        <w:rPr>
          <w:color w:val="auto"/>
        </w:rPr>
        <w:fldChar w:fldCharType="separate"/>
      </w:r>
      <w:r>
        <w:rPr>
          <w:color w:val="auto"/>
        </w:rPr>
        <w:t>284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"_Toc109398776" </w:instrText>
      </w:r>
      <w:r>
        <w:rPr>
          <w:color w:val="auto"/>
        </w:rPr>
        <w:fldChar w:fldCharType="separate"/>
      </w:r>
      <w:r>
        <w:rPr>
          <w:rStyle w:val="72"/>
          <w:color w:val="auto"/>
        </w:rPr>
        <w:t>11.10总结论</w:t>
      </w:r>
      <w:r>
        <w:rPr>
          <w:color w:val="auto"/>
        </w:rPr>
        <w:tab/>
      </w:r>
      <w:r>
        <w:rPr>
          <w:color w:val="auto"/>
        </w:rPr>
        <w:fldChar w:fldCharType="begin"/>
      </w:r>
      <w:r>
        <w:rPr>
          <w:color w:val="auto"/>
        </w:rPr>
        <w:instrText xml:space="preserve"> PAGEREF _Toc109398776 \h </w:instrText>
      </w:r>
      <w:r>
        <w:rPr>
          <w:color w:val="auto"/>
        </w:rPr>
        <w:fldChar w:fldCharType="separate"/>
      </w:r>
      <w:r>
        <w:rPr>
          <w:color w:val="auto"/>
        </w:rPr>
        <w:t>284</w:t>
      </w:r>
      <w:r>
        <w:rPr>
          <w:color w:val="auto"/>
        </w:rPr>
        <w:fldChar w:fldCharType="end"/>
      </w:r>
      <w:r>
        <w:rPr>
          <w:color w:val="auto"/>
        </w:rPr>
        <w:fldChar w:fldCharType="end"/>
      </w:r>
    </w:p>
    <w:p>
      <w:pPr>
        <w:pStyle w:val="57"/>
        <w:tabs>
          <w:tab w:val="right" w:leader="dot" w:pos="8494"/>
        </w:tabs>
        <w:rPr>
          <w:rFonts w:asciiTheme="minorHAnsi" w:hAnsiTheme="minorHAnsi" w:eastAsiaTheme="minorEastAsia" w:cstheme="minorBidi"/>
          <w:color w:val="auto"/>
        </w:rPr>
      </w:pPr>
      <w:r>
        <w:rPr>
          <w:color w:val="auto"/>
        </w:rPr>
        <w:fldChar w:fldCharType="begin"/>
      </w:r>
      <w:r>
        <w:rPr>
          <w:color w:val="auto"/>
        </w:rPr>
        <w:instrText xml:space="preserve"> HYPERLINK \l "_Toc109398777" </w:instrText>
      </w:r>
      <w:r>
        <w:rPr>
          <w:color w:val="auto"/>
        </w:rPr>
        <w:fldChar w:fldCharType="separate"/>
      </w:r>
      <w:r>
        <w:rPr>
          <w:rStyle w:val="72"/>
          <w:color w:val="auto"/>
        </w:rPr>
        <w:t>11.11建议</w:t>
      </w:r>
      <w:r>
        <w:rPr>
          <w:color w:val="auto"/>
        </w:rPr>
        <w:tab/>
      </w:r>
      <w:r>
        <w:rPr>
          <w:color w:val="auto"/>
        </w:rPr>
        <w:fldChar w:fldCharType="begin"/>
      </w:r>
      <w:r>
        <w:rPr>
          <w:color w:val="auto"/>
        </w:rPr>
        <w:instrText xml:space="preserve"> PAGEREF _Toc109398777 \h </w:instrText>
      </w:r>
      <w:r>
        <w:rPr>
          <w:color w:val="auto"/>
        </w:rPr>
        <w:fldChar w:fldCharType="separate"/>
      </w:r>
      <w:r>
        <w:rPr>
          <w:color w:val="auto"/>
        </w:rPr>
        <w:t>285</w:t>
      </w:r>
      <w:r>
        <w:rPr>
          <w:color w:val="auto"/>
        </w:rPr>
        <w:fldChar w:fldCharType="end"/>
      </w:r>
      <w:r>
        <w:rPr>
          <w:color w:val="auto"/>
        </w:rPr>
        <w:fldChar w:fldCharType="end"/>
      </w:r>
    </w:p>
    <w:p>
      <w:pPr>
        <w:pStyle w:val="130"/>
        <w:ind w:firstLine="480"/>
        <w:rPr>
          <w:rFonts w:eastAsiaTheme="minorEastAsia"/>
          <w:color w:val="auto"/>
          <w:kern w:val="44"/>
          <w:szCs w:val="32"/>
        </w:rPr>
      </w:pPr>
      <w:r>
        <w:rPr>
          <w:rFonts w:eastAsiaTheme="minorEastAsia"/>
          <w:color w:val="auto"/>
          <w:kern w:val="44"/>
          <w:szCs w:val="32"/>
        </w:rPr>
        <w:fldChar w:fldCharType="end"/>
      </w:r>
    </w:p>
    <w:p>
      <w:pPr>
        <w:pStyle w:val="130"/>
        <w:ind w:firstLine="480"/>
        <w:rPr>
          <w:rFonts w:eastAsiaTheme="minorEastAsia"/>
          <w:color w:val="auto"/>
          <w:kern w:val="44"/>
          <w:szCs w:val="32"/>
        </w:rPr>
      </w:pPr>
    </w:p>
    <w:p>
      <w:pPr>
        <w:pStyle w:val="130"/>
        <w:ind w:firstLine="482"/>
        <w:rPr>
          <w:b/>
          <w:color w:val="auto"/>
        </w:rPr>
      </w:pPr>
      <w:r>
        <w:rPr>
          <w:b/>
          <w:color w:val="auto"/>
        </w:rPr>
        <w:t>一、附图</w:t>
      </w:r>
    </w:p>
    <w:p>
      <w:pPr>
        <w:pStyle w:val="130"/>
        <w:ind w:firstLine="480"/>
        <w:rPr>
          <w:color w:val="auto"/>
        </w:rPr>
      </w:pPr>
      <w:r>
        <w:rPr>
          <w:color w:val="auto"/>
        </w:rPr>
        <w:t>附图1：本项目地理位置图</w:t>
      </w:r>
    </w:p>
    <w:p>
      <w:pPr>
        <w:pStyle w:val="130"/>
        <w:ind w:firstLine="480"/>
        <w:rPr>
          <w:color w:val="auto"/>
        </w:rPr>
      </w:pPr>
      <w:r>
        <w:rPr>
          <w:color w:val="auto"/>
        </w:rPr>
        <w:t>附图2：本项目厂址及周边环境示意图</w:t>
      </w:r>
    </w:p>
    <w:p>
      <w:pPr>
        <w:pStyle w:val="130"/>
        <w:ind w:firstLine="480"/>
        <w:rPr>
          <w:color w:val="auto"/>
        </w:rPr>
      </w:pPr>
      <w:r>
        <w:rPr>
          <w:color w:val="auto"/>
        </w:rPr>
        <w:t>附图3：本项目厂区总平面布置图</w:t>
      </w:r>
    </w:p>
    <w:p>
      <w:pPr>
        <w:pStyle w:val="130"/>
        <w:ind w:firstLine="480"/>
        <w:rPr>
          <w:color w:val="auto"/>
        </w:rPr>
      </w:pPr>
      <w:r>
        <w:rPr>
          <w:color w:val="auto"/>
        </w:rPr>
        <w:t>附图4：本项目高温蒸煮车间平面布置图</w:t>
      </w:r>
    </w:p>
    <w:p>
      <w:pPr>
        <w:pStyle w:val="130"/>
        <w:ind w:firstLine="480"/>
        <w:rPr>
          <w:color w:val="auto"/>
        </w:rPr>
      </w:pPr>
      <w:r>
        <w:rPr>
          <w:color w:val="auto"/>
        </w:rPr>
        <w:t>附图5：本项目各环境要素评价范围图</w:t>
      </w:r>
    </w:p>
    <w:p>
      <w:pPr>
        <w:pStyle w:val="130"/>
        <w:ind w:firstLine="480"/>
        <w:rPr>
          <w:color w:val="auto"/>
        </w:rPr>
      </w:pPr>
      <w:r>
        <w:rPr>
          <w:color w:val="auto"/>
        </w:rPr>
        <w:t>附图6：本项目环境保护目标分布图</w:t>
      </w:r>
    </w:p>
    <w:p>
      <w:pPr>
        <w:pStyle w:val="130"/>
        <w:ind w:firstLine="480"/>
        <w:rPr>
          <w:color w:val="auto"/>
        </w:rPr>
      </w:pPr>
      <w:r>
        <w:rPr>
          <w:color w:val="auto"/>
        </w:rPr>
        <w:t>附图7：本项目</w:t>
      </w:r>
      <w:r>
        <w:rPr>
          <w:rFonts w:hint="eastAsia"/>
          <w:color w:val="auto"/>
        </w:rPr>
        <w:t>厂区</w:t>
      </w:r>
      <w:r>
        <w:rPr>
          <w:color w:val="auto"/>
        </w:rPr>
        <w:t>主要功能单元分区防渗图</w:t>
      </w:r>
    </w:p>
    <w:p>
      <w:pPr>
        <w:pStyle w:val="130"/>
        <w:ind w:firstLine="480"/>
        <w:rPr>
          <w:color w:val="auto"/>
        </w:rPr>
      </w:pPr>
    </w:p>
    <w:p>
      <w:pPr>
        <w:pStyle w:val="130"/>
        <w:ind w:firstLine="482"/>
        <w:rPr>
          <w:b/>
          <w:color w:val="auto"/>
        </w:rPr>
      </w:pPr>
      <w:r>
        <w:rPr>
          <w:b/>
          <w:color w:val="auto"/>
        </w:rPr>
        <w:t>二、附件</w:t>
      </w:r>
    </w:p>
    <w:p>
      <w:pPr>
        <w:pStyle w:val="130"/>
        <w:ind w:firstLine="480"/>
        <w:rPr>
          <w:color w:val="auto"/>
        </w:rPr>
      </w:pPr>
      <w:r>
        <w:rPr>
          <w:color w:val="auto"/>
        </w:rPr>
        <w:t>附件1：委托书</w:t>
      </w:r>
    </w:p>
    <w:p>
      <w:pPr>
        <w:pStyle w:val="130"/>
        <w:ind w:firstLine="480"/>
        <w:rPr>
          <w:color w:val="auto"/>
        </w:rPr>
      </w:pPr>
      <w:r>
        <w:rPr>
          <w:color w:val="auto"/>
        </w:rPr>
        <w:t>附件2：规划许可证</w:t>
      </w:r>
    </w:p>
    <w:p>
      <w:pPr>
        <w:pStyle w:val="130"/>
        <w:ind w:firstLine="480"/>
        <w:rPr>
          <w:color w:val="auto"/>
        </w:rPr>
      </w:pPr>
      <w:r>
        <w:rPr>
          <w:color w:val="auto"/>
        </w:rPr>
        <w:t>附件3：选址意见书</w:t>
      </w:r>
    </w:p>
    <w:p>
      <w:pPr>
        <w:pStyle w:val="130"/>
        <w:ind w:firstLine="480"/>
        <w:rPr>
          <w:color w:val="auto"/>
        </w:rPr>
      </w:pPr>
      <w:r>
        <w:rPr>
          <w:color w:val="auto"/>
        </w:rPr>
        <w:t>附件4：现有工程</w:t>
      </w:r>
      <w:r>
        <w:rPr>
          <w:rFonts w:hint="eastAsia"/>
          <w:color w:val="auto"/>
        </w:rPr>
        <w:t>（</w:t>
      </w:r>
      <w:r>
        <w:rPr>
          <w:color w:val="auto"/>
        </w:rPr>
        <w:t>3t/d</w:t>
      </w:r>
      <w:r>
        <w:rPr>
          <w:rFonts w:hint="eastAsia"/>
          <w:color w:val="auto"/>
        </w:rPr>
        <w:t>）</w:t>
      </w:r>
      <w:r>
        <w:rPr>
          <w:color w:val="auto"/>
        </w:rPr>
        <w:t>环境影响报告书批复</w:t>
      </w:r>
    </w:p>
    <w:p>
      <w:pPr>
        <w:pStyle w:val="130"/>
        <w:ind w:firstLine="480"/>
        <w:rPr>
          <w:color w:val="auto"/>
        </w:rPr>
      </w:pPr>
      <w:r>
        <w:rPr>
          <w:color w:val="auto"/>
        </w:rPr>
        <w:t>附件5：现有工程</w:t>
      </w:r>
      <w:r>
        <w:rPr>
          <w:rFonts w:hint="eastAsia"/>
          <w:color w:val="auto"/>
        </w:rPr>
        <w:t>（</w:t>
      </w:r>
      <w:r>
        <w:rPr>
          <w:color w:val="auto"/>
        </w:rPr>
        <w:t>3t/d</w:t>
      </w:r>
      <w:r>
        <w:rPr>
          <w:rFonts w:hint="eastAsia"/>
          <w:color w:val="auto"/>
        </w:rPr>
        <w:t>）</w:t>
      </w:r>
      <w:r>
        <w:rPr>
          <w:color w:val="auto"/>
        </w:rPr>
        <w:t>竣工环境保护验收</w:t>
      </w:r>
    </w:p>
    <w:p>
      <w:pPr>
        <w:pStyle w:val="130"/>
        <w:ind w:firstLine="480"/>
        <w:rPr>
          <w:color w:val="auto"/>
        </w:rPr>
      </w:pPr>
      <w:r>
        <w:rPr>
          <w:color w:val="auto"/>
        </w:rPr>
        <w:t>附件6：</w:t>
      </w:r>
      <w:r>
        <w:rPr>
          <w:rFonts w:hint="eastAsia"/>
          <w:color w:val="auto"/>
        </w:rPr>
        <w:t>中卫医疗废物处置中心改造项目</w:t>
      </w:r>
      <w:r>
        <w:rPr>
          <w:color w:val="auto"/>
        </w:rPr>
        <w:t>建设方案的批复</w:t>
      </w:r>
    </w:p>
    <w:p>
      <w:pPr>
        <w:pStyle w:val="130"/>
        <w:ind w:firstLine="480"/>
        <w:rPr>
          <w:color w:val="auto"/>
        </w:rPr>
      </w:pPr>
      <w:r>
        <w:rPr>
          <w:color w:val="auto"/>
        </w:rPr>
        <w:t>附件7：</w:t>
      </w:r>
      <w:r>
        <w:rPr>
          <w:rFonts w:hint="eastAsia"/>
          <w:color w:val="auto"/>
        </w:rPr>
        <w:t>中卫医疗废物处置中心改造项目环评批复</w:t>
      </w:r>
    </w:p>
    <w:p>
      <w:pPr>
        <w:pStyle w:val="130"/>
        <w:ind w:firstLine="480"/>
        <w:rPr>
          <w:color w:val="auto"/>
        </w:rPr>
      </w:pPr>
      <w:r>
        <w:rPr>
          <w:color w:val="auto"/>
        </w:rPr>
        <w:t>附件8：危险废物委托处置协议</w:t>
      </w:r>
    </w:p>
    <w:p>
      <w:pPr>
        <w:pStyle w:val="130"/>
        <w:ind w:firstLine="480"/>
        <w:rPr>
          <w:color w:val="auto"/>
        </w:rPr>
      </w:pPr>
      <w:r>
        <w:rPr>
          <w:color w:val="auto"/>
        </w:rPr>
        <w:t>附件9：现状监测报告（环境空气、地下水、土壤）</w:t>
      </w:r>
    </w:p>
    <w:p>
      <w:pPr>
        <w:pStyle w:val="130"/>
        <w:ind w:firstLine="480"/>
        <w:rPr>
          <w:color w:val="auto"/>
        </w:rPr>
      </w:pPr>
      <w:r>
        <w:rPr>
          <w:color w:val="auto"/>
        </w:rPr>
        <w:t>附件10：现状监测报告（土壤补充监测）</w:t>
      </w:r>
    </w:p>
    <w:p>
      <w:pPr>
        <w:pStyle w:val="130"/>
        <w:ind w:firstLine="480"/>
        <w:rPr>
          <w:color w:val="auto"/>
        </w:rPr>
      </w:pPr>
      <w:r>
        <w:rPr>
          <w:color w:val="auto"/>
        </w:rPr>
        <w:t>附件11：监测报告（废气、噪声、阳沟村希望小学环境空气</w:t>
      </w:r>
      <w:r>
        <w:rPr>
          <w:rFonts w:hint="eastAsia"/>
          <w:color w:val="auto"/>
        </w:rPr>
        <w:t>质量</w:t>
      </w:r>
      <w:r>
        <w:rPr>
          <w:color w:val="auto"/>
        </w:rPr>
        <w:t>）</w:t>
      </w:r>
    </w:p>
    <w:p>
      <w:pPr>
        <w:pStyle w:val="130"/>
        <w:ind w:firstLine="480"/>
        <w:rPr>
          <w:color w:val="auto"/>
        </w:rPr>
      </w:pPr>
      <w:r>
        <w:rPr>
          <w:color w:val="auto"/>
        </w:rPr>
        <w:t>附件12：监测报告（废水）</w:t>
      </w:r>
    </w:p>
    <w:p>
      <w:pPr>
        <w:pStyle w:val="130"/>
        <w:ind w:firstLine="480"/>
        <w:rPr>
          <w:color w:val="auto"/>
        </w:rPr>
      </w:pPr>
    </w:p>
    <w:p>
      <w:pPr>
        <w:widowControl/>
        <w:adjustRightInd w:val="0"/>
        <w:snapToGrid w:val="0"/>
        <w:jc w:val="left"/>
        <w:rPr>
          <w:rFonts w:eastAsiaTheme="minorEastAsia"/>
          <w:b/>
          <w:bCs/>
          <w:color w:val="auto"/>
          <w:kern w:val="44"/>
          <w:sz w:val="32"/>
          <w:szCs w:val="32"/>
        </w:rPr>
      </w:pPr>
    </w:p>
    <w:p>
      <w:pPr>
        <w:pStyle w:val="2"/>
        <w:ind w:firstLine="482" w:firstLineChars="200"/>
        <w:rPr>
          <w:b/>
          <w:color w:val="auto"/>
          <w:sz w:val="24"/>
          <w:szCs w:val="24"/>
        </w:rPr>
      </w:pPr>
      <w:r>
        <w:rPr>
          <w:b/>
          <w:color w:val="auto"/>
          <w:sz w:val="24"/>
          <w:szCs w:val="24"/>
        </w:rPr>
        <w:t>三、附表</w:t>
      </w:r>
    </w:p>
    <w:p>
      <w:pPr>
        <w:pStyle w:val="2"/>
        <w:rPr>
          <w:b/>
          <w:color w:val="auto"/>
          <w:sz w:val="24"/>
          <w:szCs w:val="24"/>
        </w:rPr>
      </w:pPr>
    </w:p>
    <w:p>
      <w:pPr>
        <w:pStyle w:val="2"/>
        <w:ind w:firstLine="480" w:firstLineChars="200"/>
        <w:rPr>
          <w:bCs/>
          <w:color w:val="auto"/>
          <w:sz w:val="24"/>
          <w:szCs w:val="24"/>
        </w:rPr>
        <w:sectPr>
          <w:headerReference r:id="rId8" w:type="default"/>
          <w:footerReference r:id="rId9" w:type="default"/>
          <w:pgSz w:w="11906" w:h="16838"/>
          <w:pgMar w:top="1701" w:right="1701" w:bottom="1701" w:left="1701" w:header="851" w:footer="851" w:gutter="0"/>
          <w:pgNumType w:fmt="upperRoman" w:start="1"/>
          <w:cols w:space="720" w:num="1"/>
          <w:docGrid w:linePitch="466" w:charSpace="0"/>
        </w:sectPr>
      </w:pPr>
      <w:r>
        <w:rPr>
          <w:bCs/>
          <w:color w:val="auto"/>
          <w:sz w:val="24"/>
          <w:szCs w:val="24"/>
        </w:rPr>
        <w:t>建设项目环境影响报告书审批基础信息表</w:t>
      </w:r>
    </w:p>
    <w:p>
      <w:pPr>
        <w:pStyle w:val="3"/>
        <w:numPr>
          <w:ilvl w:val="0"/>
          <w:numId w:val="0"/>
        </w:numPr>
        <w:spacing w:before="120" w:after="120"/>
        <w:jc w:val="center"/>
        <w:rPr>
          <w:rFonts w:ascii="Times New Roman" w:hAnsi="Times New Roman"/>
          <w:color w:val="auto"/>
        </w:rPr>
      </w:pPr>
      <w:bookmarkStart w:id="0" w:name="_Toc109398519"/>
      <w:bookmarkStart w:id="1" w:name="_Toc11595155"/>
      <w:r>
        <w:rPr>
          <w:rFonts w:ascii="Times New Roman" w:hAnsi="Times New Roman"/>
          <w:color w:val="auto"/>
        </w:rPr>
        <w:t>概述</w:t>
      </w:r>
      <w:bookmarkEnd w:id="0"/>
      <w:bookmarkEnd w:id="1"/>
    </w:p>
    <w:p>
      <w:pPr>
        <w:pStyle w:val="4"/>
        <w:numPr>
          <w:ilvl w:val="1"/>
          <w:numId w:val="0"/>
        </w:numPr>
        <w:spacing w:before="120"/>
        <w:rPr>
          <w:color w:val="auto"/>
        </w:rPr>
      </w:pPr>
      <w:bookmarkStart w:id="2" w:name="_Toc109398520"/>
      <w:r>
        <w:rPr>
          <w:color w:val="auto"/>
        </w:rPr>
        <w:t>1、任务由来</w:t>
      </w:r>
      <w:bookmarkEnd w:id="2"/>
    </w:p>
    <w:p>
      <w:pPr>
        <w:pStyle w:val="130"/>
        <w:ind w:firstLine="480"/>
        <w:rPr>
          <w:color w:val="auto"/>
        </w:rPr>
      </w:pPr>
      <w:bookmarkStart w:id="3" w:name="_Hlk109026788"/>
      <w:r>
        <w:rPr>
          <w:color w:val="auto"/>
        </w:rPr>
        <w:t>中卫市应理城乡市政产业（集团）有限公司</w:t>
      </w:r>
      <w:bookmarkEnd w:id="3"/>
      <w:r>
        <w:rPr>
          <w:color w:val="auto"/>
        </w:rPr>
        <w:t>成立于2008年1月，2009年9月中卫市垃圾处理厂交由中卫市应理城乡市政产业（集团）有限公司建设中卫医疗废物集中处置中心项目，用于收集、处置中卫市范围内的医疗废物。</w:t>
      </w:r>
    </w:p>
    <w:p>
      <w:pPr>
        <w:pStyle w:val="130"/>
        <w:ind w:firstLine="480"/>
        <w:rPr>
          <w:color w:val="auto"/>
        </w:rPr>
      </w:pPr>
      <w:r>
        <w:rPr>
          <w:color w:val="auto"/>
        </w:rPr>
        <w:t>中卫市垃圾处理厂于2006年8月委托宁夏环境科学设计研究院编制完成《宁夏回族自治区中卫市医疗废物集中处置设施建设项目环境影响报告书》，主要建设高温蒸汽灭菌处置设备一套。2006年12月13日，宁夏回族自治区环境保护局（现为宁夏回族自治区生态环境厅）以宁环函[2006]285号文对中卫市医疗废物集中处置设施建设项目环境影响报告书予以批复（详见附件4）。</w:t>
      </w:r>
    </w:p>
    <w:p>
      <w:pPr>
        <w:pStyle w:val="130"/>
        <w:ind w:firstLine="480"/>
        <w:rPr>
          <w:color w:val="auto"/>
        </w:rPr>
      </w:pPr>
      <w:r>
        <w:rPr>
          <w:color w:val="auto"/>
        </w:rPr>
        <w:t>2010年10月项目竣工，监测期间处理设施运行正常，具备建设项目竣工环境保护验收条件。根据中卫应理城乡市政产业（集团）有限公司的委托，宁夏环境监测中心站会同项目相关人员对建设项目进行现场勘察，在收集相关技术资料的基础上，编制了宁夏回族自治区中卫市医疗废物集中处置设施建设项目竣工环境保护验收监测报告。2011年11月至12月宁夏环境监测中心站对建设项目生产过程产生的废水、废气、厂界噪声开展现场监测，对“三同时”执行情况及环境管理的各个坏节进行了检查，经数据处理及综合分析、评价，验收合格（详见附件5）。</w:t>
      </w:r>
    </w:p>
    <w:p>
      <w:pPr>
        <w:pStyle w:val="130"/>
        <w:ind w:firstLine="480"/>
        <w:rPr>
          <w:color w:val="auto"/>
        </w:rPr>
      </w:pPr>
      <w:r>
        <w:rPr>
          <w:color w:val="auto"/>
        </w:rPr>
        <w:t>中卫市医疗废物集中处置设施建设项目处理规模为3t/d，</w:t>
      </w:r>
      <w:r>
        <w:rPr>
          <w:rFonts w:hint="eastAsia"/>
          <w:color w:val="auto"/>
        </w:rPr>
        <w:t>随着</w:t>
      </w:r>
      <w:r>
        <w:rPr>
          <w:color w:val="auto"/>
        </w:rPr>
        <w:t>医疗废物的产生量逐年增加</w:t>
      </w:r>
      <w:r>
        <w:rPr>
          <w:rFonts w:hint="eastAsia"/>
          <w:color w:val="auto"/>
        </w:rPr>
        <w:t>，</w:t>
      </w:r>
      <w:r>
        <w:rPr>
          <w:color w:val="auto"/>
        </w:rPr>
        <w:t>根据《医疗废物集中处置设施能力建设实施方案》</w:t>
      </w:r>
      <w:r>
        <w:rPr>
          <w:rFonts w:hint="eastAsia"/>
          <w:color w:val="auto"/>
        </w:rPr>
        <w:t>（发改环资〔2020〕696号）</w:t>
      </w:r>
      <w:r>
        <w:rPr>
          <w:color w:val="auto"/>
        </w:rPr>
        <w:t>“三、主要任务”中指出：（三）大力推进原有医疗废物集中处置设施扩能提升。各地区要按照医疗废物集中处置技术规范要求，在对原有医疗废物集中处置设施进行符合性排查基础上，加快推进原有医疗废物集中处置设施扩能提升改造，确保处置设施满足处置要求，并符合环境保护、卫生等相关法律法规要求。医疗废物处置设施超负荷、高负荷的地市要进行医疗废物处置设施提标改造，提升处置能力。因此，中卫市应理城乡市政产业（集团）有限公司决定建设“中卫医疗废物处置中心改造项目”，</w:t>
      </w:r>
      <w:r>
        <w:rPr>
          <w:rFonts w:hint="eastAsia"/>
          <w:color w:val="auto"/>
        </w:rPr>
        <w:t xml:space="preserve"> 中卫医疗废物处置中心改造项目</w:t>
      </w:r>
      <w:r>
        <w:rPr>
          <w:color w:val="auto"/>
        </w:rPr>
        <w:t>于2020年4月21日取得中卫市发展和改革委员会“关于</w:t>
      </w:r>
      <w:bookmarkStart w:id="4" w:name="_Hlk109026914"/>
      <w:r>
        <w:rPr>
          <w:color w:val="auto"/>
        </w:rPr>
        <w:t>中卫医疗废物处置中心改造项目</w:t>
      </w:r>
      <w:bookmarkEnd w:id="4"/>
      <w:r>
        <w:rPr>
          <w:color w:val="auto"/>
        </w:rPr>
        <w:t>建设方案的批复”（卫发改发〔2020〕114号</w:t>
      </w:r>
      <w:r>
        <w:rPr>
          <w:rFonts w:hint="eastAsia"/>
          <w:color w:val="auto"/>
        </w:rPr>
        <w:t>，详见附件6</w:t>
      </w:r>
      <w:r>
        <w:rPr>
          <w:color w:val="auto"/>
        </w:rPr>
        <w:t>），本项目</w:t>
      </w:r>
      <w:r>
        <w:rPr>
          <w:rFonts w:hint="eastAsia"/>
          <w:color w:val="auto"/>
        </w:rPr>
        <w:t>厂址</w:t>
      </w:r>
      <w:r>
        <w:rPr>
          <w:color w:val="auto"/>
        </w:rPr>
        <w:t>位于宁夏中卫市永康镇阳沟村中卫市生活垃圾处理厂西侧，不新增用地，主要建设内容为新建一套5t/d医疗废物高温蒸汽灭菌器及配套设备，</w:t>
      </w:r>
      <w:r>
        <w:rPr>
          <w:rFonts w:hint="eastAsia"/>
          <w:color w:val="auto"/>
        </w:rPr>
        <w:t>1</w:t>
      </w:r>
      <w:r>
        <w:rPr>
          <w:color w:val="auto"/>
        </w:rPr>
        <w:t>0m</w:t>
      </w:r>
      <w:r>
        <w:rPr>
          <w:color w:val="auto"/>
          <w:vertAlign w:val="superscript"/>
        </w:rPr>
        <w:t>3</w:t>
      </w:r>
      <w:r>
        <w:rPr>
          <w:rFonts w:hint="eastAsia"/>
          <w:color w:val="auto"/>
        </w:rPr>
        <w:t>污水处理站一座及相关配套设施。</w:t>
      </w:r>
      <w:r>
        <w:rPr>
          <w:color w:val="auto"/>
        </w:rPr>
        <w:t>不建设低温磁化裂解处置设施，低温磁化裂解处置设施拟重新选址地点位于中卫市第二生活垃圾填埋场内，需要另外进行环境影响评价工作。</w:t>
      </w:r>
    </w:p>
    <w:p>
      <w:pPr>
        <w:pStyle w:val="130"/>
        <w:ind w:firstLine="480"/>
        <w:rPr>
          <w:color w:val="auto"/>
        </w:rPr>
      </w:pPr>
      <w:r>
        <w:rPr>
          <w:rFonts w:hint="eastAsia"/>
          <w:color w:val="auto"/>
        </w:rPr>
        <w:t>中卫市应理城乡市政产业（集团）有限公司委托</w:t>
      </w:r>
      <w:bookmarkStart w:id="5" w:name="_Hlk109030357"/>
      <w:r>
        <w:rPr>
          <w:rFonts w:hint="eastAsia"/>
          <w:color w:val="auto"/>
        </w:rPr>
        <w:t>宁夏鸿旭环境技术有限公司</w:t>
      </w:r>
      <w:bookmarkEnd w:id="5"/>
      <w:r>
        <w:rPr>
          <w:rFonts w:hint="eastAsia"/>
          <w:color w:val="auto"/>
        </w:rPr>
        <w:t>编制完成</w:t>
      </w:r>
      <w:r>
        <w:rPr>
          <w:color w:val="auto"/>
        </w:rPr>
        <w:t>《</w:t>
      </w:r>
      <w:bookmarkStart w:id="6" w:name="_Hlk109027115"/>
      <w:r>
        <w:rPr>
          <w:rFonts w:hint="eastAsia"/>
          <w:color w:val="auto"/>
        </w:rPr>
        <w:t>中卫医疗废物处置中心改造项目</w:t>
      </w:r>
      <w:bookmarkEnd w:id="6"/>
      <w:r>
        <w:rPr>
          <w:color w:val="auto"/>
        </w:rPr>
        <w:t>环境影响报告书》</w:t>
      </w:r>
      <w:r>
        <w:rPr>
          <w:rFonts w:hint="eastAsia"/>
          <w:color w:val="auto"/>
        </w:rPr>
        <w:t>，2</w:t>
      </w:r>
      <w:r>
        <w:rPr>
          <w:color w:val="auto"/>
        </w:rPr>
        <w:t>020</w:t>
      </w:r>
      <w:r>
        <w:rPr>
          <w:rFonts w:hint="eastAsia"/>
          <w:color w:val="auto"/>
        </w:rPr>
        <w:t>年1</w:t>
      </w:r>
      <w:r>
        <w:rPr>
          <w:color w:val="auto"/>
        </w:rPr>
        <w:t>2</w:t>
      </w:r>
      <w:r>
        <w:rPr>
          <w:rFonts w:hint="eastAsia"/>
          <w:color w:val="auto"/>
        </w:rPr>
        <w:t>月1</w:t>
      </w:r>
      <w:r>
        <w:rPr>
          <w:color w:val="auto"/>
        </w:rPr>
        <w:t>0</w:t>
      </w:r>
      <w:r>
        <w:rPr>
          <w:rFonts w:hint="eastAsia"/>
          <w:color w:val="auto"/>
        </w:rPr>
        <w:t>日，中卫市生态环境局沙坡头区分局</w:t>
      </w:r>
      <w:r>
        <w:rPr>
          <w:color w:val="auto"/>
        </w:rPr>
        <w:t>以</w:t>
      </w:r>
      <w:r>
        <w:rPr>
          <w:rFonts w:hint="eastAsia"/>
          <w:color w:val="auto"/>
        </w:rPr>
        <w:t>卫环沙坡头区分局</w:t>
      </w:r>
      <w:r>
        <w:rPr>
          <w:color w:val="auto"/>
        </w:rPr>
        <w:t>函[2020]91号文对</w:t>
      </w:r>
      <w:r>
        <w:rPr>
          <w:rFonts w:hint="eastAsia"/>
          <w:color w:val="auto"/>
        </w:rPr>
        <w:t>中卫医疗废物处置中心改造项目</w:t>
      </w:r>
      <w:r>
        <w:rPr>
          <w:color w:val="auto"/>
        </w:rPr>
        <w:t>环境影响报告书予以批复</w:t>
      </w:r>
      <w:r>
        <w:rPr>
          <w:rFonts w:hint="eastAsia"/>
          <w:color w:val="auto"/>
        </w:rPr>
        <w:t>，主要批复内容为拆除</w:t>
      </w:r>
      <w:r>
        <w:rPr>
          <w:color w:val="auto"/>
        </w:rPr>
        <w:t>原有高温蒸汽灭菌设备</w:t>
      </w:r>
      <w:r>
        <w:rPr>
          <w:rFonts w:hint="eastAsia"/>
          <w:color w:val="auto"/>
        </w:rPr>
        <w:t>，</w:t>
      </w:r>
      <w:r>
        <w:rPr>
          <w:color w:val="auto"/>
        </w:rPr>
        <w:t>新建一套5t/d医疗废物高温蒸汽灭菌器及配套设备</w:t>
      </w:r>
      <w:r>
        <w:rPr>
          <w:rFonts w:hint="eastAsia"/>
          <w:color w:val="auto"/>
        </w:rPr>
        <w:t>，1</w:t>
      </w:r>
      <w:r>
        <w:rPr>
          <w:color w:val="auto"/>
        </w:rPr>
        <w:t>0m</w:t>
      </w:r>
      <w:r>
        <w:rPr>
          <w:color w:val="auto"/>
          <w:vertAlign w:val="superscript"/>
        </w:rPr>
        <w:t>3</w:t>
      </w:r>
      <w:r>
        <w:rPr>
          <w:rFonts w:hint="eastAsia"/>
          <w:color w:val="auto"/>
        </w:rPr>
        <w:t>污水处理站一座及相关配套设施</w:t>
      </w:r>
      <w:r>
        <w:rPr>
          <w:color w:val="auto"/>
        </w:rPr>
        <w:t>（详见附件7）</w:t>
      </w:r>
      <w:r>
        <w:rPr>
          <w:rFonts w:hint="eastAsia"/>
          <w:color w:val="auto"/>
        </w:rPr>
        <w:t>。</w:t>
      </w:r>
    </w:p>
    <w:p>
      <w:pPr>
        <w:pStyle w:val="130"/>
        <w:ind w:firstLine="480"/>
        <w:rPr>
          <w:color w:val="auto"/>
        </w:rPr>
      </w:pPr>
      <w:r>
        <w:rPr>
          <w:rFonts w:hint="eastAsia"/>
          <w:color w:val="auto"/>
        </w:rPr>
        <w:t>取得环境影响报告书批复文件后，建设单位于2</w:t>
      </w:r>
      <w:r>
        <w:rPr>
          <w:color w:val="auto"/>
        </w:rPr>
        <w:t>021</w:t>
      </w:r>
      <w:r>
        <w:rPr>
          <w:rFonts w:hint="eastAsia"/>
          <w:color w:val="auto"/>
        </w:rPr>
        <w:t>年2月启动项目土建工程，20</w:t>
      </w:r>
      <w:r>
        <w:rPr>
          <w:color w:val="auto"/>
        </w:rPr>
        <w:t>21</w:t>
      </w:r>
      <w:r>
        <w:rPr>
          <w:rFonts w:hint="eastAsia"/>
          <w:color w:val="auto"/>
        </w:rPr>
        <w:t>年</w:t>
      </w:r>
      <w:r>
        <w:rPr>
          <w:color w:val="auto"/>
        </w:rPr>
        <w:t>7</w:t>
      </w:r>
      <w:r>
        <w:rPr>
          <w:rFonts w:hint="eastAsia"/>
          <w:color w:val="auto"/>
        </w:rPr>
        <w:t>月土建工程建设完成，2</w:t>
      </w:r>
      <w:r>
        <w:rPr>
          <w:color w:val="auto"/>
        </w:rPr>
        <w:t>021</w:t>
      </w:r>
      <w:r>
        <w:rPr>
          <w:rFonts w:hint="eastAsia"/>
          <w:color w:val="auto"/>
        </w:rPr>
        <w:t>年1</w:t>
      </w:r>
      <w:r>
        <w:rPr>
          <w:color w:val="auto"/>
        </w:rPr>
        <w:t>1</w:t>
      </w:r>
      <w:r>
        <w:rPr>
          <w:rFonts w:hint="eastAsia"/>
          <w:color w:val="auto"/>
        </w:rPr>
        <w:t>月份设备安装完成。随着项目的建设，近两年新冠肺炎疫情出现了较大规模的流行，并且疫情反反复复，对医疗系统造成了巨大的考验，本着充分考虑新冠肺炎疫情发生后，医疗废物将不可避免的增多，为确保医疗废物可妥善处置，建设单位决定保留原有3</w:t>
      </w:r>
      <w:r>
        <w:rPr>
          <w:color w:val="auto"/>
        </w:rPr>
        <w:t>t/d</w:t>
      </w:r>
      <w:r>
        <w:rPr>
          <w:rFonts w:hint="eastAsia"/>
          <w:color w:val="auto"/>
        </w:rPr>
        <w:t>的</w:t>
      </w:r>
      <w:r>
        <w:rPr>
          <w:color w:val="auto"/>
        </w:rPr>
        <w:t>高温蒸汽灭菌设备</w:t>
      </w:r>
      <w:r>
        <w:rPr>
          <w:rFonts w:hint="eastAsia"/>
          <w:color w:val="auto"/>
        </w:rPr>
        <w:t>，根据《关于印发环评管理中部分行业建设项目重大变动清单的通知》（环办〔2015〕52号）和关于印发《污染影响类建设项目重大变动清单（试行）》的通知（环办环评函〔2020〕688号），本项目处置能力增大3</w:t>
      </w:r>
      <w:r>
        <w:rPr>
          <w:color w:val="auto"/>
        </w:rPr>
        <w:t>0</w:t>
      </w:r>
      <w:r>
        <w:rPr>
          <w:rFonts w:hint="eastAsia"/>
          <w:color w:val="auto"/>
        </w:rPr>
        <w:t>%以上，上述变动内容已构成重大变动，须重新报批环境影响评价文件。</w:t>
      </w:r>
    </w:p>
    <w:p>
      <w:pPr>
        <w:pStyle w:val="130"/>
        <w:ind w:firstLine="480"/>
        <w:rPr>
          <w:color w:val="auto"/>
        </w:rPr>
      </w:pPr>
      <w:r>
        <w:rPr>
          <w:rFonts w:hint="eastAsia"/>
          <w:color w:val="auto"/>
        </w:rPr>
        <w:t>为完善建设项目环境影响评价工作，建设单位于202</w:t>
      </w:r>
      <w:r>
        <w:rPr>
          <w:color w:val="auto"/>
        </w:rPr>
        <w:t>2</w:t>
      </w:r>
      <w:r>
        <w:rPr>
          <w:rFonts w:hint="eastAsia"/>
          <w:color w:val="auto"/>
        </w:rPr>
        <w:t>年</w:t>
      </w:r>
      <w:r>
        <w:rPr>
          <w:color w:val="auto"/>
        </w:rPr>
        <w:t>5</w:t>
      </w:r>
      <w:r>
        <w:rPr>
          <w:rFonts w:hint="eastAsia"/>
          <w:color w:val="auto"/>
        </w:rPr>
        <w:t>月</w:t>
      </w:r>
      <w:r>
        <w:rPr>
          <w:color w:val="auto"/>
        </w:rPr>
        <w:t>6</w:t>
      </w:r>
      <w:r>
        <w:rPr>
          <w:rFonts w:hint="eastAsia"/>
          <w:color w:val="auto"/>
        </w:rPr>
        <w:t>日委托宁夏鸿旭环境技术有限公司（以下简称“环评单位”）组织开展《</w:t>
      </w:r>
      <w:bookmarkStart w:id="7" w:name="_Hlk109031380"/>
      <w:r>
        <w:rPr>
          <w:rFonts w:hint="eastAsia"/>
          <w:color w:val="auto"/>
        </w:rPr>
        <w:t>中卫医疗废物处置中心改造项目</w:t>
      </w:r>
      <w:bookmarkEnd w:id="7"/>
      <w:r>
        <w:rPr>
          <w:rFonts w:hint="eastAsia"/>
          <w:color w:val="auto"/>
        </w:rPr>
        <w:t>环境影响报告书》重新报批事宜。根据与建设单位的多次沟通、协调，并结合相关规范文件，界定本次环境影响评价工作内容，包括实施重大变动后的全部建设项目及其配套公辅工程、储运工程、环保工程等，项目变动后全厂医疗废物总处置能力8</w:t>
      </w:r>
      <w:r>
        <w:rPr>
          <w:color w:val="auto"/>
        </w:rPr>
        <w:t>t/d</w:t>
      </w:r>
      <w:r>
        <w:rPr>
          <w:rFonts w:hint="eastAsia"/>
          <w:color w:val="auto"/>
        </w:rPr>
        <w:t>。</w:t>
      </w:r>
    </w:p>
    <w:p>
      <w:pPr>
        <w:pStyle w:val="4"/>
        <w:numPr>
          <w:ilvl w:val="1"/>
          <w:numId w:val="0"/>
        </w:numPr>
        <w:spacing w:before="120"/>
        <w:rPr>
          <w:color w:val="auto"/>
        </w:rPr>
      </w:pPr>
      <w:bookmarkStart w:id="8" w:name="_Toc109398521"/>
      <w:r>
        <w:rPr>
          <w:color w:val="auto"/>
        </w:rPr>
        <w:t>2、建设项目特点</w:t>
      </w:r>
      <w:bookmarkEnd w:id="8"/>
    </w:p>
    <w:p>
      <w:pPr>
        <w:pStyle w:val="130"/>
        <w:ind w:firstLine="480"/>
        <w:rPr>
          <w:color w:val="auto"/>
        </w:rPr>
      </w:pPr>
      <w:r>
        <w:rPr>
          <w:color w:val="auto"/>
        </w:rPr>
        <w:t>本项目具有以下特点：</w:t>
      </w:r>
    </w:p>
    <w:p>
      <w:pPr>
        <w:pStyle w:val="417"/>
        <w:numPr>
          <w:ilvl w:val="0"/>
          <w:numId w:val="18"/>
        </w:numPr>
        <w:ind w:firstLine="480"/>
        <w:rPr>
          <w:rFonts w:cs="Times New Roman"/>
          <w:color w:val="auto"/>
        </w:rPr>
      </w:pPr>
      <w:r>
        <w:rPr>
          <w:rFonts w:cs="Times New Roman"/>
          <w:color w:val="auto"/>
        </w:rPr>
        <w:t>本项目采用高温蒸汽灭菌法处理医疗废物，通过在密封的高压灭菌器中通入高温蒸汽，使内部产生100-500kPa的压强，医疗废物在高压灭菌器中停留约45分钟，得到充分穿透，确保病原有机体被破坏。是一种简便可行，经济可靠，快速安全的灭菌方法，经过高温蒸汽灭菌处置后中卫市</w:t>
      </w:r>
      <w:r>
        <w:rPr>
          <w:rFonts w:hint="eastAsia" w:cs="Times New Roman"/>
          <w:color w:val="auto"/>
        </w:rPr>
        <w:t>第二</w:t>
      </w:r>
      <w:r>
        <w:rPr>
          <w:rFonts w:cs="Times New Roman"/>
          <w:color w:val="auto"/>
        </w:rPr>
        <w:t>生活垃圾填埋场填埋。</w:t>
      </w:r>
    </w:p>
    <w:p>
      <w:pPr>
        <w:pStyle w:val="417"/>
        <w:ind w:firstLine="480"/>
        <w:rPr>
          <w:rFonts w:cs="Times New Roman"/>
          <w:color w:val="auto"/>
        </w:rPr>
      </w:pPr>
      <w:r>
        <w:rPr>
          <w:rFonts w:cs="Times New Roman"/>
          <w:color w:val="auto"/>
        </w:rPr>
        <w:t>（2）本项目</w:t>
      </w:r>
      <w:r>
        <w:rPr>
          <w:rFonts w:hint="eastAsia" w:cs="Times New Roman"/>
          <w:color w:val="auto"/>
        </w:rPr>
        <w:t>建成后全厂</w:t>
      </w:r>
      <w:r>
        <w:rPr>
          <w:rFonts w:cs="Times New Roman"/>
          <w:color w:val="auto"/>
        </w:rPr>
        <w:t>高温蒸汽灭菌系统废气主要污染物为VOCs（以非甲烷总烃计）、NH</w:t>
      </w:r>
      <w:r>
        <w:rPr>
          <w:rFonts w:cs="Times New Roman"/>
          <w:color w:val="auto"/>
          <w:vertAlign w:val="subscript"/>
        </w:rPr>
        <w:t>3</w:t>
      </w:r>
      <w:r>
        <w:rPr>
          <w:rFonts w:cs="Times New Roman"/>
          <w:color w:val="auto"/>
        </w:rPr>
        <w:t>、H</w:t>
      </w:r>
      <w:r>
        <w:rPr>
          <w:rFonts w:cs="Times New Roman"/>
          <w:color w:val="auto"/>
          <w:vertAlign w:val="subscript"/>
        </w:rPr>
        <w:t>2</w:t>
      </w:r>
      <w:r>
        <w:rPr>
          <w:rFonts w:cs="Times New Roman"/>
          <w:color w:val="auto"/>
        </w:rPr>
        <w:t>S、粉尘等，医疗废物贮存废气主要污染物为VOCs（以非甲烷总烃计）、NH</w:t>
      </w:r>
      <w:r>
        <w:rPr>
          <w:rFonts w:cs="Times New Roman"/>
          <w:color w:val="auto"/>
          <w:vertAlign w:val="subscript"/>
        </w:rPr>
        <w:t>3</w:t>
      </w:r>
      <w:r>
        <w:rPr>
          <w:rFonts w:cs="Times New Roman"/>
          <w:color w:val="auto"/>
        </w:rPr>
        <w:t>、H</w:t>
      </w:r>
      <w:r>
        <w:rPr>
          <w:rFonts w:cs="Times New Roman"/>
          <w:color w:val="auto"/>
          <w:vertAlign w:val="subscript"/>
        </w:rPr>
        <w:t>2</w:t>
      </w:r>
      <w:r>
        <w:rPr>
          <w:rFonts w:cs="Times New Roman"/>
          <w:color w:val="auto"/>
        </w:rPr>
        <w:t>S，</w:t>
      </w:r>
      <w:r>
        <w:rPr>
          <w:rFonts w:hint="eastAsia" w:cs="Times New Roman"/>
          <w:color w:val="auto"/>
        </w:rPr>
        <w:t>厂区2套</w:t>
      </w:r>
      <w:r>
        <w:rPr>
          <w:rFonts w:cs="Times New Roman"/>
          <w:color w:val="auto"/>
        </w:rPr>
        <w:t>高温蒸汽灭菌</w:t>
      </w:r>
      <w:r>
        <w:rPr>
          <w:rFonts w:hint="eastAsia" w:cs="Times New Roman"/>
          <w:color w:val="auto"/>
        </w:rPr>
        <w:t>系统产生的</w:t>
      </w:r>
      <w:r>
        <w:rPr>
          <w:rFonts w:cs="Times New Roman"/>
          <w:color w:val="auto"/>
        </w:rPr>
        <w:t>废气先通过</w:t>
      </w:r>
      <w:r>
        <w:rPr>
          <w:rFonts w:hint="eastAsia" w:cs="Times New Roman"/>
          <w:color w:val="auto"/>
        </w:rPr>
        <w:t>各自</w:t>
      </w:r>
      <w:r>
        <w:rPr>
          <w:rFonts w:cs="Times New Roman"/>
          <w:color w:val="auto"/>
        </w:rPr>
        <w:t>设备自带的“生物过滤+活性炭吸附”进行预处理后，汇同医疗废物贮存废气一起通过“碱洗喷淋+等离子+活性炭”工艺处理，最终通过15m高排气筒达标排放。</w:t>
      </w:r>
    </w:p>
    <w:p>
      <w:pPr>
        <w:pStyle w:val="417"/>
        <w:ind w:firstLine="480"/>
        <w:rPr>
          <w:rFonts w:cs="Times New Roman"/>
          <w:color w:val="auto"/>
        </w:rPr>
      </w:pPr>
      <w:r>
        <w:rPr>
          <w:rFonts w:cs="Times New Roman"/>
          <w:color w:val="auto"/>
        </w:rPr>
        <w:t>（3）本项目生活污水直接排入现有化粪池，化粪池满后用吸污车运送至中卫市生活垃圾处理厂的渗滤液调蓄池；</w:t>
      </w:r>
      <w:r>
        <w:rPr>
          <w:rFonts w:hint="eastAsia" w:cs="Times New Roman"/>
          <w:color w:val="auto"/>
        </w:rPr>
        <w:t>全厂</w:t>
      </w:r>
      <w:r>
        <w:rPr>
          <w:rFonts w:cs="Times New Roman"/>
          <w:color w:val="auto"/>
        </w:rPr>
        <w:t>生产废水经新建污水处理站（A²O+MBR+消毒工艺，处理规模10m</w:t>
      </w:r>
      <w:r>
        <w:rPr>
          <w:rFonts w:cs="Times New Roman"/>
          <w:color w:val="auto"/>
          <w:vertAlign w:val="superscript"/>
        </w:rPr>
        <w:t>3</w:t>
      </w:r>
      <w:r>
        <w:rPr>
          <w:rFonts w:cs="Times New Roman"/>
          <w:color w:val="auto"/>
        </w:rPr>
        <w:t>/d）处理后达到《医疗机构水污染物排放标准》（GB18466-2005）综合医疗机构和其他医疗机构水污染物排放限值及《城市污水再生利用 城市杂用水水质》（GB/T18920-2020）中</w:t>
      </w:r>
      <w:r>
        <w:rPr>
          <w:rFonts w:hint="eastAsia" w:cs="Times New Roman"/>
          <w:color w:val="auto"/>
        </w:rPr>
        <w:t>城市绿化、道路清扫、消防、建筑施工的相关</w:t>
      </w:r>
      <w:r>
        <w:rPr>
          <w:rFonts w:cs="Times New Roman"/>
          <w:color w:val="auto"/>
        </w:rPr>
        <w:t>要求</w:t>
      </w:r>
      <w:r>
        <w:rPr>
          <w:rFonts w:hint="eastAsia" w:cs="Times New Roman"/>
          <w:color w:val="auto"/>
        </w:rPr>
        <w:t>后</w:t>
      </w:r>
      <w:r>
        <w:rPr>
          <w:rFonts w:cs="Times New Roman"/>
          <w:color w:val="auto"/>
        </w:rPr>
        <w:t>，作为中卫市生活垃圾填埋场道路抑尘用水，不外排。</w:t>
      </w:r>
    </w:p>
    <w:p>
      <w:pPr>
        <w:pStyle w:val="4"/>
        <w:numPr>
          <w:ilvl w:val="1"/>
          <w:numId w:val="0"/>
        </w:numPr>
        <w:spacing w:before="120"/>
        <w:rPr>
          <w:color w:val="auto"/>
        </w:rPr>
      </w:pPr>
      <w:bookmarkStart w:id="9" w:name="_Toc508377250"/>
      <w:bookmarkStart w:id="10" w:name="_Toc109398522"/>
      <w:bookmarkStart w:id="11" w:name="_Toc11595157"/>
      <w:bookmarkStart w:id="12" w:name="_Toc508714622"/>
      <w:bookmarkStart w:id="13" w:name="_Toc508377151"/>
      <w:r>
        <w:rPr>
          <w:color w:val="auto"/>
        </w:rPr>
        <w:t>3、环境影响评价工作过程</w:t>
      </w:r>
      <w:bookmarkEnd w:id="9"/>
      <w:bookmarkEnd w:id="10"/>
      <w:bookmarkEnd w:id="11"/>
      <w:bookmarkEnd w:id="12"/>
      <w:bookmarkEnd w:id="13"/>
    </w:p>
    <w:p>
      <w:pPr>
        <w:pStyle w:val="130"/>
        <w:ind w:firstLine="480"/>
        <w:rPr>
          <w:rStyle w:val="418"/>
          <w:rFonts w:cs="Times New Roman"/>
          <w:color w:val="auto"/>
        </w:rPr>
      </w:pPr>
      <w:bookmarkStart w:id="14" w:name="_Toc363552861"/>
      <w:bookmarkStart w:id="15" w:name="_Toc399330195"/>
      <w:bookmarkStart w:id="16" w:name="_Toc385859719"/>
      <w:bookmarkStart w:id="17" w:name="_Toc399330455"/>
      <w:bookmarkStart w:id="18" w:name="_Toc386983466"/>
      <w:bookmarkStart w:id="19" w:name="_Toc399492077"/>
      <w:bookmarkStart w:id="20" w:name="_Toc364867065"/>
      <w:bookmarkStart w:id="21" w:name="_Toc399431302"/>
      <w:bookmarkStart w:id="22" w:name="_Toc354404975"/>
      <w:r>
        <w:rPr>
          <w:color w:val="auto"/>
        </w:rPr>
        <w:t>根据《中华人</w:t>
      </w:r>
      <w:r>
        <w:rPr>
          <w:rStyle w:val="418"/>
          <w:rFonts w:cs="Times New Roman"/>
          <w:color w:val="auto"/>
        </w:rPr>
        <w:t>民共和国环境保护法》、《中华人民共和国环境影响评价法》及国务院第682号令《建设项目环境保护管理条例》的有关规定，</w:t>
      </w:r>
      <w:r>
        <w:rPr>
          <w:rStyle w:val="418"/>
          <w:rFonts w:hint="eastAsia" w:cs="Times New Roman"/>
          <w:color w:val="auto"/>
        </w:rPr>
        <w:t>对于一切可能对环境造成影响的新建、改建或扩建项目必须执行环境影响评价制度。202</w:t>
      </w:r>
      <w:r>
        <w:rPr>
          <w:rStyle w:val="418"/>
          <w:rFonts w:cs="Times New Roman"/>
          <w:color w:val="auto"/>
        </w:rPr>
        <w:t>2</w:t>
      </w:r>
      <w:r>
        <w:rPr>
          <w:rStyle w:val="418"/>
          <w:rFonts w:hint="eastAsia" w:cs="Times New Roman"/>
          <w:color w:val="auto"/>
        </w:rPr>
        <w:t>年</w:t>
      </w:r>
      <w:r>
        <w:rPr>
          <w:rStyle w:val="418"/>
          <w:rFonts w:cs="Times New Roman"/>
          <w:color w:val="auto"/>
        </w:rPr>
        <w:t>5</w:t>
      </w:r>
      <w:r>
        <w:rPr>
          <w:rStyle w:val="418"/>
          <w:rFonts w:hint="eastAsia" w:cs="Times New Roman"/>
          <w:color w:val="auto"/>
        </w:rPr>
        <w:t>月</w:t>
      </w:r>
      <w:r>
        <w:rPr>
          <w:rStyle w:val="418"/>
          <w:rFonts w:cs="Times New Roman"/>
          <w:color w:val="auto"/>
        </w:rPr>
        <w:t>6</w:t>
      </w:r>
      <w:r>
        <w:rPr>
          <w:rStyle w:val="418"/>
          <w:rFonts w:hint="eastAsia" w:cs="Times New Roman"/>
          <w:color w:val="auto"/>
        </w:rPr>
        <w:t>日，建设单位基于项目重大变动后环境影响评价程序的履行需求，委托宁夏鸿旭环境技术有限公司（以下简称“环评单位”）承担相应评价工作。环评单位在接受委托后，在实地踏勘、收集资料、工程分析、环境现状监测和类比调查的基础上，对项目建设及营运过程中产生的环境问题进行分析和评价，分析项目各环境要素环境影响程度和范围，提出环境保护措施并进行技术论证，开展公众参与调查等，编制完成了《中卫医疗废物处置中心改造项目环境影响报告书》。</w:t>
      </w:r>
    </w:p>
    <w:p>
      <w:pPr>
        <w:adjustRightInd w:val="0"/>
        <w:snapToGrid w:val="0"/>
        <w:jc w:val="center"/>
        <w:rPr>
          <w:rFonts w:eastAsiaTheme="minorEastAsia"/>
          <w:color w:val="auto"/>
        </w:rPr>
      </w:pPr>
      <w:r>
        <w:rPr>
          <w:color w:val="auto"/>
        </w:rPr>
        <mc:AlternateContent>
          <mc:Choice Requires="wpg">
            <w:drawing>
              <wp:inline distT="0" distB="0" distL="0" distR="0">
                <wp:extent cx="5271770" cy="6701155"/>
                <wp:effectExtent l="0" t="0" r="43180" b="42545"/>
                <wp:docPr id="3713" name="组合 52"/>
                <wp:cNvGraphicFramePr/>
                <a:graphic xmlns:a="http://schemas.openxmlformats.org/drawingml/2006/main">
                  <a:graphicData uri="http://schemas.microsoft.com/office/word/2010/wordprocessingGroup">
                    <wpg:wgp>
                      <wpg:cNvGrpSpPr/>
                      <wpg:grpSpPr>
                        <a:xfrm>
                          <a:off x="0" y="0"/>
                          <a:ext cx="5271770" cy="6701155"/>
                          <a:chOff x="1800" y="3770"/>
                          <a:chExt cx="8302" cy="10553"/>
                        </a:xfrm>
                      </wpg:grpSpPr>
                      <wps:wsp>
                        <wps:cNvPr id="3714" name="直线 53"/>
                        <wps:cNvCnPr>
                          <a:cxnSpLocks noChangeShapeType="1"/>
                        </wps:cNvCnPr>
                        <wps:spPr bwMode="auto">
                          <a:xfrm>
                            <a:off x="1800" y="3770"/>
                            <a:ext cx="0" cy="10553"/>
                          </a:xfrm>
                          <a:prstGeom prst="line">
                            <a:avLst/>
                          </a:prstGeom>
                          <a:noFill/>
                          <a:ln w="9525">
                            <a:solidFill>
                              <a:srgbClr val="000000"/>
                            </a:solidFill>
                            <a:prstDash val="dashDot"/>
                            <a:round/>
                          </a:ln>
                        </wps:spPr>
                        <wps:bodyPr/>
                      </wps:wsp>
                      <wps:wsp>
                        <wps:cNvPr id="3715" name="直线 54"/>
                        <wps:cNvCnPr>
                          <a:cxnSpLocks noChangeShapeType="1"/>
                        </wps:cNvCnPr>
                        <wps:spPr bwMode="auto">
                          <a:xfrm>
                            <a:off x="1800" y="14323"/>
                            <a:ext cx="8301" cy="0"/>
                          </a:xfrm>
                          <a:prstGeom prst="line">
                            <a:avLst/>
                          </a:prstGeom>
                          <a:noFill/>
                          <a:ln w="9525">
                            <a:solidFill>
                              <a:srgbClr val="000000"/>
                            </a:solidFill>
                            <a:prstDash val="dashDot"/>
                            <a:round/>
                          </a:ln>
                        </wps:spPr>
                        <wps:bodyPr/>
                      </wps:wsp>
                      <wps:wsp>
                        <wps:cNvPr id="3716" name="直线 55"/>
                        <wps:cNvCnPr>
                          <a:cxnSpLocks noChangeShapeType="1"/>
                        </wps:cNvCnPr>
                        <wps:spPr bwMode="auto">
                          <a:xfrm>
                            <a:off x="1800" y="3776"/>
                            <a:ext cx="8301" cy="0"/>
                          </a:xfrm>
                          <a:prstGeom prst="line">
                            <a:avLst/>
                          </a:prstGeom>
                          <a:noFill/>
                          <a:ln w="9525">
                            <a:solidFill>
                              <a:srgbClr val="000000"/>
                            </a:solidFill>
                            <a:prstDash val="dashDot"/>
                            <a:round/>
                          </a:ln>
                        </wps:spPr>
                        <wps:bodyPr/>
                      </wps:wsp>
                      <wps:wsp>
                        <wps:cNvPr id="3717" name="直线 56"/>
                        <wps:cNvCnPr>
                          <a:cxnSpLocks noChangeShapeType="1"/>
                        </wps:cNvCnPr>
                        <wps:spPr bwMode="auto">
                          <a:xfrm>
                            <a:off x="10101" y="3790"/>
                            <a:ext cx="1" cy="10533"/>
                          </a:xfrm>
                          <a:prstGeom prst="line">
                            <a:avLst/>
                          </a:prstGeom>
                          <a:noFill/>
                          <a:ln w="9525">
                            <a:solidFill>
                              <a:srgbClr val="000000"/>
                            </a:solidFill>
                            <a:prstDash val="dashDot"/>
                            <a:round/>
                          </a:ln>
                        </wps:spPr>
                        <wps:bodyPr/>
                      </wps:wsp>
                      <wps:wsp>
                        <wps:cNvPr id="3718" name="直线 57"/>
                        <wps:cNvCnPr>
                          <a:cxnSpLocks noChangeShapeType="1"/>
                        </wps:cNvCnPr>
                        <wps:spPr bwMode="auto">
                          <a:xfrm>
                            <a:off x="1800" y="8811"/>
                            <a:ext cx="8302" cy="0"/>
                          </a:xfrm>
                          <a:prstGeom prst="line">
                            <a:avLst/>
                          </a:prstGeom>
                          <a:noFill/>
                          <a:ln w="9525">
                            <a:solidFill>
                              <a:srgbClr val="000000"/>
                            </a:solidFill>
                            <a:prstDash val="dash"/>
                            <a:round/>
                          </a:ln>
                        </wps:spPr>
                        <wps:bodyPr/>
                      </wps:wsp>
                      <wps:wsp>
                        <wps:cNvPr id="3719" name="直线 58"/>
                        <wps:cNvCnPr>
                          <a:cxnSpLocks noChangeShapeType="1"/>
                        </wps:cNvCnPr>
                        <wps:spPr bwMode="auto">
                          <a:xfrm>
                            <a:off x="1800" y="11740"/>
                            <a:ext cx="8301" cy="0"/>
                          </a:xfrm>
                          <a:prstGeom prst="line">
                            <a:avLst/>
                          </a:prstGeom>
                          <a:noFill/>
                          <a:ln w="9525">
                            <a:solidFill>
                              <a:srgbClr val="000000"/>
                            </a:solidFill>
                            <a:prstDash val="dash"/>
                            <a:round/>
                          </a:ln>
                        </wps:spPr>
                        <wps:bodyPr/>
                      </wps:wsp>
                      <wps:wsp>
                        <wps:cNvPr id="3720" name="矩形 59"/>
                        <wps:cNvSpPr>
                          <a:spLocks noChangeArrowheads="1"/>
                        </wps:cNvSpPr>
                        <wps:spPr bwMode="auto">
                          <a:xfrm>
                            <a:off x="1966" y="5423"/>
                            <a:ext cx="508" cy="1936"/>
                          </a:xfrm>
                          <a:prstGeom prst="rect">
                            <a:avLst/>
                          </a:prstGeom>
                          <a:noFill/>
                          <a:ln>
                            <a:noFill/>
                          </a:ln>
                        </wps:spPr>
                        <wps:txbx>
                          <w:txbxContent>
                            <w:p>
                              <w:r>
                                <w:rPr>
                                  <w:rFonts w:hint="eastAsia"/>
                                </w:rPr>
                                <w:t>第一阶段</w:t>
                              </w:r>
                            </w:p>
                          </w:txbxContent>
                        </wps:txbx>
                        <wps:bodyPr rot="0" vert="horz" wrap="square" lIns="91440" tIns="90000" rIns="91440" bIns="45720" anchor="t" anchorCtr="0" upright="1">
                          <a:noAutofit/>
                        </wps:bodyPr>
                      </wps:wsp>
                      <wps:wsp>
                        <wps:cNvPr id="3721" name="矩形 60"/>
                        <wps:cNvSpPr>
                          <a:spLocks noChangeArrowheads="1"/>
                        </wps:cNvSpPr>
                        <wps:spPr bwMode="auto">
                          <a:xfrm>
                            <a:off x="1966" y="9262"/>
                            <a:ext cx="508" cy="1940"/>
                          </a:xfrm>
                          <a:prstGeom prst="rect">
                            <a:avLst/>
                          </a:prstGeom>
                          <a:noFill/>
                          <a:ln>
                            <a:noFill/>
                          </a:ln>
                        </wps:spPr>
                        <wps:txbx>
                          <w:txbxContent>
                            <w:p>
                              <w:r>
                                <w:rPr>
                                  <w:rFonts w:hint="eastAsia"/>
                                </w:rPr>
                                <w:t>第二阶段</w:t>
                              </w:r>
                            </w:p>
                          </w:txbxContent>
                        </wps:txbx>
                        <wps:bodyPr rot="0" vert="horz" wrap="square" lIns="91440" tIns="90000" rIns="91440" bIns="45720" anchor="t" anchorCtr="0" upright="1">
                          <a:noAutofit/>
                        </wps:bodyPr>
                      </wps:wsp>
                      <wps:wsp>
                        <wps:cNvPr id="3722" name="矩形 61"/>
                        <wps:cNvSpPr>
                          <a:spLocks noChangeArrowheads="1"/>
                        </wps:cNvSpPr>
                        <wps:spPr bwMode="auto">
                          <a:xfrm>
                            <a:off x="1966" y="12155"/>
                            <a:ext cx="508" cy="1937"/>
                          </a:xfrm>
                          <a:prstGeom prst="rect">
                            <a:avLst/>
                          </a:prstGeom>
                          <a:noFill/>
                          <a:ln>
                            <a:noFill/>
                          </a:ln>
                        </wps:spPr>
                        <wps:txbx>
                          <w:txbxContent>
                            <w:p>
                              <w:r>
                                <w:rPr>
                                  <w:rFonts w:hint="eastAsia"/>
                                </w:rPr>
                                <w:t>第三阶段</w:t>
                              </w:r>
                            </w:p>
                          </w:txbxContent>
                        </wps:txbx>
                        <wps:bodyPr rot="0" vert="horz" wrap="square" lIns="91440" tIns="90000" rIns="91440" bIns="45720" anchor="t" anchorCtr="0" upright="1">
                          <a:noAutofit/>
                        </wps:bodyPr>
                      </wps:wsp>
                      <wps:wsp>
                        <wps:cNvPr id="3723" name="矩形 62"/>
                        <wps:cNvSpPr>
                          <a:spLocks noChangeArrowheads="1"/>
                        </wps:cNvSpPr>
                        <wps:spPr bwMode="auto">
                          <a:xfrm>
                            <a:off x="3511" y="4091"/>
                            <a:ext cx="4624" cy="451"/>
                          </a:xfrm>
                          <a:prstGeom prst="rect">
                            <a:avLst/>
                          </a:prstGeom>
                          <a:noFill/>
                          <a:ln w="9525">
                            <a:solidFill>
                              <a:srgbClr val="000000"/>
                            </a:solidFill>
                            <a:miter lim="800000"/>
                          </a:ln>
                        </wps:spPr>
                        <wps:txbx>
                          <w:txbxContent>
                            <w:p>
                              <w:pPr>
                                <w:adjustRightInd w:val="0"/>
                                <w:snapToGrid w:val="0"/>
                              </w:pPr>
                              <w:r>
                                <w:rPr>
                                  <w:rFonts w:hint="eastAsia"/>
                                </w:rPr>
                                <w:t>依据相关规定确定环境影响评价文件类型</w:t>
                              </w:r>
                            </w:p>
                          </w:txbxContent>
                        </wps:txbx>
                        <wps:bodyPr rot="0" vert="horz" wrap="square" lIns="91440" tIns="45720" rIns="91440" bIns="45720" anchor="t" anchorCtr="0" upright="1">
                          <a:noAutofit/>
                        </wps:bodyPr>
                      </wps:wsp>
                      <wps:wsp>
                        <wps:cNvPr id="3724" name="矩形 63"/>
                        <wps:cNvSpPr>
                          <a:spLocks noChangeArrowheads="1"/>
                        </wps:cNvSpPr>
                        <wps:spPr bwMode="auto">
                          <a:xfrm>
                            <a:off x="3513" y="4968"/>
                            <a:ext cx="4626" cy="1276"/>
                          </a:xfrm>
                          <a:prstGeom prst="rect">
                            <a:avLst/>
                          </a:prstGeom>
                          <a:noFill/>
                          <a:ln w="9525">
                            <a:solidFill>
                              <a:srgbClr val="000000"/>
                            </a:solidFill>
                            <a:miter lim="800000"/>
                          </a:ln>
                        </wps:spPr>
                        <wps:txbx>
                          <w:txbxContent>
                            <w:p>
                              <w:pPr>
                                <w:snapToGrid w:val="0"/>
                                <w:spacing w:line="360" w:lineRule="auto"/>
                              </w:pPr>
                              <w:r>
                                <w:t>1</w:t>
                              </w:r>
                              <w:r>
                                <w:rPr>
                                  <w:rFonts w:hint="eastAsia"/>
                                </w:rPr>
                                <w:t>研究相关技术文件和其他有关文件</w:t>
                              </w:r>
                            </w:p>
                            <w:p>
                              <w:pPr>
                                <w:snapToGrid w:val="0"/>
                                <w:spacing w:line="360" w:lineRule="auto"/>
                              </w:pPr>
                              <w:r>
                                <w:t>2</w:t>
                              </w:r>
                              <w:r>
                                <w:rPr>
                                  <w:rFonts w:hint="eastAsia"/>
                                </w:rPr>
                                <w:t>进行初步工程分析</w:t>
                              </w:r>
                            </w:p>
                            <w:p>
                              <w:pPr>
                                <w:snapToGrid w:val="0"/>
                                <w:spacing w:line="360" w:lineRule="auto"/>
                              </w:pPr>
                              <w:r>
                                <w:t>3</w:t>
                              </w:r>
                              <w:r>
                                <w:rPr>
                                  <w:rFonts w:hint="eastAsia"/>
                                </w:rPr>
                                <w:t>开展初步的环境现状调查</w:t>
                              </w:r>
                            </w:p>
                          </w:txbxContent>
                        </wps:txbx>
                        <wps:bodyPr rot="0" vert="horz" wrap="square" lIns="91440" tIns="45720" rIns="91440" bIns="45720" anchor="t" anchorCtr="0" upright="1">
                          <a:noAutofit/>
                        </wps:bodyPr>
                      </wps:wsp>
                      <wps:wsp>
                        <wps:cNvPr id="3725" name="矩形 64"/>
                        <wps:cNvSpPr>
                          <a:spLocks noChangeArrowheads="1"/>
                        </wps:cNvSpPr>
                        <wps:spPr bwMode="auto">
                          <a:xfrm>
                            <a:off x="3515" y="6604"/>
                            <a:ext cx="4624" cy="1276"/>
                          </a:xfrm>
                          <a:prstGeom prst="rect">
                            <a:avLst/>
                          </a:prstGeom>
                          <a:noFill/>
                          <a:ln w="9525">
                            <a:solidFill>
                              <a:srgbClr val="000000"/>
                            </a:solidFill>
                            <a:miter lim="800000"/>
                          </a:ln>
                        </wps:spPr>
                        <wps:txbx>
                          <w:txbxContent>
                            <w:p>
                              <w:pPr>
                                <w:snapToGrid w:val="0"/>
                                <w:spacing w:line="360" w:lineRule="auto"/>
                              </w:pPr>
                              <w:r>
                                <w:t>1</w:t>
                              </w:r>
                              <w:r>
                                <w:rPr>
                                  <w:rFonts w:hint="eastAsia"/>
                                </w:rPr>
                                <w:t>环境影响识别和评价因子筛选</w:t>
                              </w:r>
                            </w:p>
                            <w:p>
                              <w:pPr>
                                <w:snapToGrid w:val="0"/>
                                <w:spacing w:line="360" w:lineRule="auto"/>
                              </w:pPr>
                              <w:r>
                                <w:t>2</w:t>
                              </w:r>
                              <w:r>
                                <w:rPr>
                                  <w:rFonts w:hint="eastAsia"/>
                                </w:rPr>
                                <w:t>明确评价重点和环境保护目标</w:t>
                              </w:r>
                            </w:p>
                            <w:p>
                              <w:pPr>
                                <w:snapToGrid w:val="0"/>
                                <w:spacing w:line="360" w:lineRule="auto"/>
                              </w:pPr>
                              <w:r>
                                <w:t>3</w:t>
                              </w:r>
                              <w:r>
                                <w:rPr>
                                  <w:rFonts w:hint="eastAsia"/>
                                </w:rPr>
                                <w:t>确定工作等级、评价范围和评价标准</w:t>
                              </w:r>
                            </w:p>
                          </w:txbxContent>
                        </wps:txbx>
                        <wps:bodyPr rot="0" vert="horz" wrap="square" lIns="91440" tIns="45720" rIns="91440" bIns="45720" anchor="t" anchorCtr="0" upright="1">
                          <a:noAutofit/>
                        </wps:bodyPr>
                      </wps:wsp>
                      <wps:wsp>
                        <wps:cNvPr id="3726" name="矩形 65"/>
                        <wps:cNvSpPr>
                          <a:spLocks noChangeArrowheads="1"/>
                        </wps:cNvSpPr>
                        <wps:spPr bwMode="auto">
                          <a:xfrm>
                            <a:off x="4779" y="8207"/>
                            <a:ext cx="2262" cy="451"/>
                          </a:xfrm>
                          <a:prstGeom prst="rect">
                            <a:avLst/>
                          </a:prstGeom>
                          <a:noFill/>
                          <a:ln w="9525">
                            <a:solidFill>
                              <a:srgbClr val="000000"/>
                            </a:solidFill>
                            <a:miter lim="800000"/>
                          </a:ln>
                        </wps:spPr>
                        <wps:txbx>
                          <w:txbxContent>
                            <w:p>
                              <w:pPr>
                                <w:adjustRightInd w:val="0"/>
                                <w:snapToGrid w:val="0"/>
                                <w:jc w:val="center"/>
                              </w:pPr>
                              <w:r>
                                <w:rPr>
                                  <w:rFonts w:hint="eastAsia"/>
                                </w:rPr>
                                <w:t>制定工作方案</w:t>
                              </w:r>
                            </w:p>
                          </w:txbxContent>
                        </wps:txbx>
                        <wps:bodyPr rot="0" vert="horz" wrap="square" lIns="91440" tIns="45720" rIns="91440" bIns="45720" anchor="t" anchorCtr="0" upright="1">
                          <a:noAutofit/>
                        </wps:bodyPr>
                      </wps:wsp>
                      <wps:wsp>
                        <wps:cNvPr id="3727" name="直线 66"/>
                        <wps:cNvCnPr>
                          <a:cxnSpLocks noChangeShapeType="1"/>
                        </wps:cNvCnPr>
                        <wps:spPr bwMode="auto">
                          <a:xfrm>
                            <a:off x="4524" y="9083"/>
                            <a:ext cx="0" cy="325"/>
                          </a:xfrm>
                          <a:prstGeom prst="line">
                            <a:avLst/>
                          </a:prstGeom>
                          <a:noFill/>
                          <a:ln w="9525">
                            <a:solidFill>
                              <a:srgbClr val="000000"/>
                            </a:solidFill>
                            <a:round/>
                            <a:tailEnd type="triangle" w="sm" len="lg"/>
                          </a:ln>
                        </wps:spPr>
                        <wps:bodyPr/>
                      </wps:wsp>
                      <wps:wsp>
                        <wps:cNvPr id="3728" name="直线 67"/>
                        <wps:cNvCnPr>
                          <a:cxnSpLocks noChangeShapeType="1"/>
                        </wps:cNvCnPr>
                        <wps:spPr bwMode="auto">
                          <a:xfrm>
                            <a:off x="4524" y="9083"/>
                            <a:ext cx="2777" cy="0"/>
                          </a:xfrm>
                          <a:prstGeom prst="line">
                            <a:avLst/>
                          </a:prstGeom>
                          <a:noFill/>
                          <a:ln w="9525">
                            <a:solidFill>
                              <a:srgbClr val="000000"/>
                            </a:solidFill>
                            <a:round/>
                          </a:ln>
                        </wps:spPr>
                        <wps:bodyPr/>
                      </wps:wsp>
                      <wps:wsp>
                        <wps:cNvPr id="3729" name="直线 68"/>
                        <wps:cNvCnPr>
                          <a:cxnSpLocks noChangeShapeType="1"/>
                        </wps:cNvCnPr>
                        <wps:spPr bwMode="auto">
                          <a:xfrm>
                            <a:off x="4538" y="10209"/>
                            <a:ext cx="0" cy="292"/>
                          </a:xfrm>
                          <a:prstGeom prst="line">
                            <a:avLst/>
                          </a:prstGeom>
                          <a:noFill/>
                          <a:ln w="9525">
                            <a:solidFill>
                              <a:srgbClr val="000000"/>
                            </a:solidFill>
                            <a:round/>
                          </a:ln>
                        </wps:spPr>
                        <wps:bodyPr/>
                      </wps:wsp>
                      <wps:wsp>
                        <wps:cNvPr id="3730" name="矩形 69"/>
                        <wps:cNvSpPr>
                          <a:spLocks noChangeArrowheads="1"/>
                        </wps:cNvSpPr>
                        <wps:spPr bwMode="auto">
                          <a:xfrm>
                            <a:off x="3669" y="9427"/>
                            <a:ext cx="1706" cy="768"/>
                          </a:xfrm>
                          <a:prstGeom prst="rect">
                            <a:avLst/>
                          </a:prstGeom>
                          <a:noFill/>
                          <a:ln w="9525">
                            <a:solidFill>
                              <a:srgbClr val="000000"/>
                            </a:solidFill>
                            <a:miter lim="800000"/>
                          </a:ln>
                        </wps:spPr>
                        <wps:txbx>
                          <w:txbxContent>
                            <w:p>
                              <w:pPr>
                                <w:snapToGrid w:val="0"/>
                                <w:spacing w:line="360" w:lineRule="auto"/>
                                <w:jc w:val="center"/>
                                <w:rPr>
                                  <w:snapToGrid w:val="0"/>
                                  <w:kern w:val="0"/>
                                </w:rPr>
                              </w:pPr>
                              <w:r>
                                <w:rPr>
                                  <w:rFonts w:hint="eastAsia"/>
                                  <w:snapToGrid w:val="0"/>
                                  <w:kern w:val="0"/>
                                </w:rPr>
                                <w:t>环境现状调查</w:t>
                              </w:r>
                            </w:p>
                            <w:p>
                              <w:pPr>
                                <w:snapToGrid w:val="0"/>
                                <w:spacing w:line="360" w:lineRule="auto"/>
                                <w:jc w:val="center"/>
                                <w:rPr>
                                  <w:snapToGrid w:val="0"/>
                                  <w:kern w:val="0"/>
                                </w:rPr>
                              </w:pPr>
                              <w:r>
                                <w:rPr>
                                  <w:rFonts w:hint="eastAsia"/>
                                  <w:snapToGrid w:val="0"/>
                                  <w:kern w:val="0"/>
                                </w:rPr>
                                <w:t>监测与评价</w:t>
                              </w:r>
                            </w:p>
                          </w:txbxContent>
                        </wps:txbx>
                        <wps:bodyPr rot="0" vert="horz" wrap="square" lIns="91440" tIns="21600" rIns="91440" bIns="10800" anchor="t" anchorCtr="0" upright="1">
                          <a:noAutofit/>
                        </wps:bodyPr>
                      </wps:wsp>
                      <wps:wsp>
                        <wps:cNvPr id="3731" name="直线 70"/>
                        <wps:cNvCnPr>
                          <a:cxnSpLocks noChangeShapeType="1"/>
                        </wps:cNvCnPr>
                        <wps:spPr bwMode="auto">
                          <a:xfrm>
                            <a:off x="7343" y="10211"/>
                            <a:ext cx="0" cy="292"/>
                          </a:xfrm>
                          <a:prstGeom prst="line">
                            <a:avLst/>
                          </a:prstGeom>
                          <a:noFill/>
                          <a:ln w="9525">
                            <a:solidFill>
                              <a:srgbClr val="000000"/>
                            </a:solidFill>
                            <a:round/>
                          </a:ln>
                        </wps:spPr>
                        <wps:bodyPr/>
                      </wps:wsp>
                      <wps:wsp>
                        <wps:cNvPr id="3732" name="矩形 71"/>
                        <wps:cNvSpPr>
                          <a:spLocks noChangeArrowheads="1"/>
                        </wps:cNvSpPr>
                        <wps:spPr bwMode="auto">
                          <a:xfrm>
                            <a:off x="3511" y="10834"/>
                            <a:ext cx="4624" cy="754"/>
                          </a:xfrm>
                          <a:prstGeom prst="rect">
                            <a:avLst/>
                          </a:prstGeom>
                          <a:noFill/>
                          <a:ln w="9525">
                            <a:solidFill>
                              <a:srgbClr val="000000"/>
                            </a:solidFill>
                            <a:miter lim="800000"/>
                          </a:ln>
                        </wps:spPr>
                        <wps:txbx>
                          <w:txbxContent>
                            <w:p>
                              <w:pPr>
                                <w:adjustRightInd w:val="0"/>
                                <w:snapToGrid w:val="0"/>
                              </w:pPr>
                              <w:r>
                                <w:t>1</w:t>
                              </w:r>
                              <w:r>
                                <w:rPr>
                                  <w:rFonts w:hint="eastAsia"/>
                                </w:rPr>
                                <w:t>各环境要素环境影响预测与评价</w:t>
                              </w:r>
                            </w:p>
                            <w:p>
                              <w:pPr>
                                <w:adjustRightInd w:val="0"/>
                                <w:snapToGrid w:val="0"/>
                              </w:pPr>
                              <w:r>
                                <w:t>2</w:t>
                              </w:r>
                              <w:r>
                                <w:rPr>
                                  <w:rFonts w:hint="eastAsia"/>
                                </w:rPr>
                                <w:t>各专题环境影响分析与评价</w:t>
                              </w:r>
                            </w:p>
                          </w:txbxContent>
                        </wps:txbx>
                        <wps:bodyPr rot="0" vert="horz" wrap="square" lIns="91440" tIns="45720" rIns="91440" bIns="45720" anchor="t" anchorCtr="0" upright="1">
                          <a:noAutofit/>
                        </wps:bodyPr>
                      </wps:wsp>
                      <wps:wsp>
                        <wps:cNvPr id="3733" name="矩形 72"/>
                        <wps:cNvSpPr>
                          <a:spLocks noChangeArrowheads="1"/>
                        </wps:cNvSpPr>
                        <wps:spPr bwMode="auto">
                          <a:xfrm>
                            <a:off x="3511" y="12004"/>
                            <a:ext cx="4624" cy="1220"/>
                          </a:xfrm>
                          <a:prstGeom prst="rect">
                            <a:avLst/>
                          </a:prstGeom>
                          <a:noFill/>
                          <a:ln w="9525">
                            <a:solidFill>
                              <a:srgbClr val="000000"/>
                            </a:solidFill>
                            <a:miter lim="800000"/>
                          </a:ln>
                        </wps:spPr>
                        <wps:txbx>
                          <w:txbxContent>
                            <w:p>
                              <w:pPr>
                                <w:snapToGrid w:val="0"/>
                                <w:spacing w:line="360" w:lineRule="auto"/>
                              </w:pPr>
                              <w:r>
                                <w:t>1.</w:t>
                              </w:r>
                              <w:r>
                                <w:rPr>
                                  <w:rFonts w:hint="eastAsia"/>
                                </w:rPr>
                                <w:t>提出环境保护措施，进行技术经济论证</w:t>
                              </w:r>
                            </w:p>
                            <w:p>
                              <w:pPr>
                                <w:snapToGrid w:val="0"/>
                                <w:spacing w:line="360" w:lineRule="auto"/>
                              </w:pPr>
                              <w:r>
                                <w:t>2.</w:t>
                              </w:r>
                              <w:r>
                                <w:rPr>
                                  <w:rFonts w:hint="eastAsia"/>
                                </w:rPr>
                                <w:t>给出污染物排放清单</w:t>
                              </w:r>
                            </w:p>
                            <w:p>
                              <w:pPr>
                                <w:snapToGrid w:val="0"/>
                                <w:spacing w:line="360" w:lineRule="auto"/>
                              </w:pPr>
                              <w:r>
                                <w:t>3</w:t>
                              </w:r>
                              <w:r>
                                <w:rPr>
                                  <w:rFonts w:hint="eastAsia"/>
                                </w:rPr>
                                <w:t>给出建设项目环境影响评价结论</w:t>
                              </w:r>
                            </w:p>
                          </w:txbxContent>
                        </wps:txbx>
                        <wps:bodyPr rot="0" vert="horz" wrap="square" lIns="91440" tIns="45720" rIns="91440" bIns="45720" anchor="t" anchorCtr="0" upright="1">
                          <a:noAutofit/>
                        </wps:bodyPr>
                      </wps:wsp>
                      <wps:wsp>
                        <wps:cNvPr id="3734" name="矩形 73"/>
                        <wps:cNvSpPr>
                          <a:spLocks noChangeArrowheads="1"/>
                        </wps:cNvSpPr>
                        <wps:spPr bwMode="auto">
                          <a:xfrm>
                            <a:off x="4676" y="13698"/>
                            <a:ext cx="2453" cy="451"/>
                          </a:xfrm>
                          <a:prstGeom prst="rect">
                            <a:avLst/>
                          </a:prstGeom>
                          <a:noFill/>
                          <a:ln w="9525">
                            <a:solidFill>
                              <a:srgbClr val="000000"/>
                            </a:solidFill>
                            <a:miter lim="800000"/>
                          </a:ln>
                        </wps:spPr>
                        <wps:txbx>
                          <w:txbxContent>
                            <w:p>
                              <w:pPr>
                                <w:adjustRightInd w:val="0"/>
                                <w:snapToGrid w:val="0"/>
                              </w:pPr>
                              <w:r>
                                <w:rPr>
                                  <w:rFonts w:hint="eastAsia"/>
                                </w:rPr>
                                <w:t>编制环境影响评价文件</w:t>
                              </w:r>
                            </w:p>
                          </w:txbxContent>
                        </wps:txbx>
                        <wps:bodyPr rot="0" vert="horz" wrap="square" lIns="91440" tIns="45720" rIns="91440" bIns="45720" anchor="t" anchorCtr="0" upright="1">
                          <a:noAutofit/>
                        </wps:bodyPr>
                      </wps:wsp>
                      <wps:wsp>
                        <wps:cNvPr id="3735" name="矩形 74"/>
                        <wps:cNvSpPr>
                          <a:spLocks noChangeArrowheads="1"/>
                        </wps:cNvSpPr>
                        <wps:spPr bwMode="auto">
                          <a:xfrm>
                            <a:off x="6460" y="9440"/>
                            <a:ext cx="1706" cy="769"/>
                          </a:xfrm>
                          <a:prstGeom prst="rect">
                            <a:avLst/>
                          </a:prstGeom>
                          <a:noFill/>
                          <a:ln w="9525">
                            <a:solidFill>
                              <a:srgbClr val="000000"/>
                            </a:solidFill>
                            <a:miter lim="800000"/>
                          </a:ln>
                        </wps:spPr>
                        <wps:txbx>
                          <w:txbxContent>
                            <w:p>
                              <w:pPr>
                                <w:snapToGrid w:val="0"/>
                                <w:spacing w:line="360" w:lineRule="auto"/>
                                <w:jc w:val="center"/>
                                <w:rPr>
                                  <w:snapToGrid w:val="0"/>
                                  <w:kern w:val="0"/>
                                </w:rPr>
                              </w:pPr>
                              <w:r>
                                <w:rPr>
                                  <w:rFonts w:hint="eastAsia"/>
                                  <w:snapToGrid w:val="0"/>
                                  <w:kern w:val="0"/>
                                </w:rPr>
                                <w:t>建设项目</w:t>
                              </w:r>
                            </w:p>
                            <w:p>
                              <w:pPr>
                                <w:snapToGrid w:val="0"/>
                                <w:spacing w:line="360" w:lineRule="auto"/>
                                <w:jc w:val="center"/>
                                <w:rPr>
                                  <w:snapToGrid w:val="0"/>
                                  <w:kern w:val="0"/>
                                </w:rPr>
                              </w:pPr>
                              <w:r>
                                <w:rPr>
                                  <w:rFonts w:hint="eastAsia"/>
                                  <w:snapToGrid w:val="0"/>
                                  <w:kern w:val="0"/>
                                </w:rPr>
                                <w:t>工程分析</w:t>
                              </w:r>
                            </w:p>
                          </w:txbxContent>
                        </wps:txbx>
                        <wps:bodyPr rot="0" vert="horz" wrap="square" lIns="91440" tIns="21600" rIns="91440" bIns="10800" anchor="t" anchorCtr="0" upright="1">
                          <a:noAutofit/>
                        </wps:bodyPr>
                      </wps:wsp>
                      <wps:wsp>
                        <wps:cNvPr id="3736" name="直线 75"/>
                        <wps:cNvCnPr>
                          <a:cxnSpLocks noChangeShapeType="1"/>
                        </wps:cNvCnPr>
                        <wps:spPr bwMode="auto">
                          <a:xfrm>
                            <a:off x="5904" y="6244"/>
                            <a:ext cx="0" cy="351"/>
                          </a:xfrm>
                          <a:prstGeom prst="line">
                            <a:avLst/>
                          </a:prstGeom>
                          <a:noFill/>
                          <a:ln w="9525">
                            <a:solidFill>
                              <a:srgbClr val="000000"/>
                            </a:solidFill>
                            <a:round/>
                            <a:tailEnd type="triangle" w="sm" len="lg"/>
                          </a:ln>
                        </wps:spPr>
                        <wps:bodyPr/>
                      </wps:wsp>
                      <wps:wsp>
                        <wps:cNvPr id="3737" name="直线 76"/>
                        <wps:cNvCnPr>
                          <a:cxnSpLocks noChangeShapeType="1"/>
                        </wps:cNvCnPr>
                        <wps:spPr bwMode="auto">
                          <a:xfrm>
                            <a:off x="5871" y="7880"/>
                            <a:ext cx="0" cy="283"/>
                          </a:xfrm>
                          <a:prstGeom prst="line">
                            <a:avLst/>
                          </a:prstGeom>
                          <a:noFill/>
                          <a:ln w="9525">
                            <a:solidFill>
                              <a:srgbClr val="000000"/>
                            </a:solidFill>
                            <a:round/>
                            <a:tailEnd type="triangle" w="sm" len="lg"/>
                          </a:ln>
                        </wps:spPr>
                        <wps:bodyPr/>
                      </wps:wsp>
                      <wps:wsp>
                        <wps:cNvPr id="3738" name="直线 77"/>
                        <wps:cNvCnPr>
                          <a:cxnSpLocks noChangeShapeType="1"/>
                        </wps:cNvCnPr>
                        <wps:spPr bwMode="auto">
                          <a:xfrm>
                            <a:off x="5892" y="8667"/>
                            <a:ext cx="0" cy="434"/>
                          </a:xfrm>
                          <a:prstGeom prst="line">
                            <a:avLst/>
                          </a:prstGeom>
                          <a:noFill/>
                          <a:ln w="9525">
                            <a:solidFill>
                              <a:srgbClr val="000000"/>
                            </a:solidFill>
                            <a:round/>
                            <a:tailEnd type="triangle" w="sm" len="lg"/>
                          </a:ln>
                        </wps:spPr>
                        <wps:bodyPr/>
                      </wps:wsp>
                      <wps:wsp>
                        <wps:cNvPr id="3739" name="直线 78"/>
                        <wps:cNvCnPr>
                          <a:cxnSpLocks noChangeShapeType="1"/>
                        </wps:cNvCnPr>
                        <wps:spPr bwMode="auto">
                          <a:xfrm>
                            <a:off x="7301" y="9098"/>
                            <a:ext cx="0" cy="325"/>
                          </a:xfrm>
                          <a:prstGeom prst="line">
                            <a:avLst/>
                          </a:prstGeom>
                          <a:noFill/>
                          <a:ln w="9525">
                            <a:solidFill>
                              <a:srgbClr val="000000"/>
                            </a:solidFill>
                            <a:round/>
                            <a:tailEnd type="triangle" w="sm" len="lg"/>
                          </a:ln>
                        </wps:spPr>
                        <wps:bodyPr/>
                      </wps:wsp>
                      <wps:wsp>
                        <wps:cNvPr id="3740" name="直线 79"/>
                        <wps:cNvCnPr>
                          <a:cxnSpLocks noChangeShapeType="1"/>
                        </wps:cNvCnPr>
                        <wps:spPr bwMode="auto">
                          <a:xfrm>
                            <a:off x="4552" y="10504"/>
                            <a:ext cx="2777" cy="0"/>
                          </a:xfrm>
                          <a:prstGeom prst="line">
                            <a:avLst/>
                          </a:prstGeom>
                          <a:noFill/>
                          <a:ln w="9525">
                            <a:solidFill>
                              <a:srgbClr val="000000"/>
                            </a:solidFill>
                            <a:round/>
                          </a:ln>
                        </wps:spPr>
                        <wps:bodyPr/>
                      </wps:wsp>
                      <wps:wsp>
                        <wps:cNvPr id="3741" name="直线 80"/>
                        <wps:cNvCnPr>
                          <a:cxnSpLocks noChangeShapeType="1"/>
                        </wps:cNvCnPr>
                        <wps:spPr bwMode="auto">
                          <a:xfrm>
                            <a:off x="5904" y="10496"/>
                            <a:ext cx="0" cy="325"/>
                          </a:xfrm>
                          <a:prstGeom prst="line">
                            <a:avLst/>
                          </a:prstGeom>
                          <a:noFill/>
                          <a:ln w="9525">
                            <a:solidFill>
                              <a:srgbClr val="000000"/>
                            </a:solidFill>
                            <a:round/>
                            <a:tailEnd type="triangle" w="sm" len="lg"/>
                          </a:ln>
                        </wps:spPr>
                        <wps:bodyPr/>
                      </wps:wsp>
                      <wps:wsp>
                        <wps:cNvPr id="3742" name="直线 81"/>
                        <wps:cNvCnPr>
                          <a:cxnSpLocks noChangeShapeType="1"/>
                        </wps:cNvCnPr>
                        <wps:spPr bwMode="auto">
                          <a:xfrm>
                            <a:off x="5904" y="11589"/>
                            <a:ext cx="0" cy="433"/>
                          </a:xfrm>
                          <a:prstGeom prst="line">
                            <a:avLst/>
                          </a:prstGeom>
                          <a:noFill/>
                          <a:ln w="9525">
                            <a:solidFill>
                              <a:srgbClr val="000000"/>
                            </a:solidFill>
                            <a:round/>
                            <a:tailEnd type="triangle" w="sm" len="lg"/>
                          </a:ln>
                        </wps:spPr>
                        <wps:bodyPr/>
                      </wps:wsp>
                      <wps:wsp>
                        <wps:cNvPr id="3743" name="直线 82"/>
                        <wps:cNvCnPr>
                          <a:cxnSpLocks noChangeShapeType="1"/>
                        </wps:cNvCnPr>
                        <wps:spPr bwMode="auto">
                          <a:xfrm>
                            <a:off x="5904" y="13237"/>
                            <a:ext cx="0" cy="434"/>
                          </a:xfrm>
                          <a:prstGeom prst="line">
                            <a:avLst/>
                          </a:prstGeom>
                          <a:noFill/>
                          <a:ln w="9525">
                            <a:solidFill>
                              <a:srgbClr val="000000"/>
                            </a:solidFill>
                            <a:round/>
                            <a:tailEnd type="triangle" w="sm" len="lg"/>
                          </a:ln>
                        </wps:spPr>
                        <wps:bodyPr/>
                      </wps:wsp>
                      <wps:wsp>
                        <wps:cNvPr id="3744" name="直线 83"/>
                        <wps:cNvCnPr>
                          <a:cxnSpLocks noChangeShapeType="1"/>
                        </wps:cNvCnPr>
                        <wps:spPr bwMode="auto">
                          <a:xfrm>
                            <a:off x="5904" y="4553"/>
                            <a:ext cx="0" cy="434"/>
                          </a:xfrm>
                          <a:prstGeom prst="line">
                            <a:avLst/>
                          </a:prstGeom>
                          <a:noFill/>
                          <a:ln w="9525">
                            <a:solidFill>
                              <a:srgbClr val="000000"/>
                            </a:solidFill>
                            <a:round/>
                            <a:tailEnd type="triangle" w="sm" len="lg"/>
                          </a:ln>
                        </wps:spPr>
                        <wps:bodyPr/>
                      </wps:wsp>
                    </wpg:wgp>
                  </a:graphicData>
                </a:graphic>
              </wp:inline>
            </w:drawing>
          </mc:Choice>
          <mc:Fallback>
            <w:pict>
              <v:group id="组合 52" o:spid="_x0000_s1026" o:spt="203" style="height:527.65pt;width:415.1pt;" coordorigin="1800,3770" coordsize="8302,10553" o:gfxdata="UEsDBAoAAAAAAIdO4kAAAAAAAAAAAAAAAAAEAAAAZHJzL1BLAwQUAAAACACHTuJAdQ1XUNYAAAAG&#10;AQAADwAAAGRycy9kb3ducmV2LnhtbE2PwWrDMBBE74X+g9hAb43kGJfgWg4htD2FQpNC6W1jbWwT&#10;a2UsxU7+vmovzWVgmWHmbbG62E6MNPjWsYZkrkAQV860XGv43L8+LkH4gGywc0waruRhVd7fFZgb&#10;N/EHjbtQi1jCPkcNTQh9LqWvGrLo564njt7RDRZDPIdamgGnWG47uVDqSVpsOS402NOmoeq0O1sN&#10;bxNO6zR5Gben4+b6vc/ev7YJaf0wS9QziECX8B+GX/yIDmVkOrgzGy86DfGR8KfRW6ZqAeIQQyrL&#10;UpBlIW/xyx9QSwMEFAAAAAgAh07iQJDYqGfmBgAArEMAAA4AAABkcnMvZTJvRG9jLnhtbO1czW7b&#10;RhC+F+g7ELw34vKfQuQgsJOgQNoaSPoAa4qSiJJcdklbcs899Nh7DwV6672nFkWfJshrdHZ2KZIb&#10;K4gTi5YV5uCI/+R8szPffLPk4yebPDOuEl6lrJiZ5JFlGkkRs3laLGfm96+ffxWaRlXTYk4zViQz&#10;8zqpzCcnX37xeF1OE5utWDZPuAEnKarpupyZq7oup5NJFa+SnFaPWJkUsHHBeE5rWOTLyZzTNZw9&#10;zya2ZfmTNePzkrM4qSpYeyY3mid4/sUiievvFosqqY1sZsK91fiX498L8Xdy8phOl5yWqzRWt0E/&#10;4i5ymhZw0e2pzmhNjUuevnOqPI05q9iifhSzfMIWizRO8BngaYilPc0Lzi5LfJbldL0st2YC02p2&#10;+ujTxt9enXMjnc9MJyCOaRQ0B5Te/vPzm19/MTxb2GddLqew2wtevirPuVqxlEvikTcLnov/4WGM&#10;DVr2emvZZFMbMaz07IAEAQAQwzY/sAjxPGn7eAUAieNIaMF22OyIHRGXePVMHR86li0PJpbnOWLz&#10;pLnyRNzg9n7WJThS1dqq+jRbvVrRMkEIKmGE1lbu1la//fX27/8MeVPi6rDbaXHOhUniTfGqfMni&#10;HyqjYKcrWiwTPOHr6xKsTPAxeoeIhQqsbFysv2Fz2Ide1gwdS7PyDdZqbK2s/K6h6LTkVf0iYbkh&#10;fszMLC3Es9EpvXpZ1dKmzS5idcGep1mGUGSFsZ6ZkWd7eEDFsnQuNordKr68OM24cUXFIMN/CqDe&#10;buLMZ7Rayf3m8OuM1RJo8PNiLq+fFQBtYwbhfNX0gs2v0fFwPYArVw+Bsqej7Iob7kE2CMrEdWz0&#10;ejptYIYhQeSQwNGyHQ4jyiIl3BROd45lX0cZY9PwKEPk8+WAGEHukIBbJbedIAc6yGjq4UCG9A7j&#10;FfNbpPJbg7IaxxCxnX5qG8fyrccy8E3FYVReDu4nYochwfzeC9iKwxx4wD7wnBzpCIf3gzAhgasN&#10;5AeTkw8bYhsorBrEv//55t8/DC/qQCyqEKSdGrN+yjlbrxI6B8rfo9byABHpP4xaRz4QAgjUnqtz&#10;Ls+C8CJKGBI5mD52sy4OpecHc+se2YZz3kCC683FRlFPyYcNzmQ1C9U3/Fgx/pNprKGSnZnVj5eU&#10;J6aRfV2ALSLigp8atVwQ9Nw0eHfLBS64XiDsTosYTjUz6+bnaS3L5cuSp8sVXIngYxXsKZQmixTL&#10;BmFbeVeKvA9J0m1Inz1v8XFUqsw+mLdEto/lchvwO94iA8XoLQfgLZCD+96CsWJobyH2VgFpWGDH&#10;XRwkLaO7HIC7tJqYTEVykA/kLo4HJFKkIteKNDbp+jZIUCIXuZ7Mdo0e9k7RcKtU9MkyT57WoOhm&#10;aT4zQdET2WansHNHOU1lrqPKaa28qNwOC8Ph3A7cXrhW5CO5bnMauB2QI6RAthQr7ihKjX53EFyq&#10;FTyV33UFz31zKQh3cH3wO9+38Lo9v1Phjox+J5n6UcW7VoJVfteVYPftd24QgKgAfhfaFjKv1u9s&#10;werHNCvqyGNMs7ooDJX/kP0d1xMkDhwvskKtvQOluMiyDjTcJH9qGoBNg+5eenhNo45Oa5pmz4q5&#10;UWMrs+YpNDcz0BygS1jlID0kMB0gW+7mfvfX1LN1idgfViJ+D+h2EIBHCtwb1nxQqN+sTN0jkroU&#10;LNmqYsn7b8K7ngO+BGgRy7ZQomwThxq/doSi0G6SPGwPvhm/h4akA+bqqzJDKr6O78v8H7m2lv9J&#10;YKl6J5DOtRvJYy+zbeLvkI6JhXN3Hp507LTSsewWyplHgwWQwHFloQ0BRG8XjgHkNnM4HF3WDYaU&#10;dbc6HYwEZ2flGni46fONIEdYQcCEjX7iCtScSZwHuO/CtfU7mAu70++IDY299xYRx566jtHxdIU4&#10;GFIhdn0Qf5H5On6kScQ20OJRMun21I9JqXN0hTjAuDNQZ8J3obmPgomY0wAxrS24ukwdi4fPN88e&#10;I1NvBWLF1LsC8f5LfS+C/CocD9quWqJVRB1y8fuT7P1U+g9ZqYNpEA25UqAPK896IVQRAvQgDLVo&#10;01RnUrbdHWpG0G87g1dIakoKUqAPK896IUh2AvTQl8Jwm2IU6K4s8UbQ8RW9O5md7+hKbjDspN4A&#10;X6YB0CNLp7NNeB8bMXf9SoaYldof6V3Rd/853fXgBUcx0uHFC716Hjsxt3qFytWFVJkvBxNSt/SM&#10;WDBnqV8YjAO43NNLsG4ruspUHXZF1/0P4BZ1Aln7RtTdw3qjqum/PWRWLloWvbAddiXPIVGHd2K1&#10;dt3I0PY21lu9UY31rt44IOqQtW+eKvM50XL85gF8EgI/g6A+XyG+OdFdxldx2o9snPw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VQkAAFtDb250&#10;ZW50X1R5cGVzXS54bWxQSwECFAAKAAAAAACHTuJAAAAAAAAAAAAAAAAABgAAAAAAAAAAABAAAAA3&#10;CAAAX3JlbHMvUEsBAhQAFAAAAAgAh07iQIoUZjzRAAAAlAEAAAsAAAAAAAAAAQAgAAAAWwgAAF9y&#10;ZWxzLy5yZWxzUEsBAhQACgAAAAAAh07iQAAAAAAAAAAAAAAAAAQAAAAAAAAAAAAQAAAAAAAAAGRy&#10;cy9QSwECFAAUAAAACACHTuJAdQ1XUNYAAAAGAQAADwAAAAAAAAABACAAAAAiAAAAZHJzL2Rvd25y&#10;ZXYueG1sUEsBAhQAFAAAAAgAh07iQJDYqGfmBgAArEMAAA4AAAAAAAAAAQAgAAAAJQEAAGRycy9l&#10;Mm9Eb2MueG1sUEsFBgAAAAAGAAYAWQEAAH0KAAAAAA==&#10;">
                <o:lock v:ext="edit" aspectratio="f"/>
                <v:line id="直线 53" o:spid="_x0000_s1026" o:spt="20" style="position:absolute;left:1800;top:3770;height:10553;width:0;" filled="f" stroked="t" coordsize="21600,21600" o:gfxdata="UEsDBAoAAAAAAIdO4kAAAAAAAAAAAAAAAAAEAAAAZHJzL1BLAwQUAAAACACHTuJAySuiAr8AAADd&#10;AAAADwAAAGRycy9kb3ducmV2LnhtbEWPT2vCQBTE74LfYXlCL2I2qa0N0VWoWurVKPT6mn1NFrNv&#10;0+z679t3C4Ueh5n5DbNY3WwrLtR741hBlqQgiCunDdcKjoe3SQ7CB2SNrWNScCcPq+VwsMBCuyvv&#10;6VKGWkQI+wIVNCF0hZS+asiiT1xHHL0v11sMUfa11D1eI9y28jFNZ9Ki4bjQYEfrhqpTebYK8s3e&#10;3I/meVuNP78/3o1Z8+uhVOphlKVzEIFu4T/8195pBdOX7Al+38QnIJ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rogK/&#10;AAAA3QAAAA8AAAAAAAAAAQAgAAAAIgAAAGRycy9kb3ducmV2LnhtbFBLAQIUABQAAAAIAIdO4kAz&#10;LwWeOwAAADkAAAAQAAAAAAAAAAEAIAAAAA4BAABkcnMvc2hhcGV4bWwueG1sUEsFBgAAAAAGAAYA&#10;WwEAALgDAAAAAA==&#10;">
                  <v:fill on="f" focussize="0,0"/>
                  <v:stroke color="#000000" joinstyle="round" dashstyle="dashDot"/>
                  <v:imagedata o:title=""/>
                  <o:lock v:ext="edit" aspectratio="f"/>
                </v:line>
                <v:line id="直线 54" o:spid="_x0000_s1026" o:spt="20" style="position:absolute;left:1800;top:14323;height:0;width:8301;" filled="f" stroked="t" coordsize="21600,21600" o:gfxdata="UEsDBAoAAAAAAIdO4kAAAAAAAAAAAAAAAAAEAAAAZHJzL1BLAwQUAAAACACHTuJApmcHmb4AAADd&#10;AAAADwAAAGRycy9kb3ducmV2LnhtbEWPW2sCMRSE3wv9D+EUfCk1u4oXtkbBG/rqKvT1dHO6G7o5&#10;WTfx9u+NIPg4zMw3zGR2tbU4U+uNYwVpNwFBXDhtuFRw2K+/xiB8QNZYOyYFN/Iwm76/TTDT7sI7&#10;OuehFBHCPkMFVQhNJqUvKrLou64hjt6fay2GKNtS6hYvEW5r2UuSobRoOC5U2NCiouI/P1kF4+XO&#10;3A5msCo+f48/G2MWPN/nSnU+0uQbRKBreIWf7a1W0B+lA3i8iU9AT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mcHmb4A&#10;AADdAAAADwAAAAAAAAABACAAAAAiAAAAZHJzL2Rvd25yZXYueG1sUEsBAhQAFAAAAAgAh07iQDMv&#10;BZ47AAAAOQAAABAAAAAAAAAAAQAgAAAADQEAAGRycy9zaGFwZXhtbC54bWxQSwUGAAAAAAYABgBb&#10;AQAAtwMAAAAA&#10;">
                  <v:fill on="f" focussize="0,0"/>
                  <v:stroke color="#000000" joinstyle="round" dashstyle="dashDot"/>
                  <v:imagedata o:title=""/>
                  <o:lock v:ext="edit" aspectratio="f"/>
                </v:line>
                <v:line id="直线 55" o:spid="_x0000_s1026" o:spt="20" style="position:absolute;left:1800;top:3776;height:0;width:8301;" filled="f" stroked="t" coordsize="21600,21600" o:gfxdata="UEsDBAoAAAAAAIdO4kAAAAAAAAAAAAAAAAAEAAAAZHJzL1BLAwQUAAAACACHTuJAVrWZ7r4AAADd&#10;AAAADwAAAGRycy9kb3ducmV2LnhtbEWPW2sCMRSE3wv9D+EUfCk1u4oXtkbBG/rqKvT1dHO6G7o5&#10;WTfx9u+NIPg4zMw3zGR2tbU4U+uNYwVpNwFBXDhtuFRw2K+/xiB8QNZYOyYFN/Iwm76/TTDT7sI7&#10;OuehFBHCPkMFVQhNJqUvKrLou64hjt6fay2GKNtS6hYvEW5r2UuSobRoOC5U2NCiouI/P1kF4+XO&#10;3A5msCo+f48/G2MWPN/nSnU+0uQbRKBreIWf7a1W0B+lQ3i8iU9AT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WZ7r4A&#10;AADdAAAADwAAAAAAAAABACAAAAAiAAAAZHJzL2Rvd25yZXYueG1sUEsBAhQAFAAAAAgAh07iQDMv&#10;BZ47AAAAOQAAABAAAAAAAAAAAQAgAAAADQEAAGRycy9zaGFwZXhtbC54bWxQSwUGAAAAAAYABgBb&#10;AQAAtwMAAAAA&#10;">
                  <v:fill on="f" focussize="0,0"/>
                  <v:stroke color="#000000" joinstyle="round" dashstyle="dashDot"/>
                  <v:imagedata o:title=""/>
                  <o:lock v:ext="edit" aspectratio="f"/>
                </v:line>
                <v:line id="直线 56" o:spid="_x0000_s1026" o:spt="20" style="position:absolute;left:10101;top:3790;height:10533;width:1;" filled="f" stroked="t" coordsize="21600,21600" o:gfxdata="UEsDBAoAAAAAAIdO4kAAAAAAAAAAAAAAAAAEAAAAZHJzL1BLAwQUAAAACACHTuJAOfk8dcAAAADd&#10;AAAADwAAAGRycy9kb3ducmV2LnhtbEWPT2vCQBTE7wW/w/IKXopuYqlKmo2gttSridDra/Y1WZp9&#10;G7Nb/3z7rlDwOMzMb5h8dbGdONHgjWMF6TQBQVw7bbhRcKjeJ0sQPiBr7ByTgit5WBWjhxwz7c68&#10;p1MZGhEh7DNU0IbQZ1L6uiWLfup64uh9u8FiiHJopB7wHOG2k7MkmUuLhuNCiz1tWqp/yl+rYLnd&#10;m+vBvLzVT1/Hzw9jNryuSqXGj2nyCiLQJdzD/+2dVvC8SBdwexOfgC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Tx1&#10;wAAAAN0AAAAPAAAAAAAAAAEAIAAAACIAAABkcnMvZG93bnJldi54bWxQSwECFAAUAAAACACHTuJA&#10;My8FnjsAAAA5AAAAEAAAAAAAAAABACAAAAAPAQAAZHJzL3NoYXBleG1sLnhtbFBLBQYAAAAABgAG&#10;AFsBAAC5AwAAAAA=&#10;">
                  <v:fill on="f" focussize="0,0"/>
                  <v:stroke color="#000000" joinstyle="round" dashstyle="dashDot"/>
                  <v:imagedata o:title=""/>
                  <o:lock v:ext="edit" aspectratio="f"/>
                </v:line>
                <v:line id="直线 57" o:spid="_x0000_s1026" o:spt="20" style="position:absolute;left:1800;top:8811;height:0;width:8302;" filled="f" stroked="t" coordsize="21600,21600" o:gfxdata="UEsDBAoAAAAAAIdO4kAAAAAAAAAAAAAAAAAEAAAAZHJzL1BLAwQUAAAACACHTuJAxEmne70AAADd&#10;AAAADwAAAGRycy9kb3ducmV2LnhtbEVP3WrCMBS+H+wdwhnsRmxax5xUoxcDhyAI1j3AsTk2dc1J&#10;aWKre3pzIXj58f0vVlfbiJ46XztWkCUpCOLS6ZorBb+H9XgGwgdkjY1jUnAjD6vl68sCc+0G3lNf&#10;hErEEPY5KjAhtLmUvjRk0SeuJY7cyXUWQ4RdJXWHQwy3jZyk6VRarDk2GGzp21D5V1ysgr0uhqEw&#10;5X+//RyF3fn4M9pmE6Xe37J0DiLQNTzFD/dGK/j4yuLc+CY+Abm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Sad7vQAA&#10;AN0AAAAPAAAAAAAAAAEAIAAAACIAAABkcnMvZG93bnJldi54bWxQSwECFAAUAAAACACHTuJAMy8F&#10;njsAAAA5AAAAEAAAAAAAAAABACAAAAAMAQAAZHJzL3NoYXBleG1sLnhtbFBLBQYAAAAABgAGAFsB&#10;AAC2AwAAAAA=&#10;">
                  <v:fill on="f" focussize="0,0"/>
                  <v:stroke color="#000000" joinstyle="round" dashstyle="dash"/>
                  <v:imagedata o:title=""/>
                  <o:lock v:ext="edit" aspectratio="f"/>
                </v:line>
                <v:line id="直线 58" o:spid="_x0000_s1026" o:spt="20" style="position:absolute;left:1800;top:11740;height:0;width:8301;" filled="f" stroked="t" coordsize="21600,21600" o:gfxdata="UEsDBAoAAAAAAIdO4kAAAAAAAAAAAAAAAAAEAAAAZHJzL1BLAwQUAAAACACHTuJAqwUC4MAAAADd&#10;AAAADwAAAGRycy9kb3ducmV2LnhtbEWP3WrCQBSE7wXfYTkFb6Ruotif1NULQREEwbQPcJo9zabN&#10;ng3ZNVGf3hWEXg4z8w2zWJ1tLTpqfeVYQTpJQBAXTldcKvj63Dy/gfABWWPtmBRcyMNqORwsMNOu&#10;5yN1eShFhLDPUIEJocmk9IUhi37iGuLo/bjWYoiyLaVusY9wW8tpkrxIixXHBYMNrQ0Vf/nJKjjq&#10;vO9zU1y7/XwcDr/f2/E+nSo1ekqTDxCBzuE//GjvtILZa/oO9zfxCcjl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BQLg&#10;wAAAAN0AAAAPAAAAAAAAAAEAIAAAACIAAABkcnMvZG93bnJldi54bWxQSwECFAAUAAAACACHTuJA&#10;My8FnjsAAAA5AAAAEAAAAAAAAAABACAAAAAPAQAAZHJzL3NoYXBleG1sLnhtbFBLBQYAAAAABgAG&#10;AFsBAAC5AwAAAAA=&#10;">
                  <v:fill on="f" focussize="0,0"/>
                  <v:stroke color="#000000" joinstyle="round" dashstyle="dash"/>
                  <v:imagedata o:title=""/>
                  <o:lock v:ext="edit" aspectratio="f"/>
                </v:line>
                <v:rect id="矩形 59" o:spid="_x0000_s1026" o:spt="1" style="position:absolute;left:1966;top:5423;height:1936;width:508;" filled="f" stroked="f" coordsize="21600,21600" o:gfxdata="UEsDBAoAAAAAAIdO4kAAAAAAAAAAAAAAAAAEAAAAZHJzL1BLAwQUAAAACACHTuJAEtowbLwAAADd&#10;AAAADwAAAGRycy9kb3ducmV2LnhtbEVPyW7CMBC9V+IfrEHqrdihUgsBB1VtERUndq6jeEgi4nEa&#10;uwT+Hh8qcXx6+3R2tbW4UOsrxxqSgQJBnDtTcaFht52/jED4gGywdkwabuRhlvWeppga1/GaLptQ&#10;iBjCPkUNZQhNKqXPS7LoB64hjtzJtRZDhG0hTYtdDLe1HCr1Ji1WHBtKbOizpPy8+bMa6uOy+Fh0&#10;+/NtdVjPv37V4pvGrPVzP1ETEIGu4SH+d/8YDa/vw7g/volPQG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aMGy8AAAA&#10;3QAAAA8AAAAAAAAAAQAgAAAAIgAAAGRycy9kb3ducmV2LnhtbFBLAQIUABQAAAAIAIdO4kAzLwWe&#10;OwAAADkAAAAQAAAAAAAAAAEAIAAAAAsBAABkcnMvc2hhcGV4bWwueG1sUEsFBgAAAAAGAAYAWwEA&#10;ALUDAAAAAA==&#10;">
                  <v:fill on="f" focussize="0,0"/>
                  <v:stroke on="f"/>
                  <v:imagedata o:title=""/>
                  <o:lock v:ext="edit" aspectratio="f"/>
                  <v:textbox inset="2.54mm,2.5mm,2.54mm,1.27mm">
                    <w:txbxContent>
                      <w:p>
                        <w:r>
                          <w:rPr>
                            <w:rFonts w:hint="eastAsia"/>
                          </w:rPr>
                          <w:t>第一阶段</w:t>
                        </w:r>
                      </w:p>
                    </w:txbxContent>
                  </v:textbox>
                </v:rect>
                <v:rect id="矩形 60" o:spid="_x0000_s1026" o:spt="1" style="position:absolute;left:1966;top:9262;height:1940;width:508;" filled="f" stroked="f" coordsize="21600,21600" o:gfxdata="UEsDBAoAAAAAAIdO4kAAAAAAAAAAAAAAAAAEAAAAZHJzL1BLAwQUAAAACACHTuJAfZaV978AAADd&#10;AAAADwAAAGRycy9kb3ducmV2LnhtbEWPQWsCMRSE74L/ITzBmyarYO1qFGkrFk9V23p9bJ67i5uX&#10;7Sa6+u8bodDjMDPfMPPlzVbiSo0vHWtIhgoEceZMybmGz8N6MAXhA7LByjFpuJOH5aLbmWNqXMs7&#10;uu5DLiKEfYoaihDqVEqfFWTRD11NHL2TayyGKJtcmgbbCLeVHCk1kRZLjgsF1vRSUHbeX6yG6rjN&#10;V5v263z/+N6tX3/U5o2eWet+L1EzEIFu4T/81343GsZPowQeb+ITkI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2Wlfe/&#10;AAAA3QAAAA8AAAAAAAAAAQAgAAAAIgAAAGRycy9kb3ducmV2LnhtbFBLAQIUABQAAAAIAIdO4kAz&#10;LwWeOwAAADkAAAAQAAAAAAAAAAEAIAAAAA4BAABkcnMvc2hhcGV4bWwueG1sUEsFBgAAAAAGAAYA&#10;WwEAALgDAAAAAA==&#10;">
                  <v:fill on="f" focussize="0,0"/>
                  <v:stroke on="f"/>
                  <v:imagedata o:title=""/>
                  <o:lock v:ext="edit" aspectratio="f"/>
                  <v:textbox inset="2.54mm,2.5mm,2.54mm,1.27mm">
                    <w:txbxContent>
                      <w:p>
                        <w:r>
                          <w:rPr>
                            <w:rFonts w:hint="eastAsia"/>
                          </w:rPr>
                          <w:t>第二阶段</w:t>
                        </w:r>
                      </w:p>
                    </w:txbxContent>
                  </v:textbox>
                </v:rect>
                <v:rect id="矩形 61" o:spid="_x0000_s1026" o:spt="1" style="position:absolute;left:1966;top:12155;height:1937;width:508;" filled="f" stroked="f" coordsize="21600,21600" o:gfxdata="UEsDBAoAAAAAAIdO4kAAAAAAAAAAAAAAAAAEAAAAZHJzL1BLAwQUAAAACACHTuJAjUQLgL8AAADd&#10;AAAADwAAAGRycy9kb3ducmV2LnhtbEWPQWsCMRSE74L/ITzBmyauYO1qFGkrFk9V23p9bJ67i5uX&#10;7Sa6+u8bodDjMDPfMPPlzVbiSo0vHWsYDRUI4syZknMNn4f1YArCB2SDlWPScCcPy0W3M8fUuJZ3&#10;dN2HXEQI+xQ1FCHUqZQ+K8iiH7qaOHon11gMUTa5NA22EW4rmSg1kRZLjgsF1vRSUHbeX6yG6rjN&#10;V5v263z/+N6tX3/U5o2eWet+b6RmIALdwn/4r/1uNIyfkgQeb+ITkI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1EC4C/&#10;AAAA3QAAAA8AAAAAAAAAAQAgAAAAIgAAAGRycy9kb3ducmV2LnhtbFBLAQIUABQAAAAIAIdO4kAz&#10;LwWeOwAAADkAAAAQAAAAAAAAAAEAIAAAAA4BAABkcnMvc2hhcGV4bWwueG1sUEsFBgAAAAAGAAYA&#10;WwEAALgDAAAAAA==&#10;">
                  <v:fill on="f" focussize="0,0"/>
                  <v:stroke on="f"/>
                  <v:imagedata o:title=""/>
                  <o:lock v:ext="edit" aspectratio="f"/>
                  <v:textbox inset="2.54mm,2.5mm,2.54mm,1.27mm">
                    <w:txbxContent>
                      <w:p>
                        <w:r>
                          <w:rPr>
                            <w:rFonts w:hint="eastAsia"/>
                          </w:rPr>
                          <w:t>第三阶段</w:t>
                        </w:r>
                      </w:p>
                    </w:txbxContent>
                  </v:textbox>
                </v:rect>
                <v:rect id="矩形 62" o:spid="_x0000_s1026" o:spt="1" style="position:absolute;left:3511;top:4091;height:451;width:4624;" filled="f" stroked="t" coordsize="21600,21600" o:gfxdata="UEsDBAoAAAAAAIdO4kAAAAAAAAAAAAAAAAAEAAAAZHJzL1BLAwQUAAAACACHTuJAbbFyyr8AAADd&#10;AAAADwAAAGRycy9kb3ducmV2LnhtbEWPQWsCMRSE74X+h/AK3rpZlbaymhUrCp6E2kL19ti8Jstu&#10;XpZNdPXfN4WCx2FmvmEWy6trxYX6UHtWMM5yEMSV1zUbBV+f2+cZiBCRNbaeScGNAizLx4cFFtoP&#10;/EGXQzQiQTgUqMDG2BVShsqSw5D5jjh5P753GJPsjdQ9DgnuWjnJ81fpsOa0YLGjtaWqOZydgk13&#10;2q9eTJCr72iPjX8ftnZvlBo9jfM5iEjXeA//t3dawfRtMoW/N+kJy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2xcsq/&#10;AAAA3QAAAA8AAAAAAAAAAQAgAAAAIgAAAGRycy9kb3ducmV2LnhtbFBLAQIUABQAAAAIAIdO4kAz&#10;LwWeOwAAADkAAAAQAAAAAAAAAAEAIAAAAA4BAABkcnMvc2hhcGV4bWwueG1sUEsFBgAAAAAGAAYA&#10;WwEAALgDAAAAAA==&#10;">
                  <v:fill on="f" focussize="0,0"/>
                  <v:stroke color="#000000" miterlimit="8" joinstyle="miter"/>
                  <v:imagedata o:title=""/>
                  <o:lock v:ext="edit" aspectratio="f"/>
                  <v:textbox>
                    <w:txbxContent>
                      <w:p>
                        <w:pPr>
                          <w:adjustRightInd w:val="0"/>
                          <w:snapToGrid w:val="0"/>
                        </w:pPr>
                        <w:r>
                          <w:rPr>
                            <w:rFonts w:hint="eastAsia"/>
                          </w:rPr>
                          <w:t>依据相关规定确定环境影响评价文件类型</w:t>
                        </w:r>
                      </w:p>
                    </w:txbxContent>
                  </v:textbox>
                </v:rect>
                <v:rect id="矩形 63" o:spid="_x0000_s1026" o:spt="1" style="position:absolute;left:3513;top:4968;height:1276;width:4626;" filled="f" stroked="t" coordsize="21600,21600" o:gfxdata="UEsDBAoAAAAAAIdO4kAAAAAAAAAAAAAAAAAEAAAAZHJzL1BLAwQUAAAACACHTuJA4ljqvr8AAADd&#10;AAAADwAAAGRycy9kb3ducmV2LnhtbEWPT2sCMRTE7wW/Q3iCt5pVWy2rUVQUPAn+gba3x+aZLG5e&#10;lk107bc3hUKPw8z8hpktHq4Sd2pC6VnBoJ+BIC68LtkoOJ+2rx8gQkTWWHkmBT8UYDHvvMww177l&#10;A92P0YgE4ZCjAhtjnUsZCksOQ9/XxMm7+MZhTLIxUjfYJrir5DDLxtJhyWnBYk1rS8X1eHMKNvX3&#10;fvluglx+Rvt19at2a/dGqV53kE1BRHrE//Bfe6cVjCbDN/h9k56AnD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JY6r6/&#10;AAAA3QAAAA8AAAAAAAAAAQAgAAAAIgAAAGRycy9kb3ducmV2LnhtbFBLAQIUABQAAAAIAIdO4kAz&#10;LwWeOwAAADkAAAAQAAAAAAAAAAEAIAAAAA4BAABkcnMvc2hhcGV4bWwueG1sUEsFBgAAAAAGAAYA&#10;WwEAALgDAAAAAA==&#10;">
                  <v:fill on="f" focussize="0,0"/>
                  <v:stroke color="#000000" miterlimit="8" joinstyle="miter"/>
                  <v:imagedata o:title=""/>
                  <o:lock v:ext="edit" aspectratio="f"/>
                  <v:textbox>
                    <w:txbxContent>
                      <w:p>
                        <w:pPr>
                          <w:snapToGrid w:val="0"/>
                          <w:spacing w:line="360" w:lineRule="auto"/>
                        </w:pPr>
                        <w:r>
                          <w:t>1</w:t>
                        </w:r>
                        <w:r>
                          <w:rPr>
                            <w:rFonts w:hint="eastAsia"/>
                          </w:rPr>
                          <w:t>研究相关技术文件和其他有关文件</w:t>
                        </w:r>
                      </w:p>
                      <w:p>
                        <w:pPr>
                          <w:snapToGrid w:val="0"/>
                          <w:spacing w:line="360" w:lineRule="auto"/>
                        </w:pPr>
                        <w:r>
                          <w:t>2</w:t>
                        </w:r>
                        <w:r>
                          <w:rPr>
                            <w:rFonts w:hint="eastAsia"/>
                          </w:rPr>
                          <w:t>进行初步工程分析</w:t>
                        </w:r>
                      </w:p>
                      <w:p>
                        <w:pPr>
                          <w:snapToGrid w:val="0"/>
                          <w:spacing w:line="360" w:lineRule="auto"/>
                        </w:pPr>
                        <w:r>
                          <w:t>3</w:t>
                        </w:r>
                        <w:r>
                          <w:rPr>
                            <w:rFonts w:hint="eastAsia"/>
                          </w:rPr>
                          <w:t>开展初步的环境现状调查</w:t>
                        </w:r>
                      </w:p>
                    </w:txbxContent>
                  </v:textbox>
                </v:rect>
                <v:rect id="矩形 64" o:spid="_x0000_s1026" o:spt="1" style="position:absolute;left:3515;top:6604;height:1276;width:4624;" filled="f" stroked="t" coordsize="21600,21600" o:gfxdata="UEsDBAoAAAAAAIdO4kAAAAAAAAAAAAAAAAAEAAAAZHJzL1BLAwQUAAAACACHTuJAjRRPJb4AAADd&#10;AAAADwAAAGRycy9kb3ducmV2LnhtbEWPQWsCMRSE70L/Q3iF3tysilZWo1hR6EnQFqq3x+Y1Wdy8&#10;LJvo2n/fCILHYWa+YebLm6vFldpQeVYwyHIQxKXXFRsF31/b/hREiMgaa8+k4I8CLBcvvTkW2ne8&#10;p+shGpEgHApUYGNsCilDaclhyHxDnLxf3zqMSbZG6ha7BHe1HOb5RDqsOC1YbGhtqTwfLk7Bpjnt&#10;VmMT5Oon2uPZf3RbuzNKvb0O8hmISLf4DD/an1rB6H04hvub9AT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RRPJb4A&#10;AADd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snapToGrid w:val="0"/>
                          <w:spacing w:line="360" w:lineRule="auto"/>
                        </w:pPr>
                        <w:r>
                          <w:t>1</w:t>
                        </w:r>
                        <w:r>
                          <w:rPr>
                            <w:rFonts w:hint="eastAsia"/>
                          </w:rPr>
                          <w:t>环境影响识别和评价因子筛选</w:t>
                        </w:r>
                      </w:p>
                      <w:p>
                        <w:pPr>
                          <w:snapToGrid w:val="0"/>
                          <w:spacing w:line="360" w:lineRule="auto"/>
                        </w:pPr>
                        <w:r>
                          <w:t>2</w:t>
                        </w:r>
                        <w:r>
                          <w:rPr>
                            <w:rFonts w:hint="eastAsia"/>
                          </w:rPr>
                          <w:t>明确评价重点和环境保护目标</w:t>
                        </w:r>
                      </w:p>
                      <w:p>
                        <w:pPr>
                          <w:snapToGrid w:val="0"/>
                          <w:spacing w:line="360" w:lineRule="auto"/>
                        </w:pPr>
                        <w:r>
                          <w:t>3</w:t>
                        </w:r>
                        <w:r>
                          <w:rPr>
                            <w:rFonts w:hint="eastAsia"/>
                          </w:rPr>
                          <w:t>确定工作等级、评价范围和评价标准</w:t>
                        </w:r>
                      </w:p>
                    </w:txbxContent>
                  </v:textbox>
                </v:rect>
                <v:rect id="矩形 65" o:spid="_x0000_s1026" o:spt="1" style="position:absolute;left:4779;top:8207;height:451;width:2262;" filled="f" stroked="t" coordsize="21600,21600" o:gfxdata="UEsDBAoAAAAAAIdO4kAAAAAAAAAAAAAAAAAEAAAAZHJzL1BLAwQUAAAACACHTuJAfcbRUr4AAADd&#10;AAAADwAAAGRycy9kb3ducmV2LnhtbEWPQWsCMRSE7wX/Q3hCb92sSrVsjaKi0JOgFtreHptnsrh5&#10;WTbRtf/eCILHYWa+Yabzq6vFhdpQeVYwyHIQxKXXFRsF34fN2weIEJE11p5JwT8FmM96L1MstO94&#10;R5d9NCJBOBSowMbYFFKG0pLDkPmGOHlH3zqMSbZG6ha7BHe1HOb5WDqsOC1YbGhlqTztz07Buvnb&#10;Lt5NkIufaH9Pftlt7NYo9dof5J8gIl3jM/xof2kFo8lwDPc36Qn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cbRUr4A&#10;AADd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adjustRightInd w:val="0"/>
                          <w:snapToGrid w:val="0"/>
                          <w:jc w:val="center"/>
                        </w:pPr>
                        <w:r>
                          <w:rPr>
                            <w:rFonts w:hint="eastAsia"/>
                          </w:rPr>
                          <w:t>制定工作方案</w:t>
                        </w:r>
                      </w:p>
                    </w:txbxContent>
                  </v:textbox>
                </v:rect>
                <v:line id="直线 66" o:spid="_x0000_s1026" o:spt="20" style="position:absolute;left:4524;top:9083;height:325;width:0;" filled="f" stroked="t" coordsize="21600,21600" o:gfxdata="UEsDBAoAAAAAAIdO4kAAAAAAAAAAAAAAAAAEAAAAZHJzL1BLAwQUAAAACACHTuJADE5SZsAAAADd&#10;AAAADwAAAGRycy9kb3ducmV2LnhtbEWPS4sCMRCE78L+h9AL3jRxFF1mjbIsiqsHwcfBYzNpZwYn&#10;nWESH+uvN4Lgsaiqr6jx9GYrcaHGl4419LoKBHHmTMm5hv1u3vkC4QOywcoxafgnD9PJR2uMqXFX&#10;3tBlG3IRIexT1FCEUKdS+qwgi77rauLoHV1jMUTZ5NI0eI1wW8lEqaG0WHJcKLCm34Ky0/ZsNSwP&#10;y9NdDWe+HiQ/+2PiDuvVYqB1+7OnvkEEuoV3+NX+Mxr6o2QEzzfxCcjJ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TlJm&#10;wAAAAN0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line id="直线 67" o:spid="_x0000_s1026" o:spt="20" style="position:absolute;left:4524;top:9083;height:0;width:2777;" filled="f" stroked="t" coordsize="21600,21600" o:gfxdata="UEsDBAoAAAAAAIdO4kAAAAAAAAAAAAAAAAAEAAAAZHJzL1BLAwQUAAAACACHTuJAy/9gjr0AAADd&#10;AAAADwAAAGRycy9kb3ducmV2LnhtbEVPPW/CMBDdK/EfrKvEghqbRCpVimEAInXo0kDV9RRfk6jx&#10;OcQmpP319YDE+PS+19vJdmKkwbeONSwTBYK4cqblWsPpWDy9gPAB2WDnmDT8koftZvawxty4K3/Q&#10;WIZaxBD2OWpoQuhzKX3VkEWfuJ44ct9usBgiHGppBrzGcNvJVKlnabHl2NBgT7uGqp/yYjX44pPO&#10;xd+iWqivrHaUnvfvB9R6/rhUryACTeEuvrnfjIZslca58U18AnLz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2CO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8" o:spid="_x0000_s1026" o:spt="20" style="position:absolute;left:4538;top:10209;height:292;width:0;" filled="f" stroked="t" coordsize="21600,21600" o:gfxdata="UEsDBAoAAAAAAIdO4kAAAAAAAAAAAAAAAAAEAAAAZHJzL1BLAwQUAAAACACHTuJApLPFFb8AAADd&#10;AAAADwAAAGRycy9kb3ducmV2LnhtbEWPT2sCMRTE74LfITzBi2jiCmq3Rg/WhR568R+9Pjavu4ub&#10;l3WTqvXTm4LgcZiZ3zCL1c3W4kKtrxxrGI8UCOLcmYoLDYd9NpyD8AHZYO2YNPyRh9Wy21lgatyV&#10;t3TZhUJECPsUNZQhNKmUPi/Joh+5hjh6P661GKJsC2lavEa4rWWi1FRarDgulNjQuqT8tPu1Gnx2&#10;pHN2H+QD9T0pHCXnj68Nat3vjdU7iEC38Ao/259Gw2SWvMH/m/gE5P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SzxRW/&#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rect id="矩形 69" o:spid="_x0000_s1026" o:spt="1" style="position:absolute;left:3669;top:9427;height:768;width:1706;" filled="f" stroked="t" coordsize="21600,21600" o:gfxdata="UEsDBAoAAAAAAIdO4kAAAAAAAAAAAAAAAAAEAAAAZHJzL1BLAwQUAAAACACHTuJAj+RbuboAAADd&#10;AAAADwAAAGRycy9kb3ducmV2LnhtbEVPu27CMBTdkfoP1kXqgsAhES0KGAZUJFZCBsar+JJExNdp&#10;7Dz69/WAxHh03vvjZBoxUOdqywrWqwgEcWF1zaWC/HZebkE4j6yxsUwK/sjB8fAx22Oq7chXGjJf&#10;ihDCLkUFlfdtKqUrKjLoVrYlDtzDdgZ9gF0pdYdjCDeNjKPoSxqsOTRU2NKpouKZ9UaBMf257jGL&#10;T5v8ZxGPye+9zFGpz/k62oHwNPm3+OW+aAXJdxL2hzfhCcjD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5Fu5ugAAAN0A&#10;AAAPAAAAAAAAAAEAIAAAACIAAABkcnMvZG93bnJldi54bWxQSwECFAAUAAAACACHTuJAMy8FnjsA&#10;AAA5AAAAEAAAAAAAAAABACAAAAAJAQAAZHJzL3NoYXBleG1sLnhtbFBLBQYAAAAABgAGAFsBAACz&#10;AwAAAAA=&#10;">
                  <v:fill on="f" focussize="0,0"/>
                  <v:stroke color="#000000" miterlimit="8" joinstyle="miter"/>
                  <v:imagedata o:title=""/>
                  <o:lock v:ext="edit" aspectratio="f"/>
                  <v:textbox inset="2.54mm,0.6mm,2.54mm,0.3mm">
                    <w:txbxContent>
                      <w:p>
                        <w:pPr>
                          <w:snapToGrid w:val="0"/>
                          <w:spacing w:line="360" w:lineRule="auto"/>
                          <w:jc w:val="center"/>
                          <w:rPr>
                            <w:snapToGrid w:val="0"/>
                            <w:kern w:val="0"/>
                          </w:rPr>
                        </w:pPr>
                        <w:r>
                          <w:rPr>
                            <w:rFonts w:hint="eastAsia"/>
                            <w:snapToGrid w:val="0"/>
                            <w:kern w:val="0"/>
                          </w:rPr>
                          <w:t>环境现状调查</w:t>
                        </w:r>
                      </w:p>
                      <w:p>
                        <w:pPr>
                          <w:snapToGrid w:val="0"/>
                          <w:spacing w:line="360" w:lineRule="auto"/>
                          <w:jc w:val="center"/>
                          <w:rPr>
                            <w:snapToGrid w:val="0"/>
                            <w:kern w:val="0"/>
                          </w:rPr>
                        </w:pPr>
                        <w:r>
                          <w:rPr>
                            <w:rFonts w:hint="eastAsia"/>
                            <w:snapToGrid w:val="0"/>
                            <w:kern w:val="0"/>
                          </w:rPr>
                          <w:t>监测与评价</w:t>
                        </w:r>
                      </w:p>
                    </w:txbxContent>
                  </v:textbox>
                </v:rect>
                <v:line id="直线 70" o:spid="_x0000_s1026" o:spt="20" style="position:absolute;left:7343;top:10211;height:292;width:0;" filled="f" stroked="t" coordsize="21600,21600" o:gfxdata="UEsDBAoAAAAAAIdO4kAAAAAAAAAAAAAAAAAEAAAAZHJzL1BLAwQUAAAACACHTuJA3xxfzr8AAADd&#10;AAAADwAAAGRycy9kb3ducmV2LnhtbEWPzYvCMBTE7wv7P4S34EU0qQVXqtHDrgUPe/Fj8fponm2x&#10;ealN/PzrN4Kwx2FmfsPMFjfbiAt1vnasIRkqEMSFMzWXGnbbfDAB4QOywcYxabiTh8X8/W2GmXFX&#10;XtNlE0oRIewz1FCF0GZS+qIii37oWuLoHVxnMUTZldJ0eI1w28iRUmNpsea4UGFLXxUVx83ZavD5&#10;L53yR7/oq31aOhqdvn+WqHXvI1FTEIFu4T/8aq+MhvQzTeD5Jj4BOf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8cX86/&#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rect id="矩形 71" o:spid="_x0000_s1026" o:spt="1" style="position:absolute;left:3511;top:10834;height:754;width:4624;" filled="f" stroked="t" coordsize="21600,21600" o:gfxdata="UEsDBAoAAAAAAIdO4kAAAAAAAAAAAAAAAAAEAAAAZHJzL1BLAwQUAAAACACHTuJAhyRBjL8AAADd&#10;AAAADwAAAGRycy9kb3ducmV2LnhtbEWPQWsCMRSE74X+h/AK3rpZlbaymhUrCp6E2kL19ti8Jstu&#10;XpZNdPXfN4WCx2FmvmEWy6trxYX6UHtWMM5yEMSV1zUbBV+f2+cZiBCRNbaeScGNAizLx4cFFtoP&#10;/EGXQzQiQTgUqMDG2BVShsqSw5D5jjh5P753GJPsjdQ9DgnuWjnJ81fpsOa0YLGjtaWqOZydgk13&#10;2q9eTJCr72iPjX8ftnZvlBo9jfM5iEjXeA//t3dawfRtOoG/N+kJy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ckQYy/&#10;AAAA3QAAAA8AAAAAAAAAAQAgAAAAIgAAAGRycy9kb3ducmV2LnhtbFBLAQIUABQAAAAIAIdO4kAz&#10;LwWeOwAAADkAAAAQAAAAAAAAAAEAIAAAAA4BAABkcnMvc2hhcGV4bWwueG1sUEsFBgAAAAAGAAYA&#10;WwEAALgDAAAAAA==&#10;">
                  <v:fill on="f" focussize="0,0"/>
                  <v:stroke color="#000000" miterlimit="8" joinstyle="miter"/>
                  <v:imagedata o:title=""/>
                  <o:lock v:ext="edit" aspectratio="f"/>
                  <v:textbox>
                    <w:txbxContent>
                      <w:p>
                        <w:pPr>
                          <w:adjustRightInd w:val="0"/>
                          <w:snapToGrid w:val="0"/>
                        </w:pPr>
                        <w:r>
                          <w:t>1</w:t>
                        </w:r>
                        <w:r>
                          <w:rPr>
                            <w:rFonts w:hint="eastAsia"/>
                          </w:rPr>
                          <w:t>各环境要素环境影响预测与评价</w:t>
                        </w:r>
                      </w:p>
                      <w:p>
                        <w:pPr>
                          <w:adjustRightInd w:val="0"/>
                          <w:snapToGrid w:val="0"/>
                        </w:pPr>
                        <w:r>
                          <w:t>2</w:t>
                        </w:r>
                        <w:r>
                          <w:rPr>
                            <w:rFonts w:hint="eastAsia"/>
                          </w:rPr>
                          <w:t>各专题环境影响分析与评价</w:t>
                        </w:r>
                      </w:p>
                    </w:txbxContent>
                  </v:textbox>
                </v:rect>
                <v:rect id="矩形 72" o:spid="_x0000_s1026" o:spt="1" style="position:absolute;left:3511;top:12004;height:1220;width:4624;" filled="f" stroked="t" coordsize="21600,21600" o:gfxdata="UEsDBAoAAAAAAIdO4kAAAAAAAAAAAAAAAAAEAAAAZHJzL1BLAwQUAAAACACHTuJA6GjkF78AAADd&#10;AAAADwAAAGRycy9kb3ducmV2LnhtbEWPQWsCMRSE7wX/Q3iCt5rVRVu2ZkWLQk+CttD29ti8Jstu&#10;XpZN6tp/bwShx2FmvmFW64trxZn6UHtWMJtmIIgrr2s2Cj7e94/PIEJE1th6JgV/FGBdjh5WWGg/&#10;8JHOp2hEgnAoUIGNsSukDJUlh2HqO+Lk/fjeYUyyN1L3OCS4a+U8y5bSYc1pwWJHr5aq5vTrFOy6&#10;78NmYYLcfEb71fjtsLcHo9RkPMteQES6xP/wvf2mFeRPeQ63N+kJyP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ho5Be/&#10;AAAA3QAAAA8AAAAAAAAAAQAgAAAAIgAAAGRycy9kb3ducmV2LnhtbFBLAQIUABQAAAAIAIdO4kAz&#10;LwWeOwAAADkAAAAQAAAAAAAAAAEAIAAAAA4BAABkcnMvc2hhcGV4bWwueG1sUEsFBgAAAAAGAAYA&#10;WwEAALgDAAAAAA==&#10;">
                  <v:fill on="f" focussize="0,0"/>
                  <v:stroke color="#000000" miterlimit="8" joinstyle="miter"/>
                  <v:imagedata o:title=""/>
                  <o:lock v:ext="edit" aspectratio="f"/>
                  <v:textbox>
                    <w:txbxContent>
                      <w:p>
                        <w:pPr>
                          <w:snapToGrid w:val="0"/>
                          <w:spacing w:line="360" w:lineRule="auto"/>
                        </w:pPr>
                        <w:r>
                          <w:t>1.</w:t>
                        </w:r>
                        <w:r>
                          <w:rPr>
                            <w:rFonts w:hint="eastAsia"/>
                          </w:rPr>
                          <w:t>提出环境保护措施，进行技术经济论证</w:t>
                        </w:r>
                      </w:p>
                      <w:p>
                        <w:pPr>
                          <w:snapToGrid w:val="0"/>
                          <w:spacing w:line="360" w:lineRule="auto"/>
                        </w:pPr>
                        <w:r>
                          <w:t>2.</w:t>
                        </w:r>
                        <w:r>
                          <w:rPr>
                            <w:rFonts w:hint="eastAsia"/>
                          </w:rPr>
                          <w:t>给出污染物排放清单</w:t>
                        </w:r>
                      </w:p>
                      <w:p>
                        <w:pPr>
                          <w:snapToGrid w:val="0"/>
                          <w:spacing w:line="360" w:lineRule="auto"/>
                        </w:pPr>
                        <w:r>
                          <w:t>3</w:t>
                        </w:r>
                        <w:r>
                          <w:rPr>
                            <w:rFonts w:hint="eastAsia"/>
                          </w:rPr>
                          <w:t>给出建设项目环境影响评价结论</w:t>
                        </w:r>
                      </w:p>
                    </w:txbxContent>
                  </v:textbox>
                </v:rect>
                <v:rect id="矩形 73" o:spid="_x0000_s1026" o:spt="1" style="position:absolute;left:4676;top:13698;height:451;width:2453;" filled="f" stroked="t" coordsize="21600,21600" o:gfxdata="UEsDBAoAAAAAAIdO4kAAAAAAAAAAAAAAAAAEAAAAZHJzL1BLAwQUAAAACACHTuJAZ4F8Y78AAADd&#10;AAAADwAAAGRycy9kb3ducmV2LnhtbEWPT2sCMRTE74LfITzBm2atf1q2RrGi0JOgFtreHpvXZHHz&#10;smyiq9++EQSPw8z8hpkvr64SF2pC6VnBaJiBIC68Ltko+DpuB28gQkTWWHkmBTcKsFx0O3PMtW95&#10;T5dDNCJBOOSowMZY51KGwpLDMPQ1cfL+fOMwJtkYqRtsE9xV8iXLZtJhyWnBYk1rS8XpcHYKNvXv&#10;bjU1Qa6+o/05+Y92a3dGqX5vlL2DiHSNz/Cj/akVjF/HE7i/SU9AL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BfGO/&#10;AAAA3QAAAA8AAAAAAAAAAQAgAAAAIgAAAGRycy9kb3ducmV2LnhtbFBLAQIUABQAAAAIAIdO4kAz&#10;LwWeOwAAADkAAAAQAAAAAAAAAAEAIAAAAA4BAABkcnMvc2hhcGV4bWwueG1sUEsFBgAAAAAGAAYA&#10;WwEAALgDAAAAAA==&#10;">
                  <v:fill on="f" focussize="0,0"/>
                  <v:stroke color="#000000" miterlimit="8" joinstyle="miter"/>
                  <v:imagedata o:title=""/>
                  <o:lock v:ext="edit" aspectratio="f"/>
                  <v:textbox>
                    <w:txbxContent>
                      <w:p>
                        <w:pPr>
                          <w:adjustRightInd w:val="0"/>
                          <w:snapToGrid w:val="0"/>
                        </w:pPr>
                        <w:r>
                          <w:rPr>
                            <w:rFonts w:hint="eastAsia"/>
                          </w:rPr>
                          <w:t>编制环境影响评价文件</w:t>
                        </w:r>
                      </w:p>
                    </w:txbxContent>
                  </v:textbox>
                </v:rect>
                <v:rect id="矩形 74" o:spid="_x0000_s1026" o:spt="1" style="position:absolute;left:6460;top:9440;height:769;width:1706;" filled="f" stroked="t" coordsize="21600,21600" o:gfxdata="UEsDBAoAAAAAAIdO4kAAAAAAAAAAAAAAAAAEAAAAZHJzL1BLAwQUAAAACACHTuJAn5P4Ib4AAADd&#10;AAAADwAAAGRycy9kb3ducmV2LnhtbEWPQWuDQBSE74X8h+UFeinNGiVJsa45SAO91nrI8eG+qsR9&#10;a9xVk3+fLRR6HGbmGyY73kwvZhpdZ1nBdhOBIK6t7rhRUH2fXt9AOI+ssbdMCu7k4JivnjJMtV34&#10;i+bSNyJA2KWooPV+SKV0dUsG3cYOxMH7saNBH+TYSD3iEuCml3EU7aXBjsNCiwMVLdWXcjIKjJlO&#10;3YRlXOyqj5d4Sa7npkKlntfb6B2Ep5v/D/+1P7WC5JDs4PdNeAIy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5P4Ib4A&#10;AADd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inset="2.54mm,0.6mm,2.54mm,0.3mm">
                    <w:txbxContent>
                      <w:p>
                        <w:pPr>
                          <w:snapToGrid w:val="0"/>
                          <w:spacing w:line="360" w:lineRule="auto"/>
                          <w:jc w:val="center"/>
                          <w:rPr>
                            <w:snapToGrid w:val="0"/>
                            <w:kern w:val="0"/>
                          </w:rPr>
                        </w:pPr>
                        <w:r>
                          <w:rPr>
                            <w:rFonts w:hint="eastAsia"/>
                            <w:snapToGrid w:val="0"/>
                            <w:kern w:val="0"/>
                          </w:rPr>
                          <w:t>建设项目</w:t>
                        </w:r>
                      </w:p>
                      <w:p>
                        <w:pPr>
                          <w:snapToGrid w:val="0"/>
                          <w:spacing w:line="360" w:lineRule="auto"/>
                          <w:jc w:val="center"/>
                          <w:rPr>
                            <w:snapToGrid w:val="0"/>
                            <w:kern w:val="0"/>
                          </w:rPr>
                        </w:pPr>
                        <w:r>
                          <w:rPr>
                            <w:rFonts w:hint="eastAsia"/>
                            <w:snapToGrid w:val="0"/>
                            <w:kern w:val="0"/>
                          </w:rPr>
                          <w:t>工程分析</w:t>
                        </w:r>
                      </w:p>
                    </w:txbxContent>
                  </v:textbox>
                </v:rect>
                <v:line id="直线 75" o:spid="_x0000_s1026" o:spt="20" style="position:absolute;left:5904;top:6244;height:351;width:0;" filled="f" stroked="t" coordsize="21600,21600" o:gfxdata="UEsDBAoAAAAAAIdO4kAAAAAAAAAAAAAAAAAEAAAAZHJzL1BLAwQUAAAACACHTuJA5tthIMAAAADd&#10;AAAADwAAAGRycy9kb3ducmV2LnhtbEWPT2sCMRTE70K/Q3iCt5q4yrasRimiWD0ItR48PjbP3cXN&#10;y7KJf+qnN0LB4zAzv2Ems5utxYVaXznWMOgrEMS5MxUXGva/y/dPED4gG6wdk4Y/8jCbvnUmmBl3&#10;5R+67EIhIoR9hhrKEJpMSp+XZNH3XUMcvaNrLYYo20KaFq8RbmuZKJVKixXHhRIbmpeUn3Znq2F9&#10;WJ/uKl34ZpR87Y+JO2w3q5HWve5AjUEEuoVX+L/9bTQMP4YpPN/EJyC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22Eg&#10;wAAAAN0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line id="直线 76" o:spid="_x0000_s1026" o:spt="20" style="position:absolute;left:5871;top:7880;height:283;width:0;" filled="f" stroked="t" coordsize="21600,21600" o:gfxdata="UEsDBAoAAAAAAIdO4kAAAAAAAAAAAAAAAAAEAAAAZHJzL1BLAwQUAAAACACHTuJAiZfEu8AAAADd&#10;AAAADwAAAGRycy9kb3ducmV2LnhtbEWPS4sCMRCE78L+h9CCN00cRZfRKIsoPg4L63rw2EzamcFJ&#10;Z5jE1/76jSB4LKrqK2o6v9tKXKnxpWMN/Z4CQZw5U3Ku4fC76n6C8AHZYOWYNDzIw3z20ZpiatyN&#10;f+i6D7mIEPYpaihCqFMpfVaQRd9zNXH0Tq6xGKJscmkavEW4rWSi1EhaLDkuFFjToqDsvL9YDdvj&#10;9vynRktfD5Ovwylxx+/deqh1p91XExCB7uEdfrU3RsNgPBjD8018AnL2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l8S7&#10;wAAAAN0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line id="直线 77" o:spid="_x0000_s1026" o:spt="20" style="position:absolute;left:5892;top:8667;height:434;width:0;" filled="f" stroked="t" coordsize="21600,21600" o:gfxdata="UEsDBAoAAAAAAIdO4kAAAAAAAAAAAAAAAAAEAAAAZHJzL1BLAwQUAAAACACHTuJA+AhQyb0AAADd&#10;AAAADwAAAGRycy9kb3ducmV2LnhtbEVPy4rCMBTdC/5DuMLsNLGKM3SMMgwOPhaCHRcuL821LTY3&#10;pYnPrzcLweXhvKfzm63FhVpfOdYwHCgQxLkzFRca9v9//S8QPiAbrB2Thjt5mM+6nSmmxl15R5cs&#10;FCKGsE9RQxlCk0rp85Is+oFriCN3dK3FEGFbSNPiNYbbWiZKTaTFimNDiQ39lpSfsrPVsD6sTw81&#10;WfhmnPzsj4k7bDfLsdYfvaH6BhHoFt7il3tlNIw+R3FufBOfgJ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CFDJvQAA&#10;AN0AAAAPAAAAAAAAAAEAIAAAACIAAABkcnMvZG93bnJldi54bWxQSwECFAAUAAAACACHTuJAMy8F&#10;njsAAAA5AAAAEAAAAAAAAAABACAAAAAMAQAAZHJzL3NoYXBleG1sLnhtbFBLBQYAAAAABgAGAFsB&#10;AAC2AwAAAAA=&#10;">
                  <v:fill on="f" focussize="0,0"/>
                  <v:stroke color="#000000" joinstyle="round" endarrow="block" endarrowwidth="narrow" endarrowlength="long"/>
                  <v:imagedata o:title=""/>
                  <o:lock v:ext="edit" aspectratio="f"/>
                </v:line>
                <v:line id="直线 78" o:spid="_x0000_s1026" o:spt="20" style="position:absolute;left:7301;top:9098;height:325;width:0;" filled="f" stroked="t" coordsize="21600,21600" o:gfxdata="UEsDBAoAAAAAAIdO4kAAAAAAAAAAAAAAAAAEAAAAZHJzL1BLAwQUAAAACACHTuJAl0T1UsEAAADd&#10;AAAADwAAAGRycy9kb3ducmV2LnhtbEWPT2sCMRTE74V+h/AK3tzEVayuRinFYvUgVD14fGyeu4ub&#10;l2WT+qef3ghCj8PM/IaZzq+2FmdqfeVYQy9RIIhzZyouNOx3X90RCB+QDdaOScONPMxnry9TzIy7&#10;8A+dt6EQEcI+Qw1lCE0mpc9LsugT1xBH7+haiyHKtpCmxUuE21qmSg2lxYrjQokNfZaUn7a/VsPq&#10;sDr9qeHCN4P0Y39M3WGzXg607rz11AREoGv4Dz/b30ZD/70/hseb+ATk7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0T1&#10;UsEAAADdAAAADwAAAAAAAAABACAAAAAiAAAAZHJzL2Rvd25yZXYueG1sUEsBAhQAFAAAAAgAh07i&#10;QDMvBZ47AAAAOQAAABAAAAAAAAAAAQAgAAAAEAEAAGRycy9zaGFwZXhtbC54bWxQSwUGAAAAAAYA&#10;BgBbAQAAugMAAAAA&#10;">
                  <v:fill on="f" focussize="0,0"/>
                  <v:stroke color="#000000" joinstyle="round" endarrow="block" endarrowwidth="narrow" endarrowlength="long"/>
                  <v:imagedata o:title=""/>
                  <o:lock v:ext="edit" aspectratio="f"/>
                </v:line>
                <v:line id="直线 79" o:spid="_x0000_s1026" o:spt="20" style="position:absolute;left:4552;top:10504;height:0;width:2777;" filled="f" stroked="t" coordsize="21600,21600" o:gfxdata="UEsDBAoAAAAAAIdO4kAAAAAAAAAAAAAAAAAEAAAAZHJzL1BLAwQUAAAACACHTuJA6FaJKLsAAADd&#10;AAAADwAAAGRycy9kb3ducmV2LnhtbEVPy4rCMBTdC/5DuIIb0cQHKtXoQqfgYjY6ittLc22LzU1t&#10;Mr6+frIQZnk47+X6aStxp8aXjjUMBwoEceZMybmG40/an4PwAdlg5Zg0vMjDetVuLTEx7sF7uh9C&#10;LmII+wQ1FCHUiZQ+K8iiH7iaOHIX11gMETa5NA0+Yrit5EipqbRYcmwosKZNQdn18Gs1+PREt/Td&#10;y3rqPM4djW7b7y/UutsZqgWIQM/wL/64d0bDeDaJ++Ob+ATk6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FaJKLsAAADd&#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80" o:spid="_x0000_s1026" o:spt="20" style="position:absolute;left:5904;top:10496;height:325;width:0;" filled="f" stroked="t" coordsize="21600,21600" o:gfxdata="UEsDBAoAAAAAAIdO4kAAAAAAAAAAAAAAAAAEAAAAZHJzL1BLAwQUAAAACACHTuJAMTSKKcAAAADd&#10;AAAADwAAAGRycy9kb3ducmV2LnhtbEWPQWvCQBSE7wX/w/IEb7qbNKhEVymlxeqhUPXg8ZF9JsHs&#10;25DdqvXXu4LQ4zAz3zDz5dU24kydrx1rSEYKBHHhTM2lhv3uczgF4QOywcYxafgjD8tF72WOuXEX&#10;/qHzNpQiQtjnqKEKoc2l9EVFFv3ItcTRO7rOYoiyK6Xp8BLhtpGpUmNpsea4UGFL7xUVp+2v1bA+&#10;rE83Nf7wbZa+7Y+pO3xvVpnWg36iZiACXcN/+Nn+MhpeJ1kCjzfxCcjF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NIop&#10;wAAAAN0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line id="直线 81" o:spid="_x0000_s1026" o:spt="20" style="position:absolute;left:5904;top:11589;height:433;width:0;" filled="f" stroked="t" coordsize="21600,21600" o:gfxdata="UEsDBAoAAAAAAIdO4kAAAAAAAAAAAAAAAAAEAAAAZHJzL1BLAwQUAAAACACHTuJAweYUXsEAAADd&#10;AAAADwAAAGRycy9kb3ducmV2LnhtbEWPT2vCQBTE74LfYXlCb7prGqxEVynF0tpDoWkOOT6yzySY&#10;fRuy65/203cLgsdhZn7DrLdX24kzDb51rGE+UyCIK2darjUU36/TJQgfkA12jknDD3nYbsajNWbG&#10;XfiLznmoRYSwz1BDE0KfSemrhiz6meuJo3dwg8UQ5VBLM+Alwm0nE6UW0mLLcaHBnl4aqo75yWrY&#10;l/vjr1rsfJ8mz8UhceXnx1uq9cNkrlYgAl3DPXxrvxsNj09pAv9v4hOQm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eYU&#10;XsEAAADdAAAADwAAAAAAAAABACAAAAAiAAAAZHJzL2Rvd25yZXYueG1sUEsBAhQAFAAAAAgAh07i&#10;QDMvBZ47AAAAOQAAABAAAAAAAAAAAQAgAAAAEAEAAGRycy9zaGFwZXhtbC54bWxQSwUGAAAAAAYA&#10;BgBbAQAAugMAAAAA&#10;">
                  <v:fill on="f" focussize="0,0"/>
                  <v:stroke color="#000000" joinstyle="round" endarrow="block" endarrowwidth="narrow" endarrowlength="long"/>
                  <v:imagedata o:title=""/>
                  <o:lock v:ext="edit" aspectratio="f"/>
                </v:line>
                <v:line id="直线 82" o:spid="_x0000_s1026" o:spt="20" style="position:absolute;left:5904;top:13237;height:434;width:0;" filled="f" stroked="t" coordsize="21600,21600" o:gfxdata="UEsDBAoAAAAAAIdO4kAAAAAAAAAAAAAAAAAEAAAAZHJzL1BLAwQUAAAACACHTuJArqqxxcAAAADd&#10;AAAADwAAAGRycy9kb3ducmV2LnhtbEWPT2sCMRTE70K/Q3iCN01cF1tWo5RSsXoQaj14fGyeu4ub&#10;l2UT/9RPbwTB4zAzv2Gm86utxZlaXznWMBwoEMS5MxUXGnZ/i/4HCB+QDdaOScM/eZjP3jpTzIy7&#10;8C+dt6EQEcI+Qw1lCE0mpc9LsugHriGO3sG1FkOUbSFNi5cIt7VMlBpLixXHhRIb+iopP25PVsNq&#10;vzre1PjbN2nyuTskbr9ZL1Ote92hmoAIdA2v8LP9YzSM3tMRPN7EJyB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qrHF&#10;wAAAAN0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v:line id="直线 83" o:spid="_x0000_s1026" o:spt="20" style="position:absolute;left:5904;top:4553;height:434;width:0;" filled="f" stroked="t" coordsize="21600,21600" o:gfxdata="UEsDBAoAAAAAAIdO4kAAAAAAAAAAAAAAAAAEAAAAZHJzL1BLAwQUAAAACACHTuJAIUMpscAAAADd&#10;AAAADwAAAGRycy9kb3ducmV2LnhtbEWPQWvCQBSE74X+h+UVetNdY9CSuopIpdWDYPTg8ZF9JsHs&#10;25DdqvXXu4LQ4zAz3zCT2dU24kydrx1rGPQVCOLCmZpLDfvdsvcBwgdkg41j0vBHHmbT15cJZsZd&#10;eEvnPJQiQthnqKEKoc2k9EVFFn3ftcTRO7rOYoiyK6Xp8BLhtpGJUiNpsea4UGFLi4qKU/5rNawO&#10;q9NNjb58mybz/TFxh836O9X6/W2gPkEEuob/8LP9YzQMx2kKjzfxCcjp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Qymx&#10;wAAAAN0AAAAPAAAAAAAAAAEAIAAAACIAAABkcnMvZG93bnJldi54bWxQSwECFAAUAAAACACHTuJA&#10;My8FnjsAAAA5AAAAEAAAAAAAAAABACAAAAAPAQAAZHJzL3NoYXBleG1sLnhtbFBLBQYAAAAABgAG&#10;AFsBAAC5AwAAAAA=&#10;">
                  <v:fill on="f" focussize="0,0"/>
                  <v:stroke color="#000000" joinstyle="round" endarrow="block" endarrowwidth="narrow" endarrowlength="long"/>
                  <v:imagedata o:title=""/>
                  <o:lock v:ext="edit" aspectratio="f"/>
                </v:line>
                <w10:wrap type="none"/>
                <w10:anchorlock/>
              </v:group>
            </w:pict>
          </mc:Fallback>
        </mc:AlternateContent>
      </w:r>
    </w:p>
    <w:p>
      <w:pPr>
        <w:pStyle w:val="114"/>
        <w:spacing w:before="120"/>
        <w:rPr>
          <w:color w:val="auto"/>
        </w:rPr>
      </w:pPr>
      <w:r>
        <w:rPr>
          <w:color w:val="auto"/>
        </w:rPr>
        <w:t>图1  环境影响评价流程图</w:t>
      </w:r>
    </w:p>
    <w:p>
      <w:pPr>
        <w:pStyle w:val="4"/>
        <w:numPr>
          <w:ilvl w:val="1"/>
          <w:numId w:val="0"/>
        </w:numPr>
        <w:spacing w:before="120"/>
        <w:rPr>
          <w:color w:val="auto"/>
        </w:rPr>
      </w:pPr>
      <w:bookmarkStart w:id="23" w:name="_Toc109398523"/>
      <w:bookmarkStart w:id="24" w:name="_Toc11595158"/>
      <w:bookmarkStart w:id="25" w:name="_Toc508377251"/>
      <w:bookmarkStart w:id="26" w:name="_Toc508377152"/>
      <w:bookmarkStart w:id="27" w:name="_Toc508714623"/>
      <w:r>
        <w:rPr>
          <w:color w:val="auto"/>
        </w:rPr>
        <w:t>4、分析判定相关情况</w:t>
      </w:r>
      <w:bookmarkEnd w:id="23"/>
    </w:p>
    <w:p>
      <w:pPr>
        <w:pStyle w:val="5"/>
        <w:numPr>
          <w:ilvl w:val="2"/>
          <w:numId w:val="0"/>
        </w:numPr>
        <w:ind w:left="-720" w:leftChars="-343" w:firstLine="723" w:firstLineChars="300"/>
        <w:rPr>
          <w:color w:val="auto"/>
        </w:rPr>
      </w:pPr>
      <w:bookmarkStart w:id="28" w:name="_Toc109398524"/>
      <w:r>
        <w:rPr>
          <w:color w:val="auto"/>
        </w:rPr>
        <w:t>4.1产业政策符合性分析</w:t>
      </w:r>
      <w:bookmarkEnd w:id="28"/>
    </w:p>
    <w:p>
      <w:pPr>
        <w:pStyle w:val="130"/>
        <w:ind w:firstLine="480"/>
        <w:rPr>
          <w:color w:val="auto"/>
        </w:rPr>
      </w:pPr>
      <w:r>
        <w:rPr>
          <w:color w:val="auto"/>
        </w:rPr>
        <w:t>根据《产业结构调整指导目录》（2019 年本）鼓励类中“四十三、环境保护与资源节约综合利用”，第8条“危险废物（医疗废物）及含重金属废物安全处置技术设备开发制造及处置中心建设及运营；放射性废物、核设施退役工程安全处置技术设备开发制造及处置中心建设”。因此本项目属于鼓励类，本项目的建设符合国家现行产业政策要求。</w:t>
      </w:r>
    </w:p>
    <w:p>
      <w:pPr>
        <w:pStyle w:val="5"/>
        <w:numPr>
          <w:ilvl w:val="2"/>
          <w:numId w:val="0"/>
        </w:numPr>
        <w:ind w:left="-720" w:leftChars="-343" w:firstLine="723" w:firstLineChars="300"/>
        <w:rPr>
          <w:color w:val="auto"/>
        </w:rPr>
      </w:pPr>
      <w:bookmarkStart w:id="29" w:name="_Toc109398525"/>
      <w:r>
        <w:rPr>
          <w:color w:val="auto"/>
        </w:rPr>
        <w:t>4.2“三线一单”符合性分析</w:t>
      </w:r>
      <w:bookmarkEnd w:id="29"/>
    </w:p>
    <w:p>
      <w:pPr>
        <w:pStyle w:val="128"/>
        <w:ind w:firstLine="0" w:firstLineChars="0"/>
        <w:rPr>
          <w:color w:val="auto"/>
        </w:rPr>
      </w:pPr>
      <w:r>
        <w:rPr>
          <w:color w:val="auto"/>
        </w:rPr>
        <w:t>4.2.1 与“生态保护红线”相符性分析</w:t>
      </w:r>
    </w:p>
    <w:p>
      <w:pPr>
        <w:pStyle w:val="130"/>
        <w:ind w:firstLine="480"/>
        <w:rPr>
          <w:color w:val="auto"/>
        </w:rPr>
      </w:pPr>
      <w:r>
        <w:rPr>
          <w:color w:val="auto"/>
        </w:rPr>
        <w:t>《中卫市人民政府关于实施“三线一单”生态环境分区管控的通知》（卫政发〔2021〕31号）衔接宁夏回族自治区人民政府2018年6月发布的《宁夏回族自治区生态保护红线》（宁政发〔2018〕23号），落实《中共中央国务院关于全面加强生态环境保护坚决打好污染防治攻坚战的意见》《中共宁夏回族自治区委员会关于建设黄河流域生态保护和高质量发展先行区的实施意见》（宁党发〔2020〕17 号）和《自治区人民政府关于实施“三线一单”生态环境分区管控的通知》（宁政发〔2020〕37号）有关要求。基于生态保护红线划定评估工作，以生态系统功能极重要区和重要区、生态环境极敏感区和敏感区为重点，衔接自治区级及以上自然保护区，县级及以上饮用水水源保护区，自治区级及以上风景名胜区、湿地公园、森林公园、地质公园，国家级水产种质资源保护区，国家级生态公益林等各类自然保护地和其他保护区域，衔接相关规划及经济社会发展需求，划定中卫市生态空间总面积5284.56平方公里，占全市国土总面积的38.71%。其中生态保护红线面积约为3179.06平方公里，占全市国土总面积的23.29%；除生态保护红线以外的一般生态空间面积2105.50平方公里，占全市国土面积15.42%。本项目位于宁夏中卫市永康镇阳沟村中卫市生活垃圾填埋场西侧，不在生态保护红线范围内，本项目与中卫市生态保护红线位置关系图见图2。</w:t>
      </w:r>
    </w:p>
    <w:p>
      <w:pPr>
        <w:pStyle w:val="130"/>
        <w:ind w:firstLine="0" w:firstLineChars="0"/>
        <w:rPr>
          <w:color w:val="auto"/>
        </w:rPr>
      </w:pPr>
      <w:r>
        <w:rPr>
          <w:color w:val="auto"/>
        </w:rPr>
        <mc:AlternateContent>
          <mc:Choice Requires="wps">
            <w:drawing>
              <wp:anchor distT="0" distB="0" distL="114300" distR="114300" simplePos="0" relativeHeight="251669504" behindDoc="0" locked="0" layoutInCell="1" allowOverlap="1">
                <wp:simplePos x="0" y="0"/>
                <wp:positionH relativeFrom="column">
                  <wp:posOffset>2646045</wp:posOffset>
                </wp:positionH>
                <wp:positionV relativeFrom="paragraph">
                  <wp:posOffset>2707005</wp:posOffset>
                </wp:positionV>
                <wp:extent cx="678180" cy="301625"/>
                <wp:effectExtent l="284480" t="111760" r="12700" b="13335"/>
                <wp:wrapNone/>
                <wp:docPr id="21" name="圆角矩形标注 31"/>
                <wp:cNvGraphicFramePr/>
                <a:graphic xmlns:a="http://schemas.openxmlformats.org/drawingml/2006/main">
                  <a:graphicData uri="http://schemas.microsoft.com/office/word/2010/wordprocessingShape">
                    <wps:wsp>
                      <wps:cNvSpPr/>
                      <wps:spPr>
                        <a:xfrm flipV="1">
                          <a:off x="0" y="0"/>
                          <a:ext cx="678180" cy="301625"/>
                        </a:xfrm>
                        <a:prstGeom prst="wedgeRoundRectCallout">
                          <a:avLst>
                            <a:gd name="adj1" fmla="val -87265"/>
                            <a:gd name="adj2" fmla="val 79684"/>
                            <a:gd name="adj3" fmla="val 16667"/>
                          </a:avLst>
                        </a:prstGeom>
                        <a:solidFill>
                          <a:srgbClr val="FFFFFF">
                            <a:alpha val="50000"/>
                          </a:srgbClr>
                        </a:solidFill>
                        <a:ln w="9525" cap="flat" cmpd="sng">
                          <a:solidFill>
                            <a:srgbClr val="000000"/>
                          </a:solidFill>
                          <a:prstDash val="solid"/>
                          <a:miter/>
                          <a:headEnd type="none" w="med" len="med"/>
                          <a:tailEnd type="none" w="med" len="med"/>
                        </a:ln>
                        <a:effectLst/>
                      </wps:spPr>
                      <wps:txbx>
                        <w:txbxContent>
                          <w:p>
                            <w:pPr>
                              <w:spacing w:line="360" w:lineRule="exact"/>
                              <w:jc w:val="center"/>
                              <w:rPr>
                                <w:b/>
                              </w:rPr>
                            </w:pPr>
                            <w:r>
                              <w:rPr>
                                <w:rFonts w:hint="eastAsia"/>
                                <w:b/>
                              </w:rPr>
                              <w:t>本项目</w:t>
                            </w:r>
                          </w:p>
                        </w:txbxContent>
                      </wps:txbx>
                      <wps:bodyPr wrap="square" lIns="0" tIns="0" rIns="0" bIns="0" upright="1">
                        <a:noAutofit/>
                      </wps:bodyPr>
                    </wps:wsp>
                  </a:graphicData>
                </a:graphic>
              </wp:anchor>
            </w:drawing>
          </mc:Choice>
          <mc:Fallback>
            <w:pict>
              <v:shape id="圆角矩形标注 31" o:spid="_x0000_s1026" o:spt="62" type="#_x0000_t62" style="position:absolute;left:0pt;flip:y;margin-left:208.35pt;margin-top:213.15pt;height:23.75pt;width:53.4pt;z-index:251669504;mso-width-relative:page;mso-height-relative:page;" fillcolor="#FFFFFF" filled="t" stroked="t" coordsize="21600,21600" o:gfxdata="UEsDBAoAAAAAAIdO4kAAAAAAAAAAAAAAAAAEAAAAZHJzL1BLAwQUAAAACACHTuJAhMC87NoAAAAL&#10;AQAADwAAAGRycy9kb3ducmV2LnhtbE2Py07DMBBF90j8gzVI7KidhLpViNNFEQgWVKWtWLvJkATi&#10;cRS7D/h6hhXs5nF050yxOLteHHEMnScDyUSBQKp83VFjYLd9uJmDCNFSbXtPaOALAyzKy4vC5rU/&#10;0SseN7ERHEIhtwbaGIdcylC16GyY+AGJd+9+dDZyOzayHu2Jw10vU6W0dLYjvtDaAZctVp+bgzOQ&#10;vTzfq1Qvv1ePbx+07rymp7U25voqUXcgIp7jHwy/+qwOJTvt/YHqIHoDt4meMcpFqjMQTEzTbApi&#10;z5NZNgdZFvL/D+UPUEsDBBQAAAAIAIdO4kB6iauJegIAAPQEAAAOAAAAZHJzL2Uyb0RvYy54bWyt&#10;VM1uEzEQviPxDpbv7WZTukmjbCrUUoSEoGqBu7O2d438h+1kkxegd85IIC7AmTOP08JjMPZu0hQu&#10;CLEHa2zPfvPNNzOeHq+UREvmvDC6xPn+ACOmK0OFrkv88sXZ3hgjH4imRBrNSrxmHh/P7t+btnbC&#10;hqYxkjKHAET7SWtL3IRgJ1nmq4Yp4veNZRouuXGKBNi6OqOOtICuZDYcDIqsNY5aZyrmPZyedpd4&#10;lvA5Z1V4zrlnAckSA7eQVpfWeVyz2ZRMakdsI6qeBvkHFooIDUG3UKckELRw4g8oJSpnvOFhvzIq&#10;M5yLiqUcIJt88Fs2lw2xLOUC4ni7lcn/P9jq2fLcIUFLPMwx0kRBja7fv/35+d2PD1+vv3+6+Xh1&#10;8+0LOsijUq31E/jh0p67fufBjGmvuFOIS2FfQRMkISA1tEo6r7c6s1VAFRwWo3E+hmpUcHUwyIvh&#10;YUTPOpgIZ50Pj5lRKBolbhmt2YVZaHoBBT0hUppFSFHI8qkPSXfakyf0NSTClYQyLolEe+PRsEj4&#10;UJwdp+Gu0+ioGD/oe2HH52DXJy+KYtTz7MMC4w3TyMEbKeiZkDJtXD0/kQ4BhxKfpa9jLG1DutPD&#10;AXw9ou/ckwp3cKRGbYmPDkEjVBGYEC5JAFNZqJnXdQK980cP1cWIIW6D7BKMzE+Jbzq/hNApoERg&#10;Ls1Fwwh9pCkKawttoWGAcSSjGMVIMpj3aCXPQIT8G09QTOooD0uzCcWLhY991XVStMJqvoLTaM4N&#10;XUN7tjCfkOybBXHAQD7RMABxmDeG2xjzjbGwTtQNtE7XjNo8XATDxTZaB9yHhtFKuvfPQJzd3X3y&#10;un2sZr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hMC87NoAAAALAQAADwAAAAAAAAABACAAAAAi&#10;AAAAZHJzL2Rvd25yZXYueG1sUEsBAhQAFAAAAAgAh07iQHqJq4l6AgAA9AQAAA4AAAAAAAAAAQAg&#10;AAAAKQEAAGRycy9lMm9Eb2MueG1sUEsFBgAAAAAGAAYAWQEAABUGAAAAAA==&#10;" adj="-8049,28012,14400">
                <v:fill on="t" opacity="32768f" focussize="0,0"/>
                <v:stroke color="#000000" joinstyle="miter"/>
                <v:imagedata o:title=""/>
                <o:lock v:ext="edit" aspectratio="f"/>
                <v:textbox inset="0mm,0mm,0mm,0mm">
                  <w:txbxContent>
                    <w:p>
                      <w:pPr>
                        <w:spacing w:line="360" w:lineRule="exact"/>
                        <w:jc w:val="center"/>
                        <w:rPr>
                          <w:b/>
                        </w:rPr>
                      </w:pPr>
                      <w:r>
                        <w:rPr>
                          <w:rFonts w:hint="eastAsia"/>
                          <w:b/>
                        </w:rPr>
                        <w:t>本项目</w:t>
                      </w:r>
                    </w:p>
                  </w:txbxContent>
                </v:textbox>
              </v:shape>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2310765</wp:posOffset>
                </wp:positionH>
                <wp:positionV relativeFrom="paragraph">
                  <wp:posOffset>2550160</wp:posOffset>
                </wp:positionV>
                <wp:extent cx="76200" cy="76200"/>
                <wp:effectExtent l="4445" t="4445" r="10795" b="10795"/>
                <wp:wrapNone/>
                <wp:docPr id="11" name="椭圆 42"/>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w="9525" cap="flat" cmpd="sng">
                          <a:solidFill>
                            <a:srgbClr val="FF0000"/>
                          </a:solidFill>
                          <a:prstDash val="solid"/>
                          <a:headEnd type="none" w="med" len="med"/>
                          <a:tailEnd type="none" w="med" len="med"/>
                        </a:ln>
                      </wps:spPr>
                      <wps:txbx>
                        <w:txbxContent>
                          <w:p>
                            <w:pPr>
                              <w:jc w:val="center"/>
                            </w:pPr>
                          </w:p>
                        </w:txbxContent>
                      </wps:txbx>
                      <wps:bodyPr vert="horz" wrap="square" anchor="t" anchorCtr="0" upright="1"/>
                    </wps:wsp>
                  </a:graphicData>
                </a:graphic>
              </wp:anchor>
            </w:drawing>
          </mc:Choice>
          <mc:Fallback>
            <w:pict>
              <v:shape id="椭圆 42" o:spid="_x0000_s1026" o:spt="3" type="#_x0000_t3" style="position:absolute;left:0pt;margin-left:181.95pt;margin-top:200.8pt;height:6pt;width:6pt;z-index:251668480;mso-width-relative:page;mso-height-relative:page;" fillcolor="#FF0000" filled="t" stroked="t" coordsize="21600,21600" o:gfxdata="UEsDBAoAAAAAAIdO4kAAAAAAAAAAAAAAAAAEAAAAZHJzL1BLAwQUAAAACACHTuJAYuelcNgAAAAL&#10;AQAADwAAAGRycy9kb3ducmV2LnhtbE2PPU/DMBCGdyT+g3WV2KhtQkMb4nRAQowNLQubGzuJVX9E&#10;ttu0/55jgvHee/Tec/X26iy56JhM8AL4kgHRvgvK+EHA1+H9cQ0kZemVtMFrATedYNvc39WyUmH2&#10;n/qyzwPBEp8qKWDMeaooTd2onUzLMGmPuz5EJzOOcaAqyhnLnaVPjJXUSePxwign/Tbq7rQ/OwHx&#10;Noc1t99tuzOD6dtVv3EfOyEeFpy9Asn6mv9g+NVHdWjQ6RjOXiViBRRlsUFUwDPjJRAkipcVJkdM&#10;eFECbWr6/4fmB1BLAwQUAAAACACHTuJAbWSqivsBAAAGBAAADgAAAGRycy9lMm9Eb2MueG1srVNL&#10;jhMxEN0jcQfLe9JJxAzQSmcWE8IGwUgDB6jY7m5L/uFy0h0OwClYsuVYcI4pu0OGgc0I0Qt32S6/&#10;eq8+q6vRGnZQEbV3DV/M5pwpJ7zUrmv4xw/bZy85wwROgvFONfyokF+tnz5ZDaFWS997I1VkBOKw&#10;HkLD+5RCXVUoemUBZz4oR5etjxYSbWNXyQgDoVtTLefzy2rwUYbohUKk0810ydcFv22VSO/bFlVi&#10;puHELZU1lnWX12q9grqLEHotTjTgH1hY0I6CnqE2kIDto/4LymoRPfo2zYS3lW9bLVTRQGoW8z/U&#10;3PYQVNFCycFwThP+P1jx7nATmZZUuwVnDizV6Oe37z++fmHPlzk7Q8CanG7DTTztkMwsdWyjzX8S&#10;wcaS0eM5o2pMTNDhi0sqEmeCbiaTMKr7pyFieqO8ZdlouDJGB8yKoYbDW0yT9y+vfIzeaLnVxpRN&#10;7HbXJrIDUHW32zl9mTIFeOBmHBsa/upieUFMgJqsNZDItIFko+tKvAcv8HHAmdgGsJ8IFISpoXoF&#10;8rWTLB0D5dNR5/NMwSrJmVE0KNkiplAn0OYxnqTJOJKWyzEVIFtp3I0Ek82dl0eqJI0iJbL38TNF&#10;pLYmgZ/2ECk+OEHHDSflk3mdpjnYh6i7nl4tSvIyGDVbSeNpMHI3/74vPO7Hd30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YuelcNgAAAALAQAADwAAAAAAAAABACAAAAAiAAAAZHJzL2Rvd25yZXYu&#10;eG1sUEsBAhQAFAAAAAgAh07iQG1kqor7AQAABgQAAA4AAAAAAAAAAQAgAAAAJwEAAGRycy9lMm9E&#10;b2MueG1sUEsFBgAAAAAGAAYAWQEAAJQFAAAAAA==&#10;">
                <v:fill on="t" focussize="0,0"/>
                <v:stroke color="#FF0000" joinstyle="round"/>
                <v:imagedata o:title=""/>
                <o:lock v:ext="edit" aspectratio="f"/>
                <v:textbox>
                  <w:txbxContent>
                    <w:p>
                      <w:pPr>
                        <w:jc w:val="center"/>
                      </w:pPr>
                    </w:p>
                  </w:txbxContent>
                </v:textbox>
              </v:shape>
            </w:pict>
          </mc:Fallback>
        </mc:AlternateContent>
      </w:r>
      <w:r>
        <w:rPr>
          <w:color w:val="auto"/>
        </w:rPr>
        <w:drawing>
          <wp:inline distT="0" distB="0" distL="114300" distR="114300">
            <wp:extent cx="5396865" cy="7633335"/>
            <wp:effectExtent l="0" t="0" r="13335" b="1905"/>
            <wp:docPr id="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7"/>
                    <pic:cNvPicPr>
                      <a:picLocks noChangeAspect="1"/>
                    </pic:cNvPicPr>
                  </pic:nvPicPr>
                  <pic:blipFill>
                    <a:blip r:embed="rId12"/>
                    <a:stretch>
                      <a:fillRect/>
                    </a:stretch>
                  </pic:blipFill>
                  <pic:spPr>
                    <a:xfrm>
                      <a:off x="0" y="0"/>
                      <a:ext cx="5396865" cy="7633335"/>
                    </a:xfrm>
                    <a:prstGeom prst="rect">
                      <a:avLst/>
                    </a:prstGeom>
                    <a:noFill/>
                    <a:ln>
                      <a:noFill/>
                    </a:ln>
                  </pic:spPr>
                </pic:pic>
              </a:graphicData>
            </a:graphic>
          </wp:inline>
        </w:drawing>
      </w:r>
    </w:p>
    <w:p>
      <w:pPr>
        <w:pStyle w:val="130"/>
        <w:ind w:firstLine="482"/>
        <w:jc w:val="center"/>
        <w:rPr>
          <w:b/>
          <w:bCs w:val="0"/>
          <w:color w:val="auto"/>
        </w:rPr>
      </w:pPr>
      <w:r>
        <w:rPr>
          <w:b/>
          <w:bCs w:val="0"/>
          <w:color w:val="auto"/>
        </w:rPr>
        <w:t>图2  本项目与中卫市生态保护红线位置关系图</w:t>
      </w:r>
    </w:p>
    <w:p>
      <w:pPr>
        <w:pStyle w:val="130"/>
        <w:ind w:firstLine="480"/>
        <w:rPr>
          <w:color w:val="auto"/>
        </w:rPr>
      </w:pPr>
    </w:p>
    <w:p>
      <w:pPr>
        <w:pStyle w:val="130"/>
        <w:ind w:firstLine="480"/>
        <w:rPr>
          <w:color w:val="auto"/>
        </w:rPr>
      </w:pPr>
    </w:p>
    <w:p>
      <w:pPr>
        <w:pStyle w:val="128"/>
        <w:ind w:firstLine="0" w:firstLineChars="0"/>
        <w:rPr>
          <w:color w:val="auto"/>
        </w:rPr>
      </w:pPr>
      <w:r>
        <w:rPr>
          <w:color w:val="auto"/>
        </w:rPr>
        <w:t>4.2.2 环境质量底线相符性分析</w:t>
      </w:r>
    </w:p>
    <w:p>
      <w:pPr>
        <w:pStyle w:val="7"/>
        <w:numPr>
          <w:ilvl w:val="4"/>
          <w:numId w:val="0"/>
        </w:numPr>
        <w:rPr>
          <w:color w:val="auto"/>
        </w:rPr>
      </w:pPr>
      <w:r>
        <w:rPr>
          <w:color w:val="auto"/>
        </w:rPr>
        <w:t>4.2.2.1水环境质量底线及分区管控</w:t>
      </w:r>
    </w:p>
    <w:p>
      <w:pPr>
        <w:pStyle w:val="130"/>
        <w:ind w:firstLine="480"/>
        <w:rPr>
          <w:color w:val="auto"/>
        </w:rPr>
      </w:pPr>
      <w:r>
        <w:rPr>
          <w:color w:val="auto"/>
        </w:rPr>
        <w:t>以水环境控制单元为基本单元，分析各控制单元的功能定位，结合水质超标区域分布，基于水环境系统评价结果，确定中卫市水环境管控分区。中卫市水环境管控分区共分为三大类：水环境优先保护区、水环境重点管控区（含水环境工业污染源重点管控区、水环境农业污染源重点管控区、水环境城镇生活污染源重点管控区）和水环境一般管控区。</w:t>
      </w:r>
    </w:p>
    <w:p>
      <w:pPr>
        <w:pStyle w:val="130"/>
        <w:ind w:firstLine="0" w:firstLineChars="0"/>
        <w:rPr>
          <w:color w:val="auto"/>
        </w:rPr>
      </w:pPr>
      <w:r>
        <w:rPr>
          <w:color w:val="auto"/>
        </w:rPr>
        <w:t>（1）水环境优先保护区</w:t>
      </w:r>
    </w:p>
    <w:p>
      <w:pPr>
        <w:pStyle w:val="130"/>
        <w:ind w:firstLine="480"/>
        <w:rPr>
          <w:color w:val="auto"/>
        </w:rPr>
      </w:pPr>
      <w:r>
        <w:rPr>
          <w:color w:val="auto"/>
        </w:rPr>
        <w:t>A.管控分区</w:t>
      </w:r>
    </w:p>
    <w:p>
      <w:pPr>
        <w:pStyle w:val="130"/>
        <w:ind w:firstLine="480"/>
        <w:rPr>
          <w:color w:val="auto"/>
        </w:rPr>
      </w:pPr>
      <w:r>
        <w:rPr>
          <w:color w:val="auto"/>
        </w:rPr>
        <w:t>将全市自然保护区、饮用水水源保护区、河湖源头、河湖岸线、湿地公园及其他重要湿地、水产种质资源保护区等保护区域，识别为水环境优先保护区。全市共划定水环境优先保护区15个，面积为553.88平方公里，占全市国土面积的4.06%。</w:t>
      </w:r>
    </w:p>
    <w:p>
      <w:pPr>
        <w:pStyle w:val="130"/>
        <w:ind w:firstLine="480"/>
        <w:rPr>
          <w:color w:val="auto"/>
        </w:rPr>
      </w:pPr>
      <w:r>
        <w:rPr>
          <w:color w:val="auto"/>
        </w:rPr>
        <w:t>B.管控要求</w:t>
      </w:r>
    </w:p>
    <w:p>
      <w:pPr>
        <w:pStyle w:val="130"/>
        <w:ind w:firstLine="480"/>
        <w:rPr>
          <w:color w:val="auto"/>
        </w:rPr>
      </w:pPr>
      <w:r>
        <w:rPr>
          <w:color w:val="auto"/>
        </w:rPr>
        <w:t>严格落实《中华人民共和国水污染防治法》、《饮用水水源保护区污染防治管理规定》（原环境保护部令第16号）及其他有关法律法规对饮用水水源保护区的管理要求。在饮用水水源保护区内，禁止设置排污口。禁止在饮用水水源一级保护区内新建、改建、扩建与供水设施和保护水源无关的建设项目；已建成的与供水设施和保护水源无关的建设项目，由县级以上人民政府责令拆除或者关闭。禁止在饮用水水源二级保护区内新建、改建、扩建排放污染物的建设项目；已建成的排放污染物的建设项目，由县级以上人民政府责令拆除或者关闭。禁止在饮用水水源准保护区内新建、扩建对水体污染严重的建设项目；改建建设项目，不得增加排污量。</w:t>
      </w:r>
    </w:p>
    <w:p>
      <w:pPr>
        <w:pStyle w:val="130"/>
        <w:ind w:firstLine="480"/>
        <w:rPr>
          <w:color w:val="auto"/>
        </w:rPr>
      </w:pPr>
      <w:r>
        <w:rPr>
          <w:color w:val="auto"/>
        </w:rPr>
        <w:t>严格落实《中华人民共和国自然保护区条例》、《湿地保护管理规定》（原国家林业局令2013年第32号）、《水产种质资源保护区管理暂行办法》（原农业部令2011年第1号）等有关法律法规对自然保护区、湿地公园及其他重要湿地、水产种质资源保护区等区域的管理要求。</w:t>
      </w:r>
    </w:p>
    <w:p>
      <w:pPr>
        <w:pStyle w:val="130"/>
        <w:ind w:firstLine="480"/>
        <w:rPr>
          <w:color w:val="auto"/>
        </w:rPr>
      </w:pPr>
      <w:r>
        <w:rPr>
          <w:color w:val="auto"/>
        </w:rPr>
        <w:t>以中宁天湖国家湿地公园等为重点，开展天然湿地保护工作，实施生态补水，确保湿地公园水位不降低、湿地面积不缩小。结合国家湿地公园建设任务，开展生物栖息地恢复与重建工作，确保湿地生物多样性不降低，生态服务功能逐年增加。</w:t>
      </w:r>
    </w:p>
    <w:p>
      <w:pPr>
        <w:pStyle w:val="130"/>
        <w:ind w:firstLine="480"/>
        <w:rPr>
          <w:color w:val="auto"/>
        </w:rPr>
      </w:pPr>
      <w:r>
        <w:rPr>
          <w:color w:val="auto"/>
        </w:rPr>
        <w:t>以海原县南华山水源涵养区为重点，开展自然封育工作，采用自然封育为主、人工诱导为辅的手段，提高区域的水源涵养能力，使其能够稳定涵养海原县老城区水源地，保障人民群众饮水安全。</w:t>
      </w:r>
    </w:p>
    <w:p>
      <w:pPr>
        <w:pStyle w:val="130"/>
        <w:ind w:firstLine="480"/>
        <w:rPr>
          <w:color w:val="auto"/>
        </w:rPr>
      </w:pPr>
      <w:r>
        <w:rPr>
          <w:color w:val="auto"/>
        </w:rPr>
        <w:t>划定黄河中卫段河湖岸线，强化岸线管控，实施最严格的黄河岸线保护制度，对与岸线利用功能不相符的开发建设活动进行清理整治，并开展河湖生态缓冲带建设工作；严格落实《宁夏清水河岸线保护与利用规划》，实施岸线用途管制，清理整治与规划不相符的种植、养殖及其他人类活动，整治地段开展河湖生态缓冲带建设工作。</w:t>
      </w:r>
    </w:p>
    <w:p>
      <w:pPr>
        <w:pStyle w:val="130"/>
        <w:ind w:firstLine="0" w:firstLineChars="0"/>
        <w:rPr>
          <w:color w:val="auto"/>
        </w:rPr>
      </w:pPr>
      <w:r>
        <w:rPr>
          <w:color w:val="auto"/>
        </w:rPr>
        <w:t>（2）水环境重点管控区</w:t>
      </w:r>
    </w:p>
    <w:p>
      <w:pPr>
        <w:pStyle w:val="130"/>
        <w:ind w:firstLine="480"/>
        <w:rPr>
          <w:color w:val="auto"/>
        </w:rPr>
      </w:pPr>
      <w:r>
        <w:rPr>
          <w:color w:val="auto"/>
        </w:rPr>
        <w:t>A.管控分区</w:t>
      </w:r>
    </w:p>
    <w:p>
      <w:pPr>
        <w:pStyle w:val="130"/>
        <w:ind w:firstLine="480"/>
        <w:rPr>
          <w:color w:val="auto"/>
        </w:rPr>
      </w:pPr>
      <w:r>
        <w:rPr>
          <w:color w:val="auto"/>
        </w:rPr>
        <w:t>将工业园区所在控制单元作为水环境工业源重点管控区，将对应断面水质超标（或存在黑臭水体）的控制单元作为重点管控区，其中结合控制单元污染源分布情况继续划分为水环境城镇生活源重点管控区、水环境农业源重点管控区。全市共划定水环境重点管控区3个，面积为108.97平方公里，占全市国土面积的0.80%。</w:t>
      </w:r>
    </w:p>
    <w:p>
      <w:pPr>
        <w:pStyle w:val="130"/>
        <w:ind w:firstLine="480"/>
        <w:rPr>
          <w:color w:val="auto"/>
        </w:rPr>
      </w:pPr>
      <w:r>
        <w:rPr>
          <w:color w:val="auto"/>
        </w:rPr>
        <w:t>B.管控要求</w:t>
      </w:r>
    </w:p>
    <w:p>
      <w:pPr>
        <w:pStyle w:val="130"/>
        <w:ind w:firstLine="480"/>
        <w:rPr>
          <w:color w:val="auto"/>
        </w:rPr>
      </w:pPr>
      <w:r>
        <w:rPr>
          <w:color w:val="auto"/>
        </w:rPr>
        <w:t>1. 工业污染源重点管控区</w:t>
      </w:r>
    </w:p>
    <w:p>
      <w:pPr>
        <w:pStyle w:val="130"/>
        <w:ind w:firstLine="480"/>
        <w:rPr>
          <w:color w:val="auto"/>
        </w:rPr>
      </w:pPr>
      <w:r>
        <w:rPr>
          <w:color w:val="auto"/>
        </w:rPr>
        <w:t>排放工业废水的企业应当采取有效措施，收集和处理产生的全部废水，防止污染环境。含有毒有害水污染物的工业废水应当分类收集和处理，不得稀释排放。向污水集中处理设施排放工业废水的，应当按照国家有关规定进行预处理，达到集中处理设施处理工艺要求后方可排放。对严重污染水环境的落后工艺和设备实行淘汰制度。禁止新建不符合国家产业政策的小型造纸、制革、印染、染料、炼焦、炼硫、炼砷、炼汞、炼油、电镀、农药、石棉、水泥、玻璃、钢铁、火电以及其他严重污染水环境的生产项目。新建排放重点水污染物的工业项目应当进入符合相关产业规划的工业集聚区。</w:t>
      </w:r>
    </w:p>
    <w:p>
      <w:pPr>
        <w:pStyle w:val="130"/>
        <w:ind w:firstLine="480"/>
        <w:rPr>
          <w:color w:val="auto"/>
        </w:rPr>
      </w:pPr>
      <w:r>
        <w:rPr>
          <w:color w:val="auto"/>
        </w:rPr>
        <w:t>对进入市政污水收集设施的工业企业进行排查、评估，经评估认定污染物无法被城镇污水处理厂有效处理或可能影响城镇污水处理厂出水稳定达标的，要限期退出。开展中卫工业园区排水含盐量治理专项行动，园区三类中间体项目，需完善废水脱盐装置并正常运行，加强杂盐产量与废水排放量之间关联性的监管，防止企业以水带盐排放。对进入园区污水处理厂的工业企业出水进行监测评估，将特征污染物纳入监督性监测及日常监管，强化企业废水预处理，确保达到园区污水处理厂纳管标准，保障园区污水处理厂设施稳定运行，处理后的尾水稳定达标排放。新建、升级工业园区应同步规划、建设污水集中处理回用设施。</w:t>
      </w:r>
    </w:p>
    <w:p>
      <w:pPr>
        <w:pStyle w:val="130"/>
        <w:ind w:firstLine="480"/>
        <w:rPr>
          <w:color w:val="auto"/>
        </w:rPr>
      </w:pPr>
      <w:r>
        <w:rPr>
          <w:color w:val="auto"/>
        </w:rPr>
        <w:t>2. 城镇生活污染源重点管控区</w:t>
      </w:r>
    </w:p>
    <w:p>
      <w:pPr>
        <w:pStyle w:val="130"/>
        <w:ind w:firstLine="480"/>
        <w:rPr>
          <w:color w:val="auto"/>
        </w:rPr>
      </w:pPr>
      <w:r>
        <w:rPr>
          <w:color w:val="auto"/>
        </w:rPr>
        <w:t>城镇污水集中处理设施的运营单位应当保障污水集中处理设施正常运行，确保出水水质符合国家或者自治区规定的排放标准（《城镇污水处理厂污染物排放标准》一级A标准）。城镇新区的开发和建设，应当因地制宜同步规划建设雨水收集和污水处理设施及其配套管网，实行雨水、污水分流。老旧城区、城中村和城乡结合部等区域，应当逐步实施雨水、污水分流改造。暂时不具备改造条件的区域，应当通过建设调蓄设施、增大截流倍数等措施，预防雨水、污水合流引起的溢流污染。实验室、检验室、化验室产生的酸液、碱液以及其他有毒有害废液，应当按照规定单独收集和安全处置，不得排入城镇污水收集管网或者直接排入水体。医疗污水应当按照有关法律、法规的规定处置。</w:t>
      </w:r>
    </w:p>
    <w:p>
      <w:pPr>
        <w:pStyle w:val="130"/>
        <w:ind w:firstLine="480"/>
        <w:rPr>
          <w:color w:val="auto"/>
        </w:rPr>
      </w:pPr>
      <w:r>
        <w:rPr>
          <w:color w:val="auto"/>
        </w:rPr>
        <w:t>沙坡头区、中宁县和海原县加快城中村、老旧小区、城乡结合部和易地扶贫搬迁安置区的生活污水收集管网建设，加快消除收集管网空白区。对进水浓度明显偏低的污水处理厂开展收水范围内管网排查，实施管网混错接改造、管网更新、破损修复等工程，全面提升现有设施效能。对于人口较少、相对分散或市政管网未覆盖的地区，因地制宜建设分散式污水处理设施。加快污泥处置设施建设，根据污泥无害化处置实际情况，科学确定污泥无害化处置设施建设规模，将污泥处置设施纳入县（区）级污水处理设施建设规划。鼓励经处置后达到《农用污泥污染物控制标准》（GB4284-2018）要求的污泥还田利用。</w:t>
      </w:r>
    </w:p>
    <w:p>
      <w:pPr>
        <w:pStyle w:val="130"/>
        <w:ind w:firstLine="480"/>
        <w:rPr>
          <w:color w:val="auto"/>
        </w:rPr>
      </w:pPr>
      <w:r>
        <w:rPr>
          <w:color w:val="auto"/>
        </w:rPr>
        <w:t>3. 农业污染重点管控区</w:t>
      </w:r>
    </w:p>
    <w:p>
      <w:pPr>
        <w:pStyle w:val="130"/>
        <w:ind w:firstLine="480"/>
        <w:rPr>
          <w:color w:val="auto"/>
        </w:rPr>
      </w:pPr>
      <w:r>
        <w:rPr>
          <w:color w:val="auto"/>
        </w:rPr>
        <w:t>禁止向农田灌溉渠道排放工业废水或者医疗污水。向农田灌溉渠道排放城镇污水以及未综合利用的畜禽养殖废水、农产品加工废水的，应当保证其下游最近的灌溉取水点的水质符合农田灌溉水质标准。</w:t>
      </w:r>
    </w:p>
    <w:p>
      <w:pPr>
        <w:pStyle w:val="130"/>
        <w:ind w:firstLine="480"/>
        <w:rPr>
          <w:color w:val="auto"/>
        </w:rPr>
      </w:pPr>
      <w:r>
        <w:rPr>
          <w:color w:val="auto"/>
        </w:rPr>
        <w:t>县级以上人民政府应当推动城镇污水收集管网向周边村庄延伸。城镇污水收集管网未覆盖的地区，应当分区域建设集中或者分散污水处理设施，收集和处理农村污水。禁止在河流、湖泊、沟渠、水库内丢弃农药、农药包装物或者清洗施用农药的器械。</w:t>
      </w:r>
    </w:p>
    <w:p>
      <w:pPr>
        <w:pStyle w:val="130"/>
        <w:ind w:firstLine="480"/>
        <w:rPr>
          <w:color w:val="auto"/>
        </w:rPr>
      </w:pPr>
      <w:r>
        <w:rPr>
          <w:color w:val="auto"/>
        </w:rPr>
        <w:t>统筹推进农村污水收集管网、集中处理设施建设与农村厕所改造，以县级行政区域为单位，实行农村生活污水处理统一规划、统一建设、统一管理。强化农村污水集中处理排放，重点在第一排水沟、第四排水沟开展农村生活污水和农村黑臭水体治理，推进污水管网与末端处理设施建设。加快配套建设畜禽养殖场（区）粪污无害化处理和资源化利用设施，因地制宜推广粪污全收集还田利用等资源化利用技术，鼓励和引导第三方处理企业对养殖粪污进行专业化集中处理，生产加工有机肥。加强节水改造和节水灌溉工程建设，完善喷灌、滴灌等基础设施，提高建设标准，从源头上削减氮磷流失。全面推行测土配方施肥，加快推广水肥一体化技术和有机肥应用，示范推广高效、低毒、低残留农药。充分利用毛沟、支沟、排碱沟等排水沟，建设生态拦截、净化沟，有效降低农业面源对水环境的影响。</w:t>
      </w:r>
    </w:p>
    <w:p>
      <w:pPr>
        <w:pStyle w:val="130"/>
        <w:ind w:firstLine="0" w:firstLineChars="0"/>
        <w:rPr>
          <w:color w:val="auto"/>
        </w:rPr>
      </w:pPr>
      <w:r>
        <w:rPr>
          <w:color w:val="auto"/>
        </w:rPr>
        <w:t>（3）水环境一般管控区</w:t>
      </w:r>
    </w:p>
    <w:p>
      <w:pPr>
        <w:pStyle w:val="130"/>
        <w:ind w:firstLine="480"/>
        <w:rPr>
          <w:color w:val="auto"/>
        </w:rPr>
      </w:pPr>
      <w:r>
        <w:rPr>
          <w:color w:val="auto"/>
        </w:rPr>
        <w:t>A.管控分区</w:t>
      </w:r>
    </w:p>
    <w:p>
      <w:pPr>
        <w:pStyle w:val="130"/>
        <w:ind w:firstLine="480"/>
        <w:rPr>
          <w:color w:val="auto"/>
        </w:rPr>
      </w:pPr>
      <w:r>
        <w:rPr>
          <w:color w:val="auto"/>
        </w:rPr>
        <w:t>将除水环境优先保护区、水环境重点管控区之外的其他区域作为水环境一般管控区。全市共划定水环境一般管控区21个，面积为12988.51平方公里，占全市面积的95.14%。</w:t>
      </w:r>
    </w:p>
    <w:p>
      <w:pPr>
        <w:pStyle w:val="130"/>
        <w:ind w:firstLine="480"/>
        <w:rPr>
          <w:color w:val="auto"/>
        </w:rPr>
      </w:pPr>
      <w:r>
        <w:rPr>
          <w:color w:val="auto"/>
        </w:rPr>
        <w:t>B.管控要求</w:t>
      </w:r>
    </w:p>
    <w:p>
      <w:pPr>
        <w:pStyle w:val="130"/>
        <w:ind w:firstLine="480"/>
        <w:rPr>
          <w:color w:val="auto"/>
        </w:rPr>
      </w:pPr>
      <w:r>
        <w:rPr>
          <w:color w:val="auto"/>
        </w:rPr>
        <w:t>对于水环境优先保护区、重点管控区以外，现状水质达标的控制断面所对应的一般管控区，应落实《中华人民共和国水污染防治法》等相关法律法规的总体要求，加强水资源节约和保护，积极推动水生态修复治理，持续深入推进水污染防治，改善水环境质量。</w:t>
      </w:r>
    </w:p>
    <w:p>
      <w:pPr>
        <w:pStyle w:val="130"/>
        <w:ind w:firstLine="480"/>
        <w:rPr>
          <w:color w:val="auto"/>
        </w:rPr>
      </w:pPr>
      <w:r>
        <w:rPr>
          <w:color w:val="auto"/>
        </w:rPr>
        <w:t>本项目与中卫市水环境分区管控位置关系见图3。</w:t>
      </w:r>
    </w:p>
    <w:p>
      <w:pPr>
        <w:pStyle w:val="130"/>
        <w:ind w:firstLine="0" w:firstLineChars="0"/>
        <w:rPr>
          <w:color w:val="auto"/>
        </w:rPr>
      </w:pPr>
      <w:r>
        <w:rPr>
          <w:color w:val="auto"/>
        </w:rPr>
        <mc:AlternateContent>
          <mc:Choice Requires="wps">
            <w:drawing>
              <wp:anchor distT="0" distB="0" distL="114300" distR="114300" simplePos="0" relativeHeight="251670528" behindDoc="0" locked="0" layoutInCell="1" allowOverlap="1">
                <wp:simplePos x="0" y="0"/>
                <wp:positionH relativeFrom="column">
                  <wp:posOffset>2652395</wp:posOffset>
                </wp:positionH>
                <wp:positionV relativeFrom="paragraph">
                  <wp:posOffset>2961005</wp:posOffset>
                </wp:positionV>
                <wp:extent cx="678180" cy="301625"/>
                <wp:effectExtent l="313690" t="403860" r="13970" b="10795"/>
                <wp:wrapNone/>
                <wp:docPr id="119" name="圆角矩形标注 31"/>
                <wp:cNvGraphicFramePr/>
                <a:graphic xmlns:a="http://schemas.openxmlformats.org/drawingml/2006/main">
                  <a:graphicData uri="http://schemas.microsoft.com/office/word/2010/wordprocessingShape">
                    <wps:wsp>
                      <wps:cNvSpPr/>
                      <wps:spPr>
                        <a:xfrm flipV="1">
                          <a:off x="0" y="0"/>
                          <a:ext cx="678180" cy="301625"/>
                        </a:xfrm>
                        <a:prstGeom prst="wedgeRoundRectCallout">
                          <a:avLst>
                            <a:gd name="adj1" fmla="val -91760"/>
                            <a:gd name="adj2" fmla="val 175684"/>
                            <a:gd name="adj3" fmla="val 16667"/>
                          </a:avLst>
                        </a:prstGeom>
                        <a:solidFill>
                          <a:srgbClr val="FFFFFF">
                            <a:alpha val="50000"/>
                          </a:srgbClr>
                        </a:solidFill>
                        <a:ln w="9525" cap="flat" cmpd="sng">
                          <a:solidFill>
                            <a:srgbClr val="000000"/>
                          </a:solidFill>
                          <a:prstDash val="solid"/>
                          <a:miter/>
                          <a:headEnd type="none" w="med" len="med"/>
                          <a:tailEnd type="none" w="med" len="med"/>
                        </a:ln>
                        <a:effectLst/>
                      </wps:spPr>
                      <wps:txbx>
                        <w:txbxContent>
                          <w:p>
                            <w:pPr>
                              <w:spacing w:line="360" w:lineRule="exact"/>
                              <w:jc w:val="center"/>
                              <w:rPr>
                                <w:b/>
                              </w:rPr>
                            </w:pPr>
                            <w:r>
                              <w:rPr>
                                <w:rFonts w:hint="eastAsia"/>
                                <w:b/>
                              </w:rPr>
                              <w:t>本项目</w:t>
                            </w:r>
                          </w:p>
                        </w:txbxContent>
                      </wps:txbx>
                      <wps:bodyPr wrap="square" lIns="0" tIns="0" rIns="0" bIns="0" upright="1">
                        <a:noAutofit/>
                      </wps:bodyPr>
                    </wps:wsp>
                  </a:graphicData>
                </a:graphic>
              </wp:anchor>
            </w:drawing>
          </mc:Choice>
          <mc:Fallback>
            <w:pict>
              <v:shape id="圆角矩形标注 31" o:spid="_x0000_s1026" o:spt="62" type="#_x0000_t62" style="position:absolute;left:0pt;flip:y;margin-left:208.85pt;margin-top:233.15pt;height:23.75pt;width:53.4pt;z-index:251670528;mso-width-relative:page;mso-height-relative:page;" fillcolor="#FFFFFF" filled="t" stroked="t" coordsize="21600,21600" o:gfxdata="UEsDBAoAAAAAAIdO4kAAAAAAAAAAAAAAAAAEAAAAZHJzL1BLAwQUAAAACACHTuJA/XV7DtoAAAAL&#10;AQAADwAAAGRycy9kb3ducmV2LnhtbE2PwU7DMAyG70i8Q2Qkbixt13ZTaToBAnHaJAZC2i1tTFLR&#10;JFWTrePtZ05w+y1/+v253pztwE44hd47AekiAYau86p3WsDH+8vdGliI0ik5eIcCfjDAprm+qmWl&#10;/Oze8LSPmlGJC5UUYGIcK85DZ9DKsPAjOtp9+cnKSOOkuZrkTOV24FmSlNzK3tEFI0d8Mth9749W&#10;QNHOn4ds3D0cnl95blDrx91WC3F7kyb3wCKe4x8Mv/qkDg05tf7oVGCDgDxdrQilUJZLYEQUWV4A&#10;aymkyzXwpub/f2guUEsDBBQAAAAIAIdO4kDFugAneQIAAPYEAAAOAAAAZHJzL2Uyb0RvYy54bWyt&#10;VM1uEzEQviPxDpbv7WZTskmjbirUUoSEoGqBu7O2d438h+1kkxegd85IIC7AmTOP08JjMPZu0hQu&#10;CLEHa2zPfvPNNzM+Ol4piZbMeWF0ifP9AUZMV4YKXZf45YuzvQlGPhBNiTSalXjNPD6e3b931Nop&#10;G5rGSMocAhDtp60tcROCnWaZrxqmiN83lmm45MYpEmDr6ow60gK6ktlwMCiy1jhqnamY93B62l3i&#10;WcLnnFXhOeeeBSRLDNxCWl1a53HNZkdkWjtiG1H1NMg/sFBEaAi6hTolgaCFE39AKVE54w0P+5VR&#10;meFcVCzlANnkg9+yuWyIZSkXEMfbrUz+/8FWz5bnDgkKtcsPMdJEQZGu37/9+fndjw9fr79/uvl4&#10;dfPtCzrIo1St9VP449Keu37nwYx5r7hTiEthXwFSUgJyQ6sk9HorNFsFVMFhMZ7kEyhHBVcHg7wY&#10;jiJ61sFEOOt8eMyMQtEocctozS7MQtMLqOgJkdIsQopClk99SMLTnjyhr3OMuJJQxyWRaO8wHxeb&#10;Qu84DXed8vGomDzou2HH6eCOU1EU455oHxcob6hGEt5IQc+ElGnj6vmJdAhIlPgsfR1laRvSnY4G&#10;8PWIvnNPMtzBkRq1JT4cgUioIjAjXJIAprJQNa/rBHrnjx6qixFD3AbZJRiZnxLfdH4JoVNAicBc&#10;moyGEfpIUxTWFvpCwwjjSEYxipFkMPHRSp6BCPk3nqCY1FEelqYTqhcrHxura6VohdV8BafRnBu6&#10;hgZtYUIh2TcL4oCBfKJhBOI4bwy3MeYbY2GdqBvona4btXm4CIaLbbQOuA8Nw5V07x+COL27++R1&#10;+1zN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9dXsO2gAAAAsBAAAPAAAAAAAAAAEAIAAAACIA&#10;AABkcnMvZG93bnJldi54bWxQSwECFAAUAAAACACHTuJAxboAJ3kCAAD2BAAADgAAAAAAAAABACAA&#10;AAApAQAAZHJzL2Uyb0RvYy54bWxQSwUGAAAAAAYABgBZAQAAFAYAAAAA&#10;" adj="-9020,48748,14400">
                <v:fill on="t" opacity="32768f" focussize="0,0"/>
                <v:stroke color="#000000" joinstyle="miter"/>
                <v:imagedata o:title=""/>
                <o:lock v:ext="edit" aspectratio="f"/>
                <v:textbox inset="0mm,0mm,0mm,0mm">
                  <w:txbxContent>
                    <w:p>
                      <w:pPr>
                        <w:spacing w:line="360" w:lineRule="exact"/>
                        <w:jc w:val="center"/>
                        <w:rPr>
                          <w:b/>
                        </w:rPr>
                      </w:pPr>
                      <w:r>
                        <w:rPr>
                          <w:rFonts w:hint="eastAsia"/>
                          <w:b/>
                        </w:rPr>
                        <w:t>本项目</w:t>
                      </w:r>
                    </w:p>
                  </w:txbxContent>
                </v:textbox>
              </v:shape>
            </w:pict>
          </mc:Fallback>
        </mc:AlternateContent>
      </w:r>
      <w:r>
        <w:rPr>
          <w:color w:val="auto"/>
        </w:rPr>
        <mc:AlternateContent>
          <mc:Choice Requires="wps">
            <w:drawing>
              <wp:anchor distT="0" distB="0" distL="114300" distR="114300" simplePos="0" relativeHeight="251671552" behindDoc="0" locked="0" layoutInCell="1" allowOverlap="1">
                <wp:simplePos x="0" y="0"/>
                <wp:positionH relativeFrom="column">
                  <wp:posOffset>2313305</wp:posOffset>
                </wp:positionH>
                <wp:positionV relativeFrom="paragraph">
                  <wp:posOffset>2535555</wp:posOffset>
                </wp:positionV>
                <wp:extent cx="75565" cy="75565"/>
                <wp:effectExtent l="4445" t="4445" r="11430" b="11430"/>
                <wp:wrapNone/>
                <wp:docPr id="47" name="椭圆 45"/>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txbx>
                        <w:txbxContent>
                          <w:p>
                            <w:pPr>
                              <w:ind w:firstLine="480"/>
                              <w:jc w:val="center"/>
                            </w:pPr>
                          </w:p>
                        </w:txbxContent>
                      </wps:txbx>
                      <wps:bodyPr wrap="square" upright="1"/>
                    </wps:wsp>
                  </a:graphicData>
                </a:graphic>
              </wp:anchor>
            </w:drawing>
          </mc:Choice>
          <mc:Fallback>
            <w:pict>
              <v:shape id="椭圆 45" o:spid="_x0000_s1026" o:spt="3" type="#_x0000_t3" style="position:absolute;left:0pt;margin-left:182.15pt;margin-top:199.65pt;height:5.95pt;width:5.95pt;z-index:251671552;mso-width-relative:page;mso-height-relative:page;" fillcolor="#FF0000" filled="t" stroked="t" coordsize="21600,21600" o:gfxdata="UEsDBAoAAAAAAIdO4kAAAAAAAAAAAAAAAAAEAAAAZHJzL1BLAwQUAAAACACHTuJAqt30f9gAAAAL&#10;AQAADwAAAGRycy9kb3ducmV2LnhtbE2PPU/DMBCGdyT+g3VIbNRxUkKTxumAhBgbCgubGzuJVX9E&#10;ttu0/55jgu093aP3nmt2V2vIRYWovePAVhkQ5XovtRs5fH2+PW2AxCScFMY7xeGmIuza+7tG1NIv&#10;7kNdDmkkWOJiLThMKc01pbGflBVx5WflcDf4YEXCMYxUBrFguTU0z7KSWqEdXpjErF4n1Z8OZ8sh&#10;3Ba/Yea76/Z61EP3PFT2fc/54wPLtkCSuqY/GH71UR1adDr6s5ORGA5FuS4QxVBVGJAoXsocyJHD&#10;mrEcaNvQ/z+0P1BLAwQUAAAACACHTuJAkDQh1ekBAADhAwAADgAAAGRycy9lMm9Eb2MueG1srVPN&#10;jtMwEL4j8Q6W7zRttd2FaNM9UMoFwUq7PMDUdhJL/sPjNukL8BQcufJY8ByMndJl4bJC5OCM7ck3&#10;3/fN5PpmtIYdVETtXcMXszlnygkvtesa/vF+++IlZ5jASTDeqYYfFfKb9fNn10Oo1dL33kgVGYE4&#10;rIfQ8D6lUFcVil5ZwJkPytFl66OFRNvYVTLCQOjWVMv5/LIafJQheqEQ6XQzXfJ1wW9bJdKHtkWV&#10;mGk4cUtljWXd5bVaX0PdRQi9Fica8A8sLGhHRc9QG0jA9lH/BWW1iB59m2bC28q3rRaqaCA1i/kf&#10;au56CKpoIXMwnG3C/wcr3h9uI9Oy4RdXnDmw1KMfX799//KZXayyO0PAmpLuwm087ZDCLHVso81v&#10;EsHG4ujx7KgaExN0eLVaXa44E3QzhYRRPXwaIqa3yluWg4YrY3TArBhqOLzDNGX/ysrH6I2WW21M&#10;2cRu99pEdgDq7nY7pydTpgKP0oxjQ8NfrZaZCdCQtQYShTaQbHRdqffoC3wacCa2AewnAgVhGqhe&#10;gXzjJEvHQH46mnyeKVglOTOKfpQcEVOoE2jzlEzSZBxJy+2YGpCjNO5GgsnhzssjdXKgUSZRn/YQ&#10;qeY+RN315Oyi+JLzaI6KQ6eZz4P6+76UePgz1z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qt30&#10;f9gAAAALAQAADwAAAAAAAAABACAAAAAiAAAAZHJzL2Rvd25yZXYueG1sUEsBAhQAFAAAAAgAh07i&#10;QJA0IdXpAQAA4QMAAA4AAAAAAAAAAQAgAAAAJwEAAGRycy9lMm9Eb2MueG1sUEsFBgAAAAAGAAYA&#10;WQEAAIIFAAAAAA==&#10;">
                <v:fill on="t" focussize="0,0"/>
                <v:stroke color="#FF0000" joinstyle="round"/>
                <v:imagedata o:title=""/>
                <o:lock v:ext="edit" aspectratio="f"/>
                <v:textbox>
                  <w:txbxContent>
                    <w:p>
                      <w:pPr>
                        <w:ind w:firstLine="480"/>
                        <w:jc w:val="center"/>
                      </w:pPr>
                    </w:p>
                  </w:txbxContent>
                </v:textbox>
              </v:shape>
            </w:pict>
          </mc:Fallback>
        </mc:AlternateContent>
      </w:r>
      <w:r>
        <w:rPr>
          <w:color w:val="auto"/>
        </w:rPr>
        <w:drawing>
          <wp:inline distT="0" distB="0" distL="114300" distR="114300">
            <wp:extent cx="5396865" cy="7633335"/>
            <wp:effectExtent l="0" t="0" r="13335" b="1905"/>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13"/>
                    <a:stretch>
                      <a:fillRect/>
                    </a:stretch>
                  </pic:blipFill>
                  <pic:spPr>
                    <a:xfrm>
                      <a:off x="0" y="0"/>
                      <a:ext cx="5396865" cy="7633335"/>
                    </a:xfrm>
                    <a:prstGeom prst="rect">
                      <a:avLst/>
                    </a:prstGeom>
                    <a:noFill/>
                    <a:ln>
                      <a:noFill/>
                    </a:ln>
                  </pic:spPr>
                </pic:pic>
              </a:graphicData>
            </a:graphic>
          </wp:inline>
        </w:drawing>
      </w:r>
    </w:p>
    <w:p>
      <w:pPr>
        <w:pStyle w:val="130"/>
        <w:ind w:firstLine="0" w:firstLineChars="0"/>
        <w:jc w:val="center"/>
        <w:rPr>
          <w:b/>
          <w:bCs w:val="0"/>
          <w:color w:val="auto"/>
        </w:rPr>
      </w:pPr>
      <w:r>
        <w:rPr>
          <w:b/>
          <w:bCs w:val="0"/>
          <w:color w:val="auto"/>
        </w:rPr>
        <w:t>图3 本项目与中卫市水环境分区管控位置关系图</w:t>
      </w:r>
    </w:p>
    <w:p>
      <w:pPr>
        <w:pStyle w:val="130"/>
        <w:ind w:firstLine="480"/>
        <w:rPr>
          <w:color w:val="auto"/>
        </w:rPr>
      </w:pPr>
    </w:p>
    <w:p>
      <w:pPr>
        <w:pStyle w:val="130"/>
        <w:ind w:firstLine="480"/>
        <w:rPr>
          <w:color w:val="auto"/>
        </w:rPr>
      </w:pPr>
      <w:r>
        <w:rPr>
          <w:color w:val="auto"/>
        </w:rPr>
        <w:t>本项目位于宁夏中卫市永康镇阳沟村中卫市生活垃圾填埋场西侧，属于中卫市水环境分区管控中的一般管控区。本项目生活污水直接排入现有化粪池，化粪池满后用吸污车运送至中卫市生活垃圾填埋场的渗滤液调蓄池；生产废水经新建污水处理站（A</w:t>
      </w:r>
      <w:r>
        <w:rPr>
          <w:color w:val="auto"/>
          <w:vertAlign w:val="superscript"/>
        </w:rPr>
        <w:t>2</w:t>
      </w:r>
      <w:r>
        <w:rPr>
          <w:color w:val="auto"/>
        </w:rPr>
        <w:t>O+MBR+消毒工艺，处理规模10m</w:t>
      </w:r>
      <w:r>
        <w:rPr>
          <w:color w:val="auto"/>
          <w:vertAlign w:val="superscript"/>
        </w:rPr>
        <w:t>3</w:t>
      </w:r>
      <w:r>
        <w:rPr>
          <w:color w:val="auto"/>
        </w:rPr>
        <w:t>/d）处理后达到《医疗机构水污染物排放标准》（GB18466-2005）综合医疗机构和其他医疗机构水污染物排放限值及《城市污水再生利用 城市杂用水水质》（GB/T18920-2020）中</w:t>
      </w:r>
      <w:r>
        <w:rPr>
          <w:rFonts w:hint="eastAsia"/>
          <w:color w:val="auto"/>
        </w:rPr>
        <w:t>城市绿化、道路清扫、消防、建筑施工</w:t>
      </w:r>
      <w:r>
        <w:rPr>
          <w:color w:val="auto"/>
        </w:rPr>
        <w:t>要求，作为中卫市垃圾填埋场道路抑尘用水，不外排。本项目废水不直接进入区域地表水体，不会改变区域水环境质量现状，满足地表水环境质量底线及分区管控要求。</w:t>
      </w:r>
    </w:p>
    <w:p>
      <w:pPr>
        <w:pStyle w:val="7"/>
        <w:numPr>
          <w:ilvl w:val="4"/>
          <w:numId w:val="0"/>
        </w:numPr>
        <w:rPr>
          <w:color w:val="auto"/>
        </w:rPr>
      </w:pPr>
      <w:r>
        <w:rPr>
          <w:color w:val="auto"/>
        </w:rPr>
        <w:t>4.2.2.2大气环境质量底线及分区管控</w:t>
      </w:r>
    </w:p>
    <w:p>
      <w:pPr>
        <w:pStyle w:val="130"/>
        <w:ind w:firstLine="480"/>
        <w:rPr>
          <w:color w:val="auto"/>
        </w:rPr>
      </w:pPr>
      <w:r>
        <w:rPr>
          <w:color w:val="auto"/>
        </w:rPr>
        <w:t>基于大气环境脆弱性、敏感性、重要性评价结果，考虑大气污染传输规律和城市用地特征，识别网格单元主导属性，将中卫市划分为大气环境优先保护区、大气环境重点管控区和大气环境一般管控区，实施分类管理。</w:t>
      </w:r>
    </w:p>
    <w:p>
      <w:pPr>
        <w:pStyle w:val="130"/>
        <w:ind w:firstLine="0" w:firstLineChars="0"/>
        <w:rPr>
          <w:color w:val="auto"/>
        </w:rPr>
      </w:pPr>
      <w:r>
        <w:rPr>
          <w:color w:val="auto"/>
        </w:rPr>
        <w:t>（1）大气环境优先保护区</w:t>
      </w:r>
    </w:p>
    <w:p>
      <w:pPr>
        <w:pStyle w:val="130"/>
        <w:ind w:firstLine="480"/>
        <w:rPr>
          <w:color w:val="auto"/>
        </w:rPr>
      </w:pPr>
      <w:r>
        <w:rPr>
          <w:color w:val="auto"/>
        </w:rPr>
        <w:t>A.管控分区</w:t>
      </w:r>
    </w:p>
    <w:p>
      <w:pPr>
        <w:pStyle w:val="130"/>
        <w:ind w:firstLine="480"/>
        <w:rPr>
          <w:color w:val="auto"/>
        </w:rPr>
      </w:pPr>
      <w:r>
        <w:rPr>
          <w:color w:val="auto"/>
        </w:rPr>
        <w:t>将全市范围内的自然保护区、风景名胜区、森林公园等环境空气质量功能一类区识别为大气环境优先保护区，总面积375.26平方公里，占全市面积的2.75%。</w:t>
      </w:r>
    </w:p>
    <w:p>
      <w:pPr>
        <w:pStyle w:val="130"/>
        <w:ind w:firstLine="480"/>
        <w:rPr>
          <w:color w:val="auto"/>
        </w:rPr>
      </w:pPr>
      <w:r>
        <w:rPr>
          <w:color w:val="auto"/>
        </w:rPr>
        <w:t>B.管控要求</w:t>
      </w:r>
    </w:p>
    <w:p>
      <w:pPr>
        <w:pStyle w:val="130"/>
        <w:ind w:firstLine="480"/>
        <w:rPr>
          <w:color w:val="auto"/>
        </w:rPr>
      </w:pPr>
      <w:r>
        <w:rPr>
          <w:color w:val="auto"/>
        </w:rPr>
        <w:t>严格落实相关法律法规对自然保护区、风景名胜区的保护要求，禁止新建、扩建涉及大气污染物排放的各类工业项目及生活垃圾焚烧发电项目，现有项目依法拆除或关停。</w:t>
      </w:r>
    </w:p>
    <w:p>
      <w:pPr>
        <w:pStyle w:val="130"/>
        <w:ind w:firstLine="0" w:firstLineChars="0"/>
        <w:rPr>
          <w:color w:val="auto"/>
        </w:rPr>
      </w:pPr>
      <w:r>
        <w:rPr>
          <w:color w:val="auto"/>
        </w:rPr>
        <w:t>（2）大气环境重点管控区</w:t>
      </w:r>
    </w:p>
    <w:p>
      <w:pPr>
        <w:pStyle w:val="130"/>
        <w:ind w:firstLine="480"/>
        <w:rPr>
          <w:color w:val="auto"/>
        </w:rPr>
      </w:pPr>
      <w:r>
        <w:rPr>
          <w:color w:val="auto"/>
        </w:rPr>
        <w:t>A.管控分区</w:t>
      </w:r>
    </w:p>
    <w:p>
      <w:pPr>
        <w:pStyle w:val="130"/>
        <w:ind w:firstLine="480"/>
        <w:rPr>
          <w:color w:val="auto"/>
        </w:rPr>
      </w:pPr>
      <w:r>
        <w:rPr>
          <w:color w:val="auto"/>
        </w:rPr>
        <w:t>将工业园区等大气污染物高排放区域，上风向、扩散通道、环流通道等对环境空气质量影响较显著的布局敏感区域，静风或风速较小的弱扩散区域，人群密集的受体敏感区域，识别为大气环境重点管控区，总面积1111.64平方公里，占全市面积的8.14%。</w:t>
      </w:r>
    </w:p>
    <w:p>
      <w:pPr>
        <w:pStyle w:val="130"/>
        <w:ind w:firstLine="480"/>
        <w:rPr>
          <w:color w:val="auto"/>
        </w:rPr>
      </w:pPr>
      <w:r>
        <w:rPr>
          <w:color w:val="auto"/>
        </w:rPr>
        <w:t>B.管控要求</w:t>
      </w:r>
    </w:p>
    <w:p>
      <w:pPr>
        <w:pStyle w:val="130"/>
        <w:ind w:firstLine="480"/>
        <w:rPr>
          <w:color w:val="auto"/>
        </w:rPr>
      </w:pPr>
      <w:r>
        <w:rPr>
          <w:color w:val="auto"/>
        </w:rPr>
        <w:t>大气环境受体敏感重点管控区：严格落实建筑工地“六个 100%”防控措施，实行清单动态更新管理，持续加强施工扬尘管控水平。进一步提高机械化清扫率，从严从细规范渣土车管理，继续在全市推广“以克论净”。持续推进国土绿化，提高城市绿地面积和绿化率，基本消除建成区裸露空地。加大餐饮业油烟污染整治力度，餐饮经营场所全部安装油烟净化设施，设施正常使用率不低于95</w:t>
      </w:r>
      <w:r>
        <w:rPr>
          <w:rFonts w:hint="eastAsia"/>
          <w:color w:val="auto"/>
        </w:rPr>
        <w:t>%</w:t>
      </w:r>
      <w:r>
        <w:rPr>
          <w:color w:val="auto"/>
        </w:rPr>
        <w:t>，鼓励规模以上餐饮企业试点安装油烟在线监控装置。加快推进热电联产、余热利用、集中供热工程建设，结合老旧小区改造，扩大清洁取暖范围，禁止露天焚烧产生有毒有害烟尘和恶臭气体的物质或将其用作燃料。加快城市轨道交通、公交专用道、快速公交系统（BRT）等公共交通建设，完善新能源汽车配套设施，不断提高新能源汽车保有量，合理控制燃油机动车使用强度。</w:t>
      </w:r>
    </w:p>
    <w:p>
      <w:pPr>
        <w:pStyle w:val="130"/>
        <w:ind w:firstLine="480"/>
        <w:rPr>
          <w:color w:val="auto"/>
        </w:rPr>
      </w:pPr>
      <w:r>
        <w:rPr>
          <w:color w:val="auto"/>
        </w:rPr>
        <w:t>大气环境布局敏感重点管控区和弱扩散重点管控区：严格限制新增重点污染物排放项目，煤电、化工、钢铁、有色金属冶炼、建材等高排放行业新、改、扩建项目，实行重点污染物减量置换。</w:t>
      </w:r>
    </w:p>
    <w:p>
      <w:pPr>
        <w:pStyle w:val="130"/>
        <w:ind w:firstLine="480"/>
        <w:rPr>
          <w:color w:val="auto"/>
        </w:rPr>
      </w:pPr>
      <w:r>
        <w:rPr>
          <w:color w:val="auto"/>
        </w:rPr>
        <w:t>大气环境高排放重点管控区：未达到大气环境质量标准的地区，新增排放大气污染物项目大气污染物排放总量实行倍量置换；已达到大气环境质量标准的地区，应当严格控制新增排放大气污染物项目大气污染物排放量。全面淘汰工业园区集中供热范围内35蒸吨/小时及以下燃煤锅炉和其他产业集聚区内20蒸吨/小时以下燃煤锅炉，禁止新建35蒸吨/小时及以下燃煤锅炉，保留及新建锅炉需达到特别排放限值要求。严格控制水泥、建材、铸造、焦化、冶炼等行业生产工艺过程及相关物料储存、输送等无组织排放，对煤炭、煤矸石、煤渣、煤灰、水泥、石灰等易产生粉尘的物料建设全封闭式堆场或采用防风抑尘网进行储存；运输采用密闭皮带、封闭通廊、管状带式输送机等方式，并采取洒水、喷淋、苫盖等综合措施进行抑尘。持续推进钢铁企业超低排放改造和工业炉窑大气污染治理，配套建设高效脱硫脱硝除尘等设施。推进制药、农药、焦化、染料等涉VOCs排放的工业企业建设高效VOCs治理设施。全面推进涉及VOCs排放的工业企业设备动静密封点、储存、装卸、废水处理系统、有组织工艺废气和非正常工况等源项整治，有效控制烟气脱硝和氨法脱硫过程中氨逃逸。升级钢铁、建材、化工、水泥领域工艺技术，控制工业过程温室气体排放。积极开展火电行业CO</w:t>
      </w:r>
      <w:r>
        <w:rPr>
          <w:color w:val="auto"/>
          <w:vertAlign w:val="subscript"/>
        </w:rPr>
        <w:t>2</w:t>
      </w:r>
      <w:r>
        <w:rPr>
          <w:color w:val="auto"/>
        </w:rPr>
        <w:t>排放总量控制试点，提高煤炭高效利用水平。</w:t>
      </w:r>
    </w:p>
    <w:p>
      <w:pPr>
        <w:pStyle w:val="130"/>
        <w:ind w:firstLine="0" w:firstLineChars="0"/>
        <w:rPr>
          <w:color w:val="auto"/>
        </w:rPr>
      </w:pPr>
      <w:r>
        <w:rPr>
          <w:color w:val="auto"/>
        </w:rPr>
        <w:t>（3）大气环境一般管控区</w:t>
      </w:r>
    </w:p>
    <w:p>
      <w:pPr>
        <w:pStyle w:val="130"/>
        <w:ind w:firstLine="480"/>
        <w:rPr>
          <w:color w:val="auto"/>
        </w:rPr>
      </w:pPr>
      <w:r>
        <w:rPr>
          <w:color w:val="auto"/>
        </w:rPr>
        <w:t>A.管控分区</w:t>
      </w:r>
    </w:p>
    <w:p>
      <w:pPr>
        <w:pStyle w:val="130"/>
        <w:ind w:firstLine="480"/>
        <w:rPr>
          <w:color w:val="auto"/>
        </w:rPr>
      </w:pPr>
      <w:r>
        <w:rPr>
          <w:color w:val="auto"/>
        </w:rPr>
        <w:t>将大气环境优先保护区、重点管控区外的其他区域划分为大气环境一般管控区，总面积12164.47平方公里，占全市面积的89.11%。</w:t>
      </w:r>
    </w:p>
    <w:p>
      <w:pPr>
        <w:pStyle w:val="130"/>
        <w:ind w:firstLine="480"/>
        <w:rPr>
          <w:color w:val="auto"/>
        </w:rPr>
      </w:pPr>
      <w:r>
        <w:rPr>
          <w:color w:val="auto"/>
        </w:rPr>
        <w:t>B.管控要求</w:t>
      </w:r>
    </w:p>
    <w:p>
      <w:pPr>
        <w:pStyle w:val="130"/>
        <w:ind w:firstLine="480"/>
        <w:rPr>
          <w:color w:val="auto"/>
        </w:rPr>
      </w:pPr>
      <w:r>
        <w:rPr>
          <w:color w:val="auto"/>
        </w:rPr>
        <w:t>落实《中华人民共和国大气污染防治法》等相关法律法规的一般要求，在满足区域基本的污染物排放标准和污染防治要求基础上，进一步采用更清洁的生产方式和更有效的污染治理措施，推动区域环境空气质量持续改善。毗邻大气环境优先保护区的新建项目，还应特别注意污染物排放对优先保护区的影响，应优化选址方案或采取有效的污染防治措施，避免对一类区空气质量造成不利影响。</w:t>
      </w:r>
    </w:p>
    <w:p>
      <w:pPr>
        <w:pStyle w:val="417"/>
        <w:ind w:firstLine="480"/>
        <w:rPr>
          <w:rFonts w:cs="Times New Roman"/>
          <w:color w:val="auto"/>
        </w:rPr>
      </w:pPr>
      <w:r>
        <w:rPr>
          <w:rFonts w:cs="Times New Roman"/>
          <w:color w:val="auto"/>
        </w:rPr>
        <w:t>本项目位于宁夏中卫市永康镇阳沟村中卫市生活垃圾填埋场西侧，属于中卫市大气环境分区管控中的一般管控区。本项目营运期</w:t>
      </w:r>
      <w:r>
        <w:rPr>
          <w:rFonts w:hint="eastAsia" w:cs="Times New Roman"/>
          <w:color w:val="auto"/>
        </w:rPr>
        <w:t>全厂</w:t>
      </w:r>
      <w:r>
        <w:rPr>
          <w:rFonts w:cs="Times New Roman"/>
          <w:color w:val="auto"/>
        </w:rPr>
        <w:t>高温蒸汽灭菌系统废气主要污染物为VOCs（以非甲烷总烃计）、NH</w:t>
      </w:r>
      <w:r>
        <w:rPr>
          <w:rFonts w:cs="Times New Roman"/>
          <w:color w:val="auto"/>
          <w:vertAlign w:val="subscript"/>
        </w:rPr>
        <w:t>3</w:t>
      </w:r>
      <w:r>
        <w:rPr>
          <w:rFonts w:cs="Times New Roman"/>
          <w:color w:val="auto"/>
        </w:rPr>
        <w:t>、H</w:t>
      </w:r>
      <w:r>
        <w:rPr>
          <w:rFonts w:cs="Times New Roman"/>
          <w:color w:val="auto"/>
          <w:vertAlign w:val="subscript"/>
        </w:rPr>
        <w:t>2</w:t>
      </w:r>
      <w:r>
        <w:rPr>
          <w:rFonts w:cs="Times New Roman"/>
          <w:color w:val="auto"/>
        </w:rPr>
        <w:t>S、粉尘等，医疗废物贮存废气主要污染物为VOCs（以非甲烷总烃计）、NH</w:t>
      </w:r>
      <w:r>
        <w:rPr>
          <w:rFonts w:cs="Times New Roman"/>
          <w:color w:val="auto"/>
          <w:vertAlign w:val="subscript"/>
        </w:rPr>
        <w:t>3</w:t>
      </w:r>
      <w:r>
        <w:rPr>
          <w:rFonts w:cs="Times New Roman"/>
          <w:color w:val="auto"/>
        </w:rPr>
        <w:t>、H</w:t>
      </w:r>
      <w:r>
        <w:rPr>
          <w:rFonts w:cs="Times New Roman"/>
          <w:color w:val="auto"/>
          <w:vertAlign w:val="subscript"/>
        </w:rPr>
        <w:t>2</w:t>
      </w:r>
      <w:r>
        <w:rPr>
          <w:rFonts w:cs="Times New Roman"/>
          <w:color w:val="auto"/>
        </w:rPr>
        <w:t>S，</w:t>
      </w:r>
      <w:r>
        <w:rPr>
          <w:rFonts w:hint="eastAsia" w:cs="Times New Roman"/>
          <w:color w:val="auto"/>
        </w:rPr>
        <w:t>2套</w:t>
      </w:r>
      <w:r>
        <w:rPr>
          <w:rFonts w:cs="Times New Roman"/>
          <w:color w:val="auto"/>
        </w:rPr>
        <w:t>高温蒸汽灭菌</w:t>
      </w:r>
      <w:r>
        <w:rPr>
          <w:rFonts w:hint="eastAsia" w:cs="Times New Roman"/>
          <w:color w:val="auto"/>
        </w:rPr>
        <w:t>系统产生的</w:t>
      </w:r>
      <w:r>
        <w:rPr>
          <w:rFonts w:cs="Times New Roman"/>
          <w:color w:val="auto"/>
        </w:rPr>
        <w:t>废气先通过</w:t>
      </w:r>
      <w:r>
        <w:rPr>
          <w:rFonts w:hint="eastAsia" w:cs="Times New Roman"/>
          <w:color w:val="auto"/>
        </w:rPr>
        <w:t>各自</w:t>
      </w:r>
      <w:r>
        <w:rPr>
          <w:rFonts w:cs="Times New Roman"/>
          <w:color w:val="auto"/>
        </w:rPr>
        <w:t>设备自带的“生物过滤+活性炭吸”进行预处理后，汇同医疗废物贮存废气一起通过“碱洗喷淋+等离子+活性炭”工艺处理，最终通过15m高排气筒达标排放</w:t>
      </w:r>
      <w:r>
        <w:rPr>
          <w:rFonts w:hint="eastAsia" w:cs="Times New Roman"/>
          <w:color w:val="auto"/>
        </w:rPr>
        <w:t>，</w:t>
      </w:r>
      <w:r>
        <w:rPr>
          <w:rFonts w:cs="Times New Roman"/>
          <w:color w:val="auto"/>
        </w:rPr>
        <w:t>满足大气环境质量底线及分区管控要求。本项目与中卫市大气环境分区管控位置关系见图4。</w:t>
      </w:r>
    </w:p>
    <w:p>
      <w:pPr>
        <w:pStyle w:val="130"/>
        <w:ind w:firstLine="0" w:firstLineChars="0"/>
        <w:rPr>
          <w:color w:val="auto"/>
        </w:rPr>
      </w:pPr>
      <w:r>
        <w:rPr>
          <w:color w:val="auto"/>
        </w:rPr>
        <mc:AlternateContent>
          <mc:Choice Requires="wps">
            <w:drawing>
              <wp:anchor distT="0" distB="0" distL="114300" distR="114300" simplePos="0" relativeHeight="251672576" behindDoc="0" locked="0" layoutInCell="1" allowOverlap="1">
                <wp:simplePos x="0" y="0"/>
                <wp:positionH relativeFrom="column">
                  <wp:posOffset>2492375</wp:posOffset>
                </wp:positionH>
                <wp:positionV relativeFrom="paragraph">
                  <wp:posOffset>3006725</wp:posOffset>
                </wp:positionV>
                <wp:extent cx="678180" cy="301625"/>
                <wp:effectExtent l="162560" t="439420" r="12700" b="5715"/>
                <wp:wrapNone/>
                <wp:docPr id="56" name="圆角矩形标注 31"/>
                <wp:cNvGraphicFramePr/>
                <a:graphic xmlns:a="http://schemas.openxmlformats.org/drawingml/2006/main">
                  <a:graphicData uri="http://schemas.microsoft.com/office/word/2010/wordprocessingShape">
                    <wps:wsp>
                      <wps:cNvSpPr/>
                      <wps:spPr>
                        <a:xfrm flipV="1">
                          <a:off x="0" y="0"/>
                          <a:ext cx="678180" cy="301625"/>
                        </a:xfrm>
                        <a:prstGeom prst="wedgeRoundRectCallout">
                          <a:avLst>
                            <a:gd name="adj1" fmla="val -70411"/>
                            <a:gd name="adj2" fmla="val 185789"/>
                            <a:gd name="adj3" fmla="val 16667"/>
                          </a:avLst>
                        </a:prstGeom>
                        <a:solidFill>
                          <a:srgbClr val="FFFFFF">
                            <a:alpha val="50000"/>
                          </a:srgbClr>
                        </a:solidFill>
                        <a:ln w="9525" cap="flat" cmpd="sng">
                          <a:solidFill>
                            <a:srgbClr val="000000"/>
                          </a:solidFill>
                          <a:prstDash val="solid"/>
                          <a:miter/>
                          <a:headEnd type="none" w="med" len="med"/>
                          <a:tailEnd type="none" w="med" len="med"/>
                        </a:ln>
                        <a:effectLst/>
                      </wps:spPr>
                      <wps:txbx>
                        <w:txbxContent>
                          <w:p>
                            <w:pPr>
                              <w:spacing w:line="360" w:lineRule="exact"/>
                              <w:jc w:val="center"/>
                              <w:rPr>
                                <w:b/>
                              </w:rPr>
                            </w:pPr>
                            <w:r>
                              <w:rPr>
                                <w:rFonts w:hint="eastAsia"/>
                                <w:b/>
                              </w:rPr>
                              <w:t>本项目</w:t>
                            </w:r>
                          </w:p>
                        </w:txbxContent>
                      </wps:txbx>
                      <wps:bodyPr wrap="square" lIns="0" tIns="0" rIns="0" bIns="0" upright="1">
                        <a:noAutofit/>
                      </wps:bodyPr>
                    </wps:wsp>
                  </a:graphicData>
                </a:graphic>
              </wp:anchor>
            </w:drawing>
          </mc:Choice>
          <mc:Fallback>
            <w:pict>
              <v:shape id="圆角矩形标注 31" o:spid="_x0000_s1026" o:spt="62" type="#_x0000_t62" style="position:absolute;left:0pt;flip:y;margin-left:196.25pt;margin-top:236.75pt;height:23.75pt;width:53.4pt;z-index:251672576;mso-width-relative:page;mso-height-relative:page;" fillcolor="#FFFFFF" filled="t" stroked="t" coordsize="21600,21600" o:gfxdata="UEsDBAoAAAAAAIdO4kAAAAAAAAAAAAAAAAAEAAAAZHJzL1BLAwQUAAAACACHTuJAg8+ZENoAAAAL&#10;AQAADwAAAGRycy9kb3ducmV2LnhtbE2PPU/DMBCGdyT+g3VIbNTORykJuXSg6sAAUgMLmxO7SUR8&#10;jmI3Sf89ZoLtTvfovect9qsZ2Kwn11tCiDYCmKbGqp5ahM+P48MTMOclKTlY0ghX7WBf3t4UMld2&#10;oZOeK9+yEEIulwid92POuWs6baTb2FFTuJ3tZKQP69RyNcklhJuBx0I8ciN7Ch86OeqXTjff1cUg&#10;fLmjqtf31925PSwHSt+u7TpXiPd3kXgG5vXq/2D41Q/qUAan2l5IOTYgJFm8DShCukvCEIg0yxJg&#10;NcI2jgTwsuD/O5Q/UEsDBBQAAAAIAIdO4kDXL1i5egIAAPUEAAAOAAAAZHJzL2Uyb0RvYy54bWyt&#10;VM1uEzEQviPxDpbv7e4mZJNG3VSooQgJQdUCd2ft3TXyH7aTTV6A3jkjgbgAZ848TguPwdi7SVO4&#10;IMQerLE9+80338z4+GQtBVox67hWBc4OU4yYKjXlqi7wyxdnBxOMnCeKEqEVK/CGOXwyu3/vuDVT&#10;NtCNFpRZBCDKTVtT4MZ7M00SVzZMEneoDVNwWWkriYetrRNqSQvoUiSDNM2TVltqrC6Zc3A67y7x&#10;LOJXFSv986pyzCNRYODm42rjughrMjsm09oS0/Cyp0H+gYUkXEHQHdSceIKWlv8BJXlptdOVPyy1&#10;THRV8ZLFHCCbLP0tm8uGGBZzAXGc2cnk/h9s+Wx1bhGnBR7lGCkioUbX79/+/Pzux4ev198/3Xy8&#10;uvn2BQ2zoFRr3BR+uDTntt85MEPa68pKVAluXkETRCEgNbSOOm92OrO1RyUc5uNJNoFqlHA1TLN8&#10;MAroSQcT4Ix1/jHTEgWjwC2jNbvQS0UvoKCnRAi99DEKWT11PupOe/KEvs4wqqSAMq6IQAfj9EEW&#10;2UNx9pwG+07ZZDSeHPXNsOc0vOOU5/m4J9rHBcpbqoGE04LTMy5E3Nh6cSosAhIFPotfR1mYhnSn&#10;oxS+HtF17lGGOzhCobbARyMQCZUERqQSxIMpDRTNqTqC3vmjh+pihBC3QfYJBuZz4prOLyJ0Ckju&#10;mY2D0TBCHymK/MZAXyiYYBzISEYxEgwGPljR0xMu/sYTFBMqyMPicEL1QuVDY3WtFCy/XqzhNJgL&#10;TTfQny0MKCT7ZkksMBBPFExAmOatYbfGYmssjeV1A73TdaPSD5deV3wXrQPuQ8NsRd37dyAM7/4+&#10;et2+VrN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g8+ZENoAAAALAQAADwAAAAAAAAABACAAAAAi&#10;AAAAZHJzL2Rvd25yZXYueG1sUEsBAhQAFAAAAAgAh07iQNcvWLl6AgAA9QQAAA4AAAAAAAAAAQAg&#10;AAAAKQEAAGRycy9lMm9Eb2MueG1sUEsFBgAAAAAGAAYAWQEAABUGAAAAAA==&#10;" adj="-4409,50930,14400">
                <v:fill on="t" opacity="32768f" focussize="0,0"/>
                <v:stroke color="#000000" joinstyle="miter"/>
                <v:imagedata o:title=""/>
                <o:lock v:ext="edit" aspectratio="f"/>
                <v:textbox inset="0mm,0mm,0mm,0mm">
                  <w:txbxContent>
                    <w:p>
                      <w:pPr>
                        <w:spacing w:line="360" w:lineRule="exact"/>
                        <w:jc w:val="center"/>
                        <w:rPr>
                          <w:b/>
                        </w:rPr>
                      </w:pPr>
                      <w:r>
                        <w:rPr>
                          <w:rFonts w:hint="eastAsia"/>
                          <w:b/>
                        </w:rPr>
                        <w:t>本项目</w:t>
                      </w:r>
                    </w:p>
                  </w:txbxContent>
                </v:textbox>
              </v:shap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2293620</wp:posOffset>
                </wp:positionH>
                <wp:positionV relativeFrom="paragraph">
                  <wp:posOffset>2534920</wp:posOffset>
                </wp:positionV>
                <wp:extent cx="75565" cy="75565"/>
                <wp:effectExtent l="4445" t="4445" r="11430" b="11430"/>
                <wp:wrapNone/>
                <wp:docPr id="57" name="椭圆 43"/>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txbx>
                        <w:txbxContent>
                          <w:p>
                            <w:pPr>
                              <w:jc w:val="center"/>
                            </w:pPr>
                          </w:p>
                        </w:txbxContent>
                      </wps:txbx>
                      <wps:bodyPr wrap="square" upright="1"/>
                    </wps:wsp>
                  </a:graphicData>
                </a:graphic>
              </wp:anchor>
            </w:drawing>
          </mc:Choice>
          <mc:Fallback>
            <w:pict>
              <v:shape id="椭圆 43" o:spid="_x0000_s1026" o:spt="3" type="#_x0000_t3" style="position:absolute;left:0pt;margin-left:180.6pt;margin-top:199.6pt;height:5.95pt;width:5.95pt;z-index:251673600;mso-width-relative:page;mso-height-relative:page;" fillcolor="#FF0000" filled="t" stroked="t" coordsize="21600,21600" o:gfxdata="UEsDBAoAAAAAAIdO4kAAAAAAAAAAAAAAAAAEAAAAZHJzL1BLAwQUAAAACACHTuJA7UvAAtgAAAAL&#10;AQAADwAAAGRycy9kb3ducmV2LnhtbE2PPU/DMBCGdyT+g3WV2KjjBkoT4nRAQowNLQubG18Sq/6I&#10;Yrdp/z3HBNt7ukfvPVdtr86yC07RBC9BLDNg6Nugje8lfB3eHzfAYlJeKxs8SrhhhG19f1epUofZ&#10;f+Jln3pGJT6WSsKQ0lhyHtsBnYrLMKKnXRcmpxKNU8/1pGYqd5avsmzNnTKeLgxqxLcB29P+7CRM&#10;tzlshP1ump3pTdc8d4X72En5sBDZK7CE1/QHw68+qUNNTsdw9joyKyFfixWhFIqCAhH5Sy6AHSU8&#10;CSGA1xX//0P9A1BLAwQUAAAACACHTuJAZSEjFugBAADhAwAADgAAAGRycy9lMm9Eb2MueG1srVNL&#10;ktMwEN1TxR1U2hMngcyAa5xZEMKGgqkaOEBHkm1V6YdaiZ0LcAqWbDkWnGNacsgwsJmi8EJuSe3X&#10;771uX12P1rCDiqi9a/hiNudMOeGldl3DP33cPnvJGSZwEox3quFHhfx6/fTJ1RBqtfS9N1JFRiAO&#10;6yE0vE8p1FWFolcWcOaDcnTZ+mgh0TZ2lYwwELo11XI+v6gGH2WIXihEOt1Ml3xd8NtWifShbVEl&#10;ZhpO3FJZY1l3ea3WV1B3EUKvxYkG/AMLC9pR0TPUBhKwfdR/QVktokffppnwtvJtq4UqGkjNYv6H&#10;mtsegipayBwMZ5vw/8GK94ebyLRs+OqSMweWevTz2/cfX7+wF8+zO0PAmpJuw0087ZDCLHVso81v&#10;EsHG4ujx7KgaExN0eLlaXaw4E3QzhYRR3X8aIqa3yluWg4YrY3TArBhqOLzDNGX/ysrH6I2WW21M&#10;2cRu99pEdgDq7nY7pydTpgIP0oxjQ8NfrZaZCdCQtQYShTaQbHRdqffgC3wccCa2AewnAgVhGqhe&#10;gXzjJEvHQH46mnyeKVglOTOKfpQcEVOoE2jzmEzSZBxJy+2YGpCjNO5GgsnhzssjdXKgUSZRn/cQ&#10;qeY+RN315Oyi+JLzaI6KQ6eZz4P6+76UuP8z13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tS8AC&#10;2AAAAAsBAAAPAAAAAAAAAAEAIAAAACIAAABkcnMvZG93bnJldi54bWxQSwECFAAUAAAACACHTuJA&#10;ZSEjFugBAADhAwAADgAAAAAAAAABACAAAAAnAQAAZHJzL2Uyb0RvYy54bWxQSwUGAAAAAAYABgBZ&#10;AQAAgQUAAAAA&#10;">
                <v:fill on="t" focussize="0,0"/>
                <v:stroke color="#FF0000" joinstyle="round"/>
                <v:imagedata o:title=""/>
                <o:lock v:ext="edit" aspectratio="f"/>
                <v:textbox>
                  <w:txbxContent>
                    <w:p>
                      <w:pPr>
                        <w:jc w:val="center"/>
                      </w:pPr>
                    </w:p>
                  </w:txbxContent>
                </v:textbox>
              </v:shape>
            </w:pict>
          </mc:Fallback>
        </mc:AlternateContent>
      </w:r>
      <w:r>
        <w:rPr>
          <w:color w:val="auto"/>
        </w:rPr>
        <w:drawing>
          <wp:inline distT="0" distB="0" distL="114300" distR="114300">
            <wp:extent cx="5396865" cy="7633335"/>
            <wp:effectExtent l="0" t="0" r="13335" b="1905"/>
            <wp:docPr id="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9"/>
                    <pic:cNvPicPr>
                      <a:picLocks noChangeAspect="1"/>
                    </pic:cNvPicPr>
                  </pic:nvPicPr>
                  <pic:blipFill>
                    <a:blip r:embed="rId14"/>
                    <a:stretch>
                      <a:fillRect/>
                    </a:stretch>
                  </pic:blipFill>
                  <pic:spPr>
                    <a:xfrm>
                      <a:off x="0" y="0"/>
                      <a:ext cx="5396865" cy="7633335"/>
                    </a:xfrm>
                    <a:prstGeom prst="rect">
                      <a:avLst/>
                    </a:prstGeom>
                    <a:noFill/>
                    <a:ln>
                      <a:noFill/>
                    </a:ln>
                  </pic:spPr>
                </pic:pic>
              </a:graphicData>
            </a:graphic>
          </wp:inline>
        </w:drawing>
      </w:r>
    </w:p>
    <w:p>
      <w:pPr>
        <w:pStyle w:val="130"/>
        <w:ind w:firstLine="0" w:firstLineChars="0"/>
        <w:jc w:val="center"/>
        <w:rPr>
          <w:b/>
          <w:bCs w:val="0"/>
          <w:color w:val="auto"/>
        </w:rPr>
      </w:pPr>
      <w:r>
        <w:rPr>
          <w:b/>
          <w:bCs w:val="0"/>
          <w:color w:val="auto"/>
        </w:rPr>
        <w:t>图4  本项目与中卫市大气环境分区管控位置关系图</w:t>
      </w:r>
    </w:p>
    <w:p>
      <w:pPr>
        <w:pStyle w:val="130"/>
        <w:ind w:firstLine="480"/>
        <w:rPr>
          <w:color w:val="auto"/>
        </w:rPr>
      </w:pPr>
    </w:p>
    <w:p>
      <w:pPr>
        <w:pStyle w:val="130"/>
        <w:ind w:firstLine="480"/>
        <w:rPr>
          <w:color w:val="auto"/>
        </w:rPr>
      </w:pPr>
    </w:p>
    <w:p>
      <w:pPr>
        <w:pStyle w:val="7"/>
        <w:numPr>
          <w:ilvl w:val="4"/>
          <w:numId w:val="0"/>
        </w:numPr>
        <w:rPr>
          <w:color w:val="auto"/>
        </w:rPr>
      </w:pPr>
      <w:r>
        <w:rPr>
          <w:color w:val="auto"/>
        </w:rPr>
        <w:t>4.2.2.3土壤环境质量底线及分区管控</w:t>
      </w:r>
    </w:p>
    <w:p>
      <w:pPr>
        <w:pStyle w:val="130"/>
        <w:ind w:firstLine="480"/>
        <w:rPr>
          <w:color w:val="auto"/>
        </w:rPr>
      </w:pPr>
      <w:r>
        <w:rPr>
          <w:color w:val="auto"/>
        </w:rPr>
        <w:t>据土壤环境质量现状、土地利用现状，综合考虑全市农用地土壤污染状况详查和重点行业企业用地详查结果，衔接现有污染地块名录、土壤环境重点监管企业清单等，将全市划分为农用地优先保护区、建设用地污染风险重点管控区和土壤环境一般管控区。</w:t>
      </w:r>
    </w:p>
    <w:p>
      <w:pPr>
        <w:pStyle w:val="130"/>
        <w:ind w:firstLine="0" w:firstLineChars="0"/>
        <w:rPr>
          <w:color w:val="auto"/>
        </w:rPr>
      </w:pPr>
      <w:r>
        <w:rPr>
          <w:color w:val="auto"/>
        </w:rPr>
        <w:t>（1）农用地优先保护区</w:t>
      </w:r>
    </w:p>
    <w:p>
      <w:pPr>
        <w:pStyle w:val="130"/>
        <w:ind w:firstLine="480"/>
        <w:rPr>
          <w:color w:val="auto"/>
        </w:rPr>
      </w:pPr>
      <w:r>
        <w:rPr>
          <w:color w:val="auto"/>
        </w:rPr>
        <w:t>A. 管控分区</w:t>
      </w:r>
    </w:p>
    <w:p>
      <w:pPr>
        <w:pStyle w:val="130"/>
        <w:ind w:firstLine="480"/>
        <w:rPr>
          <w:color w:val="auto"/>
        </w:rPr>
      </w:pPr>
      <w:r>
        <w:rPr>
          <w:color w:val="auto"/>
        </w:rPr>
        <w:t>根据农用地土壤污染状况详查结果，暂将永久基本农田作为农用地优先保护区。由于全市农用地土壤环境质量总体良好，暂不划分农用地污染风险重点管控区。后续将进一步衔接农用地类别划分结果对农用地优先保护区和农用地污染风险重点管控区进行更新。</w:t>
      </w:r>
    </w:p>
    <w:p>
      <w:pPr>
        <w:pStyle w:val="130"/>
        <w:ind w:firstLine="480"/>
        <w:rPr>
          <w:color w:val="auto"/>
        </w:rPr>
      </w:pPr>
      <w:r>
        <w:rPr>
          <w:color w:val="auto"/>
        </w:rPr>
        <w:t>B. 管控要求</w:t>
      </w:r>
    </w:p>
    <w:p>
      <w:pPr>
        <w:pStyle w:val="130"/>
        <w:ind w:firstLine="480"/>
        <w:rPr>
          <w:color w:val="auto"/>
        </w:rPr>
      </w:pPr>
      <w:r>
        <w:rPr>
          <w:color w:val="auto"/>
        </w:rPr>
        <w:t>实行严格保护，确保其面积不减少、土壤环境质量不下降，除法律规定的重点建设项目选址确实无法避让外，其他任何建设不得占用。严格控制在优先保护类耕地集中区域新建有色金属冶炼、石油加工、化工、焦化、电镀、制革等行业企业，现有相关行业企业应当按照有关规定采取措施，防止对耕地造成污染。禁止任何单位和个人在基本农田保护区内建窑、建房、建坟、挖砂、采石、采矿、取土、堆放固体废弃物或者进行其他破坏基本农田的活动。</w:t>
      </w:r>
    </w:p>
    <w:p>
      <w:pPr>
        <w:pStyle w:val="130"/>
        <w:ind w:firstLine="0" w:firstLineChars="0"/>
        <w:rPr>
          <w:color w:val="auto"/>
        </w:rPr>
      </w:pPr>
      <w:r>
        <w:rPr>
          <w:color w:val="auto"/>
        </w:rPr>
        <w:t>（2）建设用地污染风险重点管控区</w:t>
      </w:r>
    </w:p>
    <w:p>
      <w:pPr>
        <w:pStyle w:val="130"/>
        <w:ind w:firstLine="480"/>
        <w:rPr>
          <w:color w:val="auto"/>
        </w:rPr>
      </w:pPr>
      <w:r>
        <w:rPr>
          <w:color w:val="auto"/>
        </w:rPr>
        <w:t>A. 管控分区</w:t>
      </w:r>
    </w:p>
    <w:p>
      <w:pPr>
        <w:pStyle w:val="130"/>
        <w:ind w:firstLine="480"/>
        <w:rPr>
          <w:color w:val="auto"/>
        </w:rPr>
      </w:pPr>
      <w:r>
        <w:rPr>
          <w:color w:val="auto"/>
        </w:rPr>
        <w:t>以①土壤环境重点监管企业、疑似污染地块、涉重金属行业企业、重点行业企业用地调查初筛风险较高地块相对集中的乡镇；②上述企业和地块分布相对集中且主导产业（依据宁党办〔2018〕82号文确定）包含土壤环境污染防控重点行业的工业园区；③重金属污染防控重点区域，上述区域作为建设用地污染风险重点管控区，具体包括宁夏中宁工业园区和宁夏中卫工业园区。同时，应保持对土壤环境重点监管企业清单、涉重金属重点行业企业清单、污染地块名录等清单和名录的及时更新，并对清单和名录所涉及的企业提出相应的管控措施。</w:t>
      </w:r>
    </w:p>
    <w:p>
      <w:pPr>
        <w:pStyle w:val="130"/>
        <w:ind w:firstLine="480"/>
        <w:rPr>
          <w:color w:val="auto"/>
        </w:rPr>
      </w:pPr>
      <w:r>
        <w:rPr>
          <w:color w:val="auto"/>
        </w:rPr>
        <w:t>B. 管控要求</w:t>
      </w:r>
    </w:p>
    <w:p>
      <w:pPr>
        <w:pStyle w:val="130"/>
        <w:ind w:firstLine="480"/>
        <w:rPr>
          <w:color w:val="auto"/>
        </w:rPr>
      </w:pPr>
      <w:r>
        <w:rPr>
          <w:color w:val="auto"/>
        </w:rPr>
        <w:t>根据建设用地土壤环境调查评估结果，逐步建立污染地块名录及其开发利用的负面清单，合理确定土地用途。列入建设用地土壤污染风险管控和修复名录的地块，不得作为住宅、公共管理与公共服务用地。污染地块未经治理与修复，或者经治理与修复但未达到相关规划用地土壤环境质量要求的，有关环境保护主管部门不予批准选址涉及该污染地块的建设项目环境影响报告书或者报告表。</w:t>
      </w:r>
    </w:p>
    <w:p>
      <w:pPr>
        <w:pStyle w:val="130"/>
        <w:ind w:firstLine="480"/>
        <w:rPr>
          <w:color w:val="auto"/>
        </w:rPr>
      </w:pPr>
      <w:r>
        <w:rPr>
          <w:color w:val="auto"/>
        </w:rPr>
        <w:t>土壤环境污染重点监管单位涉及有毒有害物质的生产装置、储罐、管道，或者建设污水处理池、应急池等存在土壤污染风险的设施，应当按照国家有关标准和规范要求，设计、建成和安装有关防腐蚀、防泄漏设施和泄漏监测装置，防止有毒有害物质污染土壤和地下水。对拟收回土地使用权的有色金属冶炼、石油加工、化工、焦化、电镀、制革等行业企业用地，以及用途拟变更为居住和商业、学校、医疗、养老机构等公共设施的上述企业用地，由土地使用权人负责开展土壤环境状况调查评估；已经收回的，由所在地市、县级人民政府负责开展调查评估。</w:t>
      </w:r>
    </w:p>
    <w:p>
      <w:pPr>
        <w:pStyle w:val="130"/>
        <w:ind w:firstLine="480"/>
        <w:rPr>
          <w:color w:val="auto"/>
        </w:rPr>
      </w:pPr>
      <w:r>
        <w:rPr>
          <w:color w:val="auto"/>
        </w:rPr>
        <w:t>严格执行重金属污染物排放标准并落实相关总量控制指标，加大监督检查力度，对整改后仍不达标的企业，依法责令其停业、关闭，并将企业名单向社会公开。继续淘汰涉重金属重点行业落后产能，完善重金属相关行业准入条件，禁止新建落后产能或产能严重过剩行业的建设项目。提高铅酸蓄电池等行业落后产能淘汰标准，逐步退出落后产能。新、改、扩建涉重金属重点行业建设项目，必须遵循重金属污染物排放“减量置换”或“等量替换”原则。</w:t>
      </w:r>
    </w:p>
    <w:p>
      <w:pPr>
        <w:pStyle w:val="130"/>
        <w:ind w:firstLine="0" w:firstLineChars="0"/>
        <w:rPr>
          <w:color w:val="auto"/>
        </w:rPr>
      </w:pPr>
      <w:r>
        <w:rPr>
          <w:color w:val="auto"/>
        </w:rPr>
        <w:t>（3）土壤环境一般管控区</w:t>
      </w:r>
    </w:p>
    <w:p>
      <w:pPr>
        <w:pStyle w:val="130"/>
        <w:ind w:firstLine="480"/>
        <w:rPr>
          <w:color w:val="auto"/>
        </w:rPr>
      </w:pPr>
      <w:r>
        <w:rPr>
          <w:color w:val="auto"/>
        </w:rPr>
        <w:t>A. 管控分区</w:t>
      </w:r>
    </w:p>
    <w:p>
      <w:pPr>
        <w:pStyle w:val="130"/>
        <w:ind w:firstLine="480"/>
        <w:rPr>
          <w:color w:val="auto"/>
        </w:rPr>
      </w:pPr>
      <w:r>
        <w:rPr>
          <w:color w:val="auto"/>
        </w:rPr>
        <w:t>除农用地优先保护区及建设用地污染风险重点管控区之外的其他区域。</w:t>
      </w:r>
    </w:p>
    <w:p>
      <w:pPr>
        <w:pStyle w:val="130"/>
        <w:ind w:firstLine="480"/>
        <w:rPr>
          <w:color w:val="auto"/>
        </w:rPr>
      </w:pPr>
      <w:r>
        <w:rPr>
          <w:color w:val="auto"/>
        </w:rPr>
        <w:t>B. 管控要求</w:t>
      </w:r>
    </w:p>
    <w:p>
      <w:pPr>
        <w:pStyle w:val="130"/>
        <w:ind w:firstLine="480"/>
        <w:rPr>
          <w:color w:val="auto"/>
        </w:rPr>
      </w:pPr>
      <w:r>
        <w:rPr>
          <w:color w:val="auto"/>
        </w:rPr>
        <w:t>在编制国土空间规划等相关规划时，应充分考虑污染地块的环境风险，合理确定土地用途。禁止在居民区、学校、医疗和养老机构等周边新建有色金属冶炼、焦化等行业企业。排放重点污染物的建设项目，在开展环境影响评价时，要增加对土壤环境影响的评价内容，并提出防范土壤污染的具体措施；需要建设的土壤污染防治设施，要与主体工程同时设计、同时施工、同时投产使用。</w:t>
      </w:r>
    </w:p>
    <w:p>
      <w:pPr>
        <w:pStyle w:val="417"/>
        <w:ind w:firstLine="480"/>
        <w:rPr>
          <w:rFonts w:cs="Times New Roman"/>
          <w:color w:val="auto"/>
        </w:rPr>
      </w:pPr>
      <w:r>
        <w:rPr>
          <w:rFonts w:cs="Times New Roman"/>
          <w:color w:val="auto"/>
        </w:rPr>
        <w:t>本项目与中卫市土壤污染风险分区管控位置关系见图5。</w:t>
      </w:r>
    </w:p>
    <w:p>
      <w:pPr>
        <w:pStyle w:val="130"/>
        <w:ind w:firstLine="0" w:firstLineChars="0"/>
        <w:rPr>
          <w:color w:val="auto"/>
        </w:rPr>
      </w:pPr>
      <w:r>
        <w:rPr>
          <w:color w:val="auto"/>
        </w:rPr>
        <mc:AlternateContent>
          <mc:Choice Requires="wps">
            <w:drawing>
              <wp:anchor distT="0" distB="0" distL="114300" distR="114300" simplePos="0" relativeHeight="251676672" behindDoc="0" locked="0" layoutInCell="1" allowOverlap="1">
                <wp:simplePos x="0" y="0"/>
                <wp:positionH relativeFrom="column">
                  <wp:posOffset>3475355</wp:posOffset>
                </wp:positionH>
                <wp:positionV relativeFrom="paragraph">
                  <wp:posOffset>6666865</wp:posOffset>
                </wp:positionV>
                <wp:extent cx="678180" cy="301625"/>
                <wp:effectExtent l="4445" t="263525" r="216535" b="13970"/>
                <wp:wrapNone/>
                <wp:docPr id="62" name="圆角矩形标注 31"/>
                <wp:cNvGraphicFramePr/>
                <a:graphic xmlns:a="http://schemas.openxmlformats.org/drawingml/2006/main">
                  <a:graphicData uri="http://schemas.microsoft.com/office/word/2010/wordprocessingShape">
                    <wps:wsp>
                      <wps:cNvSpPr/>
                      <wps:spPr>
                        <a:xfrm flipV="1">
                          <a:off x="0" y="0"/>
                          <a:ext cx="678180" cy="301625"/>
                        </a:xfrm>
                        <a:prstGeom prst="wedgeRoundRectCallout">
                          <a:avLst>
                            <a:gd name="adj1" fmla="val 76779"/>
                            <a:gd name="adj2" fmla="val 130210"/>
                            <a:gd name="adj3" fmla="val 16667"/>
                          </a:avLst>
                        </a:prstGeom>
                        <a:solidFill>
                          <a:srgbClr val="FFFFFF">
                            <a:alpha val="50000"/>
                          </a:srgbClr>
                        </a:solidFill>
                        <a:ln w="9525" cap="flat" cmpd="sng">
                          <a:solidFill>
                            <a:srgbClr val="000000"/>
                          </a:solidFill>
                          <a:prstDash val="solid"/>
                          <a:miter/>
                          <a:headEnd type="none" w="med" len="med"/>
                          <a:tailEnd type="none" w="med" len="med"/>
                        </a:ln>
                        <a:effectLst/>
                      </wps:spPr>
                      <wps:txbx>
                        <w:txbxContent>
                          <w:p>
                            <w:pPr>
                              <w:spacing w:line="360" w:lineRule="exact"/>
                              <w:jc w:val="center"/>
                              <w:rPr>
                                <w:b/>
                              </w:rPr>
                            </w:pPr>
                            <w:r>
                              <w:rPr>
                                <w:rFonts w:hint="eastAsia"/>
                                <w:b/>
                              </w:rPr>
                              <w:t>本项目</w:t>
                            </w:r>
                          </w:p>
                        </w:txbxContent>
                      </wps:txbx>
                      <wps:bodyPr wrap="square" lIns="0" tIns="0" rIns="0" bIns="0" upright="1">
                        <a:noAutofit/>
                      </wps:bodyPr>
                    </wps:wsp>
                  </a:graphicData>
                </a:graphic>
              </wp:anchor>
            </w:drawing>
          </mc:Choice>
          <mc:Fallback>
            <w:pict>
              <v:shape id="圆角矩形标注 31" o:spid="_x0000_s1026" o:spt="62" type="#_x0000_t62" style="position:absolute;left:0pt;flip:y;margin-left:273.65pt;margin-top:524.95pt;height:23.75pt;width:53.4pt;z-index:251676672;mso-width-relative:page;mso-height-relative:page;" fillcolor="#FFFFFF" filled="t" stroked="t" coordsize="21600,21600" o:gfxdata="UEsDBAoAAAAAAIdO4kAAAAAAAAAAAAAAAAAEAAAAZHJzL1BLAwQUAAAACACHTuJAG1JzOdwAAAAN&#10;AQAADwAAAGRycy9kb3ducmV2LnhtbE2Py07DMBBF90j8gzVI7KhtSJomxKkQEgIJdUFBVZdOMsQB&#10;PyLbbcrf465gOXOP7pyp1yejyRF9GJ0VwBcMCNrO9aMdBHy8P92sgIQobS+1syjgBwOsm8uLWla9&#10;m+0bHrdxIKnEhkoKUDFOFaWhU2hkWLgJbco+nTcyptEPtPdyTuVG01vGltTI0aYLSk74qLD73h6M&#10;gHbF8wez289fXOl28zIW3fOrF+L6irN7IBFP8Q+Gs35ShyY5te5g+0C0gDwr7hKaApaVJZCELPOM&#10;A2nPq7LIgDY1/f9F8wtQSwMEFAAAAAgAh07iQByiUpx4AgAA9AQAAA4AAABkcnMvZTJvRG9jLnht&#10;bK1UzW7UMBC+I/EOlu80ya6abVfNVqilCAlB1QJ3b2wnRv7D9m52XwDuPSOBuABnzjxOC4/B2Mlu&#10;t3BBiByssT355ptvZnx0vFISLZnzwugKF3s5RkzXhgrdVPjli7MHBxj5QDQl0mhW4TXz+Hh2/95R&#10;Z6dsZFojKXMIQLSfdrbCbQh2mmW+bpkifs9YpuGSG6dIgK1rMupIB+hKZqM8L7POOGqdqZn3cHra&#10;X+JZwuec1eE5554FJCsM3EJaXVrncc1mR2TaOGJbUQ80yD+wUERoCLqFOiWBoIUTf0ApUTvjDQ97&#10;tVGZ4VzULOUA2RT5b9lctsSylAuI4+1WJv//YOtny3OHBK1wOcJIEwU1un7/9ufnqx8fvl5//3Tz&#10;8d3Nty9oXESlOuun8MOlPXfDzoMZ015xpxCXwr6CJkhCQGpolXReb3Vmq4BqOCwnB8UBVKOGq3Fe&#10;lKP9iJ71MBHOOh8eM6NQNCrcMdqwC7PQ9AIKekKkNIuQopDlUx+S7nQgT+jrAiOuJJRxSSSalJPJ&#10;4VDmHR9I9tanGOejYtMLO07jO05lWU4GnkNYYLxhGjl4IwU9E1KmjWvmJ9Ih4FDhs/T1jKVtSX+6&#10;n8M3IPrePalwB0dq1FX4cB80QjWBCeGSBDCVhZp53STQO38MUH2MGOI2yC7ByPyU+Lb3Swi9TEoE&#10;5tJctIzQR5qisLbQFhoGGEcyilGMJIN5j1byDETIv/EExaSO8rA0m1C8WPjYV30nRSus5is4jebc&#10;0DW0ZwfzCcm+WRAHDOQTDQMQh3ljuI0x3xgL60TTQuv0zajNw0UwXGyj9cBDaBitpPvwDMTZ3d0n&#10;r9vHavY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G1JzOdwAAAANAQAADwAAAAAAAAABACAAAAAi&#10;AAAAZHJzL2Rvd25yZXYueG1sUEsBAhQAFAAAAAgAh07iQByiUpx4AgAA9AQAAA4AAAAAAAAAAQAg&#10;AAAAKwEAAGRycy9lMm9Eb2MueG1sUEsFBgAAAAAGAAYAWQEAABUGAAAAAA==&#10;" adj="27384,38925,14400">
                <v:fill on="t" opacity="32768f" focussize="0,0"/>
                <v:stroke color="#000000" joinstyle="miter"/>
                <v:imagedata o:title=""/>
                <o:lock v:ext="edit" aspectratio="f"/>
                <v:textbox inset="0mm,0mm,0mm,0mm">
                  <w:txbxContent>
                    <w:p>
                      <w:pPr>
                        <w:spacing w:line="360" w:lineRule="exact"/>
                        <w:jc w:val="center"/>
                        <w:rPr>
                          <w:b/>
                        </w:rPr>
                      </w:pPr>
                      <w:r>
                        <w:rPr>
                          <w:rFonts w:hint="eastAsia"/>
                          <w:b/>
                        </w:rPr>
                        <w:t>本项目</w:t>
                      </w:r>
                    </w:p>
                  </w:txbxContent>
                </v:textbox>
              </v:shape>
            </w:pict>
          </mc:Fallback>
        </mc:AlternateContent>
      </w:r>
      <w:r>
        <w:rPr>
          <w:color w:val="auto"/>
        </w:rPr>
        <mc:AlternateContent>
          <mc:Choice Requires="wps">
            <w:drawing>
              <wp:anchor distT="0" distB="0" distL="114300" distR="114300" simplePos="0" relativeHeight="251678720" behindDoc="0" locked="0" layoutInCell="1" allowOverlap="1">
                <wp:simplePos x="0" y="0"/>
                <wp:positionH relativeFrom="column">
                  <wp:posOffset>4309110</wp:posOffset>
                </wp:positionH>
                <wp:positionV relativeFrom="paragraph">
                  <wp:posOffset>6363970</wp:posOffset>
                </wp:positionV>
                <wp:extent cx="75565" cy="75565"/>
                <wp:effectExtent l="4445" t="4445" r="11430" b="11430"/>
                <wp:wrapNone/>
                <wp:docPr id="65" name="椭圆 47"/>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txbx>
                        <w:txbxContent>
                          <w:p>
                            <w:pPr>
                              <w:jc w:val="center"/>
                            </w:pPr>
                          </w:p>
                        </w:txbxContent>
                      </wps:txbx>
                      <wps:bodyPr wrap="square" upright="1"/>
                    </wps:wsp>
                  </a:graphicData>
                </a:graphic>
              </wp:anchor>
            </w:drawing>
          </mc:Choice>
          <mc:Fallback>
            <w:pict>
              <v:shape id="椭圆 47" o:spid="_x0000_s1026" o:spt="3" type="#_x0000_t3" style="position:absolute;left:0pt;margin-left:339.3pt;margin-top:501.1pt;height:5.95pt;width:5.95pt;z-index:251678720;mso-width-relative:page;mso-height-relative:page;" fillcolor="#FF0000" filled="t" stroked="t" coordsize="21600,21600" o:gfxdata="UEsDBAoAAAAAAIdO4kAAAAAAAAAAAAAAAAAEAAAAZHJzL1BLAwQUAAAACACHTuJASPmSjNgAAAAN&#10;AQAADwAAAGRycy9kb3ducmV2LnhtbE2PsU7DMBCGdyTewTokNmo7oiENcTogIcaGloXNjZ3Ewj5H&#10;ttu0b487wXj3f/rvu2Z7cZacdYjGowC+YkA09l4ZHAV8Hd6fKiAxSVTSetQCrjrCtr2/a2St/IKf&#10;+rxPI8klGGspYEpprimN/aSdjCs/a8zZ4IOTKY9hpCrIJZc7SwvGSuqkwXxhkrN+m3T/sz85AeG6&#10;+Irb767bmdEM3XrYuI+dEI8PnL0CSfqS/mC46Wd1aLPT0Z9QRWIFlC9VmdEcMFYUQDJSbtgayPG2&#10;4s8caNvQ/1+0v1BLAwQUAAAACACHTuJAMEDEzeYBAADhAwAADgAAAGRycy9lMm9Eb2MueG1srVPN&#10;jtMwEL4j8Q6W7zRtRXcharoHSrkgWGnhAaa2k1jyHx63SV+Ap+DIlceC52DslC4LlxUiB2dsT775&#10;vm8m65vRGnZUEbV3DV/M5pwpJ7zUrmv4xw+7Zy84wwROgvFONfykkN9snj5ZD6FWS997I1VkBOKw&#10;HkLD+5RCXVUoemUBZz4oR5etjxYSbWNXyQgDoVtTLefzq2rwUYbohUKk0+10yTcFv22VSO/bFlVi&#10;puHELZU1lnWf12qzhrqLEHotzjTgH1hY0I6KXqC2kIAdov4LymoRPfo2zYS3lW9bLVTRQGoW8z/U&#10;3PUQVNFC5mC42IT/D1a8O95GpmXDr1acObDUox9fv33/8pk9v87uDAFrSroLt/G8Qwqz1LGNNr9J&#10;BBuLo6eLo2pMTNDh9WqVcQXdTCFhVPefhojpjfKW5aDhyhgdMCuGGo5vMU3Zv7LyMXqj5U4bUzax&#10;278ykR2BurvbzenJlKnAgzTj2NDwl6tlZgI0ZK2BRKENJBtdV+o9+AIfB5yJbQH7iUBBmAaqVyBf&#10;O8nSKZCfjiafZwpWSc6Moh8lR8QU6gTaPCaTNBlH0nI7pgbkKI37kWByuPfyRJ0caJRJ1KcDRKp5&#10;CFF3PTm7KL7kPJqj4tB55vOg/r4vJe7/zM1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PmSjNgA&#10;AAANAQAADwAAAAAAAAABACAAAAAiAAAAZHJzL2Rvd25yZXYueG1sUEsBAhQAFAAAAAgAh07iQDBA&#10;xM3mAQAA4QMAAA4AAAAAAAAAAQAgAAAAJwEAAGRycy9lMm9Eb2MueG1sUEsFBgAAAAAGAAYAWQEA&#10;AH8FAAAAAA==&#10;">
                <v:fill on="t" focussize="0,0"/>
                <v:stroke color="#FF0000" joinstyle="round"/>
                <v:imagedata o:title=""/>
                <o:lock v:ext="edit" aspectratio="f"/>
                <v:textbox>
                  <w:txbxContent>
                    <w:p>
                      <w:pPr>
                        <w:jc w:val="center"/>
                      </w:pPr>
                    </w:p>
                  </w:txbxContent>
                </v:textbox>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olumn">
                  <wp:posOffset>2210435</wp:posOffset>
                </wp:positionH>
                <wp:positionV relativeFrom="paragraph">
                  <wp:posOffset>2948305</wp:posOffset>
                </wp:positionV>
                <wp:extent cx="678180" cy="301625"/>
                <wp:effectExtent l="4445" t="353060" r="18415" b="15875"/>
                <wp:wrapNone/>
                <wp:docPr id="61" name="圆角矩形标注 31"/>
                <wp:cNvGraphicFramePr/>
                <a:graphic xmlns:a="http://schemas.openxmlformats.org/drawingml/2006/main">
                  <a:graphicData uri="http://schemas.microsoft.com/office/word/2010/wordprocessingShape">
                    <wps:wsp>
                      <wps:cNvSpPr/>
                      <wps:spPr>
                        <a:xfrm flipV="1">
                          <a:off x="0" y="0"/>
                          <a:ext cx="678180" cy="301625"/>
                        </a:xfrm>
                        <a:prstGeom prst="wedgeRoundRectCallout">
                          <a:avLst>
                            <a:gd name="adj1" fmla="val -33333"/>
                            <a:gd name="adj2" fmla="val 160526"/>
                            <a:gd name="adj3" fmla="val 16667"/>
                          </a:avLst>
                        </a:prstGeom>
                        <a:solidFill>
                          <a:srgbClr val="FFFFFF">
                            <a:alpha val="50000"/>
                          </a:srgbClr>
                        </a:solidFill>
                        <a:ln w="9525" cap="flat" cmpd="sng">
                          <a:solidFill>
                            <a:srgbClr val="000000"/>
                          </a:solidFill>
                          <a:prstDash val="solid"/>
                          <a:miter/>
                          <a:headEnd type="none" w="med" len="med"/>
                          <a:tailEnd type="none" w="med" len="med"/>
                        </a:ln>
                        <a:effectLst/>
                      </wps:spPr>
                      <wps:txbx>
                        <w:txbxContent>
                          <w:p>
                            <w:pPr>
                              <w:spacing w:line="360" w:lineRule="exact"/>
                              <w:jc w:val="center"/>
                              <w:rPr>
                                <w:b/>
                              </w:rPr>
                            </w:pPr>
                            <w:r>
                              <w:rPr>
                                <w:rFonts w:hint="eastAsia"/>
                                <w:b/>
                              </w:rPr>
                              <w:t>本项目</w:t>
                            </w:r>
                          </w:p>
                        </w:txbxContent>
                      </wps:txbx>
                      <wps:bodyPr wrap="square" lIns="0" tIns="0" rIns="0" bIns="0" upright="1">
                        <a:noAutofit/>
                      </wps:bodyPr>
                    </wps:wsp>
                  </a:graphicData>
                </a:graphic>
              </wp:anchor>
            </w:drawing>
          </mc:Choice>
          <mc:Fallback>
            <w:pict>
              <v:shape id="圆角矩形标注 31" o:spid="_x0000_s1026" o:spt="62" type="#_x0000_t62" style="position:absolute;left:0pt;flip:y;margin-left:174.05pt;margin-top:232.15pt;height:23.75pt;width:53.4pt;z-index:251675648;mso-width-relative:page;mso-height-relative:page;" fillcolor="#FFFFFF" filled="t" stroked="t" coordsize="21600,21600" o:gfxdata="UEsDBAoAAAAAAIdO4kAAAAAAAAAAAAAAAAAEAAAAZHJzL1BLAwQUAAAACACHTuJAt0j+L9sAAAAL&#10;AQAADwAAAGRycy9kb3ducmV2LnhtbE2PwU7DMBBE70j8g7VIXBC13bglhGwqUcSJQ6FU4urG2yQi&#10;tqPYbQNfjznBcTVPM2/L1WR7dqIxdN4hyJkARq72pnMNwu79+TYHFqJ2RvfeEcIXBVhVlxelLow/&#10;uzc6bWPDUokLhUZoYxwKzkPdktVh5gdyKTv40eqYzrHhZtTnVG57Phdiya3uXFpo9UDrlurP7dEi&#10;hHHy8eZVfGS7tTzMv8PL49PmDvH6SooHYJGm+AfDr35Shyo57f3RmcB6hEzlMqEIaqkyYIlQC3UP&#10;bI+wkDIHXpX8/w/VD1BLAwQUAAAACACHTuJAFT+OSXMCAAD1BAAADgAAAGRycy9lMm9Eb2MueG1s&#10;rVTNbtQwEL4j8Q6W722SXW1aVs1WqKUICUHVAndvbCdG/sP2bnZfAO6ckUBcgDNnHqeFx2DsZLdb&#10;ekEIH6yxPfnmm29mcnS8UhItmfPC6AoX+zlGTNeGCt1U+OWLs71DjHwgmhJpNKvwmnl8PLt/76iz&#10;UzYyrZGUOQQg2k87W+E2BDvNMl+3TBG/byzT8MiNUyTA0TUZdaQDdCWzUZ6XWWcctc7UzHu4Pe0f&#10;8Szhc87q8JxzzwKSFQZuIe0u7fO4Z7MjMm0csa2oBxrkH1goIjQE3UKdkkDQwok7UErUznjDw35t&#10;VGY4FzVLOUA2Rf5HNpctsSzlAuJ4u5XJ/z/Y+tny3CFBK1wWGGmioEZXH97++vL+58dvVz8+X396&#10;d/39KxoXUanO+il8cGnP3XDyYMa0V9wpxKWwr6AJkhCQGlolnddbndkqoBouy4PD4hCqUcPTOC/K&#10;0SSiZz1MhLPOh8fMKBSNCneMNuzCLDS9gIKeECnNIqQoZPnUh6Q7HcgT+hoS4UpCGZdEor1xXEOd&#10;d5xGu05FmU9G5V2n8W2nsjwYiA5xgfKGaiThjRT0TEiZDq6Zn0iHgESFz9LqKUvbkv52ksMaEH3v&#10;nmS4hSM16ir8YAIioZrAiHBJApjKQtG8bhLorS8GqD5GDHETZJdgZH5KfNv7JYReASUCc2kwWkbo&#10;I01RWFvoCw0TjCMZxShGksHARyt5BiLk33iCYlJHeVgaTqherHxsrL6VohVW8xXcRnNu6Br6s4MB&#10;hWTfLIgDBvKJhgmI07wx3MaYb4yFdaJpoXf6btTm4SIYLrbReuAhNMxW0n34D8Th3T0nr5u/1e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0j+L9sAAAALAQAADwAAAAAAAAABACAAAAAiAAAAZHJz&#10;L2Rvd25yZXYueG1sUEsBAhQAFAAAAAgAh07iQBU/jklzAgAA9QQAAA4AAAAAAAAAAQAgAAAAKgEA&#10;AGRycy9lMm9Eb2MueG1sUEsFBgAAAAAGAAYAWQEAAA8GAAAAAA==&#10;" adj="3600,45474,14400">
                <v:fill on="t" opacity="32768f" focussize="0,0"/>
                <v:stroke color="#000000" joinstyle="miter"/>
                <v:imagedata o:title=""/>
                <o:lock v:ext="edit" aspectratio="f"/>
                <v:textbox inset="0mm,0mm,0mm,0mm">
                  <w:txbxContent>
                    <w:p>
                      <w:pPr>
                        <w:spacing w:line="360" w:lineRule="exact"/>
                        <w:jc w:val="center"/>
                        <w:rPr>
                          <w:b/>
                        </w:rPr>
                      </w:pPr>
                      <w:r>
                        <w:rPr>
                          <w:rFonts w:hint="eastAsia"/>
                          <w:b/>
                        </w:rPr>
                        <w:t>本项目</w:t>
                      </w:r>
                    </w:p>
                  </w:txbxContent>
                </v:textbox>
              </v:shape>
            </w:pict>
          </mc:Fallback>
        </mc:AlternateContent>
      </w:r>
      <w:r>
        <w:rPr>
          <w:color w:val="auto"/>
        </w:rPr>
        <w:drawing>
          <wp:inline distT="0" distB="0" distL="114300" distR="114300">
            <wp:extent cx="5396865" cy="7633335"/>
            <wp:effectExtent l="0" t="0" r="13335" b="1905"/>
            <wp:docPr id="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
                    <pic:cNvPicPr>
                      <a:picLocks noChangeAspect="1"/>
                    </pic:cNvPicPr>
                  </pic:nvPicPr>
                  <pic:blipFill>
                    <a:blip r:embed="rId15"/>
                    <a:stretch>
                      <a:fillRect/>
                    </a:stretch>
                  </pic:blipFill>
                  <pic:spPr>
                    <a:xfrm>
                      <a:off x="0" y="0"/>
                      <a:ext cx="5396865" cy="7633335"/>
                    </a:xfrm>
                    <a:prstGeom prst="rect">
                      <a:avLst/>
                    </a:prstGeom>
                    <a:noFill/>
                    <a:ln>
                      <a:noFill/>
                    </a:ln>
                  </pic:spPr>
                </pic:pic>
              </a:graphicData>
            </a:graphic>
          </wp:inline>
        </w:drawing>
      </w:r>
      <w:r>
        <w:rPr>
          <w:color w:val="auto"/>
        </w:rPr>
        <mc:AlternateContent>
          <mc:Choice Requires="wps">
            <w:drawing>
              <wp:anchor distT="0" distB="0" distL="114300" distR="114300" simplePos="0" relativeHeight="251677696" behindDoc="0" locked="0" layoutInCell="1" allowOverlap="1">
                <wp:simplePos x="0" y="0"/>
                <wp:positionH relativeFrom="column">
                  <wp:posOffset>2282190</wp:posOffset>
                </wp:positionH>
                <wp:positionV relativeFrom="paragraph">
                  <wp:posOffset>2515870</wp:posOffset>
                </wp:positionV>
                <wp:extent cx="75565" cy="75565"/>
                <wp:effectExtent l="4445" t="4445" r="11430" b="11430"/>
                <wp:wrapNone/>
                <wp:docPr id="64" name="椭圆 47"/>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txbx>
                        <w:txbxContent>
                          <w:p>
                            <w:pPr>
                              <w:jc w:val="center"/>
                            </w:pPr>
                          </w:p>
                        </w:txbxContent>
                      </wps:txbx>
                      <wps:bodyPr wrap="square" upright="1"/>
                    </wps:wsp>
                  </a:graphicData>
                </a:graphic>
              </wp:anchor>
            </w:drawing>
          </mc:Choice>
          <mc:Fallback>
            <w:pict>
              <v:shape id="椭圆 47" o:spid="_x0000_s1026" o:spt="3" type="#_x0000_t3" style="position:absolute;left:0pt;margin-left:179.7pt;margin-top:198.1pt;height:5.95pt;width:5.95pt;z-index:251677696;mso-width-relative:page;mso-height-relative:page;" fillcolor="#FF0000" filled="t" stroked="t" coordsize="21600,21600" o:gfxdata="UEsDBAoAAAAAAIdO4kAAAAAAAAAAAAAAAAAEAAAAZHJzL1BLAwQUAAAACACHTuJAqlfHYdoAAAAL&#10;AQAADwAAAGRycy9kb3ducmV2LnhtbE2PPW/CMBCG90r9D9ZV6lZsE6BJGoehUtWRFFjYTHxJrPoj&#10;ig2Bf193arc73aP3nrfa3qwhV5yC9k4AXzAg6FqvtOsFHA8fLzmQEKVT0niHAu4YYFs/PlSyVH52&#10;X3jdx56kEBdKKWCIcSwpDe2AVoaFH9GlW+cnK2Nap56qSc4p3Bq6ZGxDrdQufRjkiO8Dtt/7ixUw&#10;3Wefc3Nqmp3uddesu8J+7oR4fuLsDUjEW/yD4Vc/qUOdnM7+4lQgRkC2LlYJTUOxWQJJRPbKMyBn&#10;ASuWc6B1Rf93qH8AUEsDBBQAAAAIAIdO4kAmR5rR6AEAAOEDAAAOAAAAZHJzL2Uyb0RvYy54bWyt&#10;U0uS0zAQ3VPFHVTaEzupSQZccWZBCBsKpmqGA3T0sVWlH5ISOxfgFCzZciw4By05ZBjYTFF4Ibek&#10;9uv3XrfXN6PR5ChCVM62dD6rKRGWOa5s19KP97sXLymJCSwH7axo6UlEerN5/mw9+EYsXO80F4Eg&#10;iI3N4Fvap+SbqoqsFwbizHlh8VK6YCDhNnQVDzAgutHVoq5X1eAC98ExESOebqdLuin4UgqWPkgZ&#10;RSK6pcgtlTWUdZ/XarOGpgvge8XONOAfWBhQFoteoLaQgByC+gvKKBZcdDLNmDOVk1IxUTSgmnn9&#10;h5q7HrwoWtCc6C82xf8Hy94fbwNRvKWrK0osGOzRj6/fvn/5TK6uszuDjw0m3fnbcN5FDLPUUQaT&#10;3yiCjMXR08VRMSbC8PB6uVwtKWF4M4WIUT186kNMb4UzJActFVorH7NiaOD4LqYp+1dWPo5OK75T&#10;WpdN6PavdSBHwO7udjU+mTIWeJSmLRla+mq5yEwAh0xqSBgaj7Kj7Uq9R1/EpwFnYluI/USgIEwD&#10;1Qvgbywn6eTRT4uTTzMFIzglWuCPkiNkCk0CpZ+SiZq0RWm5HVMDcpTG/YgwOdw7fsJODjjKKOrT&#10;AQLWPPiguh6dnRdfch7OUXHoPPN5UH/flxIPf+bm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pX&#10;x2HaAAAACwEAAA8AAAAAAAAAAQAgAAAAIgAAAGRycy9kb3ducmV2LnhtbFBLAQIUABQAAAAIAIdO&#10;4kAmR5rR6AEAAOEDAAAOAAAAAAAAAAEAIAAAACkBAABkcnMvZTJvRG9jLnhtbFBLBQYAAAAABgAG&#10;AFkBAACDBQAAAAA=&#10;">
                <v:fill on="t" focussize="0,0"/>
                <v:stroke color="#FF0000" joinstyle="round"/>
                <v:imagedata o:title=""/>
                <o:lock v:ext="edit" aspectratio="f"/>
                <v:textbox>
                  <w:txbxContent>
                    <w:p>
                      <w:pPr>
                        <w:jc w:val="center"/>
                      </w:pPr>
                    </w:p>
                  </w:txbxContent>
                </v:textbox>
              </v:shape>
            </w:pict>
          </mc:Fallback>
        </mc:AlternateContent>
      </w:r>
      <w:r>
        <w:rPr>
          <w:color w:val="auto"/>
        </w:rPr>
        <w:drawing>
          <wp:anchor distT="0" distB="0" distL="114300" distR="114300" simplePos="0" relativeHeight="251674624" behindDoc="0" locked="0" layoutInCell="1" allowOverlap="1">
            <wp:simplePos x="0" y="0"/>
            <wp:positionH relativeFrom="column">
              <wp:posOffset>2971800</wp:posOffset>
            </wp:positionH>
            <wp:positionV relativeFrom="paragraph">
              <wp:posOffset>5225415</wp:posOffset>
            </wp:positionV>
            <wp:extent cx="2265045" cy="2052955"/>
            <wp:effectExtent l="12700" t="12700" r="23495" b="22225"/>
            <wp:wrapNone/>
            <wp:docPr id="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
                    <pic:cNvPicPr>
                      <a:picLocks noChangeAspect="1"/>
                    </pic:cNvPicPr>
                  </pic:nvPicPr>
                  <pic:blipFill>
                    <a:blip r:embed="rId15"/>
                    <a:srcRect l="35532" t="28853" r="52093" b="63216"/>
                    <a:stretch>
                      <a:fillRect/>
                    </a:stretch>
                  </pic:blipFill>
                  <pic:spPr>
                    <a:xfrm>
                      <a:off x="0" y="0"/>
                      <a:ext cx="2265045" cy="2052955"/>
                    </a:xfrm>
                    <a:prstGeom prst="rect">
                      <a:avLst/>
                    </a:prstGeom>
                    <a:noFill/>
                    <a:ln w="12700" cmpd="sng">
                      <a:solidFill>
                        <a:schemeClr val="accent1">
                          <a:shade val="50000"/>
                        </a:schemeClr>
                      </a:solidFill>
                      <a:prstDash val="solid"/>
                    </a:ln>
                  </pic:spPr>
                </pic:pic>
              </a:graphicData>
            </a:graphic>
          </wp:anchor>
        </w:drawing>
      </w:r>
    </w:p>
    <w:p>
      <w:pPr>
        <w:pStyle w:val="130"/>
        <w:ind w:firstLine="0" w:firstLineChars="0"/>
        <w:jc w:val="center"/>
        <w:rPr>
          <w:b/>
          <w:bCs w:val="0"/>
          <w:color w:val="auto"/>
        </w:rPr>
      </w:pPr>
      <w:r>
        <w:rPr>
          <w:b/>
          <w:bCs w:val="0"/>
          <w:color w:val="auto"/>
        </w:rPr>
        <w:t>图5  本项目与中卫市土壤污染风险分区管控位置关系图</w:t>
      </w:r>
    </w:p>
    <w:p>
      <w:pPr>
        <w:spacing w:line="360" w:lineRule="auto"/>
        <w:ind w:firstLine="480" w:firstLineChars="200"/>
        <w:rPr>
          <w:color w:val="auto"/>
          <w:sz w:val="24"/>
          <w:szCs w:val="24"/>
        </w:rPr>
      </w:pPr>
    </w:p>
    <w:p>
      <w:pPr>
        <w:spacing w:line="360" w:lineRule="auto"/>
        <w:ind w:firstLine="480" w:firstLineChars="200"/>
        <w:rPr>
          <w:color w:val="auto"/>
          <w:sz w:val="24"/>
          <w:szCs w:val="24"/>
        </w:rPr>
      </w:pPr>
    </w:p>
    <w:p>
      <w:pPr>
        <w:spacing w:line="360" w:lineRule="auto"/>
        <w:ind w:firstLine="480" w:firstLineChars="200"/>
        <w:rPr>
          <w:color w:val="auto"/>
          <w:sz w:val="24"/>
          <w:szCs w:val="24"/>
        </w:rPr>
      </w:pPr>
      <w:r>
        <w:rPr>
          <w:color w:val="auto"/>
          <w:sz w:val="24"/>
          <w:szCs w:val="24"/>
        </w:rPr>
        <w:t>本项目位于宁夏中卫市永康镇阳沟村中卫市生活垃圾填埋场西侧，属于中卫市土壤污染风险分区管控中的一般管控区。本项目不属于新建有色金属冶炼、焦化等行业企业，不涉及重金属污染物，项目污水处理站和危废暂存间等区域均做重点防渗，并于主体工程同时施工、同时投产使用。满足土壤环境质量底线及分区管控要求。</w:t>
      </w:r>
    </w:p>
    <w:p>
      <w:pPr>
        <w:pStyle w:val="128"/>
        <w:ind w:firstLine="0" w:firstLineChars="0"/>
        <w:rPr>
          <w:color w:val="auto"/>
        </w:rPr>
      </w:pPr>
      <w:r>
        <w:rPr>
          <w:color w:val="auto"/>
        </w:rPr>
        <w:t>4.2.3 资源利用上线及分区管控符合性分析相符性分析</w:t>
      </w:r>
    </w:p>
    <w:p>
      <w:pPr>
        <w:pStyle w:val="7"/>
        <w:numPr>
          <w:ilvl w:val="4"/>
          <w:numId w:val="0"/>
        </w:numPr>
        <w:rPr>
          <w:color w:val="auto"/>
        </w:rPr>
      </w:pPr>
      <w:r>
        <w:rPr>
          <w:color w:val="auto"/>
        </w:rPr>
        <w:t>4.2.3.1能源利用上线及分区管控</w:t>
      </w:r>
    </w:p>
    <w:p>
      <w:pPr>
        <w:pStyle w:val="130"/>
        <w:ind w:firstLine="480"/>
        <w:rPr>
          <w:color w:val="auto"/>
        </w:rPr>
      </w:pPr>
      <w:r>
        <w:rPr>
          <w:color w:val="auto"/>
        </w:rPr>
        <w:t>考虑大气环境质量改善要求，将全市各县（区）已发布的高污染燃料禁燃区作为能源利用重点管控区。全市高污染燃料禁燃区的面积为58.00平方公里，占全市面积的0.42%。</w:t>
      </w:r>
    </w:p>
    <w:p>
      <w:pPr>
        <w:pStyle w:val="130"/>
        <w:ind w:firstLine="480"/>
        <w:rPr>
          <w:color w:val="auto"/>
        </w:rPr>
      </w:pPr>
      <w:r>
        <w:rPr>
          <w:color w:val="auto"/>
        </w:rPr>
        <w:t>根据《关于发布&lt;高污染燃料目录&gt;的通知》（国环规大气〔2017〕2号）要求，按照控制严格程度，将禁燃区内禁止燃用的燃料组合分为Ⅰ类（一般）、Ⅱ类（较严）、Ⅲ类（严格）。根据《市人民政府办公室关于印发中卫市高污染燃料禁燃区划定方案的通知》（卫政办发〔2017〕145 号），全市高污染燃料禁燃区内禁止燃用的燃料组合为Ⅰ类。禁燃区内任何单位不得新建、扩建高污染燃料燃用设施，逐步取消禁燃区内的高污染燃料销售点。对于现有的高污染燃料燃用设施，应当按照规定予以拆除或改用电、天然气等清洁能源。</w:t>
      </w:r>
    </w:p>
    <w:p>
      <w:pPr>
        <w:pStyle w:val="130"/>
        <w:ind w:firstLine="480"/>
        <w:rPr>
          <w:color w:val="auto"/>
        </w:rPr>
      </w:pPr>
      <w:r>
        <w:rPr>
          <w:color w:val="auto"/>
        </w:rPr>
        <w:t>本项目位于宁夏中卫市永康镇阳沟村中卫市生活垃圾填埋场西侧，不属于中卫市高污染燃料禁燃区，本项目与中卫市高污染燃料禁燃区位置关系见图6。</w:t>
      </w:r>
    </w:p>
    <w:p>
      <w:pPr>
        <w:pStyle w:val="130"/>
        <w:ind w:firstLine="0" w:firstLineChars="0"/>
        <w:rPr>
          <w:color w:val="auto"/>
        </w:rPr>
      </w:pPr>
      <w:r>
        <w:rPr>
          <w:color w:val="auto"/>
        </w:rPr>
        <mc:AlternateContent>
          <mc:Choice Requires="wps">
            <w:drawing>
              <wp:anchor distT="0" distB="0" distL="114300" distR="114300" simplePos="0" relativeHeight="251679744" behindDoc="0" locked="0" layoutInCell="1" allowOverlap="1">
                <wp:simplePos x="0" y="0"/>
                <wp:positionH relativeFrom="column">
                  <wp:posOffset>2210435</wp:posOffset>
                </wp:positionH>
                <wp:positionV relativeFrom="paragraph">
                  <wp:posOffset>2948305</wp:posOffset>
                </wp:positionV>
                <wp:extent cx="678180" cy="301625"/>
                <wp:effectExtent l="4445" t="353060" r="18415" b="15875"/>
                <wp:wrapNone/>
                <wp:docPr id="68" name="圆角矩形标注 31"/>
                <wp:cNvGraphicFramePr/>
                <a:graphic xmlns:a="http://schemas.openxmlformats.org/drawingml/2006/main">
                  <a:graphicData uri="http://schemas.microsoft.com/office/word/2010/wordprocessingShape">
                    <wps:wsp>
                      <wps:cNvSpPr/>
                      <wps:spPr>
                        <a:xfrm flipV="1">
                          <a:off x="0" y="0"/>
                          <a:ext cx="678180" cy="301625"/>
                        </a:xfrm>
                        <a:prstGeom prst="wedgeRoundRectCallout">
                          <a:avLst>
                            <a:gd name="adj1" fmla="val -33333"/>
                            <a:gd name="adj2" fmla="val 160526"/>
                            <a:gd name="adj3" fmla="val 16667"/>
                          </a:avLst>
                        </a:prstGeom>
                        <a:solidFill>
                          <a:srgbClr val="FFFFFF">
                            <a:alpha val="50000"/>
                          </a:srgbClr>
                        </a:solidFill>
                        <a:ln w="9525" cap="flat" cmpd="sng">
                          <a:solidFill>
                            <a:srgbClr val="000000"/>
                          </a:solidFill>
                          <a:prstDash val="solid"/>
                          <a:miter/>
                          <a:headEnd type="none" w="med" len="med"/>
                          <a:tailEnd type="none" w="med" len="med"/>
                        </a:ln>
                        <a:effectLst/>
                      </wps:spPr>
                      <wps:txbx>
                        <w:txbxContent>
                          <w:p>
                            <w:pPr>
                              <w:spacing w:line="360" w:lineRule="exact"/>
                              <w:jc w:val="center"/>
                              <w:rPr>
                                <w:b/>
                              </w:rPr>
                            </w:pPr>
                            <w:r>
                              <w:rPr>
                                <w:rFonts w:hint="eastAsia"/>
                                <w:b/>
                              </w:rPr>
                              <w:t>本项目</w:t>
                            </w:r>
                          </w:p>
                        </w:txbxContent>
                      </wps:txbx>
                      <wps:bodyPr wrap="square" lIns="0" tIns="0" rIns="0" bIns="0" upright="1">
                        <a:noAutofit/>
                      </wps:bodyPr>
                    </wps:wsp>
                  </a:graphicData>
                </a:graphic>
              </wp:anchor>
            </w:drawing>
          </mc:Choice>
          <mc:Fallback>
            <w:pict>
              <v:shape id="圆角矩形标注 31" o:spid="_x0000_s1026" o:spt="62" type="#_x0000_t62" style="position:absolute;left:0pt;flip:y;margin-left:174.05pt;margin-top:232.15pt;height:23.75pt;width:53.4pt;z-index:251679744;mso-width-relative:page;mso-height-relative:page;" fillcolor="#FFFFFF" filled="t" stroked="t" coordsize="21600,21600" o:gfxdata="UEsDBAoAAAAAAIdO4kAAAAAAAAAAAAAAAAAEAAAAZHJzL1BLAwQUAAAACACHTuJAt0j+L9sAAAAL&#10;AQAADwAAAGRycy9kb3ducmV2LnhtbE2PwU7DMBBE70j8g7VIXBC13bglhGwqUcSJQ6FU4urG2yQi&#10;tqPYbQNfjznBcTVPM2/L1WR7dqIxdN4hyJkARq72pnMNwu79+TYHFqJ2RvfeEcIXBVhVlxelLow/&#10;uzc6bWPDUokLhUZoYxwKzkPdktVh5gdyKTv40eqYzrHhZtTnVG57Phdiya3uXFpo9UDrlurP7dEi&#10;hHHy8eZVfGS7tTzMv8PL49PmDvH6SooHYJGm+AfDr35Shyo57f3RmcB6hEzlMqEIaqkyYIlQC3UP&#10;bI+wkDIHXpX8/w/VD1BLAwQUAAAACACHTuJAFgCoe3MCAAD1BAAADgAAAGRycy9lMm9Eb2MueG1s&#10;rVTNbtQwEL4j8Q6W722SXW1aVs1WqKUICUHVAndvbCdG/sP2bnZfAO6ckUBcgDNnHqeFx2DsZLdb&#10;ekEIH6yxPfnmm29mcnS8UhItmfPC6AoX+zlGTNeGCt1U+OWLs71DjHwgmhJpNKvwmnl8PLt/76iz&#10;UzYyrZGUOQQg2k87W+E2BDvNMl+3TBG/byzT8MiNUyTA0TUZdaQDdCWzUZ6XWWcctc7UzHu4Pe0f&#10;8Szhc87q8JxzzwKSFQZuIe0u7fO4Z7MjMm0csa2oBxrkH1goIjQE3UKdkkDQwok7UErUznjDw35t&#10;VGY4FzVLOUA2Rf5HNpctsSzlAuJ4u5XJ/z/Y+tny3CFBK1xCpTRRUKOrD29/fXn/8+O3qx+frz+9&#10;u/7+FY2LqFRn/RQ+uLTnbjh5MGPaK+4U4lLYV9AESQhIDa2SzuutzmwVUA2X5cFhcQjVqOFpnBfl&#10;aBLRsx4mwlnnw2NmFIpGhTtGG3ZhFppeQEFPiJRmEVIUsnzqQ9KdDuQJfV1gxJWEMi6JRHvjuIY6&#10;7ziNdp2KMp+MyrtO49tOZXkwEB3iAuUN1UjCGynomZAyHVwzP5EOAYkKn6XVU5a2Jf3tJIc1IPre&#10;PclwC0dq1FX4wQREQjWBEeGSBDCVhaJ53STQW18MUH2MGOImyC7ByPyU+Lb3Swi9AkoE5tJgtIzQ&#10;R5qisLbQFxomGEcyilGMJIOBj1byDETIv/EExaSO8rA0nFC9WPnYWH0rRSus5iu4jebc0DX0ZwcD&#10;Csm+WRAHDOQTDRMQp3ljuI0x3xgL60TTQu/03ajNw0UwXGyj9cBDaJitpPvwH4jDu3tOXjd/q9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0j+L9sAAAALAQAADwAAAAAAAAABACAAAAAiAAAAZHJz&#10;L2Rvd25yZXYueG1sUEsBAhQAFAAAAAgAh07iQBYAqHtzAgAA9QQAAA4AAAAAAAAAAQAgAAAAKgEA&#10;AGRycy9lMm9Eb2MueG1sUEsFBgAAAAAGAAYAWQEAAA8GAAAAAA==&#10;" adj="3600,45474,14400">
                <v:fill on="t" opacity="32768f" focussize="0,0"/>
                <v:stroke color="#000000" joinstyle="miter"/>
                <v:imagedata o:title=""/>
                <o:lock v:ext="edit" aspectratio="f"/>
                <v:textbox inset="0mm,0mm,0mm,0mm">
                  <w:txbxContent>
                    <w:p>
                      <w:pPr>
                        <w:spacing w:line="360" w:lineRule="exact"/>
                        <w:jc w:val="center"/>
                        <w:rPr>
                          <w:b/>
                        </w:rPr>
                      </w:pPr>
                      <w:r>
                        <w:rPr>
                          <w:rFonts w:hint="eastAsia"/>
                          <w:b/>
                        </w:rPr>
                        <w:t>本项目</w:t>
                      </w:r>
                    </w:p>
                  </w:txbxContent>
                </v:textbox>
              </v:shap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2282190</wp:posOffset>
                </wp:positionH>
                <wp:positionV relativeFrom="paragraph">
                  <wp:posOffset>2515870</wp:posOffset>
                </wp:positionV>
                <wp:extent cx="75565" cy="75565"/>
                <wp:effectExtent l="4445" t="4445" r="11430" b="11430"/>
                <wp:wrapNone/>
                <wp:docPr id="70" name="椭圆 47"/>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txbx>
                        <w:txbxContent>
                          <w:p>
                            <w:pPr>
                              <w:jc w:val="center"/>
                            </w:pPr>
                          </w:p>
                        </w:txbxContent>
                      </wps:txbx>
                      <wps:bodyPr wrap="square" upright="1"/>
                    </wps:wsp>
                  </a:graphicData>
                </a:graphic>
              </wp:anchor>
            </w:drawing>
          </mc:Choice>
          <mc:Fallback>
            <w:pict>
              <v:shape id="椭圆 47" o:spid="_x0000_s1026" o:spt="3" type="#_x0000_t3" style="position:absolute;left:0pt;margin-left:179.7pt;margin-top:198.1pt;height:5.95pt;width:5.95pt;z-index:251680768;mso-width-relative:page;mso-height-relative:page;" fillcolor="#FF0000" filled="t" stroked="t" coordsize="21600,21600" o:gfxdata="UEsDBAoAAAAAAIdO4kAAAAAAAAAAAAAAAAAEAAAAZHJzL1BLAwQUAAAACACHTuJAqlfHYdoAAAAL&#10;AQAADwAAAGRycy9kb3ducmV2LnhtbE2PPW/CMBCG90r9D9ZV6lZsE6BJGoehUtWRFFjYTHxJrPoj&#10;ig2Bf193arc73aP3nrfa3qwhV5yC9k4AXzAg6FqvtOsFHA8fLzmQEKVT0niHAu4YYFs/PlSyVH52&#10;X3jdx56kEBdKKWCIcSwpDe2AVoaFH9GlW+cnK2Nap56qSc4p3Bq6ZGxDrdQufRjkiO8Dtt/7ixUw&#10;3Wefc3Nqmp3uddesu8J+7oR4fuLsDUjEW/yD4Vc/qUOdnM7+4lQgRkC2LlYJTUOxWQJJRPbKMyBn&#10;ASuWc6B1Rf93qH8AUEsDBBQAAAAIAIdO4kAosCpU5wEAAOEDAAAOAAAAZHJzL2Uyb0RvYy54bWyt&#10;U82O0zAQviPxDpbvNG1FtxBtugdKuSBYaeEBpraTWPIfHrdJX4Cn4MiVx4LnYOyULguXFSIHZ2xP&#10;vvm+bybXN6M17Kgiau8avpjNOVNOeKld1/CPH3bPXnCGCZwE451q+Ekhv9k8fXI9hFotfe+NVJER&#10;iMN6CA3vUwp1VaHolQWc+aAcXbY+Wki0jV0lIwyEbk21nM+vqsFHGaIXCpFOt9Ml3xT8tlUivW9b&#10;VImZhhO3VNZY1n1eq8011F2E0GtxpgH/wMKCdlT0ArWFBOwQ9V9QVovo0bdpJrytfNtqoYoGUrOY&#10;/6HmroegihYyB8PFJvx/sOLd8TYyLRu+JnscWOrRj6/fvn/5zJ6vsztDwJqS7sJtPO+Qwix1bKPN&#10;bxLBxuLo6eKoGhMTdLhera5WnAm6mULCqO4/DRHTG+Uty0HDlTE6YFYMNRzfYpqyf2XlY/RGy502&#10;pmxit39lIjsCdXe3m9OTKVOBB2nGsaHhL1fLzARoyFoDiUIbSDa6rtR78AU+DjgT2wL2E4GCMA1U&#10;r0C+dpKlUyA/HU0+zxSskpwZRT9Kjogp1Am0eUwmaTKOpOV2TA3IURr3I8HkcO/liTo50CiTqE8H&#10;iFTzEKLuenJ2UXzJeTRHxaHzzOdB/X1fStz/mZ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qlfH&#10;YdoAAAALAQAADwAAAAAAAAABACAAAAAiAAAAZHJzL2Rvd25yZXYueG1sUEsBAhQAFAAAAAgAh07i&#10;QCiwKlTnAQAA4QMAAA4AAAAAAAAAAQAgAAAAKQEAAGRycy9lMm9Eb2MueG1sUEsFBgAAAAAGAAYA&#10;WQEAAIIFAAAAAA==&#10;">
                <v:fill on="t" focussize="0,0"/>
                <v:stroke color="#FF0000" joinstyle="round"/>
                <v:imagedata o:title=""/>
                <o:lock v:ext="edit" aspectratio="f"/>
                <v:textbox>
                  <w:txbxContent>
                    <w:p>
                      <w:pPr>
                        <w:jc w:val="center"/>
                      </w:pPr>
                    </w:p>
                  </w:txbxContent>
                </v:textbox>
              </v:shape>
            </w:pict>
          </mc:Fallback>
        </mc:AlternateContent>
      </w:r>
      <w:r>
        <w:rPr>
          <w:color w:val="auto"/>
        </w:rPr>
        <w:drawing>
          <wp:inline distT="0" distB="0" distL="114300" distR="114300">
            <wp:extent cx="5396865" cy="7633335"/>
            <wp:effectExtent l="0" t="0" r="13335" b="1905"/>
            <wp:docPr id="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
                    <pic:cNvPicPr>
                      <a:picLocks noChangeAspect="1"/>
                    </pic:cNvPicPr>
                  </pic:nvPicPr>
                  <pic:blipFill>
                    <a:blip r:embed="rId16"/>
                    <a:stretch>
                      <a:fillRect/>
                    </a:stretch>
                  </pic:blipFill>
                  <pic:spPr>
                    <a:xfrm>
                      <a:off x="0" y="0"/>
                      <a:ext cx="5396865" cy="7633335"/>
                    </a:xfrm>
                    <a:prstGeom prst="rect">
                      <a:avLst/>
                    </a:prstGeom>
                    <a:noFill/>
                    <a:ln>
                      <a:noFill/>
                    </a:ln>
                  </pic:spPr>
                </pic:pic>
              </a:graphicData>
            </a:graphic>
          </wp:inline>
        </w:drawing>
      </w:r>
    </w:p>
    <w:p>
      <w:pPr>
        <w:pStyle w:val="130"/>
        <w:ind w:firstLine="0" w:firstLineChars="0"/>
        <w:jc w:val="center"/>
        <w:rPr>
          <w:b/>
          <w:bCs w:val="0"/>
          <w:color w:val="auto"/>
        </w:rPr>
      </w:pPr>
      <w:r>
        <w:rPr>
          <w:b/>
          <w:bCs w:val="0"/>
          <w:color w:val="auto"/>
        </w:rPr>
        <w:t>图6 本项目与中卫市高污染燃料禁燃区位置关系图</w:t>
      </w:r>
    </w:p>
    <w:p>
      <w:pPr>
        <w:pStyle w:val="130"/>
        <w:ind w:firstLine="480"/>
        <w:rPr>
          <w:color w:val="auto"/>
        </w:rPr>
      </w:pPr>
    </w:p>
    <w:p>
      <w:pPr>
        <w:pStyle w:val="130"/>
        <w:ind w:firstLine="480"/>
        <w:rPr>
          <w:color w:val="auto"/>
        </w:rPr>
      </w:pPr>
    </w:p>
    <w:p>
      <w:pPr>
        <w:pStyle w:val="7"/>
        <w:numPr>
          <w:ilvl w:val="4"/>
          <w:numId w:val="0"/>
        </w:numPr>
        <w:rPr>
          <w:color w:val="auto"/>
        </w:rPr>
      </w:pPr>
      <w:r>
        <w:rPr>
          <w:color w:val="auto"/>
        </w:rPr>
        <w:t>4.2.3.2水资源利用上线及分区管控</w:t>
      </w:r>
    </w:p>
    <w:p>
      <w:pPr>
        <w:pStyle w:val="130"/>
        <w:ind w:firstLine="0" w:firstLineChars="0"/>
        <w:rPr>
          <w:color w:val="auto"/>
        </w:rPr>
      </w:pPr>
      <w:r>
        <w:rPr>
          <w:color w:val="auto"/>
        </w:rPr>
        <w:t>（1）水资源重点管控区</w:t>
      </w:r>
    </w:p>
    <w:p>
      <w:pPr>
        <w:pStyle w:val="130"/>
        <w:ind w:firstLine="480"/>
        <w:rPr>
          <w:color w:val="auto"/>
        </w:rPr>
      </w:pPr>
      <w:r>
        <w:rPr>
          <w:color w:val="auto"/>
        </w:rPr>
        <w:t>根据近三年自治区实行最严格水资源管理制度和节水型社会建设工作考核结果，将中卫市各县级行政区中取用水总量未达标的区域（中宁县、海原县），作为水资源利用效率重点管控区。</w:t>
      </w:r>
    </w:p>
    <w:p>
      <w:pPr>
        <w:pStyle w:val="130"/>
        <w:ind w:firstLine="0" w:firstLineChars="0"/>
        <w:rPr>
          <w:color w:val="auto"/>
        </w:rPr>
      </w:pPr>
      <w:r>
        <w:rPr>
          <w:color w:val="auto"/>
        </w:rPr>
        <w:t>（2）水资源分区管控要求</w:t>
      </w:r>
    </w:p>
    <w:p>
      <w:pPr>
        <w:pStyle w:val="130"/>
        <w:ind w:firstLine="480"/>
        <w:rPr>
          <w:color w:val="auto"/>
        </w:rPr>
      </w:pPr>
      <w:r>
        <w:rPr>
          <w:color w:val="auto"/>
        </w:rPr>
        <w:t>坚持以水定城、以水定地、以水定人、以水定产，落实《宁夏回族自治区关于实施最严格水资源管理制度的意见》，建立水资源刚性约束制度，落实水资源开发利用控制、用水效率控制和水功能区限制纳污控制“三条红线”管控。严格准入条件，按照地区取水总量限值审核新、改、扩建项目，取水总量不得超过地区水资源取用上限或承载能力。严控超量取用水、地下水开采等行为。</w:t>
      </w:r>
    </w:p>
    <w:p>
      <w:pPr>
        <w:pStyle w:val="130"/>
        <w:ind w:firstLine="480"/>
        <w:rPr>
          <w:color w:val="auto"/>
        </w:rPr>
      </w:pPr>
      <w:r>
        <w:rPr>
          <w:color w:val="auto"/>
        </w:rPr>
        <w:t>实施农业节水领跑行动。坚持适水种植、量水生产，加强节水灌溉工程建设和引、扬黄灌区节水改造，因地制宜推广喷灌、微灌、低压管道输水灌溉、水肥一体化、覆膜保墒等节水灌溉技术，将引黄、扬黄灌区打造为全国现代化生态灌区建设示范区。</w:t>
      </w:r>
    </w:p>
    <w:p>
      <w:pPr>
        <w:pStyle w:val="130"/>
        <w:ind w:firstLine="480"/>
        <w:rPr>
          <w:color w:val="auto"/>
        </w:rPr>
      </w:pPr>
      <w:r>
        <w:rPr>
          <w:color w:val="auto"/>
        </w:rPr>
        <w:t>深挖工业节水潜力。以中卫工业园区为重点，大力实施节水改造，推进统一供水、分质供水、废水集中处理回用。推进化工、冶金、建材等产业节水增效，大力推广高效冷却、洗涤、循环用水、废污水再生利用、高耗水生产工艺替代等节水工艺和技术。发挥水资源税税收杠杆调节作用，促进高耗水企业加强废水 深度处理和达标再利用。严格管控高耗水产业发展，倒逼高耗水项目和产业有序退出。</w:t>
      </w:r>
    </w:p>
    <w:p>
      <w:pPr>
        <w:pStyle w:val="130"/>
        <w:ind w:firstLine="480"/>
        <w:rPr>
          <w:color w:val="auto"/>
        </w:rPr>
      </w:pPr>
      <w:r>
        <w:rPr>
          <w:color w:val="auto"/>
        </w:rPr>
        <w:t>大力推进城市中水回用，加强中水回用设施建设，提高水资源的综合利用能力。深入开展公共领域节水，强力推广节水型用水器具，严控高耗水服务业用水，公共绿地全面采用喷灌、微灌等高效节水灌溉方式，全面推进节水型城市建设。</w:t>
      </w:r>
    </w:p>
    <w:p>
      <w:pPr>
        <w:pStyle w:val="130"/>
        <w:ind w:firstLine="480"/>
        <w:rPr>
          <w:color w:val="auto"/>
        </w:rPr>
      </w:pPr>
      <w:r>
        <w:rPr>
          <w:color w:val="auto"/>
        </w:rPr>
        <w:t>本项目位于宁夏中卫市永康镇阳沟村中卫市生活垃圾填埋场西侧，不属于水资源重点管控区，项目用水由区域供水管网提供，水资源消耗量相对区域资源利用总量较少，且本项目废水进入污水处理站进行处理达标后用于中卫市垃圾填埋场道路洒水抑尘，满足水资源利用上线及分区管控的要求。</w:t>
      </w:r>
    </w:p>
    <w:p>
      <w:pPr>
        <w:pStyle w:val="130"/>
        <w:ind w:firstLine="480"/>
        <w:rPr>
          <w:color w:val="auto"/>
        </w:rPr>
      </w:pPr>
    </w:p>
    <w:p>
      <w:pPr>
        <w:pStyle w:val="7"/>
        <w:numPr>
          <w:ilvl w:val="4"/>
          <w:numId w:val="0"/>
        </w:numPr>
        <w:rPr>
          <w:color w:val="auto"/>
        </w:rPr>
      </w:pPr>
      <w:r>
        <w:rPr>
          <w:color w:val="auto"/>
        </w:rPr>
        <w:t>4.2.3.3土地资源利用上线及分区管控</w:t>
      </w:r>
    </w:p>
    <w:p>
      <w:pPr>
        <w:pStyle w:val="130"/>
        <w:ind w:firstLine="480"/>
        <w:rPr>
          <w:color w:val="auto"/>
        </w:rPr>
      </w:pPr>
      <w:r>
        <w:rPr>
          <w:color w:val="auto"/>
        </w:rPr>
        <w:t>从生态环境保护的角度出发，综合考虑生态保护红线、永久基本农田等保护区域的面积，可开发利用土地资源的存量，以及土地资源的集约利用水平等因素，评价各区县在土地资源开发利用与生态环境保护方面的潜在矛盾程度。中卫市无土地资源重点管控区。</w:t>
      </w:r>
    </w:p>
    <w:p>
      <w:pPr>
        <w:pStyle w:val="130"/>
        <w:ind w:firstLine="480"/>
        <w:rPr>
          <w:color w:val="auto"/>
        </w:rPr>
      </w:pPr>
      <w:r>
        <w:rPr>
          <w:color w:val="auto"/>
        </w:rPr>
        <w:t>按照“以水定城、以水定地”的原则，优化城乡土地供给，严格落实耕地占补平衡，严控新增建设用地规模，严格按照投资强度核定用地面积，盘活利用闲置土地，合理控制土地开发强度，优化土地利用结构和布局，清理低效用地，集约化、规模化开发土地资源，提高土地集约化利用程度和开发利用效益。</w:t>
      </w:r>
    </w:p>
    <w:p>
      <w:pPr>
        <w:pStyle w:val="130"/>
        <w:ind w:firstLine="480"/>
        <w:rPr>
          <w:color w:val="auto"/>
        </w:rPr>
      </w:pPr>
      <w:r>
        <w:rPr>
          <w:color w:val="auto"/>
        </w:rPr>
        <w:t>本项目位于宁夏中卫市永康镇阳沟村中卫市生活垃圾填埋场西侧，不属于土地资源重点管控区，且本项目不新增用地，满足土地资源利用上线及分区管控的要求。</w:t>
      </w:r>
    </w:p>
    <w:p>
      <w:pPr>
        <w:pStyle w:val="128"/>
        <w:ind w:firstLine="0" w:firstLineChars="0"/>
        <w:rPr>
          <w:color w:val="auto"/>
        </w:rPr>
      </w:pPr>
      <w:r>
        <w:rPr>
          <w:color w:val="auto"/>
        </w:rPr>
        <w:t>4.2.4 环境管控单元与准入清单</w:t>
      </w:r>
    </w:p>
    <w:p>
      <w:pPr>
        <w:pStyle w:val="7"/>
        <w:numPr>
          <w:ilvl w:val="4"/>
          <w:numId w:val="0"/>
        </w:numPr>
        <w:rPr>
          <w:color w:val="auto"/>
        </w:rPr>
      </w:pPr>
      <w:r>
        <w:rPr>
          <w:color w:val="auto"/>
        </w:rPr>
        <w:t>4.2.4.1环境管控单元</w:t>
      </w:r>
    </w:p>
    <w:p>
      <w:pPr>
        <w:pStyle w:val="130"/>
        <w:ind w:firstLine="480"/>
        <w:rPr>
          <w:color w:val="auto"/>
        </w:rPr>
      </w:pPr>
      <w:r>
        <w:rPr>
          <w:color w:val="auto"/>
        </w:rPr>
        <w:t>根据《中卫市人民政府关于实施“三线一单”生态环境分区管控的通知》(卫政发〔2021〕31 号)及《中卫市“三线一单”编制文本》，中卫市共划定环境管控单元49个，其中优先保护单元25个，优先保护单元个数占全市总单元个数的 51.02%，优先保护单元面积为6103.96平方公里，其面积占全市总面积的44.71%。重点管控单元个数为12个，占全市总单元个数的24.49%，重点管控单元面积为 945.59平方公里，占全市总面积的6.93%。一般管控单元个数为12个，占全市总单元个数的24.49%，其面积为6601.82平方公里，占全市总面积的48.36%。</w:t>
      </w:r>
    </w:p>
    <w:p>
      <w:pPr>
        <w:pStyle w:val="130"/>
        <w:ind w:firstLine="480"/>
        <w:rPr>
          <w:color w:val="auto"/>
        </w:rPr>
      </w:pPr>
      <w:r>
        <w:rPr>
          <w:color w:val="auto"/>
        </w:rPr>
        <w:t>优先保护单元：为生态保护红线、一般生态空间、水环境优先保护区、大气环境优先保护区的并集。优先保护单元以严格保护生态环境、严格限制产业发展为导向，禁止或限制大规模的工业开发和城镇建设。</w:t>
      </w:r>
    </w:p>
    <w:p>
      <w:pPr>
        <w:pStyle w:val="130"/>
        <w:ind w:firstLine="480"/>
        <w:rPr>
          <w:color w:val="auto"/>
        </w:rPr>
      </w:pPr>
      <w:r>
        <w:rPr>
          <w:color w:val="auto"/>
        </w:rPr>
        <w:t>重点管控单元：在扣除优先保护单元的基础上，将水环境重点管控区、大气环境重点管控区、禁燃区、地下水开采等重点管控区等与行政区划、工业园区边界等进行空间叠加拟合，形成重点管控单元。重点管控单元总体上以守住环境质量底线、控制资源利用上线、积极发展社会经济为导向，实施污染防治、生态环</w:t>
      </w:r>
    </w:p>
    <w:p>
      <w:pPr>
        <w:pStyle w:val="130"/>
        <w:ind w:firstLine="0" w:firstLineChars="0"/>
        <w:rPr>
          <w:color w:val="auto"/>
        </w:rPr>
      </w:pPr>
      <w:r>
        <w:rPr>
          <w:color w:val="auto"/>
        </w:rPr>
        <w:t>境修复治理和差异化的环境准入。</w:t>
      </w:r>
    </w:p>
    <w:p>
      <w:pPr>
        <w:pStyle w:val="130"/>
        <w:ind w:firstLine="480"/>
        <w:rPr>
          <w:color w:val="auto"/>
        </w:rPr>
      </w:pPr>
      <w:r>
        <w:rPr>
          <w:color w:val="auto"/>
        </w:rPr>
        <w:t>一般管控单元：除优先保护单元和重点管控单元之外的其他区域全部纳入一般管控单元。一般管控单元以适度发展社会经济、避免大规模高强度开发为导向，执行区域生态环境保护的基本要求。</w:t>
      </w:r>
    </w:p>
    <w:p>
      <w:pPr>
        <w:pStyle w:val="130"/>
        <w:ind w:firstLine="480"/>
        <w:rPr>
          <w:color w:val="auto"/>
        </w:rPr>
      </w:pPr>
      <w:r>
        <w:rPr>
          <w:color w:val="auto"/>
        </w:rPr>
        <w:t>本项目位于宁夏中卫市永康镇阳沟村中卫市生活垃圾填埋场西侧，属于环境管控单元中的一般管控单元，本项目与中卫市环境管控单元位置关系见图7。</w:t>
      </w:r>
    </w:p>
    <w:p>
      <w:pPr>
        <w:pStyle w:val="130"/>
        <w:ind w:firstLine="0" w:firstLineChars="0"/>
        <w:rPr>
          <w:color w:val="auto"/>
        </w:rPr>
      </w:pPr>
      <w:r>
        <w:rPr>
          <w:color w:val="auto"/>
        </w:rPr>
        <mc:AlternateContent>
          <mc:Choice Requires="wps">
            <w:drawing>
              <wp:anchor distT="0" distB="0" distL="114300" distR="114300" simplePos="0" relativeHeight="251681792" behindDoc="0" locked="0" layoutInCell="1" allowOverlap="1">
                <wp:simplePos x="0" y="0"/>
                <wp:positionH relativeFrom="column">
                  <wp:posOffset>2282190</wp:posOffset>
                </wp:positionH>
                <wp:positionV relativeFrom="paragraph">
                  <wp:posOffset>2515870</wp:posOffset>
                </wp:positionV>
                <wp:extent cx="75565" cy="75565"/>
                <wp:effectExtent l="4445" t="4445" r="11430" b="11430"/>
                <wp:wrapNone/>
                <wp:docPr id="72" name="椭圆 47"/>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txbx>
                        <w:txbxContent>
                          <w:p>
                            <w:pPr>
                              <w:jc w:val="center"/>
                            </w:pPr>
                          </w:p>
                        </w:txbxContent>
                      </wps:txbx>
                      <wps:bodyPr wrap="square" upright="1"/>
                    </wps:wsp>
                  </a:graphicData>
                </a:graphic>
              </wp:anchor>
            </w:drawing>
          </mc:Choice>
          <mc:Fallback>
            <w:pict>
              <v:shape id="椭圆 47" o:spid="_x0000_s1026" o:spt="3" type="#_x0000_t3" style="position:absolute;left:0pt;margin-left:179.7pt;margin-top:198.1pt;height:5.95pt;width:5.95pt;z-index:251681792;mso-width-relative:page;mso-height-relative:page;" fillcolor="#FF0000" filled="t" stroked="t" coordsize="21600,21600" o:gfxdata="UEsDBAoAAAAAAIdO4kAAAAAAAAAAAAAAAAAEAAAAZHJzL1BLAwQUAAAACACHTuJAqlfHYdoAAAAL&#10;AQAADwAAAGRycy9kb3ducmV2LnhtbE2PPW/CMBCG90r9D9ZV6lZsE6BJGoehUtWRFFjYTHxJrPoj&#10;ig2Bf193arc73aP3nrfa3qwhV5yC9k4AXzAg6FqvtOsFHA8fLzmQEKVT0niHAu4YYFs/PlSyVH52&#10;X3jdx56kEBdKKWCIcSwpDe2AVoaFH9GlW+cnK2Nap56qSc4p3Bq6ZGxDrdQufRjkiO8Dtt/7ixUw&#10;3Wefc3Nqmp3uddesu8J+7oR4fuLsDUjEW/yD4Vc/qUOdnM7+4lQgRkC2LlYJTUOxWQJJRPbKMyBn&#10;ASuWc6B1Rf93qH8AUEsDBBQAAAAIAIdO4kAEvpZs6AEAAOEDAAAOAAAAZHJzL2Uyb0RvYy54bWyt&#10;U82O0zAQviPxDpbvNG1FtxBtugdKuSBYaeEBpraTWPIfHrdJX4Cn4MiVx4LnYOyULguXFSIHZ2xP&#10;vvm+bybXN6M17Kgiau8avpjNOVNOeKld1/CPH3bPXnCGCZwE451q+Ekhv9k8fXI9hFotfe+NVJER&#10;iMN6CA3vUwp1VaHolQWc+aAcXbY+Wki0jV0lIwyEbk21nM+vqsFHGaIXCpFOt9Ml3xT8tlUivW9b&#10;VImZhhO3VNZY1n1eq8011F2E0GtxpgH/wMKCdlT0ArWFBOwQ9V9QVovo0bdpJrytfNtqoYoGUrOY&#10;/6HmroegihYyB8PFJvx/sOLd8TYyLRu+XnLmwFKPfnz99v3LZ/Z8nd0ZAtaUdBdu43mHFGapYxtt&#10;fpMINhZHTxdH1ZiYoMP1anW14kzQzRQSRnX/aYiY3ihvWQ4arozRAbNiqOH4FtOU/SsrH6M3Wu60&#10;MWUTu/0rE9kRqLu73ZyeTJkKPEgzjg0Nf7laZiZAQ9YaSBTaQLLRdaXegy/wccCZ2BawnwgUhGmg&#10;egXytZMsnQL56WjyeaZgleTMKPpRckRMoU6gzWMySZNxJC23Y2pAjtK4Hwkmh3svT9TJgUaZRH06&#10;QKSahxB115Ozi+JLzqM5Kg6dZz4P6u/7UuL+z9z8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pX&#10;x2HaAAAACwEAAA8AAAAAAAAAAQAgAAAAIgAAAGRycy9kb3ducmV2LnhtbFBLAQIUABQAAAAIAIdO&#10;4kAEvpZs6AEAAOEDAAAOAAAAAAAAAAEAIAAAACkBAABkcnMvZTJvRG9jLnhtbFBLBQYAAAAABgAG&#10;AFkBAACDBQAAAAA=&#10;">
                <v:fill on="t" focussize="0,0"/>
                <v:stroke color="#FF0000" joinstyle="round"/>
                <v:imagedata o:title=""/>
                <o:lock v:ext="edit" aspectratio="f"/>
                <v:textbox>
                  <w:txbxContent>
                    <w:p>
                      <w:pPr>
                        <w:jc w:val="center"/>
                      </w:pPr>
                    </w:p>
                  </w:txbxContent>
                </v:textbox>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2210435</wp:posOffset>
                </wp:positionH>
                <wp:positionV relativeFrom="paragraph">
                  <wp:posOffset>2948305</wp:posOffset>
                </wp:positionV>
                <wp:extent cx="678180" cy="301625"/>
                <wp:effectExtent l="4445" t="353060" r="18415" b="15875"/>
                <wp:wrapNone/>
                <wp:docPr id="73" name="圆角矩形标注 31"/>
                <wp:cNvGraphicFramePr/>
                <a:graphic xmlns:a="http://schemas.openxmlformats.org/drawingml/2006/main">
                  <a:graphicData uri="http://schemas.microsoft.com/office/word/2010/wordprocessingShape">
                    <wps:wsp>
                      <wps:cNvSpPr/>
                      <wps:spPr>
                        <a:xfrm flipV="1">
                          <a:off x="0" y="0"/>
                          <a:ext cx="678180" cy="301625"/>
                        </a:xfrm>
                        <a:prstGeom prst="wedgeRoundRectCallout">
                          <a:avLst>
                            <a:gd name="adj1" fmla="val -33333"/>
                            <a:gd name="adj2" fmla="val 160526"/>
                            <a:gd name="adj3" fmla="val 16667"/>
                          </a:avLst>
                        </a:prstGeom>
                        <a:solidFill>
                          <a:srgbClr val="FFFFFF">
                            <a:alpha val="50000"/>
                          </a:srgbClr>
                        </a:solidFill>
                        <a:ln w="9525" cap="flat" cmpd="sng">
                          <a:solidFill>
                            <a:srgbClr val="000000"/>
                          </a:solidFill>
                          <a:prstDash val="solid"/>
                          <a:miter/>
                          <a:headEnd type="none" w="med" len="med"/>
                          <a:tailEnd type="none" w="med" len="med"/>
                        </a:ln>
                        <a:effectLst/>
                      </wps:spPr>
                      <wps:txbx>
                        <w:txbxContent>
                          <w:p>
                            <w:pPr>
                              <w:spacing w:line="360" w:lineRule="exact"/>
                              <w:jc w:val="center"/>
                              <w:rPr>
                                <w:b/>
                              </w:rPr>
                            </w:pPr>
                            <w:r>
                              <w:rPr>
                                <w:rFonts w:hint="eastAsia"/>
                                <w:b/>
                              </w:rPr>
                              <w:t>本项目</w:t>
                            </w:r>
                          </w:p>
                        </w:txbxContent>
                      </wps:txbx>
                      <wps:bodyPr wrap="square" lIns="0" tIns="0" rIns="0" bIns="0" upright="1">
                        <a:noAutofit/>
                      </wps:bodyPr>
                    </wps:wsp>
                  </a:graphicData>
                </a:graphic>
              </wp:anchor>
            </w:drawing>
          </mc:Choice>
          <mc:Fallback>
            <w:pict>
              <v:shape id="圆角矩形标注 31" o:spid="_x0000_s1026" o:spt="62" type="#_x0000_t62" style="position:absolute;left:0pt;flip:y;margin-left:174.05pt;margin-top:232.15pt;height:23.75pt;width:53.4pt;z-index:251682816;mso-width-relative:page;mso-height-relative:page;" fillcolor="#FFFFFF" filled="t" stroked="t" coordsize="21600,21600" o:gfxdata="UEsDBAoAAAAAAIdO4kAAAAAAAAAAAAAAAAAEAAAAZHJzL1BLAwQUAAAACACHTuJAt0j+L9sAAAAL&#10;AQAADwAAAGRycy9kb3ducmV2LnhtbE2PwU7DMBBE70j8g7VIXBC13bglhGwqUcSJQ6FU4urG2yQi&#10;tqPYbQNfjznBcTVPM2/L1WR7dqIxdN4hyJkARq72pnMNwu79+TYHFqJ2RvfeEcIXBVhVlxelLow/&#10;uzc6bWPDUokLhUZoYxwKzkPdktVh5gdyKTv40eqYzrHhZtTnVG57Phdiya3uXFpo9UDrlurP7dEi&#10;hHHy8eZVfGS7tTzMv8PL49PmDvH6SooHYJGm+AfDr35Shyo57f3RmcB6hEzlMqEIaqkyYIlQC3UP&#10;bI+wkDIHXpX8/w/VD1BLAwQUAAAACACHTuJATqylVXYCAAD1BAAADgAAAGRycy9lMm9Eb2MueG1s&#10;rVTNbtQwEL4j8Q6W722SXW1aVs1WqKUICUHVAndvbCdG/sP2bnZfAO6ckUBcgDNnHqeFx2DsZLdb&#10;ekEIH6yxPfnmm29mcnS8UhItmfPC6AoX+zlGTNeGCt1U+OWLs71DjHwgmhJpNKvwmnl8PLt/76iz&#10;UzYyrZGUOQQg2k87W+E2BDvNMl+3TBG/byzT8MiNUyTA0TUZdaQDdCWzUZ6XWWcctc7UzHu4Pe0f&#10;8Szhc87q8JxzzwKSFQZuIe0u7fO4Z7MjMm0csa2oBxrkH1goIjQE3UKdkkDQwok7UErUznjDw35t&#10;VGY4FzVLOUA2Rf5HNpctsSzlAuJ4u5XJ/z/Y+tny3CFBK3wwxkgTBTW6+vD215f3Pz9+u/rx+frT&#10;u+vvX9G4iEp11k/hg0t77oaTBzOmveJOIS6FfQVNkISA1NAq6bze6sxWAdVwWR4cFodQjRqexnlR&#10;jiYRPethIpx1PjxmRqFoVLhjtGEXZqHpBRT0hEhpFiFFIcunPiTd6UCe0NcFRlxJKOOSSLQ3jmuo&#10;847TaNepKPPJqLzrBJLcIBVlWR4MRIe4QHlDNZLwRgp6JqRMB9fMT6RDQKLCZ2n1lKVtSX87yWEN&#10;iL53TzLcwpEadRV+MAGRUE1gRLgkAUxloWheNwn01hcDVB8jhrgJskswMj8lvu39EkKvgBKBuTQY&#10;LSP0kaYorC30hYYJxpGMYhQjyWDgo5U8AxHybzxBMamjPCwNJ1QvVj42Vt9K0Qqr+Qpuozk3dA39&#10;2cGAQrJvFsQBA/lEwwTEad4YbmPMN8bCOtG00Dt9N2rzcBEMF9toPfAQGmYr6T78B+Lw7p6T183f&#10;avY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t0j+L9sAAAALAQAADwAAAAAAAAABACAAAAAiAAAA&#10;ZHJzL2Rvd25yZXYueG1sUEsBAhQAFAAAAAgAh07iQE6spVV2AgAA9QQAAA4AAAAAAAAAAQAgAAAA&#10;KgEAAGRycy9lMm9Eb2MueG1sUEsFBgAAAAAGAAYAWQEAABIGAAAAAA==&#10;" adj="3600,45474,14400">
                <v:fill on="t" opacity="32768f" focussize="0,0"/>
                <v:stroke color="#000000" joinstyle="miter"/>
                <v:imagedata o:title=""/>
                <o:lock v:ext="edit" aspectratio="f"/>
                <v:textbox inset="0mm,0mm,0mm,0mm">
                  <w:txbxContent>
                    <w:p>
                      <w:pPr>
                        <w:spacing w:line="360" w:lineRule="exact"/>
                        <w:jc w:val="center"/>
                        <w:rPr>
                          <w:b/>
                        </w:rPr>
                      </w:pPr>
                      <w:r>
                        <w:rPr>
                          <w:rFonts w:hint="eastAsia"/>
                          <w:b/>
                        </w:rPr>
                        <w:t>本项目</w:t>
                      </w:r>
                    </w:p>
                  </w:txbxContent>
                </v:textbox>
              </v:shape>
            </w:pict>
          </mc:Fallback>
        </mc:AlternateContent>
      </w:r>
      <w:r>
        <w:rPr>
          <w:color w:val="auto"/>
        </w:rPr>
        <w:drawing>
          <wp:inline distT="0" distB="0" distL="114300" distR="114300">
            <wp:extent cx="5396865" cy="7633335"/>
            <wp:effectExtent l="0" t="0" r="13335" b="1905"/>
            <wp:docPr id="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8"/>
                    <pic:cNvPicPr>
                      <a:picLocks noChangeAspect="1"/>
                    </pic:cNvPicPr>
                  </pic:nvPicPr>
                  <pic:blipFill>
                    <a:blip r:embed="rId17"/>
                    <a:stretch>
                      <a:fillRect/>
                    </a:stretch>
                  </pic:blipFill>
                  <pic:spPr>
                    <a:xfrm>
                      <a:off x="0" y="0"/>
                      <a:ext cx="5396865" cy="7633335"/>
                    </a:xfrm>
                    <a:prstGeom prst="rect">
                      <a:avLst/>
                    </a:prstGeom>
                    <a:noFill/>
                    <a:ln>
                      <a:noFill/>
                    </a:ln>
                  </pic:spPr>
                </pic:pic>
              </a:graphicData>
            </a:graphic>
          </wp:inline>
        </w:drawing>
      </w:r>
    </w:p>
    <w:p>
      <w:pPr>
        <w:pStyle w:val="130"/>
        <w:ind w:firstLine="0" w:firstLineChars="0"/>
        <w:jc w:val="center"/>
        <w:rPr>
          <w:b/>
          <w:bCs w:val="0"/>
          <w:color w:val="auto"/>
        </w:rPr>
      </w:pPr>
      <w:r>
        <w:rPr>
          <w:b/>
          <w:bCs w:val="0"/>
          <w:color w:val="auto"/>
        </w:rPr>
        <w:t>图7  本项目与中卫市环境管控单元位置关系图</w:t>
      </w:r>
    </w:p>
    <w:p>
      <w:pPr>
        <w:pStyle w:val="130"/>
        <w:ind w:firstLine="480"/>
        <w:rPr>
          <w:color w:val="auto"/>
        </w:rPr>
      </w:pPr>
    </w:p>
    <w:p>
      <w:pPr>
        <w:pStyle w:val="130"/>
        <w:ind w:firstLine="480"/>
        <w:rPr>
          <w:color w:val="auto"/>
        </w:rPr>
      </w:pPr>
    </w:p>
    <w:p>
      <w:pPr>
        <w:pStyle w:val="7"/>
        <w:numPr>
          <w:ilvl w:val="4"/>
          <w:numId w:val="0"/>
        </w:numPr>
        <w:rPr>
          <w:color w:val="auto"/>
        </w:rPr>
      </w:pPr>
      <w:r>
        <w:rPr>
          <w:color w:val="auto"/>
        </w:rPr>
        <w:t>4.2.4.2环境准入清单</w:t>
      </w:r>
    </w:p>
    <w:p>
      <w:pPr>
        <w:pStyle w:val="130"/>
        <w:ind w:firstLine="480"/>
        <w:rPr>
          <w:color w:val="auto"/>
        </w:rPr>
      </w:pPr>
      <w:r>
        <w:rPr>
          <w:color w:val="auto"/>
        </w:rPr>
        <w:t>本项目位于宁夏中卫市永康镇阳沟村中卫市生活垃圾填埋场西侧，本项目与“中卫市生态环境准入清单”的相符性判定见表1。</w:t>
      </w:r>
    </w:p>
    <w:p>
      <w:pPr>
        <w:pStyle w:val="130"/>
        <w:spacing w:line="240" w:lineRule="auto"/>
        <w:ind w:firstLine="0" w:firstLineChars="0"/>
        <w:jc w:val="center"/>
        <w:rPr>
          <w:b/>
          <w:bCs w:val="0"/>
          <w:color w:val="auto"/>
        </w:rPr>
      </w:pPr>
      <w:r>
        <w:rPr>
          <w:b/>
          <w:bCs w:val="0"/>
          <w:color w:val="auto"/>
        </w:rPr>
        <w:t>表1  中卫市生态环境准入清单要求</w:t>
      </w:r>
    </w:p>
    <w:tbl>
      <w:tblPr>
        <w:tblStyle w:val="75"/>
        <w:tblW w:w="864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44"/>
        <w:gridCol w:w="912"/>
        <w:gridCol w:w="3609"/>
        <w:gridCol w:w="2127"/>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6" w:hRule="atLeast"/>
          <w:tblHeader/>
          <w:jc w:val="center"/>
        </w:trPr>
        <w:tc>
          <w:tcPr>
            <w:tcW w:w="2056" w:type="dxa"/>
            <w:gridSpan w:val="2"/>
            <w:vAlign w:val="center"/>
          </w:tcPr>
          <w:p>
            <w:pPr>
              <w:pStyle w:val="130"/>
              <w:spacing w:line="240" w:lineRule="auto"/>
              <w:ind w:firstLine="0" w:firstLineChars="0"/>
              <w:jc w:val="center"/>
              <w:rPr>
                <w:b/>
                <w:bCs w:val="0"/>
                <w:color w:val="auto"/>
                <w:sz w:val="21"/>
                <w:szCs w:val="21"/>
              </w:rPr>
            </w:pPr>
            <w:r>
              <w:rPr>
                <w:b/>
                <w:bCs w:val="0"/>
                <w:color w:val="auto"/>
                <w:sz w:val="21"/>
                <w:szCs w:val="21"/>
              </w:rPr>
              <w:t>管控维度</w:t>
            </w:r>
          </w:p>
        </w:tc>
        <w:tc>
          <w:tcPr>
            <w:tcW w:w="3609" w:type="dxa"/>
            <w:vAlign w:val="center"/>
          </w:tcPr>
          <w:p>
            <w:pPr>
              <w:pStyle w:val="130"/>
              <w:spacing w:line="240" w:lineRule="auto"/>
              <w:ind w:firstLine="0" w:firstLineChars="0"/>
              <w:jc w:val="center"/>
              <w:rPr>
                <w:b/>
                <w:bCs w:val="0"/>
                <w:color w:val="auto"/>
                <w:sz w:val="21"/>
                <w:szCs w:val="21"/>
              </w:rPr>
            </w:pPr>
            <w:r>
              <w:rPr>
                <w:b/>
                <w:bCs w:val="0"/>
                <w:color w:val="auto"/>
                <w:sz w:val="21"/>
                <w:szCs w:val="21"/>
              </w:rPr>
              <w:t>管控要求</w:t>
            </w:r>
          </w:p>
        </w:tc>
        <w:tc>
          <w:tcPr>
            <w:tcW w:w="2127" w:type="dxa"/>
            <w:vAlign w:val="center"/>
          </w:tcPr>
          <w:p>
            <w:pPr>
              <w:pStyle w:val="130"/>
              <w:spacing w:line="240" w:lineRule="auto"/>
              <w:ind w:firstLine="0" w:firstLineChars="0"/>
              <w:jc w:val="center"/>
              <w:rPr>
                <w:b/>
                <w:bCs w:val="0"/>
                <w:color w:val="auto"/>
                <w:sz w:val="21"/>
                <w:szCs w:val="21"/>
              </w:rPr>
            </w:pPr>
            <w:r>
              <w:rPr>
                <w:b/>
                <w:bCs w:val="0"/>
                <w:color w:val="auto"/>
                <w:sz w:val="21"/>
                <w:szCs w:val="21"/>
              </w:rPr>
              <w:t>本项目情况</w:t>
            </w:r>
          </w:p>
        </w:tc>
        <w:tc>
          <w:tcPr>
            <w:tcW w:w="850" w:type="dxa"/>
            <w:vAlign w:val="center"/>
          </w:tcPr>
          <w:p>
            <w:pPr>
              <w:pStyle w:val="130"/>
              <w:spacing w:line="240" w:lineRule="auto"/>
              <w:ind w:firstLine="0" w:firstLineChars="0"/>
              <w:jc w:val="center"/>
              <w:rPr>
                <w:b/>
                <w:bCs w:val="0"/>
                <w:color w:val="auto"/>
                <w:sz w:val="21"/>
                <w:szCs w:val="21"/>
              </w:rPr>
            </w:pPr>
            <w:r>
              <w:rPr>
                <w:b/>
                <w:bCs w:val="0"/>
                <w:color w:val="auto"/>
                <w:sz w:val="21"/>
                <w:szCs w:val="21"/>
              </w:rPr>
              <w:t>符合性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restart"/>
            <w:vAlign w:val="center"/>
          </w:tcPr>
          <w:p>
            <w:pPr>
              <w:pStyle w:val="130"/>
              <w:spacing w:line="240" w:lineRule="auto"/>
              <w:ind w:firstLine="0" w:firstLineChars="0"/>
              <w:jc w:val="center"/>
              <w:rPr>
                <w:color w:val="auto"/>
                <w:sz w:val="21"/>
                <w:szCs w:val="21"/>
              </w:rPr>
            </w:pPr>
            <w:r>
              <w:rPr>
                <w:color w:val="auto"/>
                <w:sz w:val="21"/>
                <w:szCs w:val="21"/>
              </w:rPr>
              <w:t>A1</w:t>
            </w:r>
          </w:p>
          <w:p>
            <w:pPr>
              <w:pStyle w:val="130"/>
              <w:spacing w:line="240" w:lineRule="auto"/>
              <w:ind w:firstLine="0" w:firstLineChars="0"/>
              <w:jc w:val="center"/>
              <w:rPr>
                <w:color w:val="auto"/>
                <w:sz w:val="21"/>
                <w:szCs w:val="21"/>
              </w:rPr>
            </w:pPr>
            <w:r>
              <w:rPr>
                <w:color w:val="auto"/>
                <w:sz w:val="21"/>
                <w:szCs w:val="21"/>
              </w:rPr>
              <w:t>空间布局约束</w:t>
            </w:r>
          </w:p>
        </w:tc>
        <w:tc>
          <w:tcPr>
            <w:tcW w:w="912" w:type="dxa"/>
            <w:vMerge w:val="restart"/>
            <w:vAlign w:val="center"/>
          </w:tcPr>
          <w:p>
            <w:pPr>
              <w:pStyle w:val="130"/>
              <w:spacing w:line="240" w:lineRule="auto"/>
              <w:ind w:firstLine="0" w:firstLineChars="0"/>
              <w:jc w:val="center"/>
              <w:rPr>
                <w:color w:val="auto"/>
                <w:sz w:val="21"/>
                <w:szCs w:val="21"/>
              </w:rPr>
            </w:pPr>
            <w:r>
              <w:rPr>
                <w:color w:val="auto"/>
                <w:sz w:val="21"/>
                <w:szCs w:val="21"/>
              </w:rPr>
              <w:t>A1.1</w:t>
            </w:r>
          </w:p>
          <w:p>
            <w:pPr>
              <w:pStyle w:val="130"/>
              <w:spacing w:line="240" w:lineRule="auto"/>
              <w:ind w:firstLine="0" w:firstLineChars="0"/>
              <w:jc w:val="center"/>
              <w:rPr>
                <w:color w:val="auto"/>
                <w:sz w:val="21"/>
                <w:szCs w:val="21"/>
              </w:rPr>
            </w:pPr>
            <w:r>
              <w:rPr>
                <w:color w:val="auto"/>
                <w:sz w:val="21"/>
                <w:szCs w:val="21"/>
              </w:rPr>
              <w:t>禁止开发建设活动的要求</w:t>
            </w:r>
          </w:p>
        </w:tc>
        <w:tc>
          <w:tcPr>
            <w:tcW w:w="3609" w:type="dxa"/>
            <w:vAlign w:val="center"/>
          </w:tcPr>
          <w:p>
            <w:pPr>
              <w:pStyle w:val="130"/>
              <w:spacing w:line="240" w:lineRule="auto"/>
              <w:ind w:firstLine="0" w:firstLineChars="0"/>
              <w:jc w:val="left"/>
              <w:rPr>
                <w:color w:val="auto"/>
                <w:sz w:val="21"/>
                <w:szCs w:val="21"/>
              </w:rPr>
            </w:pPr>
            <w:r>
              <w:rPr>
                <w:color w:val="auto"/>
                <w:sz w:val="21"/>
                <w:szCs w:val="21"/>
              </w:rPr>
              <w:t>严禁在黄河干流及主要支流临岸1公里范围内新建“两高一资”项目及相关产业园区。</w:t>
            </w:r>
          </w:p>
        </w:tc>
        <w:tc>
          <w:tcPr>
            <w:tcW w:w="2127" w:type="dxa"/>
            <w:vMerge w:val="restart"/>
            <w:vAlign w:val="center"/>
          </w:tcPr>
          <w:p>
            <w:pPr>
              <w:pStyle w:val="130"/>
              <w:spacing w:line="240" w:lineRule="auto"/>
              <w:ind w:firstLine="0" w:firstLineChars="0"/>
              <w:jc w:val="center"/>
              <w:rPr>
                <w:color w:val="auto"/>
                <w:sz w:val="21"/>
                <w:szCs w:val="21"/>
              </w:rPr>
            </w:pPr>
            <w:r>
              <w:rPr>
                <w:color w:val="auto"/>
                <w:sz w:val="21"/>
                <w:szCs w:val="21"/>
              </w:rPr>
              <w:t>本项目位于宁夏中卫市永康镇阳沟村中卫市生活垃圾填埋场西侧，采用高温蒸汽灭菌法处理医疗废物，距离黄河约4.4km，不涉及A1.1所列禁止的情形。</w:t>
            </w:r>
          </w:p>
        </w:tc>
        <w:tc>
          <w:tcPr>
            <w:tcW w:w="850" w:type="dxa"/>
            <w:vMerge w:val="restart"/>
            <w:vAlign w:val="center"/>
          </w:tcPr>
          <w:p>
            <w:pPr>
              <w:pStyle w:val="130"/>
              <w:spacing w:line="240" w:lineRule="auto"/>
              <w:ind w:firstLine="0" w:firstLineChars="0"/>
              <w:jc w:val="center"/>
              <w:rPr>
                <w:color w:val="auto"/>
                <w:sz w:val="21"/>
                <w:szCs w:val="21"/>
              </w:rPr>
            </w:pPr>
            <w:r>
              <w:rPr>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0" w:firstLineChars="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黄河沿线两岸3公里范围内不再新建养殖场。</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0" w:firstLineChars="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所有工业企业原则上一律入园，工业园区及产业集聚区外不再建设工业项目。</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城市建成区内，禁止新建、扩建产生异味的生物发酵项目。</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03" w:hRule="atLeast"/>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“十四五”期间不再新增燃煤自备厂。</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91" w:hRule="atLeast"/>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禁止在优先保护类耕地集中区域新建有色金属冶炼、石油加工、化工、焦化、电镀、制革等行业企业。</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927" w:hRule="atLeast"/>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Align w:val="center"/>
          </w:tcPr>
          <w:p>
            <w:pPr>
              <w:pStyle w:val="130"/>
              <w:spacing w:line="240" w:lineRule="auto"/>
              <w:ind w:firstLine="0" w:firstLineChars="0"/>
              <w:jc w:val="center"/>
              <w:rPr>
                <w:color w:val="auto"/>
                <w:sz w:val="21"/>
                <w:szCs w:val="21"/>
              </w:rPr>
            </w:pPr>
            <w:r>
              <w:rPr>
                <w:color w:val="auto"/>
                <w:sz w:val="21"/>
                <w:szCs w:val="21"/>
              </w:rPr>
              <w:t>A1.2</w:t>
            </w:r>
          </w:p>
          <w:p>
            <w:pPr>
              <w:pStyle w:val="130"/>
              <w:spacing w:line="240" w:lineRule="auto"/>
              <w:ind w:firstLine="0" w:firstLineChars="0"/>
              <w:jc w:val="center"/>
              <w:rPr>
                <w:color w:val="auto"/>
                <w:sz w:val="21"/>
                <w:szCs w:val="21"/>
              </w:rPr>
            </w:pPr>
            <w:r>
              <w:rPr>
                <w:color w:val="auto"/>
                <w:sz w:val="21"/>
                <w:szCs w:val="21"/>
              </w:rPr>
              <w:t>限制开发建设活动的要求</w:t>
            </w:r>
          </w:p>
        </w:tc>
        <w:tc>
          <w:tcPr>
            <w:tcW w:w="3609" w:type="dxa"/>
            <w:vAlign w:val="center"/>
          </w:tcPr>
          <w:p>
            <w:pPr>
              <w:pStyle w:val="130"/>
              <w:spacing w:line="240" w:lineRule="auto"/>
              <w:ind w:firstLine="0" w:firstLineChars="0"/>
              <w:jc w:val="left"/>
              <w:rPr>
                <w:color w:val="auto"/>
                <w:sz w:val="21"/>
                <w:szCs w:val="21"/>
              </w:rPr>
            </w:pPr>
            <w:r>
              <w:rPr>
                <w:color w:val="auto"/>
                <w:sz w:val="21"/>
                <w:szCs w:val="21"/>
              </w:rPr>
              <w:t>严控“两高”行业和产能过剩行业用地、用电等，坚决杜绝“两高”行业低水平重复建设，对不符合国家产业规划、产业政策、“三线一单”、规划环评、产能置换、煤炭消费减量替代、污染物排放区域削减等要求及未落实能耗指标的“两高”项目坚决停批。</w:t>
            </w:r>
          </w:p>
        </w:tc>
        <w:tc>
          <w:tcPr>
            <w:tcW w:w="2127" w:type="dxa"/>
            <w:vAlign w:val="center"/>
          </w:tcPr>
          <w:p>
            <w:pPr>
              <w:pStyle w:val="130"/>
              <w:spacing w:line="240" w:lineRule="auto"/>
              <w:ind w:firstLine="0" w:firstLineChars="0"/>
              <w:jc w:val="center"/>
              <w:rPr>
                <w:color w:val="auto"/>
                <w:sz w:val="21"/>
                <w:szCs w:val="21"/>
              </w:rPr>
            </w:pPr>
            <w:r>
              <w:rPr>
                <w:color w:val="auto"/>
                <w:sz w:val="21"/>
                <w:szCs w:val="21"/>
              </w:rPr>
              <w:t>本项目不属于“两高”行业和产能过剩行业，符合国家产业政策。</w:t>
            </w:r>
          </w:p>
        </w:tc>
        <w:tc>
          <w:tcPr>
            <w:tcW w:w="850" w:type="dxa"/>
            <w:vAlign w:val="center"/>
          </w:tcPr>
          <w:p>
            <w:pPr>
              <w:pStyle w:val="130"/>
              <w:spacing w:line="240" w:lineRule="auto"/>
              <w:ind w:firstLine="0" w:firstLineChars="0"/>
              <w:jc w:val="center"/>
              <w:rPr>
                <w:color w:val="auto"/>
                <w:sz w:val="21"/>
                <w:szCs w:val="21"/>
              </w:rPr>
            </w:pPr>
            <w:r>
              <w:rPr>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548" w:hRule="atLeast"/>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restart"/>
            <w:vAlign w:val="center"/>
          </w:tcPr>
          <w:p>
            <w:pPr>
              <w:pStyle w:val="130"/>
              <w:spacing w:line="240" w:lineRule="auto"/>
              <w:ind w:firstLine="0" w:firstLineChars="0"/>
              <w:jc w:val="center"/>
              <w:rPr>
                <w:color w:val="auto"/>
                <w:sz w:val="21"/>
                <w:szCs w:val="21"/>
              </w:rPr>
            </w:pPr>
            <w:r>
              <w:rPr>
                <w:color w:val="auto"/>
                <w:sz w:val="21"/>
                <w:szCs w:val="21"/>
              </w:rPr>
              <w:t>A1.3</w:t>
            </w:r>
          </w:p>
          <w:p>
            <w:pPr>
              <w:pStyle w:val="130"/>
              <w:spacing w:line="240" w:lineRule="auto"/>
              <w:ind w:firstLine="0" w:firstLineChars="0"/>
              <w:jc w:val="center"/>
              <w:rPr>
                <w:color w:val="auto"/>
                <w:sz w:val="21"/>
                <w:szCs w:val="21"/>
              </w:rPr>
            </w:pPr>
            <w:r>
              <w:rPr>
                <w:color w:val="auto"/>
                <w:sz w:val="21"/>
                <w:szCs w:val="21"/>
              </w:rPr>
              <w:t>不符合空间布局要求</w:t>
            </w:r>
          </w:p>
          <w:p>
            <w:pPr>
              <w:pStyle w:val="130"/>
              <w:spacing w:line="240" w:lineRule="auto"/>
              <w:ind w:firstLine="0" w:firstLineChars="0"/>
              <w:jc w:val="center"/>
              <w:rPr>
                <w:color w:val="auto"/>
                <w:sz w:val="21"/>
                <w:szCs w:val="21"/>
              </w:rPr>
            </w:pPr>
            <w:r>
              <w:rPr>
                <w:color w:val="auto"/>
                <w:sz w:val="21"/>
                <w:szCs w:val="21"/>
              </w:rPr>
              <w:t>活动的</w:t>
            </w:r>
          </w:p>
          <w:p>
            <w:pPr>
              <w:pStyle w:val="130"/>
              <w:spacing w:line="240" w:lineRule="auto"/>
              <w:ind w:firstLine="0" w:firstLineChars="0"/>
              <w:jc w:val="center"/>
              <w:rPr>
                <w:color w:val="auto"/>
                <w:sz w:val="21"/>
                <w:szCs w:val="21"/>
              </w:rPr>
            </w:pPr>
            <w:r>
              <w:rPr>
                <w:color w:val="auto"/>
                <w:sz w:val="21"/>
                <w:szCs w:val="21"/>
              </w:rPr>
              <w:t>退出要求</w:t>
            </w:r>
          </w:p>
        </w:tc>
        <w:tc>
          <w:tcPr>
            <w:tcW w:w="3609" w:type="dxa"/>
            <w:vAlign w:val="center"/>
          </w:tcPr>
          <w:p>
            <w:pPr>
              <w:pStyle w:val="130"/>
              <w:spacing w:line="240" w:lineRule="auto"/>
              <w:ind w:firstLine="0" w:firstLineChars="0"/>
              <w:jc w:val="left"/>
              <w:rPr>
                <w:color w:val="auto"/>
                <w:sz w:val="21"/>
                <w:szCs w:val="21"/>
              </w:rPr>
            </w:pPr>
            <w:r>
              <w:rPr>
                <w:color w:val="auto"/>
                <w:sz w:val="21"/>
                <w:szCs w:val="21"/>
              </w:rPr>
              <w:t>对严重影响优先区域土壤环境质量的工矿企业，要予以限期治理，未达到治理要求的，由县级以上人民政府依法责令停业或关闭，监督企业对其造成的土壤污染进行修复治理。</w:t>
            </w:r>
          </w:p>
        </w:tc>
        <w:tc>
          <w:tcPr>
            <w:tcW w:w="2127" w:type="dxa"/>
            <w:vMerge w:val="restart"/>
            <w:vAlign w:val="center"/>
          </w:tcPr>
          <w:p>
            <w:pPr>
              <w:pStyle w:val="130"/>
              <w:spacing w:line="240" w:lineRule="auto"/>
              <w:ind w:firstLine="0" w:firstLineChars="0"/>
              <w:jc w:val="center"/>
              <w:rPr>
                <w:color w:val="auto"/>
                <w:sz w:val="21"/>
                <w:szCs w:val="21"/>
              </w:rPr>
            </w:pPr>
            <w:r>
              <w:rPr>
                <w:color w:val="auto"/>
                <w:sz w:val="21"/>
                <w:szCs w:val="21"/>
              </w:rPr>
              <w:t>本项目属于生态保护和环境治理业中的医疗废物处置，位于一般管控单元，不涉及A1.3所列情形。</w:t>
            </w:r>
          </w:p>
        </w:tc>
        <w:tc>
          <w:tcPr>
            <w:tcW w:w="850" w:type="dxa"/>
            <w:vMerge w:val="restart"/>
            <w:vAlign w:val="center"/>
          </w:tcPr>
          <w:p>
            <w:pPr>
              <w:pStyle w:val="130"/>
              <w:spacing w:line="240" w:lineRule="auto"/>
              <w:ind w:firstLine="0" w:firstLineChars="0"/>
              <w:jc w:val="center"/>
              <w:rPr>
                <w:color w:val="auto"/>
                <w:sz w:val="21"/>
                <w:szCs w:val="21"/>
              </w:rPr>
            </w:pPr>
            <w:r>
              <w:rPr>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严格管控自然保护地范围内非生态活动，稳妥推进核心区内居民、耕地、矿权有序退出。</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43" w:hRule="atLeast"/>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畜禽养殖禁养区内规模养殖场（小区）在合理补偿的基础上，依法依规进行关闭或搬迁。</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35" w:hRule="atLeast"/>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产业集聚区内全面淘汰20蒸吨/小时以下燃煤锅炉，集中供热中心15公里范围内35蒸吨/小时及以下分散燃煤锅炉逐步淘汰。</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restart"/>
            <w:vAlign w:val="center"/>
          </w:tcPr>
          <w:p>
            <w:pPr>
              <w:pStyle w:val="130"/>
              <w:spacing w:line="240" w:lineRule="auto"/>
              <w:ind w:firstLine="0" w:firstLineChars="0"/>
              <w:jc w:val="center"/>
              <w:rPr>
                <w:color w:val="auto"/>
                <w:sz w:val="21"/>
                <w:szCs w:val="21"/>
              </w:rPr>
            </w:pPr>
            <w:r>
              <w:rPr>
                <w:color w:val="auto"/>
                <w:sz w:val="21"/>
                <w:szCs w:val="21"/>
              </w:rPr>
              <w:t>A2</w:t>
            </w:r>
          </w:p>
          <w:p>
            <w:pPr>
              <w:pStyle w:val="130"/>
              <w:spacing w:line="240" w:lineRule="auto"/>
              <w:ind w:firstLine="0" w:firstLineChars="0"/>
              <w:jc w:val="center"/>
              <w:rPr>
                <w:color w:val="auto"/>
                <w:sz w:val="21"/>
                <w:szCs w:val="21"/>
              </w:rPr>
            </w:pPr>
            <w:r>
              <w:rPr>
                <w:color w:val="auto"/>
                <w:sz w:val="21"/>
                <w:szCs w:val="21"/>
              </w:rPr>
              <w:t>污染物排放管控</w:t>
            </w:r>
          </w:p>
        </w:tc>
        <w:tc>
          <w:tcPr>
            <w:tcW w:w="912" w:type="dxa"/>
            <w:vMerge w:val="restart"/>
            <w:vAlign w:val="center"/>
          </w:tcPr>
          <w:p>
            <w:pPr>
              <w:pStyle w:val="130"/>
              <w:spacing w:line="240" w:lineRule="auto"/>
              <w:ind w:firstLine="0" w:firstLineChars="0"/>
              <w:jc w:val="center"/>
              <w:rPr>
                <w:color w:val="auto"/>
                <w:sz w:val="21"/>
                <w:szCs w:val="21"/>
              </w:rPr>
            </w:pPr>
            <w:r>
              <w:rPr>
                <w:color w:val="auto"/>
                <w:sz w:val="21"/>
                <w:szCs w:val="21"/>
              </w:rPr>
              <w:t>A2.1</w:t>
            </w:r>
          </w:p>
          <w:p>
            <w:pPr>
              <w:pStyle w:val="130"/>
              <w:spacing w:line="240" w:lineRule="auto"/>
              <w:ind w:firstLine="0" w:firstLineChars="0"/>
              <w:jc w:val="center"/>
              <w:rPr>
                <w:color w:val="auto"/>
                <w:sz w:val="21"/>
                <w:szCs w:val="21"/>
              </w:rPr>
            </w:pPr>
            <w:r>
              <w:rPr>
                <w:color w:val="auto"/>
                <w:sz w:val="21"/>
                <w:szCs w:val="21"/>
              </w:rPr>
              <w:t>允许排放量要求</w:t>
            </w:r>
          </w:p>
        </w:tc>
        <w:tc>
          <w:tcPr>
            <w:tcW w:w="3609" w:type="dxa"/>
            <w:vAlign w:val="center"/>
          </w:tcPr>
          <w:p>
            <w:pPr>
              <w:pStyle w:val="130"/>
              <w:spacing w:line="240" w:lineRule="auto"/>
              <w:ind w:firstLine="0" w:firstLineChars="0"/>
              <w:jc w:val="left"/>
              <w:rPr>
                <w:color w:val="auto"/>
                <w:sz w:val="21"/>
                <w:szCs w:val="21"/>
              </w:rPr>
            </w:pPr>
            <w:r>
              <w:rPr>
                <w:color w:val="auto"/>
                <w:sz w:val="21"/>
                <w:szCs w:val="21"/>
              </w:rPr>
              <w:t>化学需氧量、氨氮、氮氧化物和挥发性有机物排放总量完成自治区下达任务。</w:t>
            </w:r>
          </w:p>
        </w:tc>
        <w:tc>
          <w:tcPr>
            <w:tcW w:w="2127" w:type="dxa"/>
            <w:vMerge w:val="restart"/>
            <w:vAlign w:val="center"/>
          </w:tcPr>
          <w:p>
            <w:pPr>
              <w:pStyle w:val="130"/>
              <w:spacing w:line="240" w:lineRule="auto"/>
              <w:ind w:firstLine="0" w:firstLineChars="0"/>
              <w:jc w:val="center"/>
              <w:rPr>
                <w:color w:val="auto"/>
                <w:sz w:val="21"/>
                <w:szCs w:val="21"/>
              </w:rPr>
            </w:pPr>
            <w:r>
              <w:rPr>
                <w:color w:val="auto"/>
                <w:sz w:val="21"/>
                <w:szCs w:val="21"/>
              </w:rPr>
              <w:t>本项目属于改扩建项目，VOCs实行区域排放等量替代。</w:t>
            </w:r>
          </w:p>
        </w:tc>
        <w:tc>
          <w:tcPr>
            <w:tcW w:w="850" w:type="dxa"/>
            <w:vMerge w:val="restart"/>
            <w:vAlign w:val="center"/>
          </w:tcPr>
          <w:p>
            <w:pPr>
              <w:pStyle w:val="130"/>
              <w:spacing w:line="240" w:lineRule="auto"/>
              <w:ind w:firstLine="0" w:firstLineChars="0"/>
              <w:jc w:val="center"/>
              <w:rPr>
                <w:color w:val="auto"/>
                <w:sz w:val="21"/>
                <w:szCs w:val="21"/>
              </w:rPr>
            </w:pPr>
            <w:r>
              <w:rPr>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严格涉VOCs排放的工业企业准入，新建项目实行区域内VOCs排放等量或倍量削减替代。</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新、改、扩建涉重金属重点行业建设项目，必须遵循重金属污染物排放“减量置换”或“等量替换”原则。</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jc w:val="left"/>
              <w:rPr>
                <w:color w:val="auto"/>
                <w:sz w:val="21"/>
                <w:szCs w:val="21"/>
              </w:rPr>
            </w:pPr>
            <w:r>
              <w:rPr>
                <w:color w:val="auto"/>
                <w:sz w:val="21"/>
                <w:szCs w:val="21"/>
              </w:rPr>
              <w:t>到2025年，中卫市畜禽养殖废物综合利用率达到95%，规模养殖场粪污处理设施装备配套率达到100%。</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Align w:val="center"/>
          </w:tcPr>
          <w:p>
            <w:pPr>
              <w:pStyle w:val="130"/>
              <w:spacing w:line="240" w:lineRule="auto"/>
              <w:ind w:firstLine="0" w:firstLineChars="0"/>
              <w:jc w:val="center"/>
              <w:rPr>
                <w:color w:val="auto"/>
                <w:sz w:val="21"/>
                <w:szCs w:val="21"/>
              </w:rPr>
            </w:pPr>
            <w:r>
              <w:rPr>
                <w:color w:val="auto"/>
                <w:sz w:val="21"/>
                <w:szCs w:val="21"/>
              </w:rPr>
              <w:t>A2.2</w:t>
            </w:r>
          </w:p>
          <w:p>
            <w:pPr>
              <w:pStyle w:val="130"/>
              <w:spacing w:line="240" w:lineRule="auto"/>
              <w:ind w:firstLine="0" w:firstLineChars="0"/>
              <w:jc w:val="center"/>
              <w:rPr>
                <w:color w:val="auto"/>
                <w:sz w:val="21"/>
                <w:szCs w:val="21"/>
              </w:rPr>
            </w:pPr>
            <w:r>
              <w:rPr>
                <w:color w:val="auto"/>
                <w:sz w:val="21"/>
                <w:szCs w:val="21"/>
              </w:rPr>
              <w:t>现有源提标升级改造</w:t>
            </w:r>
          </w:p>
        </w:tc>
        <w:tc>
          <w:tcPr>
            <w:tcW w:w="3609" w:type="dxa"/>
            <w:vAlign w:val="center"/>
          </w:tcPr>
          <w:p>
            <w:pPr>
              <w:pStyle w:val="130"/>
              <w:spacing w:line="240" w:lineRule="auto"/>
              <w:ind w:firstLine="0" w:firstLineChars="0"/>
              <w:jc w:val="left"/>
              <w:rPr>
                <w:color w:val="auto"/>
                <w:sz w:val="21"/>
                <w:szCs w:val="21"/>
              </w:rPr>
            </w:pPr>
            <w:r>
              <w:rPr>
                <w:color w:val="auto"/>
                <w:sz w:val="21"/>
                <w:szCs w:val="21"/>
              </w:rPr>
              <w:t>30万千瓦及以上火电企业全部实现超低排放，其他火电企业（含自备电厂）以及钢铁、水泥、焦化等重点行业全部达到特别排放限值要求。2024年底前，烧结、炼铁、炼钢轧钢、自备电厂等有组织排放污染物实行超低排放限值。</w:t>
            </w:r>
          </w:p>
        </w:tc>
        <w:tc>
          <w:tcPr>
            <w:tcW w:w="2127" w:type="dxa"/>
            <w:vAlign w:val="center"/>
          </w:tcPr>
          <w:p>
            <w:pPr>
              <w:pStyle w:val="130"/>
              <w:spacing w:line="240" w:lineRule="auto"/>
              <w:ind w:firstLine="0" w:firstLineChars="0"/>
              <w:jc w:val="center"/>
              <w:rPr>
                <w:color w:val="auto"/>
                <w:sz w:val="21"/>
                <w:szCs w:val="21"/>
              </w:rPr>
            </w:pPr>
            <w:r>
              <w:rPr>
                <w:color w:val="auto"/>
                <w:sz w:val="21"/>
                <w:szCs w:val="21"/>
              </w:rPr>
              <w:t>本项目不涉及</w:t>
            </w:r>
          </w:p>
        </w:tc>
        <w:tc>
          <w:tcPr>
            <w:tcW w:w="850" w:type="dxa"/>
            <w:vAlign w:val="center"/>
          </w:tcPr>
          <w:p>
            <w:pPr>
              <w:pStyle w:val="130"/>
              <w:spacing w:line="240" w:lineRule="auto"/>
              <w:ind w:firstLine="0" w:firstLineChars="0"/>
              <w:jc w:val="center"/>
              <w:rPr>
                <w:color w:val="auto"/>
                <w:sz w:val="21"/>
                <w:szCs w:val="21"/>
              </w:rPr>
            </w:pPr>
            <w:r>
              <w:rPr>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restart"/>
            <w:vAlign w:val="center"/>
          </w:tcPr>
          <w:p>
            <w:pPr>
              <w:pStyle w:val="130"/>
              <w:spacing w:line="240" w:lineRule="auto"/>
              <w:ind w:firstLine="0" w:firstLineChars="0"/>
              <w:jc w:val="center"/>
              <w:rPr>
                <w:color w:val="auto"/>
                <w:sz w:val="21"/>
                <w:szCs w:val="21"/>
              </w:rPr>
            </w:pPr>
            <w:r>
              <w:rPr>
                <w:color w:val="auto"/>
                <w:sz w:val="21"/>
                <w:szCs w:val="21"/>
              </w:rPr>
              <w:t>A3</w:t>
            </w:r>
          </w:p>
          <w:p>
            <w:pPr>
              <w:pStyle w:val="130"/>
              <w:spacing w:line="240" w:lineRule="auto"/>
              <w:ind w:firstLine="0" w:firstLineChars="0"/>
              <w:jc w:val="center"/>
              <w:rPr>
                <w:color w:val="auto"/>
                <w:sz w:val="21"/>
                <w:szCs w:val="21"/>
              </w:rPr>
            </w:pPr>
            <w:r>
              <w:rPr>
                <w:color w:val="auto"/>
                <w:sz w:val="21"/>
                <w:szCs w:val="21"/>
              </w:rPr>
              <w:t>环境风险防控</w:t>
            </w:r>
          </w:p>
        </w:tc>
        <w:tc>
          <w:tcPr>
            <w:tcW w:w="912" w:type="dxa"/>
            <w:vMerge w:val="restart"/>
            <w:vAlign w:val="center"/>
          </w:tcPr>
          <w:p>
            <w:pPr>
              <w:pStyle w:val="130"/>
              <w:spacing w:line="240" w:lineRule="auto"/>
              <w:ind w:firstLine="0" w:firstLineChars="0"/>
              <w:jc w:val="center"/>
              <w:rPr>
                <w:color w:val="auto"/>
                <w:sz w:val="21"/>
                <w:szCs w:val="21"/>
              </w:rPr>
            </w:pPr>
            <w:r>
              <w:rPr>
                <w:color w:val="auto"/>
                <w:sz w:val="21"/>
                <w:szCs w:val="21"/>
              </w:rPr>
              <w:t>A3.1</w:t>
            </w:r>
          </w:p>
          <w:p>
            <w:pPr>
              <w:pStyle w:val="130"/>
              <w:spacing w:line="240" w:lineRule="auto"/>
              <w:ind w:firstLine="0" w:firstLineChars="0"/>
              <w:jc w:val="center"/>
              <w:rPr>
                <w:color w:val="auto"/>
                <w:sz w:val="21"/>
                <w:szCs w:val="21"/>
              </w:rPr>
            </w:pPr>
            <w:r>
              <w:rPr>
                <w:color w:val="auto"/>
                <w:sz w:val="21"/>
                <w:szCs w:val="21"/>
              </w:rPr>
              <w:t>联防联控要求</w:t>
            </w:r>
          </w:p>
        </w:tc>
        <w:tc>
          <w:tcPr>
            <w:tcW w:w="3609" w:type="dxa"/>
            <w:vAlign w:val="center"/>
          </w:tcPr>
          <w:p>
            <w:pPr>
              <w:pStyle w:val="130"/>
              <w:spacing w:line="240" w:lineRule="auto"/>
              <w:ind w:firstLine="0" w:firstLineChars="0"/>
              <w:rPr>
                <w:color w:val="auto"/>
                <w:sz w:val="21"/>
                <w:szCs w:val="21"/>
              </w:rPr>
            </w:pPr>
            <w:r>
              <w:rPr>
                <w:color w:val="auto"/>
                <w:sz w:val="21"/>
                <w:szCs w:val="21"/>
              </w:rPr>
              <w:t>健全市生态环境局与公安、交通、应急、气象、水务等部门联动机制，细化落实各相关部门之间联防联控责任与任务分工，联合开展突发环境污染事件处置应急演练，提高联防联控实战能力。</w:t>
            </w:r>
          </w:p>
        </w:tc>
        <w:tc>
          <w:tcPr>
            <w:tcW w:w="2127" w:type="dxa"/>
            <w:vMerge w:val="restart"/>
            <w:vAlign w:val="center"/>
          </w:tcPr>
          <w:p>
            <w:pPr>
              <w:pStyle w:val="130"/>
              <w:spacing w:line="240" w:lineRule="auto"/>
              <w:ind w:firstLine="0" w:firstLineChars="0"/>
              <w:jc w:val="center"/>
              <w:rPr>
                <w:color w:val="auto"/>
                <w:sz w:val="21"/>
                <w:szCs w:val="21"/>
              </w:rPr>
            </w:pPr>
            <w:r>
              <w:rPr>
                <w:color w:val="auto"/>
                <w:sz w:val="21"/>
                <w:szCs w:val="21"/>
              </w:rPr>
              <w:t>评价要求本项目建成后全厂进行环境风险应急预案报告编制，并制定应急方案和进行应急演练。</w:t>
            </w:r>
          </w:p>
        </w:tc>
        <w:tc>
          <w:tcPr>
            <w:tcW w:w="850" w:type="dxa"/>
            <w:vMerge w:val="restart"/>
            <w:vAlign w:val="center"/>
          </w:tcPr>
          <w:p>
            <w:pPr>
              <w:pStyle w:val="130"/>
              <w:spacing w:line="240" w:lineRule="auto"/>
              <w:ind w:firstLine="0" w:firstLineChars="0"/>
              <w:jc w:val="center"/>
              <w:rPr>
                <w:color w:val="auto"/>
                <w:sz w:val="21"/>
                <w:szCs w:val="21"/>
              </w:rPr>
            </w:pPr>
            <w:r>
              <w:rPr>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420"/>
              <w:jc w:val="center"/>
              <w:rPr>
                <w:color w:val="auto"/>
                <w:sz w:val="21"/>
                <w:szCs w:val="21"/>
              </w:rPr>
            </w:pPr>
          </w:p>
        </w:tc>
        <w:tc>
          <w:tcPr>
            <w:tcW w:w="3609" w:type="dxa"/>
            <w:vAlign w:val="center"/>
          </w:tcPr>
          <w:p>
            <w:pPr>
              <w:pStyle w:val="130"/>
              <w:spacing w:line="240" w:lineRule="auto"/>
              <w:ind w:firstLine="0" w:firstLineChars="0"/>
              <w:rPr>
                <w:color w:val="auto"/>
                <w:sz w:val="21"/>
                <w:szCs w:val="21"/>
              </w:rPr>
            </w:pPr>
            <w:r>
              <w:rPr>
                <w:color w:val="auto"/>
                <w:sz w:val="21"/>
                <w:szCs w:val="21"/>
              </w:rPr>
              <w:t>严格控制沿黄区域、黄河干支流、饮用水源地周边范围内企业环境风险，落实环境风险预警和防范措施。</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Align w:val="center"/>
          </w:tcPr>
          <w:p>
            <w:pPr>
              <w:pStyle w:val="130"/>
              <w:spacing w:line="240" w:lineRule="auto"/>
              <w:ind w:firstLine="0" w:firstLineChars="0"/>
              <w:jc w:val="center"/>
              <w:rPr>
                <w:color w:val="auto"/>
                <w:sz w:val="21"/>
                <w:szCs w:val="21"/>
              </w:rPr>
            </w:pPr>
            <w:r>
              <w:rPr>
                <w:color w:val="auto"/>
                <w:sz w:val="21"/>
                <w:szCs w:val="21"/>
              </w:rPr>
              <w:t>A3.2</w:t>
            </w:r>
          </w:p>
          <w:p>
            <w:pPr>
              <w:pStyle w:val="130"/>
              <w:spacing w:line="240" w:lineRule="auto"/>
              <w:ind w:firstLine="0" w:firstLineChars="0"/>
              <w:jc w:val="center"/>
              <w:rPr>
                <w:color w:val="auto"/>
                <w:sz w:val="21"/>
                <w:szCs w:val="21"/>
              </w:rPr>
            </w:pPr>
            <w:r>
              <w:rPr>
                <w:color w:val="auto"/>
                <w:sz w:val="21"/>
                <w:szCs w:val="21"/>
              </w:rPr>
              <w:t>企业环境风险防控要求</w:t>
            </w:r>
          </w:p>
        </w:tc>
        <w:tc>
          <w:tcPr>
            <w:tcW w:w="3609" w:type="dxa"/>
            <w:vAlign w:val="center"/>
          </w:tcPr>
          <w:p>
            <w:pPr>
              <w:pStyle w:val="130"/>
              <w:spacing w:line="240" w:lineRule="auto"/>
              <w:ind w:firstLine="0" w:firstLineChars="0"/>
              <w:rPr>
                <w:color w:val="auto"/>
                <w:sz w:val="21"/>
                <w:szCs w:val="21"/>
              </w:rPr>
            </w:pPr>
            <w:r>
              <w:rPr>
                <w:color w:val="auto"/>
                <w:sz w:val="21"/>
                <w:szCs w:val="21"/>
              </w:rPr>
              <w:t>完善企业突发环境事件风险评估制度，推进突发环境事件风险分类分级管理，严格重大突发环境事件风险企业监管。</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restart"/>
            <w:vAlign w:val="center"/>
          </w:tcPr>
          <w:p>
            <w:pPr>
              <w:pStyle w:val="130"/>
              <w:spacing w:line="240" w:lineRule="auto"/>
              <w:ind w:firstLine="0" w:firstLineChars="0"/>
              <w:jc w:val="center"/>
              <w:rPr>
                <w:color w:val="auto"/>
                <w:sz w:val="21"/>
                <w:szCs w:val="21"/>
              </w:rPr>
            </w:pPr>
            <w:r>
              <w:rPr>
                <w:color w:val="auto"/>
                <w:sz w:val="21"/>
                <w:szCs w:val="21"/>
              </w:rPr>
              <w:t>A4</w:t>
            </w:r>
          </w:p>
          <w:p>
            <w:pPr>
              <w:pStyle w:val="130"/>
              <w:spacing w:line="240" w:lineRule="auto"/>
              <w:ind w:firstLine="0" w:firstLineChars="0"/>
              <w:jc w:val="center"/>
              <w:rPr>
                <w:color w:val="auto"/>
                <w:sz w:val="21"/>
                <w:szCs w:val="21"/>
              </w:rPr>
            </w:pPr>
            <w:r>
              <w:rPr>
                <w:color w:val="auto"/>
                <w:sz w:val="21"/>
                <w:szCs w:val="21"/>
              </w:rPr>
              <w:t>资源利用效率要求</w:t>
            </w:r>
          </w:p>
        </w:tc>
        <w:tc>
          <w:tcPr>
            <w:tcW w:w="912" w:type="dxa"/>
            <w:vMerge w:val="restart"/>
            <w:vAlign w:val="center"/>
          </w:tcPr>
          <w:p>
            <w:pPr>
              <w:pStyle w:val="130"/>
              <w:spacing w:line="240" w:lineRule="auto"/>
              <w:ind w:firstLine="0" w:firstLineChars="0"/>
              <w:jc w:val="center"/>
              <w:rPr>
                <w:color w:val="auto"/>
                <w:sz w:val="21"/>
                <w:szCs w:val="21"/>
              </w:rPr>
            </w:pPr>
            <w:r>
              <w:rPr>
                <w:color w:val="auto"/>
                <w:sz w:val="21"/>
                <w:szCs w:val="21"/>
              </w:rPr>
              <w:t>A4.1</w:t>
            </w:r>
          </w:p>
          <w:p>
            <w:pPr>
              <w:pStyle w:val="130"/>
              <w:spacing w:line="240" w:lineRule="auto"/>
              <w:ind w:firstLine="0" w:firstLineChars="0"/>
              <w:jc w:val="center"/>
              <w:rPr>
                <w:color w:val="auto"/>
                <w:sz w:val="21"/>
                <w:szCs w:val="21"/>
              </w:rPr>
            </w:pPr>
            <w:r>
              <w:rPr>
                <w:color w:val="auto"/>
                <w:sz w:val="21"/>
                <w:szCs w:val="21"/>
              </w:rPr>
              <w:t>能源利用总量及效率要求</w:t>
            </w:r>
          </w:p>
        </w:tc>
        <w:tc>
          <w:tcPr>
            <w:tcW w:w="3609" w:type="dxa"/>
            <w:vAlign w:val="center"/>
          </w:tcPr>
          <w:p>
            <w:pPr>
              <w:pStyle w:val="130"/>
              <w:spacing w:line="240" w:lineRule="auto"/>
              <w:ind w:firstLine="0" w:firstLineChars="0"/>
              <w:rPr>
                <w:color w:val="auto"/>
                <w:sz w:val="21"/>
                <w:szCs w:val="21"/>
              </w:rPr>
            </w:pPr>
            <w:r>
              <w:rPr>
                <w:color w:val="auto"/>
                <w:sz w:val="21"/>
                <w:szCs w:val="21"/>
              </w:rPr>
              <w:t>全面贯彻落实国家和自治区下达煤炭消费总量目标，严格控制耗煤行业煤炭新增量，新增产能必须符合国内先进能效标准。</w:t>
            </w:r>
          </w:p>
        </w:tc>
        <w:tc>
          <w:tcPr>
            <w:tcW w:w="2127" w:type="dxa"/>
            <w:vMerge w:val="restart"/>
            <w:vAlign w:val="center"/>
          </w:tcPr>
          <w:p>
            <w:pPr>
              <w:pStyle w:val="130"/>
              <w:spacing w:line="240" w:lineRule="auto"/>
              <w:ind w:firstLine="0" w:firstLineChars="0"/>
              <w:jc w:val="center"/>
              <w:rPr>
                <w:color w:val="auto"/>
                <w:sz w:val="21"/>
                <w:szCs w:val="21"/>
              </w:rPr>
            </w:pPr>
            <w:r>
              <w:rPr>
                <w:color w:val="auto"/>
                <w:sz w:val="21"/>
                <w:szCs w:val="21"/>
              </w:rPr>
              <w:t>本项目改扩建后能源为电，并且用水总量不超过地区水资源上限。</w:t>
            </w:r>
          </w:p>
        </w:tc>
        <w:tc>
          <w:tcPr>
            <w:tcW w:w="850" w:type="dxa"/>
            <w:vMerge w:val="restart"/>
            <w:vAlign w:val="center"/>
          </w:tcPr>
          <w:p>
            <w:pPr>
              <w:pStyle w:val="130"/>
              <w:spacing w:line="240" w:lineRule="auto"/>
              <w:ind w:firstLine="0" w:firstLineChars="0"/>
              <w:jc w:val="center"/>
              <w:rPr>
                <w:color w:val="auto"/>
                <w:sz w:val="21"/>
                <w:szCs w:val="21"/>
              </w:rPr>
            </w:pPr>
            <w:r>
              <w:rPr>
                <w:color w:val="auto"/>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Merge w:val="continue"/>
            <w:vAlign w:val="center"/>
          </w:tcPr>
          <w:p>
            <w:pPr>
              <w:pStyle w:val="130"/>
              <w:spacing w:line="240" w:lineRule="auto"/>
              <w:ind w:firstLine="0" w:firstLineChars="0"/>
              <w:jc w:val="center"/>
              <w:rPr>
                <w:color w:val="auto"/>
                <w:sz w:val="21"/>
                <w:szCs w:val="21"/>
              </w:rPr>
            </w:pPr>
          </w:p>
        </w:tc>
        <w:tc>
          <w:tcPr>
            <w:tcW w:w="3609" w:type="dxa"/>
            <w:vAlign w:val="center"/>
          </w:tcPr>
          <w:p>
            <w:pPr>
              <w:pStyle w:val="130"/>
              <w:spacing w:line="240" w:lineRule="auto"/>
              <w:ind w:firstLine="0" w:firstLineChars="0"/>
              <w:rPr>
                <w:color w:val="auto"/>
                <w:sz w:val="21"/>
                <w:szCs w:val="21"/>
              </w:rPr>
            </w:pPr>
            <w:r>
              <w:rPr>
                <w:color w:val="auto"/>
                <w:sz w:val="21"/>
                <w:szCs w:val="21"/>
              </w:rPr>
              <w:t>新建、改建、扩建耗煤项目（除煤化工、火电外）一律实施煤炭等量置换，重点控制区及环境质量不达标地区实行减量置换。</w:t>
            </w:r>
          </w:p>
        </w:tc>
        <w:tc>
          <w:tcPr>
            <w:tcW w:w="2127" w:type="dxa"/>
            <w:vMerge w:val="continue"/>
            <w:vAlign w:val="center"/>
          </w:tcPr>
          <w:p>
            <w:pPr>
              <w:pStyle w:val="130"/>
              <w:spacing w:line="240" w:lineRule="auto"/>
              <w:ind w:firstLine="420"/>
              <w:jc w:val="center"/>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4" w:type="dxa"/>
            <w:vMerge w:val="continue"/>
            <w:vAlign w:val="center"/>
          </w:tcPr>
          <w:p>
            <w:pPr>
              <w:pStyle w:val="130"/>
              <w:spacing w:line="240" w:lineRule="auto"/>
              <w:ind w:firstLine="420"/>
              <w:jc w:val="center"/>
              <w:rPr>
                <w:color w:val="auto"/>
                <w:sz w:val="21"/>
                <w:szCs w:val="21"/>
              </w:rPr>
            </w:pPr>
          </w:p>
        </w:tc>
        <w:tc>
          <w:tcPr>
            <w:tcW w:w="912" w:type="dxa"/>
            <w:vAlign w:val="center"/>
          </w:tcPr>
          <w:p>
            <w:pPr>
              <w:pStyle w:val="130"/>
              <w:spacing w:line="240" w:lineRule="auto"/>
              <w:ind w:firstLine="0" w:firstLineChars="0"/>
              <w:jc w:val="center"/>
              <w:rPr>
                <w:color w:val="auto"/>
                <w:sz w:val="21"/>
                <w:szCs w:val="21"/>
              </w:rPr>
            </w:pPr>
            <w:r>
              <w:rPr>
                <w:color w:val="auto"/>
                <w:sz w:val="21"/>
                <w:szCs w:val="21"/>
              </w:rPr>
              <w:t>A4.2</w:t>
            </w:r>
          </w:p>
          <w:p>
            <w:pPr>
              <w:pStyle w:val="130"/>
              <w:spacing w:line="240" w:lineRule="auto"/>
              <w:ind w:firstLine="0" w:firstLineChars="0"/>
              <w:jc w:val="center"/>
              <w:rPr>
                <w:color w:val="auto"/>
                <w:sz w:val="21"/>
                <w:szCs w:val="21"/>
              </w:rPr>
            </w:pPr>
            <w:r>
              <w:rPr>
                <w:color w:val="auto"/>
                <w:sz w:val="21"/>
                <w:szCs w:val="21"/>
              </w:rPr>
              <w:t>水资源利用总量及效率要求</w:t>
            </w:r>
          </w:p>
        </w:tc>
        <w:tc>
          <w:tcPr>
            <w:tcW w:w="3609" w:type="dxa"/>
            <w:vAlign w:val="center"/>
          </w:tcPr>
          <w:p>
            <w:pPr>
              <w:pStyle w:val="130"/>
              <w:spacing w:line="240" w:lineRule="auto"/>
              <w:ind w:firstLine="0" w:firstLineChars="0"/>
              <w:rPr>
                <w:color w:val="auto"/>
                <w:sz w:val="21"/>
                <w:szCs w:val="21"/>
              </w:rPr>
            </w:pPr>
            <w:r>
              <w:rPr>
                <w:color w:val="auto"/>
                <w:sz w:val="21"/>
                <w:szCs w:val="21"/>
              </w:rPr>
              <w:t>建立水资源刚性约束制度，严格准入条件，按照地区取水总量限值审核新、改、扩建项目，取水总量不得超过地区水资源取用上限或承载能力。</w:t>
            </w:r>
          </w:p>
        </w:tc>
        <w:tc>
          <w:tcPr>
            <w:tcW w:w="2127" w:type="dxa"/>
            <w:vMerge w:val="continue"/>
            <w:vAlign w:val="center"/>
          </w:tcPr>
          <w:p>
            <w:pPr>
              <w:pStyle w:val="130"/>
              <w:spacing w:line="240" w:lineRule="auto"/>
              <w:ind w:firstLine="420"/>
              <w:rPr>
                <w:color w:val="auto"/>
                <w:sz w:val="21"/>
                <w:szCs w:val="21"/>
              </w:rPr>
            </w:pPr>
          </w:p>
        </w:tc>
        <w:tc>
          <w:tcPr>
            <w:tcW w:w="850" w:type="dxa"/>
            <w:vMerge w:val="continue"/>
            <w:vAlign w:val="center"/>
          </w:tcPr>
          <w:p>
            <w:pPr>
              <w:pStyle w:val="130"/>
              <w:spacing w:line="240" w:lineRule="auto"/>
              <w:ind w:firstLine="420"/>
              <w:jc w:val="center"/>
              <w:rPr>
                <w:color w:val="auto"/>
                <w:sz w:val="21"/>
                <w:szCs w:val="21"/>
              </w:rPr>
            </w:pPr>
          </w:p>
        </w:tc>
      </w:tr>
    </w:tbl>
    <w:p>
      <w:pPr>
        <w:pStyle w:val="5"/>
        <w:numPr>
          <w:ilvl w:val="2"/>
          <w:numId w:val="0"/>
        </w:numPr>
        <w:ind w:left="-720" w:leftChars="-343" w:firstLine="723" w:firstLineChars="300"/>
        <w:rPr>
          <w:color w:val="auto"/>
        </w:rPr>
      </w:pPr>
      <w:bookmarkStart w:id="30" w:name="_Toc109398526"/>
      <w:r>
        <w:rPr>
          <w:color w:val="auto"/>
        </w:rPr>
        <w:t>4.3与相关规划符合性分析</w:t>
      </w:r>
      <w:bookmarkEnd w:id="30"/>
    </w:p>
    <w:p>
      <w:pPr>
        <w:pStyle w:val="6"/>
        <w:numPr>
          <w:ilvl w:val="3"/>
          <w:numId w:val="0"/>
        </w:numPr>
        <w:rPr>
          <w:color w:val="auto"/>
        </w:rPr>
      </w:pPr>
      <w:r>
        <w:rPr>
          <w:color w:val="auto"/>
        </w:rPr>
        <w:t>4.3.1与《宁夏回族自治区生态环境保护“十四五”规划》的符合性分析</w:t>
      </w:r>
    </w:p>
    <w:p>
      <w:pPr>
        <w:pStyle w:val="130"/>
        <w:ind w:firstLine="480"/>
        <w:rPr>
          <w:color w:val="auto"/>
        </w:rPr>
      </w:pPr>
      <w:r>
        <w:rPr>
          <w:color w:val="auto"/>
        </w:rPr>
        <w:t>根据《宁夏回族自治区生态环境保护“十四五”规划》中要求：“十、加大管控力度，有效防范环境风险中的（二）提高危险废物管理和处置水平——</w:t>
      </w:r>
      <w:r>
        <w:rPr>
          <w:b/>
          <w:bCs w:val="0"/>
          <w:color w:val="auto"/>
        </w:rPr>
        <w:t>提升医疗废物处置能力建设：</w:t>
      </w:r>
      <w:r>
        <w:rPr>
          <w:color w:val="auto"/>
        </w:rPr>
        <w:t>全面摸查医疗废物集中处置设施建设情况，2022年底前，实现各县（市）医疗废物收集转运处置体系全覆盖，鼓励发展移动式医疗废物处置设施和预处理设施。整合全区医疗废物收集、转运、处置设施资源，建立协同应急处置设施清单，健全完善医疗废物协同应急处置机制。</w:t>
      </w:r>
    </w:p>
    <w:p>
      <w:pPr>
        <w:pStyle w:val="130"/>
        <w:ind w:firstLine="480"/>
        <w:rPr>
          <w:color w:val="auto"/>
        </w:rPr>
      </w:pPr>
      <w:r>
        <w:rPr>
          <w:rStyle w:val="131"/>
          <w:bCs w:val="0"/>
          <w:color w:val="auto"/>
        </w:rPr>
        <w:t>本项目为医疗废物集中处置项目</w:t>
      </w:r>
      <w:r>
        <w:rPr>
          <w:color w:val="auto"/>
        </w:rPr>
        <w:t>，</w:t>
      </w:r>
      <w:r>
        <w:rPr>
          <w:color w:val="auto"/>
          <w:lang w:val="zh-CN" w:bidi="zh-CN"/>
        </w:rPr>
        <w:t>主要承担</w:t>
      </w:r>
      <w:r>
        <w:rPr>
          <w:color w:val="auto"/>
          <w:lang w:bidi="zh-CN"/>
        </w:rPr>
        <w:t>要对</w:t>
      </w:r>
      <w:r>
        <w:rPr>
          <w:color w:val="auto"/>
        </w:rPr>
        <w:t>中卫市辖区范围内各区县医疗卫生机构产生的感染性及损伤性医疗废物</w:t>
      </w:r>
      <w:r>
        <w:rPr>
          <w:color w:val="auto"/>
          <w:lang w:bidi="zh-CN"/>
        </w:rPr>
        <w:t>进行无害化处理</w:t>
      </w:r>
      <w:r>
        <w:rPr>
          <w:color w:val="auto"/>
          <w:lang w:val="zh-CN" w:bidi="zh-CN"/>
        </w:rPr>
        <w:t>。目前，中卫市仅有本项目一</w:t>
      </w:r>
      <w:r>
        <w:rPr>
          <w:color w:val="auto"/>
          <w:lang w:bidi="zh-CN"/>
        </w:rPr>
        <w:t>家</w:t>
      </w:r>
      <w:r>
        <w:rPr>
          <w:color w:val="auto"/>
          <w:lang w:val="zh-CN" w:bidi="zh-CN"/>
        </w:rPr>
        <w:t>医疗废物处置单位，</w:t>
      </w:r>
      <w:r>
        <w:rPr>
          <w:color w:val="auto"/>
        </w:rPr>
        <w:t>随着医疗事业的发展，医院规模不断扩大，医疗废物处置量在逐年增长，原有规模已经不能满足医疗废物处置的需求。因此，针对这些问题，扩大医疗废物收运能力及处置规模是非常有必要的。因此，本项目的建设符合《宁夏回族自治区生态环境保护“十四五”规划》的要求。</w:t>
      </w:r>
    </w:p>
    <w:p>
      <w:pPr>
        <w:pStyle w:val="6"/>
        <w:numPr>
          <w:ilvl w:val="3"/>
          <w:numId w:val="0"/>
        </w:numPr>
        <w:ind w:left="1091" w:leftChars="49"/>
        <w:rPr>
          <w:color w:val="auto"/>
        </w:rPr>
      </w:pPr>
      <w:r>
        <w:rPr>
          <w:color w:val="auto"/>
        </w:rPr>
        <w:t>4.3.2与《宁夏回族自治区工业固体废物污染环境防治“十四五”规划》的符合性分析</w:t>
      </w:r>
    </w:p>
    <w:p>
      <w:pPr>
        <w:pStyle w:val="130"/>
        <w:ind w:firstLine="480"/>
        <w:rPr>
          <w:color w:val="auto"/>
        </w:rPr>
      </w:pPr>
      <w:r>
        <w:rPr>
          <w:color w:val="auto"/>
        </w:rPr>
        <w:t>根据《宁夏回族自治区工业固体废物污染环境防治“十四五”规划》中的要求“（七）提升危险废物利用处置能力——</w:t>
      </w:r>
      <w:r>
        <w:rPr>
          <w:b/>
          <w:bCs w:val="0"/>
          <w:color w:val="auto"/>
        </w:rPr>
        <w:t>提升市域内医疗废物处置能力：</w:t>
      </w:r>
      <w:r>
        <w:rPr>
          <w:color w:val="auto"/>
        </w:rPr>
        <w:t>各地级以上城市应尽快建成至少一个符合运行要求的医疗废物集中处置设施。2022年6月底前，实现各县（市）都建成医疗废物收集转运处置体系。鼓励发展移动式医疗废物处置设施，为偏远基层提供就地处置服务。加强医疗废物分类管理，做好源头分类，促进规范处置。县级以上地方人民政府应将医疗废物收集、贮存、运输、处置等工作纳入重大传染病疫情领导指挥体系，强化统筹协调，保障所需的车辆、场地、处置设施和防护物资。”</w:t>
      </w:r>
    </w:p>
    <w:p>
      <w:pPr>
        <w:pStyle w:val="130"/>
        <w:ind w:firstLine="480"/>
        <w:rPr>
          <w:color w:val="auto"/>
        </w:rPr>
      </w:pPr>
      <w:r>
        <w:rPr>
          <w:color w:val="auto"/>
        </w:rPr>
        <w:t>本项目为</w:t>
      </w:r>
      <w:r>
        <w:rPr>
          <w:rStyle w:val="131"/>
          <w:bCs w:val="0"/>
          <w:color w:val="auto"/>
        </w:rPr>
        <w:t>医疗废物集中处置项目</w:t>
      </w:r>
      <w:r>
        <w:rPr>
          <w:color w:val="auto"/>
        </w:rPr>
        <w:t>，项目主要承担中卫市及周边县区等地各医疗机构医疗废物的收集、装运和无害化处置工作。并且本项目属于《宁夏回族自治区工业固体废物污染环境防治“十四五”规划》中的中卫市重点工程项目，符合规划要求。</w:t>
      </w:r>
    </w:p>
    <w:p>
      <w:pPr>
        <w:pStyle w:val="6"/>
        <w:numPr>
          <w:ilvl w:val="3"/>
          <w:numId w:val="0"/>
        </w:numPr>
        <w:ind w:left="1091" w:leftChars="49"/>
        <w:rPr>
          <w:color w:val="auto"/>
        </w:rPr>
      </w:pPr>
      <w:r>
        <w:rPr>
          <w:color w:val="auto"/>
        </w:rPr>
        <w:t>4.3.3与《宁夏回族自治区危险废物处置利用设施建设方案（2020年-2025年）》的符合性分析</w:t>
      </w:r>
    </w:p>
    <w:p>
      <w:pPr>
        <w:pStyle w:val="130"/>
        <w:ind w:firstLine="480"/>
        <w:rPr>
          <w:color w:val="auto"/>
        </w:rPr>
      </w:pPr>
      <w:r>
        <w:rPr>
          <w:color w:val="auto"/>
        </w:rPr>
        <w:t>根据《宁夏回族自治区危险废物处置利用设施建设方案（2020年-2025年）》中的要求“一、全区危险废物利用处置现状中的（五）存在问题：医疗废物处置水平落后——四家医疗废物处置企业均采用“高温蒸煮+填埋”方式处置，建成运行时间久、设备老化，设备检修停运时，会出现医疗废物超量贮存的情况，亟需对现有医疗废物处置设施进行扩容提标改造。三、主要任务中的（二）实施医疗废物处置设施提标改造工程——开展医疗废物综合治理，建立完善医疗废物收集处置体系建设，实现医疗废物统一收集、安全处置。规范现有医疗废物集中处置设施管理，加强运行监管。对满负荷或超负荷运行的医疗废物处置设施进行处置能力扩容，对建成投运时间较早、工艺水平达不到国家相关规范和标准要求的医疗废物处置设施，实施提标改造。根据《国家发改委关于下达医疗废物处置设施建设项目2020年中央预算内投资计划的通知》，2022年建成吴忠市医疗废物处置中心扩建工程、固原市医疗废物处置服务中心改扩建项目、石嘴山市医疗废物集中处置二期工程、</w:t>
      </w:r>
      <w:r>
        <w:rPr>
          <w:b/>
          <w:bCs w:val="0"/>
          <w:color w:val="auto"/>
        </w:rPr>
        <w:t>中卫医疗废物处置中心改造项目</w:t>
      </w:r>
      <w:r>
        <w:rPr>
          <w:color w:val="auto"/>
        </w:rPr>
        <w:t>，医疗废物处置能力满足“十四五”期间全区医疗废物处置需求。同时为保障重大疫情医疗废物应急处置能力，将宁夏宁东清大国华环境资源有限公司、银川中科环保电力有限公司、宁夏中科国通新能源有限公司焚烧设施纳入重大疫情应急处置能力保障体系，预留应急处置能力128吨/日，确保疫情医疗废物安全处置。”</w:t>
      </w:r>
    </w:p>
    <w:p>
      <w:pPr>
        <w:pStyle w:val="130"/>
        <w:ind w:firstLine="480"/>
        <w:rPr>
          <w:color w:val="auto"/>
        </w:rPr>
      </w:pPr>
      <w:r>
        <w:rPr>
          <w:color w:val="auto"/>
        </w:rPr>
        <w:t>本项目为中卫医疗废物处置中心改造项目，符合《宁夏回族自治区危险废物处置利用设施建设方案（2020年-2025年）》的规划要求。</w:t>
      </w:r>
    </w:p>
    <w:p>
      <w:pPr>
        <w:pStyle w:val="6"/>
        <w:numPr>
          <w:ilvl w:val="3"/>
          <w:numId w:val="0"/>
        </w:numPr>
        <w:ind w:left="1091" w:leftChars="49"/>
        <w:rPr>
          <w:color w:val="auto"/>
        </w:rPr>
      </w:pPr>
      <w:r>
        <w:rPr>
          <w:color w:val="auto"/>
        </w:rPr>
        <w:t>4.3.4与《医疗废物集中处置设施能力建设实施方案》的符合性分析</w:t>
      </w:r>
    </w:p>
    <w:p>
      <w:pPr>
        <w:pStyle w:val="130"/>
        <w:ind w:firstLine="480"/>
        <w:rPr>
          <w:color w:val="auto"/>
        </w:rPr>
      </w:pPr>
      <w:r>
        <w:rPr>
          <w:color w:val="auto"/>
        </w:rPr>
        <w:t>《医疗废物集中处置设施能力建设实施方案》“三、主要任务”中指出：“（三）大力推进原有医疗废物集中处置设施扩能提升。各地区要按照医疗废物集中处置技术规范要求，在对原有医疗废物集中处置设施进行符合性排查基础上，加快推进原有医疗废物集中处置设施扩能提升改造，确保处置设施满足处置要求，并符合环境保护、卫生等相关法律法规要求。医疗废物处置设施超负荷、高负荷的地市要进行医疗废物处置设施提标改造，提升处置能力。2020年底前每个地级以上城市至少建成1个符合运行要求的医疗废物集中处置设施。（四）加快补齐医疗废物集中处置设施缺口。截止到2020年5月，没有医疗废物处置设施的（不含规划建设的）地级市，要加快规划选址，推动建设医疗废物集中处置设施，补齐设施缺口。鼓励人口50万以上的县（市）因地制宜建设医疗废物集中处置设施，医疗废物日收集处置量在5吨以上的地区，可以建设以焚烧、高温蒸煮等为主的处置设施。鼓励跨县（市）建设医疗废物集中处置设施，实现设施共享。鼓励为偏远基层地区配置医疗废物移动处置和预处理设施，实现医疗废物就地处置。”</w:t>
      </w:r>
    </w:p>
    <w:p>
      <w:pPr>
        <w:pStyle w:val="130"/>
        <w:ind w:firstLine="480"/>
        <w:rPr>
          <w:color w:val="auto"/>
        </w:rPr>
      </w:pPr>
      <w:r>
        <w:rPr>
          <w:rFonts w:eastAsiaTheme="minorEastAsia"/>
          <w:color w:val="auto"/>
        </w:rPr>
        <w:t>本项目为医疗废物集中处置项目，</w:t>
      </w:r>
      <w:r>
        <w:rPr>
          <w:rFonts w:eastAsiaTheme="minorEastAsia"/>
          <w:color w:val="auto"/>
          <w:lang w:val="zh-CN" w:bidi="zh-CN"/>
        </w:rPr>
        <w:t>主要对</w:t>
      </w:r>
      <w:r>
        <w:rPr>
          <w:color w:val="auto"/>
        </w:rPr>
        <w:t>中卫市辖区范围内各区县医疗卫生机构产生的感染性及损伤性医疗废物</w:t>
      </w:r>
      <w:r>
        <w:rPr>
          <w:rFonts w:eastAsiaTheme="minorEastAsia"/>
          <w:color w:val="auto"/>
          <w:lang w:bidi="zh-CN"/>
        </w:rPr>
        <w:t>进行无害化处理</w:t>
      </w:r>
      <w:r>
        <w:rPr>
          <w:color w:val="auto"/>
        </w:rPr>
        <w:t>。采用高温蒸汽灭菌系统处理损伤性及感染性医疗废物，项目改扩建后损伤性及感染性医疗废物收运及</w:t>
      </w:r>
      <w:r>
        <w:rPr>
          <w:rFonts w:hint="eastAsia"/>
          <w:color w:val="auto"/>
        </w:rPr>
        <w:t>总</w:t>
      </w:r>
      <w:r>
        <w:rPr>
          <w:color w:val="auto"/>
        </w:rPr>
        <w:t>处理规模达到8t/d，因此，本项目的建设符合《医疗废物集中处置设施能力建设实施方案》相关要求。</w:t>
      </w:r>
    </w:p>
    <w:p>
      <w:pPr>
        <w:pStyle w:val="6"/>
        <w:numPr>
          <w:ilvl w:val="3"/>
          <w:numId w:val="0"/>
        </w:numPr>
        <w:ind w:left="1091" w:leftChars="49"/>
        <w:rPr>
          <w:color w:val="auto"/>
        </w:rPr>
      </w:pPr>
      <w:r>
        <w:rPr>
          <w:color w:val="auto"/>
        </w:rPr>
        <w:t>4.3.5与《中卫市生态环境保护“十四五”规划》的符合性分析</w:t>
      </w:r>
    </w:p>
    <w:p>
      <w:pPr>
        <w:pStyle w:val="130"/>
        <w:ind w:firstLine="480"/>
        <w:rPr>
          <w:color w:val="auto"/>
        </w:rPr>
      </w:pPr>
      <w:r>
        <w:rPr>
          <w:color w:val="auto"/>
        </w:rPr>
        <w:t>根据《中卫市生态环境保护“十四五”规划》的要求“第八章 强化风险防控，牢守环境安全底线中的第二节 推进重点领域风险防控：提升危险废物环境管理及风险防范能力。建立健全危险废物环境重点监管单位清单，强化危险废物产生和经营企业监管，督促企业认真落实危险废物经营许可、转移联单管理等制度，严厉打击危险废物环境违法行为。加强危险废物运输过程管理，建立危险废物、医疗废物车辆备案制度。拓展危险废物利用处置途径，重点推进水泥窑协同处置工业危险废物，开展燃煤电厂协同处置油泥、钢铁厂协同处置重金属污泥、工业废盐综合利用等试点项目。</w:t>
      </w:r>
      <w:r>
        <w:rPr>
          <w:b/>
          <w:bCs w:val="0"/>
          <w:color w:val="auto"/>
        </w:rPr>
        <w:t>进一步落实医疗废物分类存放、集中收集、统一处置等制度，确保稳定运行医疗废物集中处置设施</w:t>
      </w:r>
      <w:r>
        <w:rPr>
          <w:color w:val="auto"/>
        </w:rPr>
        <w:t>。”</w:t>
      </w:r>
    </w:p>
    <w:p>
      <w:pPr>
        <w:pStyle w:val="130"/>
        <w:ind w:firstLine="480"/>
        <w:rPr>
          <w:color w:val="auto"/>
        </w:rPr>
      </w:pPr>
      <w:r>
        <w:rPr>
          <w:color w:val="auto"/>
        </w:rPr>
        <w:t>本项目为中卫医疗废物处置中心改造项目，</w:t>
      </w:r>
      <w:r>
        <w:rPr>
          <w:rFonts w:eastAsiaTheme="minorEastAsia"/>
          <w:color w:val="auto"/>
          <w:lang w:val="zh-CN" w:bidi="zh-CN"/>
        </w:rPr>
        <w:t>主要对</w:t>
      </w:r>
      <w:r>
        <w:rPr>
          <w:color w:val="auto"/>
        </w:rPr>
        <w:t>中卫市辖区范围内各区县医疗卫生机构产生的感染性及损伤性医疗废物</w:t>
      </w:r>
      <w:r>
        <w:rPr>
          <w:rFonts w:eastAsiaTheme="minorEastAsia"/>
          <w:color w:val="auto"/>
          <w:lang w:bidi="zh-CN"/>
        </w:rPr>
        <w:t>进行统一无害化处理，</w:t>
      </w:r>
      <w:r>
        <w:rPr>
          <w:color w:val="auto"/>
        </w:rPr>
        <w:t>符合《中卫市生态环境保护“十四五”规划》的规划要求。</w:t>
      </w:r>
    </w:p>
    <w:p>
      <w:pPr>
        <w:pStyle w:val="6"/>
        <w:numPr>
          <w:ilvl w:val="3"/>
          <w:numId w:val="0"/>
        </w:numPr>
        <w:ind w:left="1091" w:leftChars="49"/>
        <w:rPr>
          <w:color w:val="auto"/>
        </w:rPr>
      </w:pPr>
      <w:r>
        <w:rPr>
          <w:color w:val="auto"/>
        </w:rPr>
        <w:t>4.3.6与《中卫市工业固体废物污染环境防治“十四五”规划》的符合性分析</w:t>
      </w:r>
    </w:p>
    <w:p>
      <w:pPr>
        <w:pStyle w:val="130"/>
        <w:ind w:firstLine="480"/>
        <w:rPr>
          <w:color w:val="auto"/>
        </w:rPr>
      </w:pPr>
      <w:r>
        <w:rPr>
          <w:color w:val="auto"/>
        </w:rPr>
        <w:t>根据《中卫市工业固体废物污染环境防治“十四五”规划》的要求“第五章 危险废物规划重点任务中的第二节 合理配置危险废物利用处置能力：提升医疗废物处置设施建设。依据中卫市医疗废物预测产生量，</w:t>
      </w:r>
      <w:r>
        <w:rPr>
          <w:b/>
          <w:bCs w:val="0"/>
          <w:color w:val="auto"/>
        </w:rPr>
        <w:t>完成中卫医疗废物处置中心提标改造项目并规范运行，确保满足处置需要且具有一定余量的医疗废物集中处置能力</w:t>
      </w:r>
      <w:r>
        <w:rPr>
          <w:color w:val="auto"/>
        </w:rPr>
        <w:t>。建立医疗废物协同应急处置机制，保障突发疫情、处置设施检修期间等医疗废物应急处置能力，明确协同应急处置设施。2022年底前，医疗废物收集转运处置体系健全完善。”</w:t>
      </w:r>
    </w:p>
    <w:p>
      <w:pPr>
        <w:pStyle w:val="130"/>
        <w:ind w:firstLine="480"/>
        <w:rPr>
          <w:color w:val="auto"/>
        </w:rPr>
      </w:pPr>
      <w:r>
        <w:rPr>
          <w:color w:val="auto"/>
        </w:rPr>
        <w:t>本项目为中卫医疗废物处置中心改造项目，</w:t>
      </w:r>
      <w:r>
        <w:rPr>
          <w:rFonts w:eastAsiaTheme="minorEastAsia"/>
          <w:color w:val="auto"/>
          <w:lang w:val="zh-CN" w:bidi="zh-CN"/>
        </w:rPr>
        <w:t>主要对</w:t>
      </w:r>
      <w:r>
        <w:rPr>
          <w:color w:val="auto"/>
        </w:rPr>
        <w:t>中卫市辖区范围内各区县医疗卫生机构产生的感染性及损伤性医疗废物</w:t>
      </w:r>
      <w:r>
        <w:rPr>
          <w:rFonts w:eastAsiaTheme="minorEastAsia"/>
          <w:color w:val="auto"/>
          <w:lang w:bidi="zh-CN"/>
        </w:rPr>
        <w:t>进行统一无害化处理，</w:t>
      </w:r>
      <w:r>
        <w:rPr>
          <w:color w:val="auto"/>
        </w:rPr>
        <w:t>符合《中卫市工业固体废物污染环境防治“十四五”规划》的规划要求。</w:t>
      </w:r>
    </w:p>
    <w:p>
      <w:pPr>
        <w:pStyle w:val="128"/>
        <w:ind w:firstLine="0" w:firstLineChars="0"/>
        <w:rPr>
          <w:color w:val="auto"/>
        </w:rPr>
      </w:pPr>
      <w:r>
        <w:rPr>
          <w:color w:val="auto"/>
        </w:rPr>
        <w:t>4.3.7与《中卫市城市总体规划（2009-2025年）》的符合性分析</w:t>
      </w:r>
    </w:p>
    <w:p>
      <w:pPr>
        <w:pStyle w:val="130"/>
        <w:ind w:firstLine="480"/>
        <w:rPr>
          <w:color w:val="auto"/>
        </w:rPr>
      </w:pPr>
      <w:r>
        <w:rPr>
          <w:color w:val="auto"/>
        </w:rPr>
        <w:t>根据《中卫市城市总体规划（2009-2025年）》，本次城市总体规划的区域层面为整个中卫市域范围，沙波头区、中宁县、海原县，下辖20个镇、20个乡、33个居委会，规划控制区面积约1.74万平方公里。</w:t>
      </w:r>
    </w:p>
    <w:p>
      <w:pPr>
        <w:pStyle w:val="130"/>
        <w:ind w:firstLine="480"/>
        <w:rPr>
          <w:color w:val="auto"/>
        </w:rPr>
      </w:pPr>
      <w:r>
        <w:rPr>
          <w:color w:val="auto"/>
        </w:rPr>
        <w:t>根据规划文本中第8章 市域重要社会服务设施规划中的医疗卫生：进一步提高中卫市的医疗服务水平，建成完善的疾病控制、卫生监督、妇幼保健、紧急救援等公共卫生及医疗服务体系。中心城建设以综合性医院、急救中心、传染病院、专业救治机构为骨干的医疗救治网络。中宁和海原县，应进一步扩大医疗卫生机构的规模，乡镇卫生院着力发展中心镇卫生院。</w:t>
      </w:r>
    </w:p>
    <w:p>
      <w:pPr>
        <w:pStyle w:val="130"/>
        <w:ind w:firstLine="480"/>
        <w:rPr>
          <w:color w:val="auto"/>
        </w:rPr>
      </w:pPr>
      <w:r>
        <w:rPr>
          <w:color w:val="auto"/>
        </w:rPr>
        <w:t>根据规划文本中第2章 城市发展条件及策略中城市发展分目标：环境保护和生态建设目标—形成循环经济的发展模式和节约资源的消费模式，城乡环境质量明显改善，生态环境质量明显好转，工业废水、废气实现100%达标排放，工业固体废弃物综合利用率稳定在80%以上，</w:t>
      </w:r>
      <w:r>
        <w:rPr>
          <w:b/>
          <w:bCs w:val="0"/>
          <w:color w:val="auto"/>
        </w:rPr>
        <w:t>危险废物无害化处理率达到100%</w:t>
      </w:r>
      <w:r>
        <w:rPr>
          <w:color w:val="auto"/>
        </w:rPr>
        <w:t>。</w:t>
      </w:r>
    </w:p>
    <w:p>
      <w:pPr>
        <w:pStyle w:val="130"/>
        <w:ind w:firstLine="480"/>
        <w:rPr>
          <w:color w:val="auto"/>
        </w:rPr>
      </w:pPr>
      <w:r>
        <w:rPr>
          <w:color w:val="auto"/>
        </w:rPr>
        <w:t>本项目建设地点位于中卫市永康镇阳沟村中卫市生活垃圾填埋场西侧，为中卫医疗废物处置中心改造项目，主要对中卫市辖区范围内各区县医疗卫生机构产生的感染性及损伤性医疗废物进行无害化处理，随着中卫市医疗卫生服务设施的不断扩大规模</w:t>
      </w:r>
      <w:r>
        <w:rPr>
          <w:rFonts w:hint="eastAsia"/>
          <w:color w:val="auto"/>
        </w:rPr>
        <w:t>以及充分考虑新冠疫情发生时医疗废物的增多</w:t>
      </w:r>
      <w:r>
        <w:rPr>
          <w:color w:val="auto"/>
        </w:rPr>
        <w:t>，本项目现有工程的3t/d的高温蒸煮系统已不能满足处理规模要求，故项目新建一套5t/d医疗废物高温蒸汽灭菌器及配套设备。因此，本项目的建设符合《中卫市城市总体规划（2009-2025年）》的相关要求。</w:t>
      </w:r>
    </w:p>
    <w:p>
      <w:pPr>
        <w:pStyle w:val="5"/>
        <w:numPr>
          <w:ilvl w:val="2"/>
          <w:numId w:val="0"/>
        </w:numPr>
        <w:ind w:left="-720" w:leftChars="-343" w:firstLine="723" w:firstLineChars="300"/>
        <w:rPr>
          <w:color w:val="auto"/>
        </w:rPr>
      </w:pPr>
      <w:bookmarkStart w:id="31" w:name="_Toc109398527"/>
      <w:r>
        <w:rPr>
          <w:color w:val="auto"/>
        </w:rPr>
        <w:t>4.4与相关标准及规范符合性分析</w:t>
      </w:r>
      <w:bookmarkEnd w:id="31"/>
    </w:p>
    <w:p>
      <w:pPr>
        <w:pStyle w:val="6"/>
        <w:numPr>
          <w:ilvl w:val="3"/>
          <w:numId w:val="0"/>
        </w:numPr>
        <w:rPr>
          <w:color w:val="auto"/>
        </w:rPr>
      </w:pPr>
      <w:r>
        <w:rPr>
          <w:color w:val="auto"/>
        </w:rPr>
        <w:t>4.4.1与《危险废物贮存污染控制标准》（GB18597-2001）及2013年修改单符合性分析</w:t>
      </w:r>
    </w:p>
    <w:p>
      <w:pPr>
        <w:pStyle w:val="130"/>
        <w:ind w:firstLine="480"/>
        <w:rPr>
          <w:rFonts w:eastAsia="仿宋"/>
          <w:color w:val="auto"/>
          <w:szCs w:val="22"/>
        </w:rPr>
      </w:pPr>
      <w:r>
        <w:rPr>
          <w:color w:val="auto"/>
        </w:rPr>
        <w:t>本项目与《危险废物贮存污染控制标准》（GB18597-2001）及2013年修改单符合性分析见表</w:t>
      </w:r>
      <w:r>
        <w:rPr>
          <w:rFonts w:eastAsia="仿宋"/>
          <w:color w:val="auto"/>
          <w:szCs w:val="22"/>
        </w:rPr>
        <w:t>2。</w:t>
      </w:r>
    </w:p>
    <w:p>
      <w:pPr>
        <w:pStyle w:val="114"/>
        <w:spacing w:before="0" w:beforeLines="0"/>
        <w:rPr>
          <w:color w:val="auto"/>
        </w:rPr>
      </w:pPr>
      <w:r>
        <w:rPr>
          <w:color w:val="auto"/>
        </w:rPr>
        <w:t>表2   与《危险废物贮存污染控制标准》符合性分析</w:t>
      </w:r>
    </w:p>
    <w:tbl>
      <w:tblPr>
        <w:tblStyle w:val="74"/>
        <w:tblW w:w="861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643"/>
        <w:gridCol w:w="3523"/>
        <w:gridCol w:w="3611"/>
        <w:gridCol w:w="8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397" w:hRule="atLeast"/>
          <w:tblHeader/>
          <w:jc w:val="center"/>
        </w:trPr>
        <w:tc>
          <w:tcPr>
            <w:tcW w:w="643" w:type="dxa"/>
            <w:tcBorders>
              <w:tl2br w:val="nil"/>
              <w:tr2bl w:val="nil"/>
            </w:tcBorders>
            <w:vAlign w:val="center"/>
          </w:tcPr>
          <w:p>
            <w:pPr>
              <w:pStyle w:val="164"/>
              <w:rPr>
                <w:b/>
                <w:color w:val="auto"/>
              </w:rPr>
            </w:pPr>
            <w:r>
              <w:rPr>
                <w:b/>
                <w:color w:val="auto"/>
              </w:rPr>
              <w:t>内容</w:t>
            </w:r>
          </w:p>
        </w:tc>
        <w:tc>
          <w:tcPr>
            <w:tcW w:w="3523" w:type="dxa"/>
            <w:tcBorders>
              <w:tl2br w:val="nil"/>
              <w:tr2bl w:val="nil"/>
            </w:tcBorders>
            <w:vAlign w:val="center"/>
          </w:tcPr>
          <w:p>
            <w:pPr>
              <w:pStyle w:val="164"/>
              <w:rPr>
                <w:b/>
                <w:color w:val="auto"/>
              </w:rPr>
            </w:pPr>
            <w:r>
              <w:rPr>
                <w:b/>
                <w:color w:val="auto"/>
              </w:rPr>
              <w:t>文件要求</w:t>
            </w:r>
          </w:p>
        </w:tc>
        <w:tc>
          <w:tcPr>
            <w:tcW w:w="3611" w:type="dxa"/>
            <w:tcBorders>
              <w:tl2br w:val="nil"/>
              <w:tr2bl w:val="nil"/>
            </w:tcBorders>
            <w:vAlign w:val="center"/>
          </w:tcPr>
          <w:p>
            <w:pPr>
              <w:pStyle w:val="164"/>
              <w:rPr>
                <w:b/>
                <w:color w:val="auto"/>
              </w:rPr>
            </w:pPr>
            <w:r>
              <w:rPr>
                <w:b/>
                <w:color w:val="auto"/>
              </w:rPr>
              <w:t>本项目情况</w:t>
            </w:r>
          </w:p>
        </w:tc>
        <w:tc>
          <w:tcPr>
            <w:tcW w:w="841" w:type="dxa"/>
            <w:tcBorders>
              <w:tl2br w:val="nil"/>
              <w:tr2bl w:val="nil"/>
            </w:tcBorders>
            <w:vAlign w:val="center"/>
          </w:tcPr>
          <w:p>
            <w:pPr>
              <w:pStyle w:val="164"/>
              <w:rPr>
                <w:b/>
                <w:color w:val="auto"/>
              </w:rPr>
            </w:pPr>
            <w:r>
              <w:rPr>
                <w:b/>
                <w:color w:val="auto"/>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43" w:type="dxa"/>
            <w:vMerge w:val="restart"/>
            <w:tcBorders>
              <w:tl2br w:val="nil"/>
              <w:tr2bl w:val="nil"/>
            </w:tcBorders>
            <w:vAlign w:val="center"/>
          </w:tcPr>
          <w:p>
            <w:pPr>
              <w:pStyle w:val="164"/>
              <w:rPr>
                <w:color w:val="auto"/>
              </w:rPr>
            </w:pPr>
            <w:r>
              <w:rPr>
                <w:color w:val="auto"/>
              </w:rPr>
              <w:t>贮存设施选址</w:t>
            </w:r>
          </w:p>
        </w:tc>
        <w:tc>
          <w:tcPr>
            <w:tcW w:w="3523" w:type="dxa"/>
            <w:tcBorders>
              <w:tl2br w:val="nil"/>
              <w:tr2bl w:val="nil"/>
            </w:tcBorders>
            <w:vAlign w:val="center"/>
          </w:tcPr>
          <w:p>
            <w:pPr>
              <w:pStyle w:val="164"/>
              <w:rPr>
                <w:color w:val="auto"/>
              </w:rPr>
            </w:pPr>
            <w:r>
              <w:rPr>
                <w:color w:val="auto"/>
              </w:rPr>
              <w:t>地质结构稳定，地震烈度不超过7度的区域内</w:t>
            </w:r>
          </w:p>
        </w:tc>
        <w:tc>
          <w:tcPr>
            <w:tcW w:w="3611" w:type="dxa"/>
            <w:tcBorders>
              <w:tl2br w:val="nil"/>
              <w:tr2bl w:val="nil"/>
            </w:tcBorders>
            <w:vAlign w:val="center"/>
          </w:tcPr>
          <w:p>
            <w:pPr>
              <w:pStyle w:val="164"/>
              <w:rPr>
                <w:color w:val="auto"/>
              </w:rPr>
            </w:pPr>
            <w:r>
              <w:rPr>
                <w:color w:val="auto"/>
              </w:rPr>
              <w:t>根据《中国地震烈度区划图》本项目暂存库位于地震烈度为VII度区域，地质结构稳定；项目可研及初步设计方案中工程建筑均按抗震防设烈度VIII度进行设防，满足《建筑抗震设计规模》（GB50011-2010）要求</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467" w:hRule="atLeast"/>
          <w:jc w:val="center"/>
        </w:trPr>
        <w:tc>
          <w:tcPr>
            <w:tcW w:w="643" w:type="dxa"/>
            <w:vMerge w:val="continue"/>
            <w:tcBorders>
              <w:tl2br w:val="nil"/>
              <w:tr2bl w:val="nil"/>
            </w:tcBorders>
            <w:vAlign w:val="center"/>
          </w:tcPr>
          <w:p>
            <w:pPr>
              <w:pStyle w:val="164"/>
              <w:rPr>
                <w:color w:val="auto"/>
              </w:rPr>
            </w:pPr>
          </w:p>
        </w:tc>
        <w:tc>
          <w:tcPr>
            <w:tcW w:w="3523" w:type="dxa"/>
            <w:tcBorders>
              <w:tl2br w:val="nil"/>
              <w:tr2bl w:val="nil"/>
            </w:tcBorders>
            <w:vAlign w:val="center"/>
          </w:tcPr>
          <w:p>
            <w:pPr>
              <w:pStyle w:val="164"/>
              <w:rPr>
                <w:color w:val="auto"/>
              </w:rPr>
            </w:pPr>
            <w:r>
              <w:rPr>
                <w:color w:val="auto"/>
              </w:rPr>
              <w:t>设施底部必须高于地下水最高水位</w:t>
            </w:r>
          </w:p>
        </w:tc>
        <w:tc>
          <w:tcPr>
            <w:tcW w:w="3611" w:type="dxa"/>
            <w:tcBorders>
              <w:tl2br w:val="nil"/>
              <w:tr2bl w:val="nil"/>
            </w:tcBorders>
            <w:vAlign w:val="center"/>
          </w:tcPr>
          <w:p>
            <w:pPr>
              <w:pStyle w:val="164"/>
              <w:rPr>
                <w:color w:val="auto"/>
              </w:rPr>
            </w:pPr>
            <w:r>
              <w:rPr>
                <w:color w:val="auto"/>
              </w:rPr>
              <w:t>设施底部高于地下水最高水位</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472" w:hRule="atLeast"/>
          <w:jc w:val="center"/>
        </w:trPr>
        <w:tc>
          <w:tcPr>
            <w:tcW w:w="643" w:type="dxa"/>
            <w:vMerge w:val="continue"/>
            <w:tcBorders>
              <w:tl2br w:val="nil"/>
              <w:tr2bl w:val="nil"/>
            </w:tcBorders>
            <w:vAlign w:val="center"/>
          </w:tcPr>
          <w:p>
            <w:pPr>
              <w:pStyle w:val="164"/>
              <w:rPr>
                <w:color w:val="auto"/>
              </w:rPr>
            </w:pPr>
          </w:p>
        </w:tc>
        <w:tc>
          <w:tcPr>
            <w:tcW w:w="3523" w:type="dxa"/>
            <w:tcBorders>
              <w:tl2br w:val="nil"/>
              <w:tr2bl w:val="nil"/>
            </w:tcBorders>
            <w:vAlign w:val="center"/>
          </w:tcPr>
          <w:p>
            <w:pPr>
              <w:pStyle w:val="164"/>
              <w:rPr>
                <w:color w:val="auto"/>
              </w:rPr>
            </w:pPr>
            <w:r>
              <w:rPr>
                <w:color w:val="auto"/>
              </w:rPr>
              <w:t>应依据环境影响评价结论确定危险废物集中贮存设施的位置及其与周围人群的距离，并经具有审批权的环境保护行政主管部门批准，并可作为规划控制的依据</w:t>
            </w:r>
          </w:p>
        </w:tc>
        <w:tc>
          <w:tcPr>
            <w:tcW w:w="3611" w:type="dxa"/>
            <w:tcBorders>
              <w:tl2br w:val="nil"/>
              <w:tr2bl w:val="nil"/>
            </w:tcBorders>
            <w:vAlign w:val="center"/>
          </w:tcPr>
          <w:p>
            <w:pPr>
              <w:pStyle w:val="164"/>
              <w:rPr>
                <w:color w:val="auto"/>
              </w:rPr>
            </w:pPr>
            <w:r>
              <w:rPr>
                <w:color w:val="auto"/>
              </w:rPr>
              <w:t>项目位于中卫市永康镇阳沟村中卫市生活垃圾填埋场西侧，最近环境敏感目标位于西侧162m处的中卫市永康镇阳沟村希望小学，运营期对环境敏感目标的影响较小，设置合理</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43" w:type="dxa"/>
            <w:vMerge w:val="continue"/>
            <w:tcBorders>
              <w:tl2br w:val="nil"/>
              <w:tr2bl w:val="nil"/>
            </w:tcBorders>
            <w:vAlign w:val="center"/>
          </w:tcPr>
          <w:p>
            <w:pPr>
              <w:pStyle w:val="164"/>
              <w:rPr>
                <w:color w:val="auto"/>
              </w:rPr>
            </w:pPr>
          </w:p>
        </w:tc>
        <w:tc>
          <w:tcPr>
            <w:tcW w:w="3523" w:type="dxa"/>
            <w:tcBorders>
              <w:tl2br w:val="nil"/>
              <w:tr2bl w:val="nil"/>
            </w:tcBorders>
            <w:vAlign w:val="center"/>
          </w:tcPr>
          <w:p>
            <w:pPr>
              <w:pStyle w:val="164"/>
              <w:rPr>
                <w:color w:val="auto"/>
              </w:rPr>
            </w:pPr>
            <w:r>
              <w:rPr>
                <w:color w:val="auto"/>
              </w:rPr>
              <w:t>应避免建在溶洞区或易遭受严重自然灾害如洪水、滑坡、泥石流、潮汐等影响的地区</w:t>
            </w:r>
          </w:p>
        </w:tc>
        <w:tc>
          <w:tcPr>
            <w:tcW w:w="3611" w:type="dxa"/>
            <w:tcBorders>
              <w:tl2br w:val="nil"/>
              <w:tr2bl w:val="nil"/>
            </w:tcBorders>
            <w:vAlign w:val="center"/>
          </w:tcPr>
          <w:p>
            <w:pPr>
              <w:pStyle w:val="164"/>
              <w:rPr>
                <w:color w:val="auto"/>
              </w:rPr>
            </w:pPr>
            <w:r>
              <w:rPr>
                <w:color w:val="auto"/>
              </w:rPr>
              <w:t>根据区域项目地质构造：无不良地质作用，无埋藏的河道、沟浜、墓穴、防空洞、孤石等对工程不利的埋藏物，并且无滑坡、崩塌等其他地震不稳定因素，地基稳定</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300" w:hRule="atLeast"/>
          <w:jc w:val="center"/>
        </w:trPr>
        <w:tc>
          <w:tcPr>
            <w:tcW w:w="643" w:type="dxa"/>
            <w:vMerge w:val="continue"/>
            <w:tcBorders>
              <w:tl2br w:val="nil"/>
              <w:tr2bl w:val="nil"/>
            </w:tcBorders>
            <w:vAlign w:val="center"/>
          </w:tcPr>
          <w:p>
            <w:pPr>
              <w:pStyle w:val="164"/>
              <w:rPr>
                <w:color w:val="auto"/>
              </w:rPr>
            </w:pPr>
          </w:p>
        </w:tc>
        <w:tc>
          <w:tcPr>
            <w:tcW w:w="3523" w:type="dxa"/>
            <w:tcBorders>
              <w:tl2br w:val="nil"/>
              <w:tr2bl w:val="nil"/>
            </w:tcBorders>
            <w:vAlign w:val="center"/>
          </w:tcPr>
          <w:p>
            <w:pPr>
              <w:pStyle w:val="164"/>
              <w:rPr>
                <w:color w:val="auto"/>
              </w:rPr>
            </w:pPr>
            <w:r>
              <w:rPr>
                <w:color w:val="auto"/>
              </w:rPr>
              <w:t>应建在易燃、易爆等危险品仓库、高压输电线路防护区域以外</w:t>
            </w:r>
          </w:p>
        </w:tc>
        <w:tc>
          <w:tcPr>
            <w:tcW w:w="3611" w:type="dxa"/>
            <w:tcBorders>
              <w:tl2br w:val="nil"/>
              <w:tr2bl w:val="nil"/>
            </w:tcBorders>
            <w:vAlign w:val="center"/>
          </w:tcPr>
          <w:p>
            <w:pPr>
              <w:pStyle w:val="164"/>
              <w:rPr>
                <w:color w:val="auto"/>
              </w:rPr>
            </w:pPr>
            <w:r>
              <w:rPr>
                <w:color w:val="auto"/>
              </w:rPr>
              <w:t>本项目位于中卫市永康镇阳沟村中卫市生活垃圾填埋场西侧，项目选址不在易燃、易爆等危险品仓库、高压输电线路防护区域内</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701" w:hRule="atLeast"/>
          <w:jc w:val="center"/>
        </w:trPr>
        <w:tc>
          <w:tcPr>
            <w:tcW w:w="643" w:type="dxa"/>
            <w:vMerge w:val="continue"/>
            <w:tcBorders>
              <w:tl2br w:val="nil"/>
              <w:tr2bl w:val="nil"/>
            </w:tcBorders>
            <w:vAlign w:val="center"/>
          </w:tcPr>
          <w:p>
            <w:pPr>
              <w:pStyle w:val="164"/>
              <w:rPr>
                <w:color w:val="auto"/>
              </w:rPr>
            </w:pPr>
          </w:p>
        </w:tc>
        <w:tc>
          <w:tcPr>
            <w:tcW w:w="3523" w:type="dxa"/>
            <w:tcBorders>
              <w:tl2br w:val="nil"/>
              <w:tr2bl w:val="nil"/>
            </w:tcBorders>
            <w:vAlign w:val="center"/>
          </w:tcPr>
          <w:p>
            <w:pPr>
              <w:pStyle w:val="164"/>
              <w:rPr>
                <w:color w:val="auto"/>
              </w:rPr>
            </w:pPr>
            <w:r>
              <w:rPr>
                <w:color w:val="auto"/>
              </w:rPr>
              <w:t>必须有泄漏液体收集装置及气体导出口和气体净化装置</w:t>
            </w:r>
          </w:p>
        </w:tc>
        <w:tc>
          <w:tcPr>
            <w:tcW w:w="3611" w:type="dxa"/>
            <w:tcBorders>
              <w:tl2br w:val="nil"/>
              <w:tr2bl w:val="nil"/>
            </w:tcBorders>
            <w:vAlign w:val="center"/>
          </w:tcPr>
          <w:p>
            <w:pPr>
              <w:pStyle w:val="164"/>
              <w:rPr>
                <w:color w:val="auto"/>
              </w:rPr>
            </w:pPr>
            <w:r>
              <w:rPr>
                <w:color w:val="auto"/>
              </w:rPr>
              <w:t>本项目设置50m</w:t>
            </w:r>
            <w:r>
              <w:rPr>
                <w:color w:val="auto"/>
                <w:vertAlign w:val="superscript"/>
              </w:rPr>
              <w:t>3</w:t>
            </w:r>
            <w:r>
              <w:rPr>
                <w:color w:val="auto"/>
              </w:rPr>
              <w:t>初期雨水收集池，高温蒸汽灭菌废气先通过设备自带的生物过滤+活性炭吸附进行预处理后，汇同医疗废物贮存废气再通过“碱洗喷淋+等离子+活性炭”工艺处理，最终通过15m高排气筒排放</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912" w:hRule="atLeast"/>
          <w:jc w:val="center"/>
        </w:trPr>
        <w:tc>
          <w:tcPr>
            <w:tcW w:w="643" w:type="dxa"/>
            <w:vMerge w:val="continue"/>
            <w:tcBorders>
              <w:tl2br w:val="nil"/>
              <w:tr2bl w:val="nil"/>
            </w:tcBorders>
            <w:vAlign w:val="center"/>
          </w:tcPr>
          <w:p>
            <w:pPr>
              <w:pStyle w:val="164"/>
              <w:rPr>
                <w:color w:val="auto"/>
              </w:rPr>
            </w:pPr>
          </w:p>
        </w:tc>
        <w:tc>
          <w:tcPr>
            <w:tcW w:w="3523" w:type="dxa"/>
            <w:tcBorders>
              <w:tl2br w:val="nil"/>
              <w:tr2bl w:val="nil"/>
            </w:tcBorders>
            <w:vAlign w:val="center"/>
          </w:tcPr>
          <w:p>
            <w:pPr>
              <w:pStyle w:val="164"/>
              <w:rPr>
                <w:color w:val="auto"/>
              </w:rPr>
            </w:pPr>
            <w:r>
              <w:rPr>
                <w:color w:val="auto"/>
              </w:rPr>
              <w:t>不相容的危险废物必须分开存放，并设有隔离间隔断</w:t>
            </w:r>
          </w:p>
        </w:tc>
        <w:tc>
          <w:tcPr>
            <w:tcW w:w="3611" w:type="dxa"/>
            <w:tcBorders>
              <w:tl2br w:val="nil"/>
              <w:tr2bl w:val="nil"/>
            </w:tcBorders>
            <w:vAlign w:val="center"/>
          </w:tcPr>
          <w:p>
            <w:pPr>
              <w:pStyle w:val="164"/>
              <w:rPr>
                <w:color w:val="auto"/>
              </w:rPr>
            </w:pPr>
            <w:r>
              <w:rPr>
                <w:color w:val="auto"/>
              </w:rPr>
              <w:t>厂区设置1座54m</w:t>
            </w:r>
            <w:r>
              <w:rPr>
                <w:color w:val="auto"/>
                <w:vertAlign w:val="superscript"/>
              </w:rPr>
              <w:t>2</w:t>
            </w:r>
            <w:r>
              <w:rPr>
                <w:color w:val="auto"/>
              </w:rPr>
              <w:t>的医疗废物冷藏库，按照医疗废物分类分区堆放医疗废物及危险废物</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43" w:type="dxa"/>
            <w:vMerge w:val="restart"/>
            <w:tcBorders>
              <w:tl2br w:val="nil"/>
              <w:tr2bl w:val="nil"/>
            </w:tcBorders>
            <w:vAlign w:val="center"/>
          </w:tcPr>
          <w:p>
            <w:pPr>
              <w:pStyle w:val="164"/>
              <w:rPr>
                <w:color w:val="auto"/>
              </w:rPr>
            </w:pPr>
            <w:r>
              <w:rPr>
                <w:color w:val="auto"/>
              </w:rPr>
              <w:t>危险废物堆放</w:t>
            </w:r>
          </w:p>
        </w:tc>
        <w:tc>
          <w:tcPr>
            <w:tcW w:w="3523" w:type="dxa"/>
            <w:tcBorders>
              <w:tl2br w:val="nil"/>
              <w:tr2bl w:val="nil"/>
            </w:tcBorders>
            <w:vAlign w:val="center"/>
          </w:tcPr>
          <w:p>
            <w:pPr>
              <w:pStyle w:val="164"/>
              <w:rPr>
                <w:color w:val="auto"/>
              </w:rPr>
            </w:pPr>
            <w:r>
              <w:rPr>
                <w:color w:val="auto"/>
              </w:rPr>
              <w:t>基础必须防渗，防渗层为至少1m厚粘土层（渗透系数≤1.0×10</w:t>
            </w:r>
            <w:r>
              <w:rPr>
                <w:color w:val="auto"/>
                <w:vertAlign w:val="superscript"/>
              </w:rPr>
              <w:t>-7</w:t>
            </w:r>
            <w:r>
              <w:rPr>
                <w:color w:val="auto"/>
              </w:rPr>
              <w:t>cm/s），或2mm厚高密度聚乙烯，或至少2mm厚的其它人工材料，渗透系数≤1.0×10</w:t>
            </w:r>
            <w:r>
              <w:rPr>
                <w:color w:val="auto"/>
                <w:vertAlign w:val="superscript"/>
              </w:rPr>
              <w:t>-10</w:t>
            </w:r>
            <w:r>
              <w:rPr>
                <w:color w:val="auto"/>
              </w:rPr>
              <w:t>cm/s</w:t>
            </w:r>
          </w:p>
        </w:tc>
        <w:tc>
          <w:tcPr>
            <w:tcW w:w="3611" w:type="dxa"/>
            <w:tcBorders>
              <w:tl2br w:val="nil"/>
              <w:tr2bl w:val="nil"/>
            </w:tcBorders>
            <w:vAlign w:val="center"/>
          </w:tcPr>
          <w:p>
            <w:pPr>
              <w:pStyle w:val="164"/>
              <w:rPr>
                <w:color w:val="auto"/>
              </w:rPr>
            </w:pPr>
            <w:r>
              <w:rPr>
                <w:color w:val="auto"/>
              </w:rPr>
              <w:t>本项目危险废物暂存库基础防渗层采用钢筋混凝土填筑，表面刷涂水泥基渗透结晶型防火防渗涂料，渗透系数≤1.0×10</w:t>
            </w:r>
            <w:r>
              <w:rPr>
                <w:color w:val="auto"/>
                <w:vertAlign w:val="superscript"/>
              </w:rPr>
              <w:t>-10</w:t>
            </w:r>
            <w:r>
              <w:rPr>
                <w:color w:val="auto"/>
              </w:rPr>
              <w:t>cm/s</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43" w:type="dxa"/>
            <w:vMerge w:val="continue"/>
            <w:tcBorders>
              <w:tl2br w:val="nil"/>
              <w:tr2bl w:val="nil"/>
            </w:tcBorders>
            <w:vAlign w:val="center"/>
          </w:tcPr>
          <w:p>
            <w:pPr>
              <w:pStyle w:val="164"/>
              <w:rPr>
                <w:color w:val="auto"/>
              </w:rPr>
            </w:pPr>
          </w:p>
        </w:tc>
        <w:tc>
          <w:tcPr>
            <w:tcW w:w="3523" w:type="dxa"/>
            <w:tcBorders>
              <w:tl2br w:val="nil"/>
              <w:tr2bl w:val="nil"/>
            </w:tcBorders>
            <w:vAlign w:val="center"/>
          </w:tcPr>
          <w:p>
            <w:pPr>
              <w:pStyle w:val="164"/>
              <w:rPr>
                <w:color w:val="auto"/>
              </w:rPr>
            </w:pPr>
            <w:r>
              <w:rPr>
                <w:color w:val="auto"/>
              </w:rPr>
              <w:t>危险废物堆场内设计雨水收集池，并能收集25a一遇的暴雨前15min降水量</w:t>
            </w:r>
          </w:p>
        </w:tc>
        <w:tc>
          <w:tcPr>
            <w:tcW w:w="3611" w:type="dxa"/>
            <w:tcBorders>
              <w:tl2br w:val="nil"/>
              <w:tr2bl w:val="nil"/>
            </w:tcBorders>
            <w:vAlign w:val="center"/>
          </w:tcPr>
          <w:p>
            <w:pPr>
              <w:pStyle w:val="164"/>
              <w:rPr>
                <w:color w:val="auto"/>
              </w:rPr>
            </w:pPr>
            <w:r>
              <w:rPr>
                <w:color w:val="auto"/>
              </w:rPr>
              <w:t>本项目不设露天堆场，设置了50m</w:t>
            </w:r>
            <w:r>
              <w:rPr>
                <w:color w:val="auto"/>
                <w:vertAlign w:val="superscript"/>
              </w:rPr>
              <w:t>3</w:t>
            </w:r>
            <w:r>
              <w:rPr>
                <w:color w:val="auto"/>
              </w:rPr>
              <w:t>容积的初期雨水收集池，设置的收集水池有能力接纳该部分雨水</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604" w:hRule="atLeast"/>
          <w:jc w:val="center"/>
        </w:trPr>
        <w:tc>
          <w:tcPr>
            <w:tcW w:w="643" w:type="dxa"/>
            <w:vMerge w:val="continue"/>
            <w:tcBorders>
              <w:tl2br w:val="nil"/>
              <w:tr2bl w:val="nil"/>
            </w:tcBorders>
            <w:vAlign w:val="center"/>
          </w:tcPr>
          <w:p>
            <w:pPr>
              <w:pStyle w:val="164"/>
              <w:rPr>
                <w:color w:val="auto"/>
              </w:rPr>
            </w:pPr>
          </w:p>
        </w:tc>
        <w:tc>
          <w:tcPr>
            <w:tcW w:w="3523" w:type="dxa"/>
            <w:tcBorders>
              <w:tl2br w:val="nil"/>
              <w:tr2bl w:val="nil"/>
            </w:tcBorders>
            <w:vAlign w:val="center"/>
          </w:tcPr>
          <w:p>
            <w:pPr>
              <w:pStyle w:val="164"/>
              <w:rPr>
                <w:color w:val="auto"/>
              </w:rPr>
            </w:pPr>
            <w:r>
              <w:rPr>
                <w:color w:val="auto"/>
              </w:rPr>
              <w:t>危险废物堆放要防风、防雨、防晒</w:t>
            </w:r>
          </w:p>
        </w:tc>
        <w:tc>
          <w:tcPr>
            <w:tcW w:w="3611" w:type="dxa"/>
            <w:tcBorders>
              <w:tl2br w:val="nil"/>
              <w:tr2bl w:val="nil"/>
            </w:tcBorders>
            <w:vAlign w:val="center"/>
          </w:tcPr>
          <w:p>
            <w:pPr>
              <w:pStyle w:val="164"/>
              <w:rPr>
                <w:color w:val="auto"/>
              </w:rPr>
            </w:pPr>
            <w:r>
              <w:rPr>
                <w:color w:val="auto"/>
              </w:rPr>
              <w:t>本项目危险废物储存在危险废物暂存库内，能够满足防风防雨防晒要求</w:t>
            </w:r>
          </w:p>
        </w:tc>
        <w:tc>
          <w:tcPr>
            <w:tcW w:w="841" w:type="dxa"/>
            <w:tcBorders>
              <w:tl2br w:val="nil"/>
              <w:tr2bl w:val="nil"/>
            </w:tcBorders>
            <w:vAlign w:val="center"/>
          </w:tcPr>
          <w:p>
            <w:pPr>
              <w:pStyle w:val="164"/>
              <w:rPr>
                <w:color w:val="auto"/>
              </w:rPr>
            </w:pPr>
            <w:r>
              <w:rPr>
                <w:color w:val="auto"/>
              </w:rPr>
              <w:t>符合</w:t>
            </w:r>
          </w:p>
        </w:tc>
      </w:tr>
    </w:tbl>
    <w:p>
      <w:pPr>
        <w:pStyle w:val="6"/>
        <w:numPr>
          <w:ilvl w:val="3"/>
          <w:numId w:val="0"/>
        </w:numPr>
        <w:rPr>
          <w:color w:val="auto"/>
        </w:rPr>
      </w:pPr>
      <w:r>
        <w:rPr>
          <w:color w:val="auto"/>
        </w:rPr>
        <w:t>4.4.2与《医疗废物处理处置污染控制标准》（GB39707-2020）符合性分析</w:t>
      </w:r>
    </w:p>
    <w:p>
      <w:pPr>
        <w:pStyle w:val="130"/>
        <w:ind w:firstLine="480"/>
        <w:rPr>
          <w:rFonts w:eastAsia="仿宋"/>
          <w:color w:val="auto"/>
        </w:rPr>
      </w:pPr>
      <w:r>
        <w:rPr>
          <w:color w:val="auto"/>
        </w:rPr>
        <w:t>本项目与《医疗废物处理处置污染控制标准》（GB39707-2020）的符合性分析见表</w:t>
      </w:r>
      <w:r>
        <w:rPr>
          <w:rFonts w:eastAsia="仿宋"/>
          <w:color w:val="auto"/>
          <w:szCs w:val="22"/>
        </w:rPr>
        <w:t>3。</w:t>
      </w:r>
    </w:p>
    <w:p>
      <w:pPr>
        <w:pStyle w:val="114"/>
        <w:spacing w:before="0" w:beforeLines="0"/>
        <w:rPr>
          <w:color w:val="auto"/>
        </w:rPr>
      </w:pPr>
      <w:r>
        <w:rPr>
          <w:color w:val="auto"/>
        </w:rPr>
        <w:t>表3   与《医疗废物处理处置污染控制标准》符合性分析</w:t>
      </w:r>
    </w:p>
    <w:tbl>
      <w:tblPr>
        <w:tblStyle w:val="74"/>
        <w:tblW w:w="861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641"/>
        <w:gridCol w:w="4081"/>
        <w:gridCol w:w="3055"/>
        <w:gridCol w:w="8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397" w:hRule="atLeast"/>
          <w:tblHeader/>
          <w:jc w:val="center"/>
        </w:trPr>
        <w:tc>
          <w:tcPr>
            <w:tcW w:w="641" w:type="dxa"/>
            <w:tcBorders>
              <w:tl2br w:val="nil"/>
              <w:tr2bl w:val="nil"/>
            </w:tcBorders>
            <w:vAlign w:val="center"/>
          </w:tcPr>
          <w:p>
            <w:pPr>
              <w:pStyle w:val="164"/>
              <w:rPr>
                <w:b/>
                <w:color w:val="auto"/>
              </w:rPr>
            </w:pPr>
            <w:r>
              <w:rPr>
                <w:b/>
                <w:color w:val="auto"/>
              </w:rPr>
              <w:t>内容</w:t>
            </w:r>
          </w:p>
        </w:tc>
        <w:tc>
          <w:tcPr>
            <w:tcW w:w="4081" w:type="dxa"/>
            <w:tcBorders>
              <w:tl2br w:val="nil"/>
              <w:tr2bl w:val="nil"/>
            </w:tcBorders>
            <w:vAlign w:val="center"/>
          </w:tcPr>
          <w:p>
            <w:pPr>
              <w:pStyle w:val="164"/>
              <w:rPr>
                <w:b/>
                <w:color w:val="auto"/>
              </w:rPr>
            </w:pPr>
            <w:r>
              <w:rPr>
                <w:b/>
                <w:color w:val="auto"/>
              </w:rPr>
              <w:t>文件要求</w:t>
            </w:r>
          </w:p>
        </w:tc>
        <w:tc>
          <w:tcPr>
            <w:tcW w:w="3055" w:type="dxa"/>
            <w:tcBorders>
              <w:tl2br w:val="nil"/>
              <w:tr2bl w:val="nil"/>
            </w:tcBorders>
            <w:vAlign w:val="center"/>
          </w:tcPr>
          <w:p>
            <w:pPr>
              <w:pStyle w:val="164"/>
              <w:rPr>
                <w:b/>
                <w:color w:val="auto"/>
              </w:rPr>
            </w:pPr>
            <w:r>
              <w:rPr>
                <w:b/>
                <w:color w:val="auto"/>
              </w:rPr>
              <w:t>本项目情况</w:t>
            </w:r>
          </w:p>
        </w:tc>
        <w:tc>
          <w:tcPr>
            <w:tcW w:w="841" w:type="dxa"/>
            <w:tcBorders>
              <w:tl2br w:val="nil"/>
              <w:tr2bl w:val="nil"/>
            </w:tcBorders>
            <w:vAlign w:val="center"/>
          </w:tcPr>
          <w:p>
            <w:pPr>
              <w:pStyle w:val="164"/>
              <w:rPr>
                <w:b/>
                <w:color w:val="auto"/>
              </w:rPr>
            </w:pPr>
            <w:r>
              <w:rPr>
                <w:b/>
                <w:color w:val="auto"/>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41" w:type="dxa"/>
            <w:vMerge w:val="restart"/>
            <w:tcBorders>
              <w:tl2br w:val="nil"/>
              <w:tr2bl w:val="nil"/>
            </w:tcBorders>
            <w:vAlign w:val="center"/>
          </w:tcPr>
          <w:p>
            <w:pPr>
              <w:pStyle w:val="164"/>
              <w:rPr>
                <w:color w:val="auto"/>
              </w:rPr>
            </w:pPr>
            <w:r>
              <w:rPr>
                <w:color w:val="auto"/>
              </w:rPr>
              <w:t>选址要求</w:t>
            </w:r>
          </w:p>
        </w:tc>
        <w:tc>
          <w:tcPr>
            <w:tcW w:w="4081" w:type="dxa"/>
            <w:tcBorders>
              <w:tl2br w:val="nil"/>
              <w:tr2bl w:val="nil"/>
            </w:tcBorders>
            <w:vAlign w:val="center"/>
          </w:tcPr>
          <w:p>
            <w:pPr>
              <w:pStyle w:val="164"/>
              <w:rPr>
                <w:color w:val="auto"/>
              </w:rPr>
            </w:pPr>
            <w:r>
              <w:rPr>
                <w:color w:val="auto"/>
                <w:szCs w:val="21"/>
              </w:rPr>
              <w:t>医疗废物处理处置设施选址应符合生态环境保护法律法规及相关法定规划要求，并应综合考虑设施服务区域、交通运输、地质环境等基本要素，确保设施处于长期相对稳定的环境。鼓励医疗废物处理处置设施选址临近生活垃圾集中处置设施，依托生活垃圾集中处置设施处置医疗废物焚烧残渣和经消毒处理的医疗废物。</w:t>
            </w:r>
          </w:p>
        </w:tc>
        <w:tc>
          <w:tcPr>
            <w:tcW w:w="3055" w:type="dxa"/>
            <w:tcBorders>
              <w:tl2br w:val="nil"/>
              <w:tr2bl w:val="nil"/>
            </w:tcBorders>
            <w:vAlign w:val="center"/>
          </w:tcPr>
          <w:p>
            <w:pPr>
              <w:pStyle w:val="164"/>
              <w:rPr>
                <w:color w:val="auto"/>
              </w:rPr>
            </w:pPr>
            <w:r>
              <w:rPr>
                <w:color w:val="auto"/>
                <w:szCs w:val="21"/>
              </w:rPr>
              <w:t>本项目位于</w:t>
            </w:r>
            <w:r>
              <w:rPr>
                <w:color w:val="auto"/>
              </w:rPr>
              <w:t>宁夏中卫市永康镇阳沟村中卫市生活垃圾填埋场西侧</w:t>
            </w:r>
            <w:r>
              <w:rPr>
                <w:color w:val="auto"/>
                <w:szCs w:val="21"/>
              </w:rPr>
              <w:t>，项目选址符合生态环境保护法律法规及相关法定规划要求，服务区域包括中卫市、中宁县及海原县，交通运输便利，包气带厚，水文地质条件稳定。</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467" w:hRule="atLeast"/>
          <w:jc w:val="center"/>
        </w:trPr>
        <w:tc>
          <w:tcPr>
            <w:tcW w:w="641" w:type="dxa"/>
            <w:vMerge w:val="continue"/>
            <w:tcBorders>
              <w:tl2br w:val="nil"/>
              <w:tr2bl w:val="nil"/>
            </w:tcBorders>
            <w:vAlign w:val="center"/>
          </w:tcPr>
          <w:p>
            <w:pPr>
              <w:pStyle w:val="164"/>
              <w:rPr>
                <w:color w:val="auto"/>
              </w:rPr>
            </w:pPr>
          </w:p>
        </w:tc>
        <w:tc>
          <w:tcPr>
            <w:tcW w:w="4081" w:type="dxa"/>
            <w:tcBorders>
              <w:tl2br w:val="nil"/>
              <w:tr2bl w:val="nil"/>
            </w:tcBorders>
            <w:vAlign w:val="center"/>
          </w:tcPr>
          <w:p>
            <w:pPr>
              <w:pStyle w:val="164"/>
              <w:rPr>
                <w:color w:val="auto"/>
              </w:rPr>
            </w:pPr>
            <w:r>
              <w:rPr>
                <w:color w:val="auto"/>
                <w:szCs w:val="21"/>
              </w:rPr>
              <w:t>处理处置设施选址不应位于国务院和国务院有关主管部门及省、自治区、直辖市人民政府划定的生态保护红线区域、永久基本农田集中区域和其他需要特别保护的区域内。</w:t>
            </w:r>
          </w:p>
        </w:tc>
        <w:tc>
          <w:tcPr>
            <w:tcW w:w="3055" w:type="dxa"/>
            <w:tcBorders>
              <w:tl2br w:val="nil"/>
              <w:tr2bl w:val="nil"/>
            </w:tcBorders>
            <w:vAlign w:val="center"/>
          </w:tcPr>
          <w:p>
            <w:pPr>
              <w:pStyle w:val="164"/>
              <w:rPr>
                <w:color w:val="auto"/>
              </w:rPr>
            </w:pPr>
            <w:r>
              <w:rPr>
                <w:color w:val="auto"/>
                <w:szCs w:val="21"/>
              </w:rPr>
              <w:t>处理处置设施选址不在生态保护红线区域、永久基本农田集中区域和其他需要特别保护的区域内</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375" w:hRule="atLeast"/>
          <w:jc w:val="center"/>
        </w:trPr>
        <w:tc>
          <w:tcPr>
            <w:tcW w:w="641" w:type="dxa"/>
            <w:vMerge w:val="continue"/>
            <w:tcBorders>
              <w:tl2br w:val="nil"/>
              <w:tr2bl w:val="nil"/>
            </w:tcBorders>
            <w:vAlign w:val="center"/>
          </w:tcPr>
          <w:p>
            <w:pPr>
              <w:pStyle w:val="164"/>
              <w:rPr>
                <w:color w:val="auto"/>
              </w:rPr>
            </w:pPr>
          </w:p>
        </w:tc>
        <w:tc>
          <w:tcPr>
            <w:tcW w:w="4081" w:type="dxa"/>
            <w:tcBorders>
              <w:tl2br w:val="nil"/>
              <w:tr2bl w:val="nil"/>
            </w:tcBorders>
            <w:vAlign w:val="center"/>
          </w:tcPr>
          <w:p>
            <w:pPr>
              <w:pStyle w:val="164"/>
              <w:rPr>
                <w:color w:val="auto"/>
              </w:rPr>
            </w:pPr>
            <w:r>
              <w:rPr>
                <w:color w:val="auto"/>
                <w:szCs w:val="21"/>
              </w:rPr>
              <w:t>处理处置设施厂址应与敏感目标之间设置一定的防护距离，防护距离应根据厂址条件、处理处置技术工艺、污染物排放特征及其扩散因素等综合确定，并应满足环境影响评价文件及审批意见要求。</w:t>
            </w:r>
          </w:p>
        </w:tc>
        <w:tc>
          <w:tcPr>
            <w:tcW w:w="3055" w:type="dxa"/>
            <w:tcBorders>
              <w:tl2br w:val="nil"/>
              <w:tr2bl w:val="nil"/>
            </w:tcBorders>
            <w:vAlign w:val="center"/>
          </w:tcPr>
          <w:p>
            <w:pPr>
              <w:pStyle w:val="164"/>
              <w:rPr>
                <w:color w:val="auto"/>
              </w:rPr>
            </w:pPr>
            <w:r>
              <w:rPr>
                <w:rFonts w:hint="eastAsia"/>
                <w:color w:val="auto"/>
              </w:rPr>
              <w:t>现有工程</w:t>
            </w:r>
            <w:r>
              <w:rPr>
                <w:color w:val="auto"/>
              </w:rPr>
              <w:t>及本次评价确定全厂卫生防护距离为100m，卫生防护距离范围内无居民集中居住区、水源地、地表水、自然保护区等敏感区</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375" w:hRule="atLeast"/>
          <w:jc w:val="center"/>
        </w:trPr>
        <w:tc>
          <w:tcPr>
            <w:tcW w:w="641" w:type="dxa"/>
            <w:vMerge w:val="restart"/>
            <w:tcBorders>
              <w:tl2br w:val="nil"/>
              <w:tr2bl w:val="nil"/>
            </w:tcBorders>
            <w:vAlign w:val="center"/>
          </w:tcPr>
          <w:p>
            <w:pPr>
              <w:pStyle w:val="164"/>
              <w:rPr>
                <w:color w:val="auto"/>
              </w:rPr>
            </w:pPr>
            <w:r>
              <w:rPr>
                <w:color w:val="auto"/>
              </w:rPr>
              <w:t>污染控制技术要求</w:t>
            </w:r>
          </w:p>
        </w:tc>
        <w:tc>
          <w:tcPr>
            <w:tcW w:w="4081" w:type="dxa"/>
            <w:tcBorders>
              <w:tl2br w:val="nil"/>
              <w:tr2bl w:val="nil"/>
            </w:tcBorders>
            <w:vAlign w:val="center"/>
          </w:tcPr>
          <w:p>
            <w:pPr>
              <w:jc w:val="left"/>
              <w:rPr>
                <w:color w:val="auto"/>
                <w:szCs w:val="21"/>
              </w:rPr>
            </w:pPr>
            <w:r>
              <w:rPr>
                <w:color w:val="auto"/>
                <w:szCs w:val="21"/>
              </w:rPr>
              <w:t>1、收集</w:t>
            </w:r>
          </w:p>
          <w:p>
            <w:pPr>
              <w:jc w:val="left"/>
              <w:rPr>
                <w:color w:val="auto"/>
                <w:szCs w:val="21"/>
              </w:rPr>
            </w:pPr>
            <w:r>
              <w:rPr>
                <w:color w:val="auto"/>
                <w:szCs w:val="21"/>
              </w:rPr>
              <w:t>1.1医疗废物处理处置单位收集的医疗废物包装应符合HJ421的要求。</w:t>
            </w:r>
          </w:p>
          <w:p>
            <w:pPr>
              <w:pStyle w:val="164"/>
              <w:jc w:val="left"/>
              <w:rPr>
                <w:color w:val="auto"/>
                <w:szCs w:val="21"/>
              </w:rPr>
            </w:pPr>
            <w:r>
              <w:rPr>
                <w:color w:val="auto"/>
                <w:szCs w:val="21"/>
              </w:rPr>
              <w:t>1.2处理处置单位应采用周转箱/桶收集、转移医疗废物，并应执行危险废物转移联单管理制度。</w:t>
            </w:r>
          </w:p>
        </w:tc>
        <w:tc>
          <w:tcPr>
            <w:tcW w:w="3055" w:type="dxa"/>
            <w:tcBorders>
              <w:tl2br w:val="nil"/>
              <w:tr2bl w:val="nil"/>
            </w:tcBorders>
            <w:vAlign w:val="center"/>
          </w:tcPr>
          <w:p>
            <w:pPr>
              <w:pStyle w:val="164"/>
              <w:rPr>
                <w:color w:val="auto"/>
              </w:rPr>
            </w:pPr>
            <w:r>
              <w:rPr>
                <w:color w:val="auto"/>
                <w:szCs w:val="21"/>
              </w:rPr>
              <w:t>本项目医疗废物包装严格执行HJ421内要求，采用周转箱收集、转移医疗废物，并应执行危险废物转移联单管理制度。</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375" w:hRule="atLeast"/>
          <w:jc w:val="center"/>
        </w:trPr>
        <w:tc>
          <w:tcPr>
            <w:tcW w:w="641" w:type="dxa"/>
            <w:vMerge w:val="continue"/>
            <w:tcBorders>
              <w:tl2br w:val="nil"/>
              <w:tr2bl w:val="nil"/>
            </w:tcBorders>
            <w:vAlign w:val="center"/>
          </w:tcPr>
          <w:p>
            <w:pPr>
              <w:pStyle w:val="164"/>
              <w:rPr>
                <w:color w:val="auto"/>
              </w:rPr>
            </w:pPr>
          </w:p>
        </w:tc>
        <w:tc>
          <w:tcPr>
            <w:tcW w:w="4081" w:type="dxa"/>
            <w:tcBorders>
              <w:tl2br w:val="nil"/>
              <w:tr2bl w:val="nil"/>
            </w:tcBorders>
            <w:vAlign w:val="center"/>
          </w:tcPr>
          <w:p>
            <w:pPr>
              <w:pStyle w:val="164"/>
              <w:jc w:val="both"/>
              <w:rPr>
                <w:color w:val="auto"/>
                <w:szCs w:val="21"/>
              </w:rPr>
            </w:pPr>
            <w:r>
              <w:rPr>
                <w:color w:val="auto"/>
                <w:szCs w:val="21"/>
              </w:rPr>
              <w:t>2、运输</w:t>
            </w:r>
          </w:p>
          <w:p>
            <w:pPr>
              <w:jc w:val="left"/>
              <w:rPr>
                <w:color w:val="auto"/>
                <w:szCs w:val="21"/>
              </w:rPr>
            </w:pPr>
            <w:r>
              <w:rPr>
                <w:color w:val="auto"/>
                <w:szCs w:val="21"/>
              </w:rPr>
              <w:t>2.1医疗废物运输使用车辆应符合GB19217的要求。</w:t>
            </w:r>
          </w:p>
          <w:p>
            <w:pPr>
              <w:pStyle w:val="164"/>
              <w:jc w:val="left"/>
              <w:rPr>
                <w:color w:val="auto"/>
                <w:szCs w:val="21"/>
              </w:rPr>
            </w:pPr>
            <w:r>
              <w:rPr>
                <w:color w:val="auto"/>
                <w:szCs w:val="21"/>
              </w:rPr>
              <w:t>2.2运输过程应按照规定路线行驶，行驶过程中应锁闭车厢门，避免医疗废物丢失、遗撒。</w:t>
            </w:r>
          </w:p>
        </w:tc>
        <w:tc>
          <w:tcPr>
            <w:tcW w:w="3055" w:type="dxa"/>
            <w:tcBorders>
              <w:tl2br w:val="nil"/>
              <w:tr2bl w:val="nil"/>
            </w:tcBorders>
            <w:vAlign w:val="center"/>
          </w:tcPr>
          <w:p>
            <w:pPr>
              <w:pStyle w:val="164"/>
              <w:rPr>
                <w:color w:val="auto"/>
              </w:rPr>
            </w:pPr>
            <w:r>
              <w:rPr>
                <w:color w:val="auto"/>
                <w:szCs w:val="21"/>
              </w:rPr>
              <w:t>本项目医疗废物运输车辆满足GB19217医疗废物转运车技术要求（试行）要求。运输过程按照规定路线行驶，行驶过程中车厢门锁闭，确保不丢失、遗撒和打开包装取出医疗废物。</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375" w:hRule="atLeast"/>
          <w:jc w:val="center"/>
        </w:trPr>
        <w:tc>
          <w:tcPr>
            <w:tcW w:w="641" w:type="dxa"/>
            <w:vMerge w:val="continue"/>
            <w:tcBorders>
              <w:tl2br w:val="nil"/>
              <w:tr2bl w:val="nil"/>
            </w:tcBorders>
            <w:vAlign w:val="center"/>
          </w:tcPr>
          <w:p>
            <w:pPr>
              <w:pStyle w:val="164"/>
              <w:rPr>
                <w:color w:val="auto"/>
              </w:rPr>
            </w:pPr>
          </w:p>
        </w:tc>
        <w:tc>
          <w:tcPr>
            <w:tcW w:w="4081" w:type="dxa"/>
            <w:tcBorders>
              <w:tl2br w:val="nil"/>
              <w:tr2bl w:val="nil"/>
            </w:tcBorders>
            <w:vAlign w:val="center"/>
          </w:tcPr>
          <w:p>
            <w:pPr>
              <w:pStyle w:val="164"/>
              <w:numPr>
                <w:ilvl w:val="0"/>
                <w:numId w:val="19"/>
              </w:numPr>
              <w:jc w:val="left"/>
              <w:rPr>
                <w:color w:val="auto"/>
                <w:szCs w:val="21"/>
              </w:rPr>
            </w:pPr>
            <w:r>
              <w:rPr>
                <w:color w:val="auto"/>
                <w:szCs w:val="21"/>
              </w:rPr>
              <w:t>接收</w:t>
            </w:r>
          </w:p>
          <w:p>
            <w:pPr>
              <w:jc w:val="left"/>
              <w:rPr>
                <w:color w:val="auto"/>
                <w:szCs w:val="21"/>
              </w:rPr>
            </w:pPr>
            <w:r>
              <w:rPr>
                <w:color w:val="auto"/>
                <w:szCs w:val="21"/>
              </w:rPr>
              <w:t>3.1医疗废物处理处置单位应设置计量系统。</w:t>
            </w:r>
          </w:p>
          <w:p>
            <w:pPr>
              <w:pStyle w:val="164"/>
              <w:jc w:val="left"/>
              <w:rPr>
                <w:color w:val="auto"/>
                <w:szCs w:val="21"/>
              </w:rPr>
            </w:pPr>
            <w:r>
              <w:rPr>
                <w:color w:val="auto"/>
                <w:szCs w:val="21"/>
              </w:rPr>
              <w:t>3.2处理处置单位应划定卸料区，卸料区地面防渗应满足国家和地方有关重点污染源防渗要求，并应设置废水导流和收集设施。</w:t>
            </w:r>
          </w:p>
        </w:tc>
        <w:tc>
          <w:tcPr>
            <w:tcW w:w="3055" w:type="dxa"/>
            <w:tcBorders>
              <w:tl2br w:val="nil"/>
              <w:tr2bl w:val="nil"/>
            </w:tcBorders>
            <w:vAlign w:val="center"/>
          </w:tcPr>
          <w:p>
            <w:pPr>
              <w:pStyle w:val="164"/>
              <w:rPr>
                <w:color w:val="auto"/>
                <w:szCs w:val="21"/>
              </w:rPr>
            </w:pPr>
            <w:r>
              <w:rPr>
                <w:color w:val="auto"/>
                <w:szCs w:val="21"/>
              </w:rPr>
              <w:t>本项目设有计量系统；本项目划定有卸料区，卸料区为重点防渗区，防渗满足国家和地方有关重点污染源防渗要求，并设有废水收集设施。</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375" w:hRule="atLeast"/>
          <w:jc w:val="center"/>
        </w:trPr>
        <w:tc>
          <w:tcPr>
            <w:tcW w:w="641" w:type="dxa"/>
            <w:vMerge w:val="continue"/>
            <w:tcBorders>
              <w:tl2br w:val="nil"/>
              <w:tr2bl w:val="nil"/>
            </w:tcBorders>
            <w:vAlign w:val="center"/>
          </w:tcPr>
          <w:p>
            <w:pPr>
              <w:pStyle w:val="164"/>
              <w:rPr>
                <w:color w:val="auto"/>
              </w:rPr>
            </w:pPr>
          </w:p>
        </w:tc>
        <w:tc>
          <w:tcPr>
            <w:tcW w:w="4081" w:type="dxa"/>
            <w:tcBorders>
              <w:tl2br w:val="nil"/>
              <w:tr2bl w:val="nil"/>
            </w:tcBorders>
            <w:vAlign w:val="center"/>
          </w:tcPr>
          <w:p>
            <w:pPr>
              <w:pStyle w:val="164"/>
              <w:numPr>
                <w:ilvl w:val="0"/>
                <w:numId w:val="19"/>
              </w:numPr>
              <w:jc w:val="left"/>
              <w:rPr>
                <w:color w:val="auto"/>
                <w:szCs w:val="21"/>
              </w:rPr>
            </w:pPr>
            <w:r>
              <w:rPr>
                <w:color w:val="auto"/>
                <w:szCs w:val="21"/>
              </w:rPr>
              <w:t>贮存</w:t>
            </w:r>
          </w:p>
          <w:p>
            <w:pPr>
              <w:jc w:val="left"/>
              <w:rPr>
                <w:color w:val="auto"/>
                <w:szCs w:val="21"/>
              </w:rPr>
            </w:pPr>
            <w:r>
              <w:rPr>
                <w:color w:val="auto"/>
                <w:szCs w:val="21"/>
              </w:rPr>
              <w:t>4.1医疗废物处理处置单位应设置感染性、损伤性、病理性废物的贮存设施；若收集化学性、药物性废物还应设置专用贮存设施。贮存设施内应设置不同类别医疗废物的贮存区。</w:t>
            </w:r>
          </w:p>
          <w:p>
            <w:pPr>
              <w:jc w:val="left"/>
              <w:rPr>
                <w:color w:val="auto"/>
                <w:szCs w:val="21"/>
              </w:rPr>
            </w:pPr>
            <w:r>
              <w:rPr>
                <w:color w:val="auto"/>
                <w:szCs w:val="21"/>
              </w:rPr>
              <w:t>4.2贮存设施地面防渗应满足国家和地方有关重点污染源防渗要求。墙面应做防渗处理，感染性、损伤性、病理性废物贮存设施的地面、墙面材料应易于清洗和消毒。</w:t>
            </w:r>
          </w:p>
          <w:p>
            <w:pPr>
              <w:jc w:val="left"/>
              <w:rPr>
                <w:color w:val="auto"/>
                <w:szCs w:val="21"/>
              </w:rPr>
            </w:pPr>
            <w:r>
              <w:rPr>
                <w:color w:val="auto"/>
                <w:szCs w:val="21"/>
              </w:rPr>
              <w:t>4.3贮存设施应设置废水收集设施，收集的废水应导入废水处理设施。</w:t>
            </w:r>
          </w:p>
          <w:p>
            <w:pPr>
              <w:jc w:val="left"/>
              <w:rPr>
                <w:color w:val="auto"/>
                <w:szCs w:val="21"/>
              </w:rPr>
            </w:pPr>
            <w:r>
              <w:rPr>
                <w:color w:val="auto"/>
                <w:szCs w:val="21"/>
              </w:rPr>
              <w:t>4.4感染性、损伤性、病理性废物贮存设施应设置微负压及通风装置、制冷系统和设备，排风口应设置废气净化装置。</w:t>
            </w:r>
          </w:p>
          <w:p>
            <w:pPr>
              <w:jc w:val="left"/>
              <w:rPr>
                <w:color w:val="auto"/>
                <w:szCs w:val="21"/>
              </w:rPr>
            </w:pPr>
            <w:r>
              <w:rPr>
                <w:color w:val="auto"/>
                <w:szCs w:val="21"/>
              </w:rPr>
              <w:t>4.5医疗废物不能及时处理处置时，应置于贮存设施内贮存。感染性、损伤性、病理性废物应盛装于医疗废物周转箱/桶内一并置于贮存设施内暂时贮存。</w:t>
            </w:r>
          </w:p>
          <w:p>
            <w:pPr>
              <w:jc w:val="left"/>
              <w:rPr>
                <w:color w:val="auto"/>
                <w:szCs w:val="21"/>
              </w:rPr>
            </w:pPr>
            <w:r>
              <w:rPr>
                <w:color w:val="auto"/>
                <w:szCs w:val="21"/>
              </w:rPr>
              <w:t>4.6处理处置单位对感染性、损伤性、病理性废物的贮存应符合以下要求：</w:t>
            </w:r>
          </w:p>
          <w:p>
            <w:pPr>
              <w:jc w:val="left"/>
              <w:rPr>
                <w:color w:val="auto"/>
                <w:szCs w:val="21"/>
              </w:rPr>
            </w:pPr>
            <w:r>
              <w:rPr>
                <w:color w:val="auto"/>
                <w:szCs w:val="21"/>
              </w:rPr>
              <w:t>a）贮存温度≥5℃，贮存时间不得超过24小时；</w:t>
            </w:r>
          </w:p>
          <w:p>
            <w:pPr>
              <w:jc w:val="left"/>
              <w:rPr>
                <w:color w:val="auto"/>
                <w:szCs w:val="21"/>
              </w:rPr>
            </w:pPr>
            <w:r>
              <w:rPr>
                <w:color w:val="auto"/>
                <w:szCs w:val="21"/>
              </w:rPr>
              <w:t>b）贮存温度＜5℃，贮存时间不得超过72小时；</w:t>
            </w:r>
          </w:p>
          <w:p>
            <w:pPr>
              <w:jc w:val="left"/>
              <w:rPr>
                <w:color w:val="auto"/>
                <w:szCs w:val="21"/>
              </w:rPr>
            </w:pPr>
            <w:r>
              <w:rPr>
                <w:color w:val="auto"/>
                <w:szCs w:val="21"/>
              </w:rPr>
              <w:t>c）偏远地区贮存温度＜5℃，并采取消毒措施时，可适当延长贮存时间，但不得超过168小时。</w:t>
            </w:r>
          </w:p>
          <w:p>
            <w:pPr>
              <w:pStyle w:val="164"/>
              <w:jc w:val="left"/>
              <w:rPr>
                <w:color w:val="auto"/>
                <w:szCs w:val="21"/>
              </w:rPr>
            </w:pPr>
            <w:r>
              <w:rPr>
                <w:color w:val="auto"/>
                <w:szCs w:val="21"/>
              </w:rPr>
              <w:t>4.7化学性、药物性废物贮存应符合GB18597的要求。</w:t>
            </w:r>
          </w:p>
        </w:tc>
        <w:tc>
          <w:tcPr>
            <w:tcW w:w="3055" w:type="dxa"/>
            <w:tcBorders>
              <w:tl2br w:val="nil"/>
              <w:tr2bl w:val="nil"/>
            </w:tcBorders>
            <w:vAlign w:val="center"/>
          </w:tcPr>
          <w:p>
            <w:pPr>
              <w:pStyle w:val="164"/>
              <w:rPr>
                <w:color w:val="auto"/>
                <w:szCs w:val="21"/>
              </w:rPr>
            </w:pPr>
            <w:r>
              <w:rPr>
                <w:color w:val="auto"/>
                <w:szCs w:val="21"/>
              </w:rPr>
              <w:t>本项目主要处理</w:t>
            </w:r>
            <w:r>
              <w:rPr>
                <w:rStyle w:val="573"/>
                <w:b w:val="0"/>
                <w:bCs w:val="0"/>
                <w:i w:val="0"/>
                <w:iCs w:val="0"/>
                <w:color w:val="auto"/>
              </w:rPr>
              <w:t>感染性及损伤性医疗废物，设置有专门的贮存设施，</w:t>
            </w:r>
            <w:r>
              <w:rPr>
                <w:color w:val="auto"/>
                <w:szCs w:val="21"/>
              </w:rPr>
              <w:t>为重点防渗区，防渗满足国家和地方有关重点污染源防渗要求；贮存设施设置有通风换气装置，贮存产生的废气</w:t>
            </w:r>
            <w:r>
              <w:rPr>
                <w:color w:val="auto"/>
              </w:rPr>
              <w:t>通过“碱洗喷淋+等离子+活性炭”工艺处理，通过15m高排气筒达标排放；不能及时处理的医疗废物，</w:t>
            </w:r>
            <w:r>
              <w:rPr>
                <w:color w:val="auto"/>
                <w:szCs w:val="21"/>
              </w:rPr>
              <w:t>盛装于医疗废物周转箱/桶内一并置于贮存设施内暂时贮存，且贮存时间满足要求。</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375" w:hRule="atLeast"/>
          <w:jc w:val="center"/>
        </w:trPr>
        <w:tc>
          <w:tcPr>
            <w:tcW w:w="641" w:type="dxa"/>
            <w:vMerge w:val="continue"/>
            <w:tcBorders>
              <w:tl2br w:val="nil"/>
              <w:tr2bl w:val="nil"/>
            </w:tcBorders>
            <w:vAlign w:val="center"/>
          </w:tcPr>
          <w:p>
            <w:pPr>
              <w:pStyle w:val="164"/>
              <w:rPr>
                <w:color w:val="auto"/>
              </w:rPr>
            </w:pPr>
          </w:p>
        </w:tc>
        <w:tc>
          <w:tcPr>
            <w:tcW w:w="4081" w:type="dxa"/>
            <w:tcBorders>
              <w:tl2br w:val="nil"/>
              <w:tr2bl w:val="nil"/>
            </w:tcBorders>
            <w:vAlign w:val="center"/>
          </w:tcPr>
          <w:p>
            <w:pPr>
              <w:pStyle w:val="164"/>
              <w:numPr>
                <w:ilvl w:val="0"/>
                <w:numId w:val="19"/>
              </w:numPr>
              <w:jc w:val="left"/>
              <w:rPr>
                <w:color w:val="auto"/>
                <w:szCs w:val="21"/>
              </w:rPr>
            </w:pPr>
            <w:r>
              <w:rPr>
                <w:color w:val="auto"/>
                <w:szCs w:val="21"/>
              </w:rPr>
              <w:t>清洗消毒</w:t>
            </w:r>
          </w:p>
          <w:p>
            <w:pPr>
              <w:jc w:val="left"/>
              <w:rPr>
                <w:color w:val="auto"/>
                <w:szCs w:val="21"/>
              </w:rPr>
            </w:pPr>
            <w:r>
              <w:rPr>
                <w:color w:val="auto"/>
                <w:szCs w:val="21"/>
              </w:rPr>
              <w:t>5.1医疗废物处理处置单位应设置医疗废物运输车辆、转运工具、周转箱/桶的清洗消毒场所，并应配置废水收集设施。</w:t>
            </w:r>
          </w:p>
          <w:p>
            <w:pPr>
              <w:pStyle w:val="164"/>
              <w:jc w:val="left"/>
              <w:rPr>
                <w:color w:val="auto"/>
                <w:szCs w:val="21"/>
              </w:rPr>
            </w:pPr>
            <w:r>
              <w:rPr>
                <w:color w:val="auto"/>
                <w:szCs w:val="21"/>
              </w:rPr>
              <w:t>5.2运输车辆、转运工具、周转箱/桶每次使用后应及时（24小时内）清洗消毒，周转箱/桶清洗消毒宜选用自动化程度高的设施设备。</w:t>
            </w:r>
          </w:p>
        </w:tc>
        <w:tc>
          <w:tcPr>
            <w:tcW w:w="3055" w:type="dxa"/>
            <w:tcBorders>
              <w:tl2br w:val="nil"/>
              <w:tr2bl w:val="nil"/>
            </w:tcBorders>
            <w:vAlign w:val="center"/>
          </w:tcPr>
          <w:p>
            <w:pPr>
              <w:jc w:val="center"/>
              <w:rPr>
                <w:color w:val="auto"/>
                <w:szCs w:val="21"/>
              </w:rPr>
            </w:pPr>
            <w:r>
              <w:rPr>
                <w:color w:val="auto"/>
                <w:szCs w:val="21"/>
              </w:rPr>
              <w:t>本项目设置有医疗废物运输车辆、转运工具、周转箱/桶的清洗消毒场所，并配有废水收集设施</w:t>
            </w:r>
            <w:r>
              <w:rPr>
                <w:rFonts w:hint="eastAsia"/>
                <w:color w:val="auto"/>
                <w:szCs w:val="21"/>
              </w:rPr>
              <w:t>；</w:t>
            </w:r>
          </w:p>
          <w:p>
            <w:pPr>
              <w:pStyle w:val="164"/>
              <w:rPr>
                <w:color w:val="auto"/>
                <w:szCs w:val="21"/>
              </w:rPr>
            </w:pPr>
            <w:r>
              <w:rPr>
                <w:color w:val="auto"/>
                <w:szCs w:val="21"/>
              </w:rPr>
              <w:t>运输车辆、转运工具、周转箱/桶每次使用后24小时内会进行清洗消毒。</w:t>
            </w:r>
          </w:p>
        </w:tc>
        <w:tc>
          <w:tcPr>
            <w:tcW w:w="841"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375" w:hRule="atLeast"/>
          <w:jc w:val="center"/>
        </w:trPr>
        <w:tc>
          <w:tcPr>
            <w:tcW w:w="641" w:type="dxa"/>
            <w:vMerge w:val="continue"/>
            <w:tcBorders>
              <w:tl2br w:val="nil"/>
              <w:tr2bl w:val="nil"/>
            </w:tcBorders>
            <w:vAlign w:val="center"/>
          </w:tcPr>
          <w:p>
            <w:pPr>
              <w:pStyle w:val="164"/>
              <w:rPr>
                <w:color w:val="auto"/>
              </w:rPr>
            </w:pPr>
          </w:p>
        </w:tc>
        <w:tc>
          <w:tcPr>
            <w:tcW w:w="4081" w:type="dxa"/>
            <w:tcBorders>
              <w:tl2br w:val="nil"/>
              <w:tr2bl w:val="nil"/>
            </w:tcBorders>
            <w:vAlign w:val="center"/>
          </w:tcPr>
          <w:p>
            <w:pPr>
              <w:pStyle w:val="164"/>
              <w:numPr>
                <w:ilvl w:val="0"/>
                <w:numId w:val="19"/>
              </w:numPr>
              <w:jc w:val="left"/>
              <w:rPr>
                <w:color w:val="auto"/>
                <w:szCs w:val="21"/>
              </w:rPr>
            </w:pPr>
            <w:r>
              <w:rPr>
                <w:color w:val="auto"/>
                <w:szCs w:val="21"/>
              </w:rPr>
              <w:t>消毒处理</w:t>
            </w:r>
          </w:p>
          <w:p>
            <w:pPr>
              <w:pStyle w:val="164"/>
              <w:jc w:val="left"/>
              <w:rPr>
                <w:color w:val="auto"/>
                <w:szCs w:val="21"/>
              </w:rPr>
            </w:pPr>
            <w:r>
              <w:rPr>
                <w:color w:val="auto"/>
                <w:szCs w:val="21"/>
              </w:rPr>
              <w:t>6.1医疗废物消毒处理工艺参数可参见附录B。</w:t>
            </w:r>
          </w:p>
          <w:p>
            <w:pPr>
              <w:pStyle w:val="164"/>
              <w:jc w:val="left"/>
              <w:rPr>
                <w:color w:val="auto"/>
                <w:szCs w:val="21"/>
              </w:rPr>
            </w:pPr>
            <w:r>
              <w:rPr>
                <w:color w:val="auto"/>
                <w:szCs w:val="21"/>
              </w:rPr>
              <w:t>6.2消毒处理设施应配备尾气净化装置。排气筒高度参照GB 16297执行，一般不应低于15m，并应按GB/T 16157设置永久性采样孔。</w:t>
            </w:r>
          </w:p>
          <w:p>
            <w:pPr>
              <w:pStyle w:val="164"/>
              <w:jc w:val="left"/>
              <w:rPr>
                <w:color w:val="auto"/>
                <w:szCs w:val="21"/>
              </w:rPr>
            </w:pPr>
            <w:r>
              <w:rPr>
                <w:color w:val="auto"/>
                <w:szCs w:val="21"/>
              </w:rPr>
              <w:t>6.3应依据《国家危险废物名录》和国家危险废物鉴别标准等规定判定经消毒处理的医疗废物和消毒处理产生的其他固体废物的危险废物属性，属于危险废物的，其贮存和处置应符合危险废物有关要求。</w:t>
            </w:r>
          </w:p>
          <w:p>
            <w:pPr>
              <w:pStyle w:val="164"/>
              <w:jc w:val="left"/>
              <w:rPr>
                <w:color w:val="auto"/>
                <w:szCs w:val="21"/>
              </w:rPr>
            </w:pPr>
            <w:r>
              <w:rPr>
                <w:color w:val="auto"/>
                <w:szCs w:val="21"/>
              </w:rPr>
              <w:t>6.4经消毒处理的医疗废物应破碎毁形，并与未经消毒处理的医疗废物分开存放。</w:t>
            </w:r>
          </w:p>
          <w:p>
            <w:pPr>
              <w:pStyle w:val="164"/>
              <w:jc w:val="left"/>
              <w:rPr>
                <w:color w:val="auto"/>
                <w:szCs w:val="21"/>
              </w:rPr>
            </w:pPr>
            <w:r>
              <w:rPr>
                <w:color w:val="auto"/>
                <w:szCs w:val="21"/>
              </w:rPr>
              <w:t>6.5经消毒处理的医疗废物进入生活垃圾焚烧厂进行焚烧处置应满足GB 18485规定的入炉要求；进入生活垃圾填埋场处置应满足GB 16889规定的入场要求；进入水泥窑协同处置应满足GB 30485规定的入窑要求。</w:t>
            </w:r>
          </w:p>
        </w:tc>
        <w:tc>
          <w:tcPr>
            <w:tcW w:w="3055" w:type="dxa"/>
            <w:tcBorders>
              <w:tl2br w:val="nil"/>
              <w:tr2bl w:val="nil"/>
            </w:tcBorders>
            <w:vAlign w:val="center"/>
          </w:tcPr>
          <w:p>
            <w:pPr>
              <w:pStyle w:val="164"/>
              <w:rPr>
                <w:color w:val="auto"/>
                <w:szCs w:val="21"/>
              </w:rPr>
            </w:pPr>
            <w:r>
              <w:rPr>
                <w:color w:val="auto"/>
                <w:szCs w:val="21"/>
              </w:rPr>
              <w:t>本项目消毒处理工艺参数满足高温蒸汽消毒的工艺控制参数；消毒设施配备有废气净化装置（</w:t>
            </w:r>
            <w:r>
              <w:rPr>
                <w:color w:val="auto"/>
              </w:rPr>
              <w:t>碱洗喷淋+等离子+活性炭</w:t>
            </w:r>
            <w:r>
              <w:rPr>
                <w:color w:val="auto"/>
                <w:szCs w:val="21"/>
              </w:rPr>
              <w:t>）并且排气筒高度15m；经消毒处理的医疗废物进行破碎，并与未经消毒处理的医疗废物分开存放；经消毒处理的医疗废物进入垃圾填埋场，满足GB 16889规定的入场要求。</w:t>
            </w:r>
          </w:p>
        </w:tc>
        <w:tc>
          <w:tcPr>
            <w:tcW w:w="841" w:type="dxa"/>
            <w:tcBorders>
              <w:tl2br w:val="nil"/>
              <w:tr2bl w:val="nil"/>
            </w:tcBorders>
            <w:vAlign w:val="center"/>
          </w:tcPr>
          <w:p>
            <w:pPr>
              <w:pStyle w:val="164"/>
              <w:rPr>
                <w:color w:val="auto"/>
              </w:rPr>
            </w:pPr>
            <w:r>
              <w:rPr>
                <w:color w:val="auto"/>
              </w:rPr>
              <w:t>符合</w:t>
            </w:r>
          </w:p>
        </w:tc>
      </w:tr>
    </w:tbl>
    <w:p>
      <w:pPr>
        <w:pStyle w:val="6"/>
        <w:numPr>
          <w:ilvl w:val="3"/>
          <w:numId w:val="0"/>
        </w:numPr>
        <w:rPr>
          <w:color w:val="auto"/>
        </w:rPr>
      </w:pPr>
      <w:r>
        <w:rPr>
          <w:color w:val="auto"/>
        </w:rPr>
        <w:t>4.4.3与《医疗废物高温蒸汽消毒集中处理工程技术规范》（HJ 276-2021）符合性分析</w:t>
      </w:r>
    </w:p>
    <w:p>
      <w:pPr>
        <w:pStyle w:val="130"/>
        <w:ind w:firstLine="480"/>
        <w:rPr>
          <w:rFonts w:eastAsia="仿宋"/>
          <w:color w:val="auto"/>
          <w:szCs w:val="22"/>
        </w:rPr>
      </w:pPr>
      <w:r>
        <w:rPr>
          <w:color w:val="auto"/>
        </w:rPr>
        <w:t>本项目与《医疗废物高温蒸汽消毒集中处理工程技术规范》（HJ 276-2021）的符合性分析见表</w:t>
      </w:r>
      <w:r>
        <w:rPr>
          <w:rFonts w:eastAsia="仿宋"/>
          <w:color w:val="auto"/>
          <w:szCs w:val="22"/>
        </w:rPr>
        <w:t>4。</w:t>
      </w:r>
    </w:p>
    <w:p>
      <w:pPr>
        <w:pStyle w:val="114"/>
        <w:spacing w:before="0" w:beforeLines="0"/>
        <w:rPr>
          <w:color w:val="auto"/>
        </w:rPr>
      </w:pPr>
      <w:r>
        <w:rPr>
          <w:color w:val="auto"/>
        </w:rPr>
        <w:t>表4  与《医疗废物高温蒸汽消毒集中处理工程技术规范》符合性分析</w:t>
      </w:r>
    </w:p>
    <w:tbl>
      <w:tblPr>
        <w:tblStyle w:val="74"/>
        <w:tblW w:w="8789"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637"/>
        <w:gridCol w:w="4281"/>
        <w:gridCol w:w="3048"/>
        <w:gridCol w:w="8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403" w:hRule="atLeast"/>
          <w:tblHeader/>
          <w:jc w:val="center"/>
        </w:trPr>
        <w:tc>
          <w:tcPr>
            <w:tcW w:w="637" w:type="dxa"/>
            <w:tcBorders>
              <w:tl2br w:val="nil"/>
              <w:tr2bl w:val="nil"/>
            </w:tcBorders>
            <w:vAlign w:val="center"/>
          </w:tcPr>
          <w:p>
            <w:pPr>
              <w:pStyle w:val="164"/>
              <w:rPr>
                <w:b/>
                <w:color w:val="auto"/>
              </w:rPr>
            </w:pPr>
            <w:r>
              <w:rPr>
                <w:b/>
                <w:color w:val="auto"/>
              </w:rPr>
              <w:t>内容</w:t>
            </w:r>
          </w:p>
        </w:tc>
        <w:tc>
          <w:tcPr>
            <w:tcW w:w="4281" w:type="dxa"/>
            <w:tcBorders>
              <w:tl2br w:val="nil"/>
              <w:tr2bl w:val="nil"/>
            </w:tcBorders>
            <w:vAlign w:val="center"/>
          </w:tcPr>
          <w:p>
            <w:pPr>
              <w:pStyle w:val="164"/>
              <w:rPr>
                <w:b/>
                <w:color w:val="auto"/>
              </w:rPr>
            </w:pPr>
            <w:r>
              <w:rPr>
                <w:b/>
                <w:color w:val="auto"/>
              </w:rPr>
              <w:t>文件要求</w:t>
            </w:r>
          </w:p>
        </w:tc>
        <w:tc>
          <w:tcPr>
            <w:tcW w:w="3048" w:type="dxa"/>
            <w:tcBorders>
              <w:tl2br w:val="nil"/>
              <w:tr2bl w:val="nil"/>
            </w:tcBorders>
            <w:vAlign w:val="center"/>
          </w:tcPr>
          <w:p>
            <w:pPr>
              <w:pStyle w:val="164"/>
              <w:rPr>
                <w:b/>
                <w:color w:val="auto"/>
              </w:rPr>
            </w:pPr>
            <w:r>
              <w:rPr>
                <w:b/>
                <w:color w:val="auto"/>
              </w:rPr>
              <w:t>本项目情况</w:t>
            </w:r>
          </w:p>
        </w:tc>
        <w:tc>
          <w:tcPr>
            <w:tcW w:w="823" w:type="dxa"/>
            <w:tcBorders>
              <w:tl2br w:val="nil"/>
              <w:tr2bl w:val="nil"/>
            </w:tcBorders>
            <w:vAlign w:val="center"/>
          </w:tcPr>
          <w:p>
            <w:pPr>
              <w:pStyle w:val="164"/>
              <w:rPr>
                <w:b/>
                <w:color w:val="auto"/>
              </w:rPr>
            </w:pPr>
            <w:r>
              <w:rPr>
                <w:b/>
                <w:color w:val="auto"/>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37" w:type="dxa"/>
            <w:vMerge w:val="restart"/>
            <w:tcBorders>
              <w:tl2br w:val="nil"/>
              <w:tr2bl w:val="nil"/>
            </w:tcBorders>
            <w:vAlign w:val="center"/>
          </w:tcPr>
          <w:p>
            <w:pPr>
              <w:pStyle w:val="164"/>
              <w:rPr>
                <w:color w:val="auto"/>
              </w:rPr>
            </w:pPr>
            <w:r>
              <w:rPr>
                <w:color w:val="auto"/>
              </w:rPr>
              <w:t>厂址选择</w:t>
            </w:r>
          </w:p>
        </w:tc>
        <w:tc>
          <w:tcPr>
            <w:tcW w:w="4281" w:type="dxa"/>
            <w:tcBorders>
              <w:tl2br w:val="nil"/>
              <w:tr2bl w:val="nil"/>
            </w:tcBorders>
            <w:vAlign w:val="center"/>
          </w:tcPr>
          <w:p>
            <w:pPr>
              <w:pStyle w:val="164"/>
              <w:jc w:val="left"/>
              <w:rPr>
                <w:color w:val="auto"/>
              </w:rPr>
            </w:pPr>
            <w:r>
              <w:rPr>
                <w:color w:val="auto"/>
              </w:rPr>
              <w:t>医疗废物高温蒸汽消毒集中处理工程厂址选择应符合GB 39707的相关规定。</w:t>
            </w:r>
          </w:p>
        </w:tc>
        <w:tc>
          <w:tcPr>
            <w:tcW w:w="3048" w:type="dxa"/>
            <w:tcBorders>
              <w:tl2br w:val="nil"/>
              <w:tr2bl w:val="nil"/>
            </w:tcBorders>
            <w:vAlign w:val="center"/>
          </w:tcPr>
          <w:p>
            <w:pPr>
              <w:pStyle w:val="164"/>
              <w:rPr>
                <w:color w:val="auto"/>
              </w:rPr>
            </w:pPr>
            <w:r>
              <w:rPr>
                <w:color w:val="auto"/>
              </w:rPr>
              <w:t>本项目厂址位于宁夏中卫市永康镇阳沟村中卫市生活垃圾填埋场西侧，厂址符合GB 39707的相关规定，详见表3分析。</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37" w:type="dxa"/>
            <w:vMerge w:val="continue"/>
            <w:tcBorders>
              <w:tl2br w:val="nil"/>
              <w:tr2bl w:val="nil"/>
            </w:tcBorders>
            <w:vAlign w:val="center"/>
          </w:tcPr>
          <w:p>
            <w:pPr>
              <w:pStyle w:val="164"/>
              <w:rPr>
                <w:color w:val="auto"/>
              </w:rPr>
            </w:pPr>
          </w:p>
        </w:tc>
        <w:tc>
          <w:tcPr>
            <w:tcW w:w="4281" w:type="dxa"/>
            <w:tcBorders>
              <w:tl2br w:val="nil"/>
              <w:tr2bl w:val="nil"/>
            </w:tcBorders>
            <w:vAlign w:val="center"/>
          </w:tcPr>
          <w:p>
            <w:pPr>
              <w:pStyle w:val="164"/>
              <w:jc w:val="left"/>
              <w:rPr>
                <w:color w:val="auto"/>
              </w:rPr>
            </w:pPr>
            <w:r>
              <w:rPr>
                <w:color w:val="auto"/>
              </w:rPr>
              <w:t>集中处理工程厂址选择还应综合考虑以下条件：</w:t>
            </w:r>
          </w:p>
          <w:p>
            <w:pPr>
              <w:pStyle w:val="164"/>
              <w:numPr>
                <w:ilvl w:val="0"/>
                <w:numId w:val="20"/>
              </w:numPr>
              <w:jc w:val="left"/>
              <w:rPr>
                <w:color w:val="auto"/>
              </w:rPr>
            </w:pPr>
            <w:r>
              <w:rPr>
                <w:color w:val="auto"/>
              </w:rPr>
              <w:t>厂址应满足工程建设的工程地质条件、水文地质条件和气象条件；</w:t>
            </w:r>
          </w:p>
          <w:p>
            <w:pPr>
              <w:pStyle w:val="164"/>
              <w:numPr>
                <w:ilvl w:val="0"/>
                <w:numId w:val="20"/>
              </w:numPr>
              <w:jc w:val="left"/>
              <w:rPr>
                <w:color w:val="auto"/>
              </w:rPr>
            </w:pPr>
            <w:r>
              <w:rPr>
                <w:color w:val="auto"/>
              </w:rPr>
              <w:t>厂址所在区域不应受洪水、潮水或内涝的威胁，必须建在该地区时，应有可靠的防洪、排涝措施；</w:t>
            </w:r>
          </w:p>
          <w:p>
            <w:pPr>
              <w:pStyle w:val="164"/>
              <w:numPr>
                <w:ilvl w:val="0"/>
                <w:numId w:val="20"/>
              </w:numPr>
              <w:jc w:val="left"/>
              <w:rPr>
                <w:color w:val="auto"/>
              </w:rPr>
            </w:pPr>
            <w:r>
              <w:rPr>
                <w:color w:val="auto"/>
              </w:rPr>
              <w:t>厂址附近应有满足生产、生活的供水水源、污水排放、电力供应等条件，并应综合考虑交通条件、运输距离、土地利用状况、基础设施状况等因素；</w:t>
            </w:r>
          </w:p>
          <w:p>
            <w:pPr>
              <w:pStyle w:val="164"/>
              <w:numPr>
                <w:ilvl w:val="0"/>
                <w:numId w:val="20"/>
              </w:numPr>
              <w:jc w:val="left"/>
              <w:rPr>
                <w:color w:val="auto"/>
              </w:rPr>
            </w:pPr>
            <w:r>
              <w:rPr>
                <w:color w:val="auto"/>
              </w:rPr>
              <w:t>厂址应考虑蒸汽供给条件，如需自建蒸汽供给单元，还应符合大气污染防治的有关规定；</w:t>
            </w:r>
          </w:p>
          <w:p>
            <w:pPr>
              <w:pStyle w:val="164"/>
              <w:numPr>
                <w:ilvl w:val="0"/>
                <w:numId w:val="20"/>
              </w:numPr>
              <w:jc w:val="left"/>
              <w:rPr>
                <w:color w:val="auto"/>
              </w:rPr>
            </w:pPr>
            <w:r>
              <w:rPr>
                <w:color w:val="auto"/>
              </w:rPr>
              <w:t>厂址宜选择在生活垃圾焚烧或填埋处置场所附近。</w:t>
            </w:r>
          </w:p>
        </w:tc>
        <w:tc>
          <w:tcPr>
            <w:tcW w:w="3048" w:type="dxa"/>
            <w:tcBorders>
              <w:tl2br w:val="nil"/>
              <w:tr2bl w:val="nil"/>
            </w:tcBorders>
            <w:vAlign w:val="center"/>
          </w:tcPr>
          <w:p>
            <w:pPr>
              <w:pStyle w:val="164"/>
              <w:rPr>
                <w:color w:val="auto"/>
              </w:rPr>
            </w:pPr>
            <w:r>
              <w:rPr>
                <w:color w:val="auto"/>
              </w:rPr>
              <w:t>本项目厂址</w:t>
            </w:r>
            <w:r>
              <w:rPr>
                <w:color w:val="auto"/>
                <w:szCs w:val="21"/>
              </w:rPr>
              <w:t>包气带厚，水文地质条件稳定；</w:t>
            </w:r>
            <w:r>
              <w:rPr>
                <w:color w:val="auto"/>
              </w:rPr>
              <w:t>厂址所在区域不受洪水、潮水或内涝的威胁；厂址区有区域供水、区域供电、</w:t>
            </w:r>
            <w:r>
              <w:rPr>
                <w:color w:val="auto"/>
                <w:szCs w:val="21"/>
              </w:rPr>
              <w:t>交通运输便利；本项目自建蒸汽供给单元，采用电加热，满足</w:t>
            </w:r>
            <w:r>
              <w:rPr>
                <w:color w:val="auto"/>
              </w:rPr>
              <w:t>大气污染防治的有关规定；本项目厂址距离垃圾填埋处置场较近。</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37" w:type="dxa"/>
            <w:tcBorders>
              <w:tl2br w:val="nil"/>
              <w:tr2bl w:val="nil"/>
            </w:tcBorders>
            <w:vAlign w:val="center"/>
          </w:tcPr>
          <w:p>
            <w:pPr>
              <w:pStyle w:val="164"/>
              <w:rPr>
                <w:color w:val="auto"/>
              </w:rPr>
            </w:pPr>
            <w:r>
              <w:rPr>
                <w:color w:val="auto"/>
              </w:rPr>
              <w:t>工程构成</w:t>
            </w:r>
          </w:p>
        </w:tc>
        <w:tc>
          <w:tcPr>
            <w:tcW w:w="4281" w:type="dxa"/>
            <w:tcBorders>
              <w:tl2br w:val="nil"/>
              <w:tr2bl w:val="nil"/>
            </w:tcBorders>
            <w:vAlign w:val="center"/>
          </w:tcPr>
          <w:p>
            <w:pPr>
              <w:pStyle w:val="164"/>
              <w:jc w:val="left"/>
              <w:rPr>
                <w:color w:val="auto"/>
              </w:rPr>
            </w:pPr>
            <w:r>
              <w:rPr>
                <w:color w:val="auto"/>
              </w:rPr>
              <w:t>1、医疗废物高温蒸汽消毒集中处理工程由主体工程、主要辅助工程和配套设施构成。</w:t>
            </w:r>
          </w:p>
          <w:p>
            <w:pPr>
              <w:pStyle w:val="164"/>
              <w:jc w:val="left"/>
              <w:rPr>
                <w:color w:val="auto"/>
              </w:rPr>
            </w:pPr>
            <w:r>
              <w:rPr>
                <w:color w:val="auto"/>
              </w:rPr>
              <w:t>1.1主体工程主要包括：</w:t>
            </w:r>
          </w:p>
          <w:p>
            <w:pPr>
              <w:pStyle w:val="164"/>
              <w:numPr>
                <w:ilvl w:val="0"/>
                <w:numId w:val="21"/>
              </w:numPr>
              <w:jc w:val="left"/>
              <w:rPr>
                <w:color w:val="auto"/>
              </w:rPr>
            </w:pPr>
            <w:r>
              <w:rPr>
                <w:color w:val="auto"/>
              </w:rPr>
              <w:t>接收贮存系统，该系统由医疗废物计量、卸料、贮存、转运等设施构成；</w:t>
            </w:r>
          </w:p>
          <w:p>
            <w:pPr>
              <w:pStyle w:val="164"/>
              <w:numPr>
                <w:ilvl w:val="0"/>
                <w:numId w:val="21"/>
              </w:numPr>
              <w:jc w:val="left"/>
              <w:rPr>
                <w:color w:val="auto"/>
              </w:rPr>
            </w:pPr>
            <w:r>
              <w:rPr>
                <w:color w:val="auto"/>
              </w:rPr>
              <w:t>高温蒸汽消毒处理系统，该系统由蒸汽供给单元、进料单元、蒸汽消毒处理单元、破碎单元和自动化控制设施等构成；</w:t>
            </w:r>
          </w:p>
          <w:p>
            <w:pPr>
              <w:pStyle w:val="164"/>
              <w:numPr>
                <w:ilvl w:val="0"/>
                <w:numId w:val="21"/>
              </w:numPr>
              <w:jc w:val="left"/>
              <w:rPr>
                <w:color w:val="auto"/>
              </w:rPr>
            </w:pPr>
            <w:r>
              <w:rPr>
                <w:color w:val="auto"/>
              </w:rPr>
              <w:t>二次污染控制系统，该系统由清洗消毒单元、废气处理单元和废水处理单元构成。</w:t>
            </w:r>
          </w:p>
          <w:p>
            <w:pPr>
              <w:pStyle w:val="164"/>
              <w:jc w:val="left"/>
              <w:rPr>
                <w:color w:val="auto"/>
              </w:rPr>
            </w:pPr>
            <w:r>
              <w:rPr>
                <w:color w:val="auto"/>
              </w:rPr>
              <w:t>1.2主要辅助工程包括电气系统、给排水、消防、采暖通风、通信、机械维修、检测等设施。</w:t>
            </w:r>
          </w:p>
          <w:p>
            <w:pPr>
              <w:pStyle w:val="164"/>
              <w:jc w:val="left"/>
              <w:rPr>
                <w:color w:val="auto"/>
              </w:rPr>
            </w:pPr>
            <w:r>
              <w:rPr>
                <w:color w:val="auto"/>
              </w:rPr>
              <w:t>1.3配套设施主要包括办公用房、食堂、浴室、值班宿舍等设施。</w:t>
            </w:r>
          </w:p>
        </w:tc>
        <w:tc>
          <w:tcPr>
            <w:tcW w:w="3048" w:type="dxa"/>
            <w:tcBorders>
              <w:tl2br w:val="nil"/>
              <w:tr2bl w:val="nil"/>
            </w:tcBorders>
            <w:vAlign w:val="center"/>
          </w:tcPr>
          <w:p>
            <w:pPr>
              <w:pStyle w:val="164"/>
              <w:rPr>
                <w:color w:val="auto"/>
              </w:rPr>
            </w:pPr>
            <w:r>
              <w:rPr>
                <w:color w:val="auto"/>
              </w:rPr>
              <w:t>本项目主体工程包括有接收贮存系统（包括医疗废物计量、卸料、贮存、转运等设施）、高温蒸汽消毒处理系统（包括蒸汽供给单元、进料单元、蒸汽消毒处理单元、破碎单元）和二次污染控制系统（包括清洗消毒单元、废气处理单元和废水处理单元）；辅助工程有电气系统、给排水、消防、采暖通风、机械维修等设施；配套设置有办公生活区。</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37" w:type="dxa"/>
            <w:tcBorders>
              <w:tl2br w:val="nil"/>
              <w:tr2bl w:val="nil"/>
            </w:tcBorders>
            <w:vAlign w:val="center"/>
          </w:tcPr>
          <w:p>
            <w:pPr>
              <w:pStyle w:val="164"/>
              <w:rPr>
                <w:color w:val="auto"/>
              </w:rPr>
            </w:pPr>
            <w:r>
              <w:rPr>
                <w:color w:val="auto"/>
              </w:rPr>
              <w:t>总平面布置</w:t>
            </w:r>
          </w:p>
        </w:tc>
        <w:tc>
          <w:tcPr>
            <w:tcW w:w="4281" w:type="dxa"/>
            <w:tcBorders>
              <w:tl2br w:val="nil"/>
              <w:tr2bl w:val="nil"/>
            </w:tcBorders>
            <w:vAlign w:val="center"/>
          </w:tcPr>
          <w:p>
            <w:pPr>
              <w:pStyle w:val="164"/>
              <w:numPr>
                <w:ilvl w:val="0"/>
                <w:numId w:val="22"/>
              </w:numPr>
              <w:jc w:val="left"/>
              <w:rPr>
                <w:color w:val="auto"/>
              </w:rPr>
            </w:pPr>
            <w:r>
              <w:rPr>
                <w:color w:val="auto"/>
              </w:rPr>
              <w:t>医疗废物高温蒸汽消毒集中处理工程的总平面布置，应根据厂址所在地区的自然条件，结合生产、运输、生态环境保护、职业卫生、职工生活，以及电力、通信、热力、给水、排水、防洪、排涝、污水处理等因素确定；</w:t>
            </w:r>
          </w:p>
          <w:p>
            <w:pPr>
              <w:pStyle w:val="164"/>
              <w:jc w:val="left"/>
              <w:rPr>
                <w:color w:val="auto"/>
              </w:rPr>
            </w:pPr>
            <w:r>
              <w:rPr>
                <w:color w:val="auto"/>
              </w:rPr>
              <w:t>2.1集中处理工程人流和物流的出、入口应分开设置，并应便利医疗废物运输车辆的进出。</w:t>
            </w:r>
          </w:p>
          <w:p>
            <w:pPr>
              <w:pStyle w:val="164"/>
              <w:jc w:val="left"/>
              <w:rPr>
                <w:color w:val="auto"/>
              </w:rPr>
            </w:pPr>
            <w:r>
              <w:rPr>
                <w:color w:val="auto"/>
              </w:rPr>
              <w:t>2.2集中处理工程的平面布置应按照生产和办公生活的功能分区设置。</w:t>
            </w:r>
          </w:p>
          <w:p>
            <w:pPr>
              <w:pStyle w:val="164"/>
              <w:jc w:val="left"/>
              <w:rPr>
                <w:color w:val="auto"/>
              </w:rPr>
            </w:pPr>
            <w:r>
              <w:rPr>
                <w:color w:val="auto"/>
              </w:rPr>
              <w:t>2.3集中处理工程生产区的平面布置应按照卸料、贮存、处理、清洗消毒的功能分区设置。</w:t>
            </w:r>
          </w:p>
          <w:p>
            <w:pPr>
              <w:pStyle w:val="164"/>
              <w:jc w:val="left"/>
              <w:rPr>
                <w:color w:val="auto"/>
              </w:rPr>
            </w:pPr>
            <w:r>
              <w:rPr>
                <w:color w:val="auto"/>
              </w:rPr>
              <w:t>2.4集中处理工程的运输车辆及周转箱/桶清洗消毒设施宜临近卸料区设置。</w:t>
            </w:r>
          </w:p>
        </w:tc>
        <w:tc>
          <w:tcPr>
            <w:tcW w:w="3048" w:type="dxa"/>
            <w:tcBorders>
              <w:tl2br w:val="nil"/>
              <w:tr2bl w:val="nil"/>
            </w:tcBorders>
            <w:vAlign w:val="center"/>
          </w:tcPr>
          <w:p>
            <w:pPr>
              <w:pStyle w:val="164"/>
              <w:rPr>
                <w:color w:val="auto"/>
              </w:rPr>
            </w:pPr>
            <w:r>
              <w:rPr>
                <w:color w:val="auto"/>
              </w:rPr>
              <w:t>本项目场区设有便利医疗废物运输车辆的进出口；生产和办公生活功能分区；生产区按照卸料、贮存、处理、清洗消毒的功能分区设置；运输车辆及周转箱/桶清洗消毒设施临近卸料区设置。</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37" w:type="dxa"/>
            <w:vMerge w:val="restart"/>
            <w:tcBorders>
              <w:tl2br w:val="nil"/>
              <w:tr2bl w:val="nil"/>
            </w:tcBorders>
            <w:vAlign w:val="center"/>
          </w:tcPr>
          <w:p>
            <w:pPr>
              <w:pStyle w:val="164"/>
              <w:rPr>
                <w:color w:val="auto"/>
              </w:rPr>
            </w:pPr>
            <w:r>
              <w:rPr>
                <w:color w:val="auto"/>
              </w:rPr>
              <w:t>工艺设计</w:t>
            </w:r>
          </w:p>
        </w:tc>
        <w:tc>
          <w:tcPr>
            <w:tcW w:w="4281" w:type="dxa"/>
            <w:tcBorders>
              <w:tl2br w:val="nil"/>
              <w:tr2bl w:val="nil"/>
            </w:tcBorders>
            <w:vAlign w:val="center"/>
          </w:tcPr>
          <w:p>
            <w:pPr>
              <w:pStyle w:val="164"/>
              <w:numPr>
                <w:ilvl w:val="0"/>
                <w:numId w:val="22"/>
              </w:numPr>
              <w:jc w:val="left"/>
              <w:rPr>
                <w:color w:val="auto"/>
              </w:rPr>
            </w:pPr>
            <w:r>
              <w:rPr>
                <w:color w:val="auto"/>
              </w:rPr>
              <w:t>接收贮存单元</w:t>
            </w:r>
          </w:p>
          <w:p>
            <w:pPr>
              <w:pStyle w:val="164"/>
              <w:jc w:val="left"/>
              <w:rPr>
                <w:color w:val="auto"/>
              </w:rPr>
            </w:pPr>
            <w:r>
              <w:rPr>
                <w:color w:val="auto"/>
              </w:rPr>
              <w:t>3.1医疗废物高温蒸汽消毒集中处理工程应设置计量系统，计量系统应具有称重、记录、传输、打印与数据统计功能；</w:t>
            </w:r>
          </w:p>
          <w:p>
            <w:pPr>
              <w:pStyle w:val="164"/>
              <w:jc w:val="left"/>
              <w:rPr>
                <w:color w:val="auto"/>
              </w:rPr>
            </w:pPr>
            <w:r>
              <w:rPr>
                <w:color w:val="auto"/>
              </w:rPr>
              <w:t>3.2集中处理工程卸料区面积应满足车辆停放、卸料操作要求，地面应硬化并应设置沟渠收集雨水、冲洗水；</w:t>
            </w:r>
          </w:p>
          <w:p>
            <w:pPr>
              <w:pStyle w:val="164"/>
              <w:jc w:val="left"/>
              <w:rPr>
                <w:color w:val="auto"/>
              </w:rPr>
            </w:pPr>
            <w:r>
              <w:rPr>
                <w:color w:val="auto"/>
              </w:rPr>
              <w:t>3.3集中处理工程应设置感染性、损伤性、病理性医疗废物贮存设施，贮存设施应全密闭、微负压设计，并配备制冷、消毒和排风口净化装置；</w:t>
            </w:r>
          </w:p>
          <w:p>
            <w:pPr>
              <w:pStyle w:val="164"/>
              <w:jc w:val="left"/>
              <w:rPr>
                <w:color w:val="auto"/>
              </w:rPr>
            </w:pPr>
            <w:r>
              <w:rPr>
                <w:color w:val="auto"/>
              </w:rPr>
              <w:t>3.4贮存设施贮存能力应综合医疗废物产生量、贮存时间及高温蒸汽消毒处理设备检修期间医疗废物的贮存需求等因素确定，贮存时间应满足GB39707要求；</w:t>
            </w:r>
          </w:p>
          <w:p>
            <w:pPr>
              <w:pStyle w:val="164"/>
              <w:jc w:val="left"/>
              <w:rPr>
                <w:color w:val="auto"/>
              </w:rPr>
            </w:pPr>
            <w:r>
              <w:rPr>
                <w:color w:val="auto"/>
              </w:rPr>
              <w:t>3.5贮存设施地面应进行防渗处理，并应配备清洗水供应和收集系统；</w:t>
            </w:r>
          </w:p>
          <w:p>
            <w:pPr>
              <w:pStyle w:val="164"/>
              <w:jc w:val="left"/>
              <w:rPr>
                <w:color w:val="auto"/>
              </w:rPr>
            </w:pPr>
            <w:r>
              <w:rPr>
                <w:color w:val="auto"/>
              </w:rPr>
              <w:t>3.6贮存设施应根据医疗废物类型和接收时间合理分区，并设置转运通道。</w:t>
            </w:r>
          </w:p>
        </w:tc>
        <w:tc>
          <w:tcPr>
            <w:tcW w:w="3048" w:type="dxa"/>
            <w:tcBorders>
              <w:tl2br w:val="nil"/>
              <w:tr2bl w:val="nil"/>
            </w:tcBorders>
            <w:vAlign w:val="center"/>
          </w:tcPr>
          <w:p>
            <w:pPr>
              <w:pStyle w:val="164"/>
              <w:rPr>
                <w:color w:val="auto"/>
              </w:rPr>
            </w:pPr>
            <w:r>
              <w:rPr>
                <w:color w:val="auto"/>
              </w:rPr>
              <w:t>本项目处理工程设置有计量系统；卸料区满足车辆停放和卸料操作要求，地面进行硬化防渗处理；项目设置有感染性、损伤性医疗废物贮存设施（冷藏车间），</w:t>
            </w:r>
            <w:r>
              <w:rPr>
                <w:color w:val="auto"/>
                <w:szCs w:val="21"/>
              </w:rPr>
              <w:t>配备有废气净化装置（</w:t>
            </w:r>
            <w:r>
              <w:rPr>
                <w:color w:val="auto"/>
              </w:rPr>
              <w:t>碱洗喷淋+等离子+活性炭</w:t>
            </w:r>
            <w:r>
              <w:rPr>
                <w:color w:val="auto"/>
                <w:szCs w:val="21"/>
              </w:rPr>
              <w:t>）并且排气筒高度15m；贮存能力满足要求；贮存设施进行防渗处理，并且根据医疗废物类型进行了合理分区。</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37" w:type="dxa"/>
            <w:vMerge w:val="continue"/>
            <w:tcBorders>
              <w:tl2br w:val="nil"/>
              <w:tr2bl w:val="nil"/>
            </w:tcBorders>
            <w:vAlign w:val="center"/>
          </w:tcPr>
          <w:p>
            <w:pPr>
              <w:pStyle w:val="164"/>
              <w:rPr>
                <w:color w:val="auto"/>
              </w:rPr>
            </w:pPr>
          </w:p>
        </w:tc>
        <w:tc>
          <w:tcPr>
            <w:tcW w:w="4281" w:type="dxa"/>
            <w:tcBorders>
              <w:tl2br w:val="nil"/>
              <w:tr2bl w:val="nil"/>
            </w:tcBorders>
            <w:vAlign w:val="center"/>
          </w:tcPr>
          <w:p>
            <w:pPr>
              <w:pStyle w:val="164"/>
              <w:numPr>
                <w:ilvl w:val="0"/>
                <w:numId w:val="22"/>
              </w:numPr>
              <w:jc w:val="left"/>
              <w:rPr>
                <w:color w:val="auto"/>
              </w:rPr>
            </w:pPr>
            <w:r>
              <w:rPr>
                <w:color w:val="auto"/>
              </w:rPr>
              <w:t>进料单元</w:t>
            </w:r>
          </w:p>
          <w:p>
            <w:pPr>
              <w:pStyle w:val="164"/>
              <w:jc w:val="left"/>
              <w:rPr>
                <w:color w:val="auto"/>
              </w:rPr>
            </w:pPr>
            <w:r>
              <w:rPr>
                <w:color w:val="auto"/>
              </w:rPr>
              <w:t>4.1医疗废物的装填应为自然堆积，装填体积不宜超过消毒仓容积的90%；</w:t>
            </w:r>
          </w:p>
          <w:p>
            <w:pPr>
              <w:pStyle w:val="164"/>
              <w:jc w:val="left"/>
              <w:rPr>
                <w:color w:val="auto"/>
              </w:rPr>
            </w:pPr>
            <w:r>
              <w:rPr>
                <w:color w:val="auto"/>
              </w:rPr>
              <w:t>4.2进料口应设置集气装置，收集的废气应经处理后排放；</w:t>
            </w:r>
          </w:p>
          <w:p>
            <w:pPr>
              <w:pStyle w:val="164"/>
              <w:jc w:val="left"/>
              <w:rPr>
                <w:color w:val="auto"/>
              </w:rPr>
            </w:pPr>
            <w:r>
              <w:rPr>
                <w:color w:val="auto"/>
              </w:rPr>
              <w:t>4.3进料口的设计应与HJ421对周转桶/箱的相关要求匹配。</w:t>
            </w:r>
          </w:p>
        </w:tc>
        <w:tc>
          <w:tcPr>
            <w:tcW w:w="3048" w:type="dxa"/>
            <w:tcBorders>
              <w:tl2br w:val="nil"/>
              <w:tr2bl w:val="nil"/>
            </w:tcBorders>
            <w:vAlign w:val="center"/>
          </w:tcPr>
          <w:p>
            <w:pPr>
              <w:pStyle w:val="164"/>
              <w:rPr>
                <w:color w:val="auto"/>
              </w:rPr>
            </w:pPr>
            <w:r>
              <w:rPr>
                <w:color w:val="auto"/>
              </w:rPr>
              <w:t>本项目医疗废物自然堆积装填，装填体积不超过消毒仓容积的90%；高温蒸汽消毒系统配备有废气收集装置和</w:t>
            </w:r>
            <w:r>
              <w:rPr>
                <w:color w:val="auto"/>
                <w:szCs w:val="21"/>
              </w:rPr>
              <w:t>废气净化装置（</w:t>
            </w:r>
            <w:r>
              <w:rPr>
                <w:color w:val="auto"/>
              </w:rPr>
              <w:t>碱洗喷淋+等离子+活性炭</w:t>
            </w:r>
            <w:r>
              <w:rPr>
                <w:color w:val="auto"/>
                <w:szCs w:val="21"/>
              </w:rPr>
              <w:t>）并且排气筒高度15m；进料口设计与</w:t>
            </w:r>
            <w:r>
              <w:rPr>
                <w:color w:val="auto"/>
              </w:rPr>
              <w:t>HJ421对周转桶/箱的相关要求匹配。</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4823" w:hRule="atLeast"/>
          <w:jc w:val="center"/>
        </w:trPr>
        <w:tc>
          <w:tcPr>
            <w:tcW w:w="637" w:type="dxa"/>
            <w:vMerge w:val="continue"/>
            <w:tcBorders>
              <w:tl2br w:val="nil"/>
              <w:tr2bl w:val="nil"/>
            </w:tcBorders>
            <w:vAlign w:val="center"/>
          </w:tcPr>
          <w:p>
            <w:pPr>
              <w:pStyle w:val="164"/>
              <w:rPr>
                <w:color w:val="auto"/>
              </w:rPr>
            </w:pPr>
          </w:p>
        </w:tc>
        <w:tc>
          <w:tcPr>
            <w:tcW w:w="4281" w:type="dxa"/>
            <w:tcBorders>
              <w:tl2br w:val="nil"/>
              <w:tr2bl w:val="nil"/>
            </w:tcBorders>
            <w:vAlign w:val="center"/>
          </w:tcPr>
          <w:p>
            <w:pPr>
              <w:pStyle w:val="164"/>
              <w:numPr>
                <w:ilvl w:val="0"/>
                <w:numId w:val="22"/>
              </w:numPr>
              <w:jc w:val="left"/>
              <w:rPr>
                <w:color w:val="auto"/>
              </w:rPr>
            </w:pPr>
            <w:r>
              <w:rPr>
                <w:color w:val="auto"/>
              </w:rPr>
              <w:t>蒸汽消毒处理单元</w:t>
            </w:r>
          </w:p>
          <w:p>
            <w:pPr>
              <w:pStyle w:val="164"/>
              <w:jc w:val="left"/>
              <w:rPr>
                <w:color w:val="auto"/>
              </w:rPr>
            </w:pPr>
            <w:r>
              <w:rPr>
                <w:color w:val="auto"/>
              </w:rPr>
              <w:t>5.1单独采用预真空增强蒸汽处理效果的工艺，应符合以下参数要求：</w:t>
            </w:r>
          </w:p>
          <w:p>
            <w:pPr>
              <w:pStyle w:val="164"/>
              <w:numPr>
                <w:ilvl w:val="0"/>
                <w:numId w:val="23"/>
              </w:numPr>
              <w:jc w:val="left"/>
              <w:rPr>
                <w:color w:val="auto"/>
              </w:rPr>
            </w:pPr>
            <w:r>
              <w:rPr>
                <w:color w:val="auto"/>
              </w:rPr>
              <w:t>采用单次预真空，抽真空结束后消毒舱内真空度应不低于0.09MP，采用脉动预真空，抽真空与充蒸汽的循环次数应不少于3次，且每次抽真空结束后消毒舱内真空度应不低于0.08MPa；</w:t>
            </w:r>
          </w:p>
          <w:p>
            <w:pPr>
              <w:pStyle w:val="164"/>
              <w:numPr>
                <w:ilvl w:val="0"/>
                <w:numId w:val="23"/>
              </w:numPr>
              <w:jc w:val="left"/>
              <w:rPr>
                <w:color w:val="auto"/>
              </w:rPr>
            </w:pPr>
            <w:r>
              <w:rPr>
                <w:color w:val="auto"/>
              </w:rPr>
              <w:t>蒸汽消毒处理过程应在消毒温≥134℃、压力≥0.22MPa（表压）的条件下进行，相应消毒时间应≥45min。</w:t>
            </w:r>
          </w:p>
          <w:p>
            <w:pPr>
              <w:pStyle w:val="164"/>
              <w:jc w:val="left"/>
              <w:rPr>
                <w:color w:val="auto"/>
              </w:rPr>
            </w:pPr>
            <w:r>
              <w:rPr>
                <w:color w:val="auto"/>
              </w:rPr>
              <w:t>5.2预真空环节收集的废气应经处理后排放。不得采用下排气式处理设备。</w:t>
            </w:r>
          </w:p>
          <w:p>
            <w:pPr>
              <w:pStyle w:val="164"/>
              <w:jc w:val="left"/>
              <w:rPr>
                <w:color w:val="auto"/>
              </w:rPr>
            </w:pPr>
            <w:r>
              <w:rPr>
                <w:color w:val="auto"/>
              </w:rPr>
              <w:t>5.3蒸汽消毒处理后应根据工艺状况对物料进行泄压、冷却处理，有效降低出料温度，出料口应设置集气装置，收集的废气应经处理后排放。</w:t>
            </w:r>
          </w:p>
        </w:tc>
        <w:tc>
          <w:tcPr>
            <w:tcW w:w="3048" w:type="dxa"/>
            <w:tcBorders>
              <w:tl2br w:val="nil"/>
              <w:tr2bl w:val="nil"/>
            </w:tcBorders>
            <w:vAlign w:val="center"/>
          </w:tcPr>
          <w:p>
            <w:pPr>
              <w:pStyle w:val="164"/>
              <w:rPr>
                <w:color w:val="auto"/>
              </w:rPr>
            </w:pPr>
            <w:r>
              <w:rPr>
                <w:color w:val="auto"/>
              </w:rPr>
              <w:t>本项目蒸汽消毒处理单元工艺参数满足要求，详见工程分析章节；蒸汽消毒处理单元收集的废气经</w:t>
            </w:r>
            <w:r>
              <w:rPr>
                <w:color w:val="auto"/>
                <w:szCs w:val="21"/>
              </w:rPr>
              <w:t>废气净化装置（</w:t>
            </w:r>
            <w:r>
              <w:rPr>
                <w:color w:val="auto"/>
              </w:rPr>
              <w:t>碱洗喷淋+等离子+活性炭</w:t>
            </w:r>
            <w:r>
              <w:rPr>
                <w:color w:val="auto"/>
                <w:szCs w:val="21"/>
              </w:rPr>
              <w:t>）</w:t>
            </w:r>
            <w:r>
              <w:rPr>
                <w:color w:val="auto"/>
              </w:rPr>
              <w:t>处理后排放；蒸汽消毒处理后进行泄压冷却处理。</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040" w:hRule="atLeast"/>
          <w:jc w:val="center"/>
        </w:trPr>
        <w:tc>
          <w:tcPr>
            <w:tcW w:w="637" w:type="dxa"/>
            <w:vMerge w:val="continue"/>
            <w:tcBorders>
              <w:tl2br w:val="nil"/>
              <w:tr2bl w:val="nil"/>
            </w:tcBorders>
            <w:vAlign w:val="center"/>
          </w:tcPr>
          <w:p>
            <w:pPr>
              <w:pStyle w:val="164"/>
              <w:rPr>
                <w:color w:val="auto"/>
              </w:rPr>
            </w:pPr>
          </w:p>
        </w:tc>
        <w:tc>
          <w:tcPr>
            <w:tcW w:w="4281" w:type="dxa"/>
            <w:tcBorders>
              <w:tl2br w:val="nil"/>
              <w:tr2bl w:val="nil"/>
            </w:tcBorders>
            <w:vAlign w:val="center"/>
          </w:tcPr>
          <w:p>
            <w:pPr>
              <w:pStyle w:val="164"/>
              <w:numPr>
                <w:ilvl w:val="0"/>
                <w:numId w:val="22"/>
              </w:numPr>
              <w:jc w:val="left"/>
              <w:rPr>
                <w:color w:val="auto"/>
              </w:rPr>
            </w:pPr>
            <w:r>
              <w:rPr>
                <w:color w:val="auto"/>
              </w:rPr>
              <w:t>破碎单元</w:t>
            </w:r>
          </w:p>
          <w:p>
            <w:pPr>
              <w:pStyle w:val="164"/>
              <w:jc w:val="left"/>
              <w:rPr>
                <w:color w:val="auto"/>
              </w:rPr>
            </w:pPr>
            <w:r>
              <w:rPr>
                <w:color w:val="auto"/>
              </w:rPr>
              <w:t>6.1医疗废物应破碎毁形，破碎单元可根据处理工艺及后续处置要求合理设置。</w:t>
            </w:r>
          </w:p>
          <w:p>
            <w:pPr>
              <w:pStyle w:val="164"/>
              <w:jc w:val="left"/>
              <w:rPr>
                <w:color w:val="auto"/>
              </w:rPr>
            </w:pPr>
            <w:r>
              <w:rPr>
                <w:color w:val="auto"/>
              </w:rPr>
              <w:t>6.2破碎单元位于蒸汽消毒处理单元之后时，应在蒸汽消毒处理单元和破碎单元之间设置机械输送装置，并应采取措施防止物料洒落和废气逸散。</w:t>
            </w:r>
          </w:p>
        </w:tc>
        <w:tc>
          <w:tcPr>
            <w:tcW w:w="3048" w:type="dxa"/>
            <w:tcBorders>
              <w:tl2br w:val="nil"/>
              <w:tr2bl w:val="nil"/>
            </w:tcBorders>
            <w:vAlign w:val="center"/>
          </w:tcPr>
          <w:p>
            <w:pPr>
              <w:pStyle w:val="164"/>
              <w:rPr>
                <w:color w:val="auto"/>
              </w:rPr>
            </w:pPr>
            <w:r>
              <w:rPr>
                <w:color w:val="auto"/>
              </w:rPr>
              <w:t>本项目医疗废物蒸汽消毒处理后进行破碎毁形，并且采用机械输送装置防止物料洒落。</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69" w:hRule="atLeast"/>
          <w:jc w:val="center"/>
        </w:trPr>
        <w:tc>
          <w:tcPr>
            <w:tcW w:w="637" w:type="dxa"/>
            <w:vMerge w:val="continue"/>
            <w:tcBorders>
              <w:tl2br w:val="nil"/>
              <w:tr2bl w:val="nil"/>
            </w:tcBorders>
            <w:vAlign w:val="center"/>
          </w:tcPr>
          <w:p>
            <w:pPr>
              <w:pStyle w:val="164"/>
              <w:rPr>
                <w:color w:val="auto"/>
              </w:rPr>
            </w:pPr>
          </w:p>
        </w:tc>
        <w:tc>
          <w:tcPr>
            <w:tcW w:w="4281" w:type="dxa"/>
            <w:tcBorders>
              <w:tl2br w:val="nil"/>
              <w:tr2bl w:val="nil"/>
            </w:tcBorders>
            <w:vAlign w:val="center"/>
          </w:tcPr>
          <w:p>
            <w:pPr>
              <w:pStyle w:val="164"/>
              <w:numPr>
                <w:ilvl w:val="0"/>
                <w:numId w:val="22"/>
              </w:numPr>
              <w:jc w:val="left"/>
              <w:rPr>
                <w:color w:val="auto"/>
              </w:rPr>
            </w:pPr>
            <w:r>
              <w:rPr>
                <w:color w:val="auto"/>
              </w:rPr>
              <w:t>处置</w:t>
            </w:r>
          </w:p>
          <w:p>
            <w:pPr>
              <w:pStyle w:val="164"/>
              <w:jc w:val="left"/>
              <w:rPr>
                <w:color w:val="auto"/>
              </w:rPr>
            </w:pPr>
            <w:r>
              <w:rPr>
                <w:color w:val="auto"/>
              </w:rPr>
              <w:t>7.1经消毒处理的医疗废物处置应符合GB 39707的要求。</w:t>
            </w:r>
          </w:p>
          <w:p>
            <w:pPr>
              <w:pStyle w:val="164"/>
              <w:jc w:val="left"/>
              <w:rPr>
                <w:color w:val="auto"/>
              </w:rPr>
            </w:pPr>
            <w:r>
              <w:rPr>
                <w:color w:val="auto"/>
              </w:rPr>
              <w:t>7.2经消毒处理的医疗废物外运处置时，外运车辆应采取防洒落措施。</w:t>
            </w:r>
          </w:p>
          <w:p>
            <w:pPr>
              <w:pStyle w:val="164"/>
              <w:jc w:val="left"/>
              <w:rPr>
                <w:color w:val="auto"/>
              </w:rPr>
            </w:pPr>
            <w:r>
              <w:rPr>
                <w:color w:val="auto"/>
              </w:rPr>
              <w:t>7.3经消毒处理的医疗废物如需厂内贮存，应单独存放于具备防雨、防风、防渗功能的库房。不得将经消毒处理的医疗废物与未处理的医疗废物一起存放。不得使用医疗废物周转箱/桶盛装经消毒处理的医疗废物。</w:t>
            </w:r>
          </w:p>
        </w:tc>
        <w:tc>
          <w:tcPr>
            <w:tcW w:w="3048" w:type="dxa"/>
            <w:tcBorders>
              <w:tl2br w:val="nil"/>
              <w:tr2bl w:val="nil"/>
            </w:tcBorders>
            <w:vAlign w:val="center"/>
          </w:tcPr>
          <w:p>
            <w:pPr>
              <w:pStyle w:val="164"/>
              <w:rPr>
                <w:color w:val="auto"/>
              </w:rPr>
            </w:pPr>
            <w:r>
              <w:rPr>
                <w:color w:val="auto"/>
              </w:rPr>
              <w:t>本项目经消毒处理的医疗废物处置符合GB39707的要求；经消毒处理的医疗废物外运处置时，外运车辆采取防洒落措施。</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1507" w:hRule="atLeast"/>
          <w:jc w:val="center"/>
        </w:trPr>
        <w:tc>
          <w:tcPr>
            <w:tcW w:w="637" w:type="dxa"/>
            <w:vMerge w:val="continue"/>
            <w:tcBorders>
              <w:tl2br w:val="nil"/>
              <w:tr2bl w:val="nil"/>
            </w:tcBorders>
            <w:vAlign w:val="center"/>
          </w:tcPr>
          <w:p>
            <w:pPr>
              <w:pStyle w:val="164"/>
              <w:rPr>
                <w:color w:val="auto"/>
              </w:rPr>
            </w:pPr>
          </w:p>
        </w:tc>
        <w:tc>
          <w:tcPr>
            <w:tcW w:w="4281" w:type="dxa"/>
            <w:tcBorders>
              <w:tl2br w:val="nil"/>
              <w:tr2bl w:val="nil"/>
            </w:tcBorders>
            <w:vAlign w:val="center"/>
          </w:tcPr>
          <w:p>
            <w:pPr>
              <w:pStyle w:val="164"/>
              <w:numPr>
                <w:ilvl w:val="0"/>
                <w:numId w:val="22"/>
              </w:numPr>
              <w:jc w:val="left"/>
              <w:rPr>
                <w:color w:val="auto"/>
              </w:rPr>
            </w:pPr>
            <w:r>
              <w:rPr>
                <w:color w:val="auto"/>
              </w:rPr>
              <w:t>清洗消毒单元</w:t>
            </w:r>
          </w:p>
          <w:p>
            <w:pPr>
              <w:pStyle w:val="164"/>
              <w:jc w:val="left"/>
              <w:rPr>
                <w:color w:val="auto"/>
              </w:rPr>
            </w:pPr>
            <w:r>
              <w:rPr>
                <w:color w:val="auto"/>
              </w:rPr>
              <w:t>8.1医疗废物高温蒸汽消毒集中处理工程应设置用于医疗废物运输车辆、周转箱/桶，以及卸料区、贮存设施清洗消毒的设施。不得在社会车辆清洗场所清洗医疗废物运输车辆。</w:t>
            </w:r>
          </w:p>
          <w:p>
            <w:pPr>
              <w:pStyle w:val="164"/>
              <w:jc w:val="left"/>
              <w:rPr>
                <w:color w:val="auto"/>
              </w:rPr>
            </w:pPr>
            <w:r>
              <w:rPr>
                <w:color w:val="auto"/>
              </w:rPr>
              <w:t>8.2医疗废物运输车辆、卸料区、贮存设施等的清洗消毒可采取喷洒消毒方式，周转箱/桶的清洗消毒可采取浸泡消毒方式或喷洒消毒方式。</w:t>
            </w:r>
          </w:p>
          <w:p>
            <w:pPr>
              <w:pStyle w:val="164"/>
              <w:jc w:val="left"/>
              <w:rPr>
                <w:color w:val="auto"/>
              </w:rPr>
            </w:pPr>
            <w:r>
              <w:rPr>
                <w:color w:val="auto"/>
              </w:rPr>
              <w:t>8.3采用喷洒消毒方式时，可采用有效氯浓度为1000mg/L 的消毒液，均匀喷洒，静置作用时间＞30min；采用浸泡消毒方式时，可采用有效氯浓度为500mg/L的消毒液，浸泡时间＞30min。</w:t>
            </w:r>
          </w:p>
          <w:p>
            <w:pPr>
              <w:pStyle w:val="164"/>
              <w:jc w:val="left"/>
              <w:rPr>
                <w:color w:val="auto"/>
              </w:rPr>
            </w:pPr>
            <w:r>
              <w:rPr>
                <w:color w:val="auto"/>
              </w:rPr>
              <w:t>8.4周转箱/桶的清洗消毒宜选用自动化程度较高的设备。</w:t>
            </w:r>
          </w:p>
          <w:p>
            <w:pPr>
              <w:pStyle w:val="164"/>
              <w:jc w:val="left"/>
              <w:rPr>
                <w:color w:val="auto"/>
              </w:rPr>
            </w:pPr>
            <w:r>
              <w:rPr>
                <w:color w:val="auto"/>
              </w:rPr>
              <w:t>8.5清洗消毒场所应设置消毒废水收集设施，收集的废水应排至厂区废水处理设施。</w:t>
            </w:r>
          </w:p>
        </w:tc>
        <w:tc>
          <w:tcPr>
            <w:tcW w:w="3048" w:type="dxa"/>
            <w:tcBorders>
              <w:tl2br w:val="nil"/>
              <w:tr2bl w:val="nil"/>
            </w:tcBorders>
            <w:vAlign w:val="center"/>
          </w:tcPr>
          <w:p>
            <w:pPr>
              <w:pStyle w:val="164"/>
              <w:rPr>
                <w:color w:val="auto"/>
              </w:rPr>
            </w:pPr>
            <w:r>
              <w:rPr>
                <w:color w:val="auto"/>
              </w:rPr>
              <w:t>本项目设置有专门的消毒设施，不在会车辆清洗场所清洗医疗废物运输车辆；消毒方式为喷洒消毒，静置作用时间＞30min；厂区配备有专门的消毒设备，并且消毒废水经收集后排至场区废水处理站处理。</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4539" w:hRule="atLeast"/>
          <w:jc w:val="center"/>
        </w:trPr>
        <w:tc>
          <w:tcPr>
            <w:tcW w:w="637" w:type="dxa"/>
            <w:vMerge w:val="continue"/>
            <w:tcBorders>
              <w:tl2br w:val="nil"/>
              <w:tr2bl w:val="nil"/>
            </w:tcBorders>
            <w:vAlign w:val="center"/>
          </w:tcPr>
          <w:p>
            <w:pPr>
              <w:pStyle w:val="164"/>
              <w:rPr>
                <w:color w:val="auto"/>
              </w:rPr>
            </w:pPr>
          </w:p>
        </w:tc>
        <w:tc>
          <w:tcPr>
            <w:tcW w:w="4281" w:type="dxa"/>
            <w:tcBorders>
              <w:tl2br w:val="nil"/>
              <w:tr2bl w:val="nil"/>
            </w:tcBorders>
            <w:vAlign w:val="center"/>
          </w:tcPr>
          <w:p>
            <w:pPr>
              <w:pStyle w:val="164"/>
              <w:numPr>
                <w:ilvl w:val="0"/>
                <w:numId w:val="22"/>
              </w:numPr>
              <w:jc w:val="left"/>
              <w:rPr>
                <w:color w:val="auto"/>
              </w:rPr>
            </w:pPr>
            <w:r>
              <w:rPr>
                <w:color w:val="auto"/>
              </w:rPr>
              <w:t>废气处理单元</w:t>
            </w:r>
          </w:p>
          <w:p>
            <w:pPr>
              <w:pStyle w:val="164"/>
              <w:jc w:val="left"/>
              <w:rPr>
                <w:color w:val="auto"/>
              </w:rPr>
            </w:pPr>
            <w:r>
              <w:rPr>
                <w:color w:val="auto"/>
              </w:rPr>
              <w:t>9.1蒸汽消毒处理单元抽真空排气口、贮存设施排气口应设置废气净化装置，废气净化装置应具备除菌、除臭、去除颗粒物和VOCs 的功能。</w:t>
            </w:r>
          </w:p>
          <w:p>
            <w:pPr>
              <w:pStyle w:val="164"/>
              <w:jc w:val="left"/>
              <w:rPr>
                <w:color w:val="auto"/>
              </w:rPr>
            </w:pPr>
            <w:r>
              <w:rPr>
                <w:color w:val="auto"/>
              </w:rPr>
              <w:t>9.2进料口、出料口、破碎设备集气装置收集的废气，宜导入蒸汽消毒处理单元的废气净化装置，也可单独设置废气净化装置进行处理。</w:t>
            </w:r>
          </w:p>
          <w:p>
            <w:pPr>
              <w:pStyle w:val="164"/>
              <w:jc w:val="left"/>
              <w:rPr>
                <w:color w:val="auto"/>
              </w:rPr>
            </w:pPr>
            <w:r>
              <w:rPr>
                <w:color w:val="auto"/>
              </w:rPr>
              <w:t>9.3废气净化装置可选择活性炭吸附、生物净化等技术，并根据废气特征及排放要求单独或组合设置。</w:t>
            </w:r>
          </w:p>
          <w:p>
            <w:pPr>
              <w:pStyle w:val="164"/>
              <w:jc w:val="left"/>
              <w:rPr>
                <w:color w:val="auto"/>
              </w:rPr>
            </w:pPr>
            <w:r>
              <w:rPr>
                <w:color w:val="auto"/>
              </w:rPr>
              <w:t>9.4废气净化装置应设置进气阀、压力仪表和排气阀，设计流量应与处理规模相匹配。</w:t>
            </w:r>
          </w:p>
          <w:p>
            <w:pPr>
              <w:pStyle w:val="164"/>
              <w:jc w:val="left"/>
              <w:rPr>
                <w:color w:val="auto"/>
              </w:rPr>
            </w:pPr>
            <w:r>
              <w:rPr>
                <w:color w:val="auto"/>
              </w:rPr>
              <w:t>9.5废气处理单元管道之间应保证连接的气密性。</w:t>
            </w:r>
          </w:p>
          <w:p>
            <w:pPr>
              <w:pStyle w:val="164"/>
              <w:jc w:val="left"/>
              <w:rPr>
                <w:color w:val="auto"/>
              </w:rPr>
            </w:pPr>
            <w:r>
              <w:rPr>
                <w:color w:val="auto"/>
              </w:rPr>
              <w:t>9.6排气筒高度设置应符合GB 16297的要求。</w:t>
            </w:r>
          </w:p>
        </w:tc>
        <w:tc>
          <w:tcPr>
            <w:tcW w:w="3048" w:type="dxa"/>
            <w:tcBorders>
              <w:tl2br w:val="nil"/>
              <w:tr2bl w:val="nil"/>
            </w:tcBorders>
            <w:vAlign w:val="center"/>
          </w:tcPr>
          <w:p>
            <w:pPr>
              <w:pStyle w:val="164"/>
              <w:rPr>
                <w:color w:val="auto"/>
              </w:rPr>
            </w:pPr>
            <w:r>
              <w:rPr>
                <w:color w:val="auto"/>
              </w:rPr>
              <w:t>本项目</w:t>
            </w:r>
            <w:r>
              <w:rPr>
                <w:rFonts w:hint="eastAsia"/>
                <w:color w:val="auto"/>
              </w:rPr>
              <w:t>全厂2套</w:t>
            </w:r>
            <w:r>
              <w:rPr>
                <w:color w:val="auto"/>
              </w:rPr>
              <w:t>蒸汽消毒处理单元产生的废气经</w:t>
            </w:r>
            <w:r>
              <w:rPr>
                <w:rFonts w:hint="eastAsia"/>
                <w:color w:val="auto"/>
              </w:rPr>
              <w:t>各自</w:t>
            </w:r>
            <w:r>
              <w:rPr>
                <w:color w:val="auto"/>
              </w:rPr>
              <w:t>设备自带的“生物过滤+活性炭吸附”进行预处理，预处理后汇同医疗废物贮存废气一起通过“碱喷淋+等离子+活性炭”进行处理，最终经15m排气筒排放。</w:t>
            </w:r>
          </w:p>
        </w:tc>
        <w:tc>
          <w:tcPr>
            <w:tcW w:w="823" w:type="dxa"/>
            <w:tcBorders>
              <w:tl2br w:val="nil"/>
              <w:tr2bl w:val="nil"/>
            </w:tcBorders>
            <w:vAlign w:val="center"/>
          </w:tcPr>
          <w:p>
            <w:pPr>
              <w:pStyle w:val="164"/>
              <w:rPr>
                <w:color w:val="auto"/>
              </w:rPr>
            </w:pPr>
            <w:r>
              <w:rPr>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Ex>
        <w:trPr>
          <w:trHeight w:val="283" w:hRule="atLeast"/>
          <w:jc w:val="center"/>
        </w:trPr>
        <w:tc>
          <w:tcPr>
            <w:tcW w:w="637" w:type="dxa"/>
            <w:vMerge w:val="continue"/>
            <w:tcBorders>
              <w:tl2br w:val="nil"/>
              <w:tr2bl w:val="nil"/>
            </w:tcBorders>
            <w:vAlign w:val="center"/>
          </w:tcPr>
          <w:p>
            <w:pPr>
              <w:pStyle w:val="164"/>
              <w:rPr>
                <w:color w:val="auto"/>
              </w:rPr>
            </w:pPr>
          </w:p>
        </w:tc>
        <w:tc>
          <w:tcPr>
            <w:tcW w:w="4281" w:type="dxa"/>
            <w:tcBorders>
              <w:tl2br w:val="nil"/>
              <w:tr2bl w:val="nil"/>
            </w:tcBorders>
            <w:vAlign w:val="center"/>
          </w:tcPr>
          <w:p>
            <w:pPr>
              <w:pStyle w:val="164"/>
              <w:numPr>
                <w:ilvl w:val="0"/>
                <w:numId w:val="22"/>
              </w:numPr>
              <w:jc w:val="left"/>
              <w:rPr>
                <w:color w:val="auto"/>
              </w:rPr>
            </w:pPr>
            <w:r>
              <w:rPr>
                <w:color w:val="auto"/>
              </w:rPr>
              <w:t>废水处理单元</w:t>
            </w:r>
          </w:p>
          <w:p>
            <w:pPr>
              <w:pStyle w:val="164"/>
              <w:jc w:val="left"/>
              <w:rPr>
                <w:color w:val="auto"/>
              </w:rPr>
            </w:pPr>
            <w:r>
              <w:rPr>
                <w:color w:val="auto"/>
              </w:rPr>
              <w:t>10.1医疗废物高温蒸汽消毒集中处理工程的生产废水及生活污水应分别设置收集系统。生活污水宜排入市政管网，或单独收集、单独处理，不得与生产废水混合收集、处理。</w:t>
            </w:r>
          </w:p>
          <w:p>
            <w:pPr>
              <w:pStyle w:val="164"/>
              <w:jc w:val="left"/>
              <w:rPr>
                <w:color w:val="auto"/>
              </w:rPr>
            </w:pPr>
            <w:r>
              <w:rPr>
                <w:color w:val="auto"/>
              </w:rPr>
              <w:t>10.2集中处理工程应设置生产废水处理设施，废水处理工艺应根据废水水质特点、处理后的去向等因素确定，宜采用二级处理+消毒工艺或二级处理+深度处理+消毒工艺，工艺设计参见HJ 2029。</w:t>
            </w:r>
          </w:p>
          <w:p>
            <w:pPr>
              <w:pStyle w:val="164"/>
              <w:jc w:val="left"/>
              <w:rPr>
                <w:color w:val="auto"/>
              </w:rPr>
            </w:pPr>
            <w:r>
              <w:rPr>
                <w:color w:val="auto"/>
              </w:rPr>
              <w:t>10.3高温蒸汽消毒处理过程产生的残液应经消毒处理后排入生产废水处理设施，消毒处理效果应不低于医疗废物高温蒸汽消毒处理要求，可采用热力消毒方式对残液进行消毒处理。</w:t>
            </w:r>
          </w:p>
          <w:p>
            <w:pPr>
              <w:pStyle w:val="164"/>
              <w:jc w:val="left"/>
              <w:rPr>
                <w:color w:val="auto"/>
              </w:rPr>
            </w:pPr>
            <w:r>
              <w:rPr>
                <w:color w:val="auto"/>
              </w:rPr>
              <w:t>10.4集中处理工程初期雨水、事故废水应收集并排入生产废水处理设施。</w:t>
            </w:r>
          </w:p>
          <w:p>
            <w:pPr>
              <w:pStyle w:val="164"/>
              <w:jc w:val="left"/>
              <w:rPr>
                <w:color w:val="auto"/>
              </w:rPr>
            </w:pPr>
            <w:r>
              <w:rPr>
                <w:color w:val="auto"/>
              </w:rPr>
              <w:t>10.5集中处理工程废水处理设施出水宜优先回用。回用于生产，应符合GB/T 19923的要求，回用于清洗等，应符合GB/T 18920的要求。</w:t>
            </w:r>
          </w:p>
        </w:tc>
        <w:tc>
          <w:tcPr>
            <w:tcW w:w="3048" w:type="dxa"/>
            <w:tcBorders>
              <w:tl2br w:val="nil"/>
              <w:tr2bl w:val="nil"/>
            </w:tcBorders>
            <w:vAlign w:val="center"/>
          </w:tcPr>
          <w:p>
            <w:pPr>
              <w:pStyle w:val="164"/>
              <w:rPr>
                <w:color w:val="auto"/>
              </w:rPr>
            </w:pPr>
            <w:r>
              <w:rPr>
                <w:color w:val="auto"/>
              </w:rPr>
              <w:t>本项目生产废水及生活污水分别收集和处理；</w:t>
            </w:r>
            <w:r>
              <w:rPr>
                <w:rFonts w:hint="eastAsia"/>
                <w:color w:val="auto"/>
              </w:rPr>
              <w:t>全厂</w:t>
            </w:r>
            <w:r>
              <w:rPr>
                <w:color w:val="auto"/>
              </w:rPr>
              <w:t>生产废水建设10m</w:t>
            </w:r>
            <w:r>
              <w:rPr>
                <w:color w:val="auto"/>
                <w:vertAlign w:val="superscript"/>
              </w:rPr>
              <w:t>3</w:t>
            </w:r>
            <w:r>
              <w:rPr>
                <w:color w:val="auto"/>
              </w:rPr>
              <w:t>/d一体化污水处理站（A²O+MBR+消毒），高温蒸汽消毒处理过程产生的残液排入生产废水处理设施处理。本项目处理后的废水达到《医疗机构水污染物排放标准》（GB18466-2005）综合医疗机构和其他医疗机构水污染物排放限值及《城市污水再生利用 城市杂用水水质》（GB/T18920-2020）中城市绿化、道路清扫、消防、建筑施工用水要求，处理后废水全部回用于中卫市生活垃圾填埋场道路抑尘，不外排。</w:t>
            </w:r>
          </w:p>
        </w:tc>
        <w:tc>
          <w:tcPr>
            <w:tcW w:w="823" w:type="dxa"/>
            <w:tcBorders>
              <w:tl2br w:val="nil"/>
              <w:tr2bl w:val="nil"/>
            </w:tcBorders>
            <w:vAlign w:val="center"/>
          </w:tcPr>
          <w:p>
            <w:pPr>
              <w:pStyle w:val="164"/>
              <w:rPr>
                <w:color w:val="auto"/>
              </w:rPr>
            </w:pPr>
            <w:r>
              <w:rPr>
                <w:color w:val="auto"/>
              </w:rPr>
              <w:t>符合</w:t>
            </w:r>
          </w:p>
        </w:tc>
      </w:tr>
    </w:tbl>
    <w:p>
      <w:pPr>
        <w:pStyle w:val="5"/>
        <w:numPr>
          <w:ilvl w:val="2"/>
          <w:numId w:val="0"/>
        </w:numPr>
        <w:ind w:left="-720" w:leftChars="-343" w:firstLine="723" w:firstLineChars="300"/>
        <w:rPr>
          <w:color w:val="auto"/>
        </w:rPr>
      </w:pPr>
      <w:bookmarkStart w:id="32" w:name="_Toc109398528"/>
      <w:r>
        <w:rPr>
          <w:color w:val="auto"/>
        </w:rPr>
        <w:t>4.5选址合理性分析</w:t>
      </w:r>
      <w:bookmarkEnd w:id="32"/>
    </w:p>
    <w:p>
      <w:pPr>
        <w:pStyle w:val="130"/>
        <w:ind w:firstLine="480"/>
        <w:rPr>
          <w:color w:val="auto"/>
        </w:rPr>
      </w:pPr>
      <w:r>
        <w:rPr>
          <w:color w:val="auto"/>
        </w:rPr>
        <w:t>本项目选址位于宁夏中卫市永康镇阳沟村中卫市生活垃圾填埋场西侧，不新增用地，选址不涉及生态保护红线。项目区域地势开阔、土地平坦、地理位置优越，基础设施齐全，服务功能完善。交通、供水、通讯以及其它基础条件良好，有利于项目的顺利实施。项目建设注重环境保护，以人为本，节约用地，减少对生态和环境的影响，坚持可持续发展原则。</w:t>
      </w:r>
    </w:p>
    <w:p>
      <w:pPr>
        <w:pStyle w:val="130"/>
        <w:ind w:firstLine="480"/>
        <w:rPr>
          <w:color w:val="auto"/>
        </w:rPr>
      </w:pPr>
      <w:r>
        <w:rPr>
          <w:color w:val="auto"/>
        </w:rPr>
        <w:t>根据建设提供的建设用地规划许可证（编号：20060092，详见附件2）、建设项目选址意见书（编号：卫规划20060142，详见附件3）以及中卫市发展和改革委员会关于中卫医疗废物处置中心改造项目建设方案的批复（卫发改发〔2020〕114号，详见附件6），本项目选址符合规划要求。</w:t>
      </w:r>
    </w:p>
    <w:p>
      <w:pPr>
        <w:pStyle w:val="130"/>
        <w:ind w:firstLine="480"/>
        <w:rPr>
          <w:color w:val="auto"/>
        </w:rPr>
      </w:pPr>
      <w:r>
        <w:rPr>
          <w:color w:val="auto"/>
        </w:rPr>
        <w:t>根据本项目与相关标准和技术规范的符合性分析，本项目选址符合《医疗废物处理处置污染控制标准》（GB39707-2020）、《医疗废物高温蒸汽消毒集中处理工程技术规范》（HJ 276-2021）和《危险废物贮存污染控制标准》（GB18597-2001）及2013年修改单中的相关选址要求。</w:t>
      </w:r>
    </w:p>
    <w:p>
      <w:pPr>
        <w:pStyle w:val="130"/>
        <w:ind w:firstLine="480"/>
        <w:rPr>
          <w:color w:val="auto"/>
        </w:rPr>
      </w:pPr>
      <w:r>
        <w:rPr>
          <w:rFonts w:hint="eastAsia"/>
          <w:color w:val="auto"/>
        </w:rPr>
        <w:t>现有工程</w:t>
      </w:r>
      <w:r>
        <w:rPr>
          <w:color w:val="auto"/>
        </w:rPr>
        <w:t>及本次评价确定全厂卫生防护距离为100m，卫生防护距离范围内无居民集中居住区、水源地、地表水、自然保护区等敏感区。最近环境敏感目标位于西侧162m处的中卫市永康镇阳沟村希望小学，位于主导风向下风向。生产过程中主要产生噪声、固废、废气、废水等污染物，通过采取合理有效的污染防治措施，不会对周围环境产生明显的不利影响。</w:t>
      </w:r>
    </w:p>
    <w:p>
      <w:pPr>
        <w:pStyle w:val="130"/>
        <w:ind w:firstLine="480"/>
        <w:rPr>
          <w:color w:val="auto"/>
        </w:rPr>
      </w:pPr>
      <w:r>
        <w:rPr>
          <w:color w:val="auto"/>
        </w:rPr>
        <w:t>综上，从环保角度考虑，本项目选址合理。</w:t>
      </w:r>
    </w:p>
    <w:p>
      <w:pPr>
        <w:pStyle w:val="5"/>
        <w:numPr>
          <w:ilvl w:val="2"/>
          <w:numId w:val="0"/>
        </w:numPr>
        <w:ind w:left="-720" w:leftChars="-343" w:firstLine="723" w:firstLineChars="300"/>
        <w:rPr>
          <w:color w:val="auto"/>
        </w:rPr>
      </w:pPr>
      <w:bookmarkStart w:id="33" w:name="_Toc109398529"/>
      <w:r>
        <w:rPr>
          <w:color w:val="auto"/>
        </w:rPr>
        <w:t>4.6平面布置合理性分析</w:t>
      </w:r>
      <w:bookmarkEnd w:id="33"/>
    </w:p>
    <w:p>
      <w:pPr>
        <w:pStyle w:val="130"/>
        <w:ind w:firstLine="480"/>
        <w:rPr>
          <w:color w:val="auto"/>
        </w:rPr>
      </w:pPr>
      <w:r>
        <w:rPr>
          <w:rFonts w:hint="eastAsia"/>
          <w:color w:val="auto"/>
        </w:rPr>
        <w:t>现有工程</w:t>
      </w:r>
      <w:r>
        <w:rPr>
          <w:color w:val="auto"/>
        </w:rPr>
        <w:t>位于宁夏中卫市永康镇阳沟村中卫市生活垃圾填埋场西侧，占地面积5570m</w:t>
      </w:r>
      <w:r>
        <w:rPr>
          <w:color w:val="auto"/>
          <w:vertAlign w:val="superscript"/>
        </w:rPr>
        <w:t>2</w:t>
      </w:r>
      <w:r>
        <w:rPr>
          <w:color w:val="auto"/>
        </w:rPr>
        <w:t>，可分为生产区和生活区两部分。其中生产区（包括高温蒸煮车间、卸料区、</w:t>
      </w:r>
      <w:r>
        <w:rPr>
          <w:color w:val="auto"/>
          <w:w w:val="110"/>
        </w:rPr>
        <w:t>医废冷藏车间及附属设施等</w:t>
      </w:r>
      <w:r>
        <w:rPr>
          <w:color w:val="auto"/>
        </w:rPr>
        <w:t>）布置在厂区南侧，生活区（包括职工办公、活动、休息的场所）布置厂区北侧。本项目新增车库位于厂区西南侧，利用厂区原有闲置用地进行建设，不新增用地，不会对原有项目造成影响。且厂区四周设有绿化隔离带，避免物流、人流交叉。中卫市常年主导风向为东风，生活区处于常年主导风向的侧风向，降低了生产区对生活区的影响。平面布置方案考虑了整个项目的工艺流程，处理工艺顺畅，并且处理中心内交通便捷，便于管理。场前区周围建有绿化带，能有效的防止噪声污染和恶臭影响，使管理人员的身体健康有所保障，平面布置合理。</w:t>
      </w:r>
    </w:p>
    <w:p>
      <w:pPr>
        <w:pStyle w:val="4"/>
        <w:numPr>
          <w:ilvl w:val="1"/>
          <w:numId w:val="0"/>
        </w:numPr>
        <w:spacing w:before="120"/>
        <w:rPr>
          <w:color w:val="auto"/>
        </w:rPr>
      </w:pPr>
      <w:bookmarkStart w:id="34" w:name="_Toc109398530"/>
      <w:r>
        <w:rPr>
          <w:color w:val="auto"/>
        </w:rPr>
        <w:t>5、关注的主要环境问题</w:t>
      </w:r>
      <w:bookmarkEnd w:id="14"/>
      <w:bookmarkEnd w:id="15"/>
      <w:bookmarkEnd w:id="16"/>
      <w:bookmarkEnd w:id="17"/>
      <w:bookmarkEnd w:id="18"/>
      <w:bookmarkEnd w:id="19"/>
      <w:bookmarkEnd w:id="20"/>
      <w:bookmarkEnd w:id="21"/>
      <w:bookmarkEnd w:id="22"/>
      <w:bookmarkEnd w:id="24"/>
      <w:bookmarkEnd w:id="25"/>
      <w:bookmarkEnd w:id="26"/>
      <w:bookmarkEnd w:id="27"/>
      <w:bookmarkEnd w:id="34"/>
    </w:p>
    <w:p>
      <w:pPr>
        <w:pStyle w:val="130"/>
        <w:ind w:firstLine="480"/>
        <w:rPr>
          <w:color w:val="auto"/>
        </w:rPr>
      </w:pPr>
      <w:bookmarkStart w:id="35" w:name="_Toc385859720"/>
      <w:bookmarkStart w:id="36" w:name="_Toc399330196"/>
      <w:bookmarkStart w:id="37" w:name="_Toc399330456"/>
      <w:bookmarkStart w:id="38" w:name="_Toc386983467"/>
      <w:bookmarkStart w:id="39" w:name="_Toc399492078"/>
      <w:bookmarkStart w:id="40" w:name="_Toc399431303"/>
      <w:bookmarkStart w:id="41" w:name="_Toc508377252"/>
      <w:bookmarkStart w:id="42" w:name="_Toc508714624"/>
      <w:bookmarkStart w:id="43" w:name="_Toc508377153"/>
      <w:r>
        <w:rPr>
          <w:color w:val="auto"/>
        </w:rPr>
        <w:t>根据建设项目特点和所处区域的环境现状情况，结合当前环保管理的有关要求，确定本项目建设和运营过程中关注的主要问题如下：</w:t>
      </w:r>
    </w:p>
    <w:p>
      <w:pPr>
        <w:pStyle w:val="130"/>
        <w:ind w:firstLine="480"/>
        <w:rPr>
          <w:color w:val="auto"/>
        </w:rPr>
      </w:pPr>
      <w:r>
        <w:rPr>
          <w:color w:val="auto"/>
        </w:rPr>
        <w:t>（1）项目运营期排放的各类大气污染物防治措施是否可行，经处理后是否能够达标排放，对周边环境敏感目标及评价区域的最大影响是否可以接受；</w:t>
      </w:r>
    </w:p>
    <w:p>
      <w:pPr>
        <w:pStyle w:val="130"/>
        <w:ind w:firstLine="480"/>
        <w:rPr>
          <w:color w:val="auto"/>
        </w:rPr>
      </w:pPr>
      <w:r>
        <w:rPr>
          <w:color w:val="auto"/>
        </w:rPr>
        <w:t>（2）项目产生的固废减量化、资源化、无害化处理措施是否可行；；</w:t>
      </w:r>
    </w:p>
    <w:p>
      <w:pPr>
        <w:pStyle w:val="130"/>
        <w:ind w:firstLine="480"/>
        <w:rPr>
          <w:color w:val="auto"/>
        </w:rPr>
      </w:pPr>
      <w:r>
        <w:rPr>
          <w:color w:val="auto"/>
        </w:rPr>
        <w:t>（3）核实项目污水处理站及固废处理设施的合理性；</w:t>
      </w:r>
    </w:p>
    <w:p>
      <w:pPr>
        <w:pStyle w:val="130"/>
        <w:ind w:firstLine="480"/>
        <w:rPr>
          <w:color w:val="auto"/>
        </w:rPr>
      </w:pPr>
      <w:r>
        <w:rPr>
          <w:color w:val="auto"/>
        </w:rPr>
        <w:t>（4）</w:t>
      </w:r>
      <w:r>
        <w:rPr>
          <w:color w:val="auto"/>
          <w:lang w:bidi="zh-CN"/>
        </w:rPr>
        <w:t>设备、风机、水泵等在运行过程中对声环境的影响是否可以接受；</w:t>
      </w:r>
    </w:p>
    <w:p>
      <w:pPr>
        <w:pStyle w:val="130"/>
        <w:ind w:firstLine="480"/>
        <w:rPr>
          <w:color w:val="auto"/>
        </w:rPr>
      </w:pPr>
      <w:r>
        <w:rPr>
          <w:color w:val="auto"/>
        </w:rPr>
        <w:t>（5）项目存在的风险类型，以及对环境保护目标的影响程度。</w:t>
      </w:r>
    </w:p>
    <w:bookmarkEnd w:id="35"/>
    <w:bookmarkEnd w:id="36"/>
    <w:bookmarkEnd w:id="37"/>
    <w:bookmarkEnd w:id="38"/>
    <w:bookmarkEnd w:id="39"/>
    <w:bookmarkEnd w:id="40"/>
    <w:p>
      <w:pPr>
        <w:pStyle w:val="4"/>
        <w:numPr>
          <w:ilvl w:val="1"/>
          <w:numId w:val="0"/>
        </w:numPr>
        <w:spacing w:before="120"/>
        <w:rPr>
          <w:color w:val="auto"/>
        </w:rPr>
      </w:pPr>
      <w:bookmarkStart w:id="44" w:name="_Toc11595159"/>
      <w:bookmarkStart w:id="45" w:name="_Toc109398531"/>
      <w:r>
        <w:rPr>
          <w:color w:val="auto"/>
        </w:rPr>
        <w:t>6、报告的主要结论</w:t>
      </w:r>
      <w:bookmarkEnd w:id="41"/>
      <w:bookmarkEnd w:id="42"/>
      <w:bookmarkEnd w:id="43"/>
      <w:bookmarkEnd w:id="44"/>
      <w:bookmarkEnd w:id="45"/>
    </w:p>
    <w:p>
      <w:pPr>
        <w:pStyle w:val="130"/>
        <w:ind w:firstLine="480"/>
        <w:rPr>
          <w:color w:val="auto"/>
        </w:rPr>
      </w:pPr>
      <w:r>
        <w:rPr>
          <w:color w:val="auto"/>
          <w:lang w:bidi="zh-CN"/>
        </w:rPr>
        <w:t>本项目选址合理，符合国家产业政策要求，符合当地城市规划要求。</w:t>
      </w:r>
      <w:r>
        <w:rPr>
          <w:color w:val="auto"/>
        </w:rPr>
        <w:t>项目采取的污染防治措施技术均比较成熟、可靠，在切实落实本报告中提出的各项污染物防治措施以及生产设施正常运行状况下，各污染物排放对周边的环境影响较小。环境风险可防可控。建设单位通过严格执行环保“三同时”制度，并根据环评报告书的要求，对项目产生的污染采取有效的污染防治措施后，</w:t>
      </w:r>
      <w:r>
        <w:rPr>
          <w:color w:val="auto"/>
          <w:spacing w:val="-4"/>
        </w:rPr>
        <w:t>不会改变区域环境功能现状，</w:t>
      </w:r>
      <w:r>
        <w:rPr>
          <w:color w:val="auto"/>
          <w:spacing w:val="-3"/>
        </w:rPr>
        <w:t>从环境保护角度分析，</w:t>
      </w:r>
      <w:r>
        <w:rPr>
          <w:color w:val="auto"/>
        </w:rPr>
        <w:t>本项目的建设可行。</w:t>
      </w:r>
    </w:p>
    <w:p>
      <w:pPr>
        <w:widowControl/>
        <w:spacing w:line="360" w:lineRule="auto"/>
        <w:jc w:val="left"/>
        <w:rPr>
          <w:rFonts w:eastAsiaTheme="minorEastAsia"/>
          <w:b/>
          <w:snapToGrid w:val="0"/>
          <w:color w:val="auto"/>
          <w:kern w:val="44"/>
          <w:sz w:val="32"/>
          <w:szCs w:val="32"/>
        </w:rPr>
        <w:sectPr>
          <w:pgSz w:w="11906" w:h="16838"/>
          <w:pgMar w:top="1701" w:right="1701" w:bottom="1701" w:left="1701" w:header="851" w:footer="851" w:gutter="0"/>
          <w:pgNumType w:start="1"/>
          <w:cols w:space="720" w:num="1"/>
          <w:docGrid w:linePitch="466" w:charSpace="0"/>
        </w:sectPr>
      </w:pPr>
    </w:p>
    <w:p>
      <w:pPr>
        <w:pStyle w:val="3"/>
        <w:numPr>
          <w:ilvl w:val="0"/>
          <w:numId w:val="0"/>
        </w:numPr>
        <w:spacing w:before="120" w:after="120"/>
        <w:jc w:val="center"/>
        <w:rPr>
          <w:rFonts w:ascii="Times New Roman" w:hAnsi="Times New Roman"/>
          <w:color w:val="auto"/>
        </w:rPr>
      </w:pPr>
      <w:bookmarkStart w:id="46" w:name="_Toc508714625"/>
      <w:bookmarkStart w:id="47" w:name="_Toc508377253"/>
      <w:bookmarkStart w:id="48" w:name="_Toc109398532"/>
      <w:bookmarkStart w:id="49" w:name="_Toc508377154"/>
      <w:bookmarkStart w:id="50" w:name="_Toc11595160"/>
      <w:r>
        <w:rPr>
          <w:rFonts w:ascii="Times New Roman" w:hAnsi="Times New Roman"/>
          <w:color w:val="auto"/>
        </w:rPr>
        <w:t>1总则</w:t>
      </w:r>
      <w:bookmarkEnd w:id="46"/>
      <w:bookmarkEnd w:id="47"/>
      <w:bookmarkEnd w:id="48"/>
      <w:bookmarkEnd w:id="49"/>
      <w:bookmarkEnd w:id="50"/>
    </w:p>
    <w:p>
      <w:pPr>
        <w:pStyle w:val="4"/>
        <w:numPr>
          <w:ilvl w:val="1"/>
          <w:numId w:val="0"/>
        </w:numPr>
        <w:spacing w:before="120"/>
        <w:rPr>
          <w:color w:val="auto"/>
        </w:rPr>
      </w:pPr>
      <w:bookmarkStart w:id="51" w:name="_Toc508377155"/>
      <w:bookmarkStart w:id="52" w:name="_Toc508377254"/>
      <w:bookmarkStart w:id="53" w:name="_Toc386179854"/>
      <w:bookmarkStart w:id="54" w:name="_Toc11595161"/>
      <w:bookmarkStart w:id="55" w:name="_Toc508714626"/>
      <w:bookmarkStart w:id="56" w:name="_Toc109398533"/>
      <w:r>
        <w:rPr>
          <w:color w:val="auto"/>
        </w:rPr>
        <w:t>1.1编制依据</w:t>
      </w:r>
      <w:bookmarkEnd w:id="51"/>
      <w:bookmarkEnd w:id="52"/>
      <w:bookmarkEnd w:id="53"/>
      <w:bookmarkEnd w:id="54"/>
      <w:bookmarkEnd w:id="55"/>
      <w:bookmarkEnd w:id="56"/>
    </w:p>
    <w:p>
      <w:pPr>
        <w:pStyle w:val="5"/>
        <w:numPr>
          <w:ilvl w:val="2"/>
          <w:numId w:val="0"/>
        </w:numPr>
        <w:ind w:left="-720" w:leftChars="-343" w:firstLine="723" w:firstLineChars="300"/>
        <w:rPr>
          <w:color w:val="auto"/>
        </w:rPr>
      </w:pPr>
      <w:bookmarkStart w:id="57" w:name="_Toc11595162"/>
      <w:bookmarkStart w:id="58" w:name="_Toc109398534"/>
      <w:bookmarkStart w:id="59" w:name="_Toc19099368"/>
      <w:r>
        <w:rPr>
          <w:color w:val="auto"/>
        </w:rPr>
        <w:t>1.1.1国家相关法律</w:t>
      </w:r>
      <w:bookmarkEnd w:id="57"/>
      <w:bookmarkEnd w:id="58"/>
    </w:p>
    <w:bookmarkEnd w:id="59"/>
    <w:p>
      <w:pPr>
        <w:pStyle w:val="130"/>
        <w:numPr>
          <w:ilvl w:val="0"/>
          <w:numId w:val="24"/>
        </w:numPr>
        <w:ind w:left="0" w:firstLine="360" w:firstLineChars="150"/>
        <w:rPr>
          <w:color w:val="auto"/>
        </w:rPr>
      </w:pPr>
      <w:r>
        <w:rPr>
          <w:color w:val="auto"/>
        </w:rPr>
        <w:t>《中华人民共和国环境保护法》（修订）（2015年1月1日）；</w:t>
      </w:r>
    </w:p>
    <w:p>
      <w:pPr>
        <w:pStyle w:val="130"/>
        <w:numPr>
          <w:ilvl w:val="0"/>
          <w:numId w:val="24"/>
        </w:numPr>
        <w:ind w:left="0" w:firstLine="360" w:firstLineChars="150"/>
        <w:rPr>
          <w:color w:val="auto"/>
        </w:rPr>
      </w:pPr>
      <w:r>
        <w:rPr>
          <w:color w:val="auto"/>
        </w:rPr>
        <w:t>《中华人民共和国环境影响评价法》（修订）（2018年12月29日）；</w:t>
      </w:r>
    </w:p>
    <w:p>
      <w:pPr>
        <w:pStyle w:val="130"/>
        <w:numPr>
          <w:ilvl w:val="0"/>
          <w:numId w:val="24"/>
        </w:numPr>
        <w:ind w:left="0" w:firstLine="360" w:firstLineChars="150"/>
        <w:rPr>
          <w:color w:val="auto"/>
        </w:rPr>
      </w:pPr>
      <w:r>
        <w:rPr>
          <w:color w:val="auto"/>
        </w:rPr>
        <w:t>《中华人民共和国大气污染防治法》（修订）（2018年10月26日）；</w:t>
      </w:r>
    </w:p>
    <w:p>
      <w:pPr>
        <w:pStyle w:val="130"/>
        <w:numPr>
          <w:ilvl w:val="0"/>
          <w:numId w:val="24"/>
        </w:numPr>
        <w:ind w:left="0" w:firstLine="360" w:firstLineChars="150"/>
        <w:rPr>
          <w:color w:val="auto"/>
        </w:rPr>
      </w:pPr>
      <w:r>
        <w:rPr>
          <w:color w:val="auto"/>
        </w:rPr>
        <w:t>《中华人民共和国水污染防治法》（修订）（2018年1月1日）；</w:t>
      </w:r>
    </w:p>
    <w:p>
      <w:pPr>
        <w:pStyle w:val="130"/>
        <w:numPr>
          <w:ilvl w:val="0"/>
          <w:numId w:val="24"/>
        </w:numPr>
        <w:ind w:left="0" w:firstLine="360" w:firstLineChars="150"/>
        <w:rPr>
          <w:color w:val="auto"/>
        </w:rPr>
      </w:pPr>
      <w:r>
        <w:rPr>
          <w:color w:val="auto"/>
        </w:rPr>
        <w:t>《中华人民共和国固体废物污染环境防治法》（修订）（2020年9月1日）；</w:t>
      </w:r>
    </w:p>
    <w:p>
      <w:pPr>
        <w:pStyle w:val="130"/>
        <w:numPr>
          <w:ilvl w:val="0"/>
          <w:numId w:val="24"/>
        </w:numPr>
        <w:ind w:left="0" w:firstLine="360" w:firstLineChars="150"/>
        <w:rPr>
          <w:color w:val="auto"/>
        </w:rPr>
      </w:pPr>
      <w:r>
        <w:rPr>
          <w:color w:val="auto"/>
        </w:rPr>
        <w:t>《中华人民共和国环境噪声污染防治法》（修订）（2021年12月24日）；</w:t>
      </w:r>
    </w:p>
    <w:p>
      <w:pPr>
        <w:pStyle w:val="130"/>
        <w:numPr>
          <w:ilvl w:val="0"/>
          <w:numId w:val="24"/>
        </w:numPr>
        <w:ind w:left="0" w:firstLine="360" w:firstLineChars="150"/>
        <w:rPr>
          <w:color w:val="auto"/>
        </w:rPr>
      </w:pPr>
      <w:r>
        <w:rPr>
          <w:color w:val="auto"/>
        </w:rPr>
        <w:t>《中华人民共和国土壤污染防治法》（2019年1月1日）；</w:t>
      </w:r>
    </w:p>
    <w:p>
      <w:pPr>
        <w:pStyle w:val="130"/>
        <w:numPr>
          <w:ilvl w:val="0"/>
          <w:numId w:val="24"/>
        </w:numPr>
        <w:ind w:left="0" w:firstLine="360" w:firstLineChars="150"/>
        <w:rPr>
          <w:color w:val="auto"/>
        </w:rPr>
      </w:pPr>
      <w:r>
        <w:rPr>
          <w:color w:val="auto"/>
        </w:rPr>
        <w:t>《中华人民共和国清洁生产促进法》（修订）（2012年7月1日）；</w:t>
      </w:r>
    </w:p>
    <w:p>
      <w:pPr>
        <w:pStyle w:val="130"/>
        <w:numPr>
          <w:ilvl w:val="0"/>
          <w:numId w:val="24"/>
        </w:numPr>
        <w:ind w:left="0" w:firstLine="360" w:firstLineChars="150"/>
        <w:rPr>
          <w:color w:val="auto"/>
        </w:rPr>
      </w:pPr>
      <w:r>
        <w:rPr>
          <w:color w:val="auto"/>
        </w:rPr>
        <w:t>《中华人民共和国循环经济促进法》（修订）（2018年10月26日）；</w:t>
      </w:r>
    </w:p>
    <w:p>
      <w:pPr>
        <w:pStyle w:val="130"/>
        <w:numPr>
          <w:ilvl w:val="0"/>
          <w:numId w:val="24"/>
        </w:numPr>
        <w:ind w:left="0" w:firstLine="360" w:firstLineChars="150"/>
        <w:rPr>
          <w:color w:val="auto"/>
        </w:rPr>
      </w:pPr>
      <w:r>
        <w:rPr>
          <w:color w:val="auto"/>
        </w:rPr>
        <w:t>《中华人民共和国节约能源法（修订）》（2016年7月2日）；</w:t>
      </w:r>
    </w:p>
    <w:p>
      <w:pPr>
        <w:pStyle w:val="130"/>
        <w:numPr>
          <w:ilvl w:val="0"/>
          <w:numId w:val="24"/>
        </w:numPr>
        <w:ind w:left="0" w:firstLine="360" w:firstLineChars="150"/>
        <w:rPr>
          <w:color w:val="auto"/>
        </w:rPr>
      </w:pPr>
      <w:r>
        <w:rPr>
          <w:color w:val="auto"/>
        </w:rPr>
        <w:t>《中华人民共和国土地管理法》（2020年1月1日）；</w:t>
      </w:r>
    </w:p>
    <w:p>
      <w:pPr>
        <w:pStyle w:val="130"/>
        <w:numPr>
          <w:ilvl w:val="0"/>
          <w:numId w:val="24"/>
        </w:numPr>
        <w:ind w:left="0" w:firstLine="360" w:firstLineChars="150"/>
        <w:rPr>
          <w:color w:val="auto"/>
        </w:rPr>
      </w:pPr>
      <w:r>
        <w:rPr>
          <w:color w:val="auto"/>
        </w:rPr>
        <w:t>《中华人民共和国安全生产法》（修订）</w:t>
      </w:r>
      <w:r>
        <w:rPr>
          <w:rFonts w:hint="eastAsia"/>
          <w:color w:val="auto"/>
        </w:rPr>
        <w:t>（</w:t>
      </w:r>
      <w:r>
        <w:rPr>
          <w:color w:val="auto"/>
        </w:rPr>
        <w:t>2021年6月10日</w:t>
      </w:r>
      <w:r>
        <w:rPr>
          <w:rFonts w:hint="eastAsia"/>
          <w:color w:val="auto"/>
        </w:rPr>
        <w:t>）</w:t>
      </w:r>
      <w:r>
        <w:rPr>
          <w:color w:val="auto"/>
        </w:rPr>
        <w:t>；</w:t>
      </w:r>
    </w:p>
    <w:p>
      <w:pPr>
        <w:pStyle w:val="130"/>
        <w:numPr>
          <w:ilvl w:val="0"/>
          <w:numId w:val="24"/>
        </w:numPr>
        <w:ind w:left="0" w:firstLine="360" w:firstLineChars="150"/>
        <w:rPr>
          <w:color w:val="auto"/>
        </w:rPr>
      </w:pPr>
      <w:r>
        <w:rPr>
          <w:color w:val="auto"/>
        </w:rPr>
        <w:t>《中华人民共和国水土保持法》（修订）（2011年3月1日）；</w:t>
      </w:r>
    </w:p>
    <w:p>
      <w:pPr>
        <w:pStyle w:val="5"/>
        <w:numPr>
          <w:ilvl w:val="2"/>
          <w:numId w:val="0"/>
        </w:numPr>
        <w:rPr>
          <w:color w:val="auto"/>
        </w:rPr>
      </w:pPr>
      <w:bookmarkStart w:id="60" w:name="_Toc109398535"/>
      <w:r>
        <w:rPr>
          <w:color w:val="auto"/>
        </w:rPr>
        <w:t>1.1.2国家法规及政策</w:t>
      </w:r>
      <w:bookmarkEnd w:id="60"/>
    </w:p>
    <w:p>
      <w:pPr>
        <w:pStyle w:val="130"/>
        <w:numPr>
          <w:ilvl w:val="0"/>
          <w:numId w:val="25"/>
        </w:numPr>
        <w:ind w:left="0" w:firstLine="360" w:firstLineChars="150"/>
        <w:rPr>
          <w:color w:val="auto"/>
        </w:rPr>
      </w:pPr>
      <w:r>
        <w:rPr>
          <w:color w:val="auto"/>
        </w:rPr>
        <w:t>《建设项目环境保护管理条例》（国务院令第682号，2017年6月21日通过，自2017年10月1日起施行）；</w:t>
      </w:r>
    </w:p>
    <w:p>
      <w:pPr>
        <w:pStyle w:val="130"/>
        <w:numPr>
          <w:ilvl w:val="0"/>
          <w:numId w:val="25"/>
        </w:numPr>
        <w:ind w:left="0" w:firstLine="360" w:firstLineChars="150"/>
        <w:rPr>
          <w:color w:val="auto"/>
        </w:rPr>
      </w:pPr>
      <w:r>
        <w:rPr>
          <w:color w:val="auto"/>
        </w:rPr>
        <w:t>《建设项目环境影响评价分类管理名录（2021年版）》，（中华人民共和国生态环境部令第16号，2021年1月1日实施）；</w:t>
      </w:r>
    </w:p>
    <w:p>
      <w:pPr>
        <w:pStyle w:val="130"/>
        <w:numPr>
          <w:ilvl w:val="0"/>
          <w:numId w:val="25"/>
        </w:numPr>
        <w:ind w:left="0" w:firstLine="360" w:firstLineChars="150"/>
        <w:rPr>
          <w:color w:val="auto"/>
        </w:rPr>
      </w:pPr>
      <w:r>
        <w:rPr>
          <w:color w:val="auto"/>
        </w:rPr>
        <w:t>《国家危险废物名录（2021年版）》（生态环境部、国家发展和改革委员会、公安部、交通运输部、国家卫生健康委员会令第15号，2021年1月1日实施）；</w:t>
      </w:r>
    </w:p>
    <w:p>
      <w:pPr>
        <w:pStyle w:val="130"/>
        <w:numPr>
          <w:ilvl w:val="0"/>
          <w:numId w:val="25"/>
        </w:numPr>
        <w:ind w:left="0" w:firstLine="360" w:firstLineChars="150"/>
        <w:rPr>
          <w:color w:val="auto"/>
        </w:rPr>
      </w:pPr>
      <w:r>
        <w:rPr>
          <w:color w:val="auto"/>
        </w:rPr>
        <w:t>《危险化学品安全管理条例》（2013年修订）（2013年12月4日国务院第32次常务会议修订通过，自2013年12月7日起施行）；</w:t>
      </w:r>
    </w:p>
    <w:p>
      <w:pPr>
        <w:pStyle w:val="130"/>
        <w:numPr>
          <w:ilvl w:val="0"/>
          <w:numId w:val="25"/>
        </w:numPr>
        <w:ind w:left="0" w:firstLine="360" w:firstLineChars="150"/>
        <w:rPr>
          <w:color w:val="auto"/>
        </w:rPr>
      </w:pPr>
      <w:r>
        <w:rPr>
          <w:color w:val="auto"/>
        </w:rPr>
        <w:t>《医疗废物管理条例》（2011年修订）（国务院令第588号，2011年1月8日实施）；</w:t>
      </w:r>
    </w:p>
    <w:p>
      <w:pPr>
        <w:pStyle w:val="130"/>
        <w:numPr>
          <w:ilvl w:val="0"/>
          <w:numId w:val="25"/>
        </w:numPr>
        <w:ind w:left="0" w:firstLine="360" w:firstLineChars="150"/>
        <w:rPr>
          <w:color w:val="auto"/>
        </w:rPr>
      </w:pPr>
      <w:r>
        <w:rPr>
          <w:color w:val="auto"/>
        </w:rPr>
        <w:t>《</w:t>
      </w:r>
      <w:r>
        <w:rPr>
          <w:rFonts w:hint="eastAsia"/>
          <w:color w:val="auto"/>
        </w:rPr>
        <w:t>医疗废物分类目录（2021年版）</w:t>
      </w:r>
      <w:r>
        <w:rPr>
          <w:color w:val="auto"/>
        </w:rPr>
        <w:t>》</w:t>
      </w:r>
      <w:r>
        <w:rPr>
          <w:rFonts w:hint="eastAsia"/>
          <w:color w:val="auto"/>
        </w:rPr>
        <w:t>（国卫医函〔2021〕238号）；</w:t>
      </w:r>
    </w:p>
    <w:p>
      <w:pPr>
        <w:pStyle w:val="130"/>
        <w:numPr>
          <w:ilvl w:val="0"/>
          <w:numId w:val="25"/>
        </w:numPr>
        <w:ind w:left="0" w:firstLine="360" w:firstLineChars="150"/>
        <w:rPr>
          <w:color w:val="auto"/>
        </w:rPr>
      </w:pPr>
      <w:r>
        <w:rPr>
          <w:color w:val="auto"/>
        </w:rPr>
        <w:t>《关于进一步加强环境影响评价管理防范环境风险的通知》</w:t>
      </w:r>
      <w:r>
        <w:rPr>
          <w:rFonts w:hint="eastAsia"/>
          <w:color w:val="auto"/>
        </w:rPr>
        <w:t>（</w:t>
      </w:r>
      <w:r>
        <w:rPr>
          <w:color w:val="auto"/>
        </w:rPr>
        <w:t>环境保护部环发[2012]77号</w:t>
      </w:r>
      <w:r>
        <w:rPr>
          <w:rFonts w:hint="eastAsia"/>
          <w:color w:val="auto"/>
        </w:rPr>
        <w:t>）</w:t>
      </w:r>
      <w:r>
        <w:rPr>
          <w:color w:val="auto"/>
        </w:rPr>
        <w:t>；</w:t>
      </w:r>
    </w:p>
    <w:p>
      <w:pPr>
        <w:pStyle w:val="130"/>
        <w:numPr>
          <w:ilvl w:val="0"/>
          <w:numId w:val="25"/>
        </w:numPr>
        <w:ind w:left="0" w:firstLine="360" w:firstLineChars="150"/>
        <w:rPr>
          <w:color w:val="auto"/>
        </w:rPr>
      </w:pPr>
      <w:r>
        <w:rPr>
          <w:color w:val="auto"/>
        </w:rPr>
        <w:t>《关于切实加强风险防范严格环境影响评价管理的通知》（环发[2012]98号）；</w:t>
      </w:r>
    </w:p>
    <w:p>
      <w:pPr>
        <w:pStyle w:val="130"/>
        <w:numPr>
          <w:ilvl w:val="0"/>
          <w:numId w:val="25"/>
        </w:numPr>
        <w:ind w:left="0" w:firstLine="360" w:firstLineChars="150"/>
        <w:rPr>
          <w:color w:val="auto"/>
        </w:rPr>
      </w:pPr>
      <w:r>
        <w:rPr>
          <w:color w:val="auto"/>
        </w:rPr>
        <w:t>《国务院关于加强环境保护重点工作的意见》</w:t>
      </w:r>
      <w:r>
        <w:rPr>
          <w:rFonts w:hint="eastAsia"/>
          <w:color w:val="auto"/>
        </w:rPr>
        <w:t>（</w:t>
      </w:r>
      <w:r>
        <w:rPr>
          <w:color w:val="auto"/>
        </w:rPr>
        <w:t>国发[2011]35号，2011年10月17日</w:t>
      </w:r>
      <w:r>
        <w:rPr>
          <w:rFonts w:hint="eastAsia"/>
          <w:color w:val="auto"/>
        </w:rPr>
        <w:t>）</w:t>
      </w:r>
      <w:r>
        <w:rPr>
          <w:color w:val="auto"/>
        </w:rPr>
        <w:t>；</w:t>
      </w:r>
    </w:p>
    <w:p>
      <w:pPr>
        <w:pStyle w:val="130"/>
        <w:numPr>
          <w:ilvl w:val="0"/>
          <w:numId w:val="25"/>
        </w:numPr>
        <w:ind w:left="0" w:firstLine="360" w:firstLineChars="150"/>
        <w:rPr>
          <w:color w:val="auto"/>
        </w:rPr>
      </w:pPr>
      <w:r>
        <w:rPr>
          <w:color w:val="auto"/>
        </w:rPr>
        <w:t>《国务院关于印发大气污染防治行动计划的通知》（国发[2013]37号）；</w:t>
      </w:r>
    </w:p>
    <w:p>
      <w:pPr>
        <w:pStyle w:val="130"/>
        <w:numPr>
          <w:ilvl w:val="0"/>
          <w:numId w:val="25"/>
        </w:numPr>
        <w:ind w:left="0" w:firstLine="360" w:firstLineChars="150"/>
        <w:rPr>
          <w:color w:val="auto"/>
        </w:rPr>
      </w:pPr>
      <w:r>
        <w:rPr>
          <w:color w:val="auto"/>
        </w:rPr>
        <w:t>《国务院关于印发水污染防治行动计划的通知》（国发[2015]17号）；</w:t>
      </w:r>
    </w:p>
    <w:p>
      <w:pPr>
        <w:pStyle w:val="130"/>
        <w:numPr>
          <w:ilvl w:val="0"/>
          <w:numId w:val="25"/>
        </w:numPr>
        <w:ind w:left="0" w:firstLine="360" w:firstLineChars="150"/>
        <w:rPr>
          <w:color w:val="auto"/>
        </w:rPr>
      </w:pPr>
      <w:r>
        <w:rPr>
          <w:color w:val="auto"/>
        </w:rPr>
        <w:t>《国务院关于印发土壤污染防治行动计划的通知》（国发[2016]31号）；</w:t>
      </w:r>
    </w:p>
    <w:p>
      <w:pPr>
        <w:pStyle w:val="130"/>
        <w:numPr>
          <w:ilvl w:val="0"/>
          <w:numId w:val="25"/>
        </w:numPr>
        <w:ind w:left="0" w:firstLine="360" w:firstLineChars="150"/>
        <w:rPr>
          <w:color w:val="auto"/>
        </w:rPr>
      </w:pPr>
      <w:r>
        <w:rPr>
          <w:color w:val="auto"/>
        </w:rPr>
        <w:t>关于印发《建设项目环境影响评价政府信息公开指南(试行)》的通知</w:t>
      </w:r>
      <w:r>
        <w:rPr>
          <w:rFonts w:hint="eastAsia"/>
          <w:color w:val="auto"/>
        </w:rPr>
        <w:t>（</w:t>
      </w:r>
      <w:r>
        <w:rPr>
          <w:color w:val="auto"/>
        </w:rPr>
        <w:t>环发[2013]103号，2013年11月14日</w:t>
      </w:r>
      <w:r>
        <w:rPr>
          <w:rFonts w:hint="eastAsia"/>
          <w:color w:val="auto"/>
        </w:rPr>
        <w:t>）</w:t>
      </w:r>
      <w:r>
        <w:rPr>
          <w:color w:val="auto"/>
        </w:rPr>
        <w:t>；</w:t>
      </w:r>
    </w:p>
    <w:p>
      <w:pPr>
        <w:pStyle w:val="130"/>
        <w:numPr>
          <w:ilvl w:val="0"/>
          <w:numId w:val="25"/>
        </w:numPr>
        <w:ind w:left="0" w:firstLine="360" w:firstLineChars="150"/>
        <w:rPr>
          <w:color w:val="auto"/>
        </w:rPr>
      </w:pPr>
      <w:r>
        <w:rPr>
          <w:color w:val="auto"/>
        </w:rPr>
        <w:t>《关于印发&lt;企业事业单位突发环境事件应急预案备案管理办法(试行)&gt;的通知》（环发[2015]4号，2015年1月9日实施）；</w:t>
      </w:r>
    </w:p>
    <w:p>
      <w:pPr>
        <w:pStyle w:val="130"/>
        <w:numPr>
          <w:ilvl w:val="0"/>
          <w:numId w:val="25"/>
        </w:numPr>
        <w:ind w:left="0" w:firstLine="360" w:firstLineChars="150"/>
        <w:rPr>
          <w:color w:val="auto"/>
        </w:rPr>
      </w:pPr>
      <w:r>
        <w:rPr>
          <w:color w:val="auto"/>
        </w:rPr>
        <w:t>《建设项目竣工环境保护验收暂行办法》（国环规环评[2017]4号，2017年11月20日）；</w:t>
      </w:r>
    </w:p>
    <w:p>
      <w:pPr>
        <w:pStyle w:val="130"/>
        <w:numPr>
          <w:ilvl w:val="0"/>
          <w:numId w:val="25"/>
        </w:numPr>
        <w:ind w:left="0" w:firstLine="360" w:firstLineChars="150"/>
        <w:rPr>
          <w:color w:val="auto"/>
        </w:rPr>
      </w:pPr>
      <w:r>
        <w:rPr>
          <w:color w:val="auto"/>
        </w:rPr>
        <w:t>《排污许可管理办法（试行）》（环境保护部令2018年第48号，2018年1月10日）；</w:t>
      </w:r>
    </w:p>
    <w:p>
      <w:pPr>
        <w:pStyle w:val="130"/>
        <w:numPr>
          <w:ilvl w:val="0"/>
          <w:numId w:val="25"/>
        </w:numPr>
        <w:ind w:left="0" w:firstLine="360" w:firstLineChars="150"/>
        <w:rPr>
          <w:color w:val="auto"/>
        </w:rPr>
      </w:pPr>
      <w:r>
        <w:rPr>
          <w:color w:val="auto"/>
        </w:rPr>
        <w:t>《关于做好环境影响评价制度与排污许可制衔接相关工作的通知》（环办环评[2017]84号，2017年11月14日）。</w:t>
      </w:r>
    </w:p>
    <w:p>
      <w:pPr>
        <w:pStyle w:val="130"/>
        <w:numPr>
          <w:ilvl w:val="0"/>
          <w:numId w:val="25"/>
        </w:numPr>
        <w:ind w:left="0" w:firstLine="360" w:firstLineChars="150"/>
        <w:rPr>
          <w:color w:val="auto"/>
        </w:rPr>
      </w:pPr>
      <w:r>
        <w:rPr>
          <w:color w:val="auto"/>
        </w:rPr>
        <w:t>《产业结构调整指导目录（2019年本）》</w:t>
      </w:r>
      <w:r>
        <w:rPr>
          <w:rFonts w:hint="eastAsia"/>
          <w:color w:val="auto"/>
        </w:rPr>
        <w:t>（</w:t>
      </w:r>
      <w:r>
        <w:rPr>
          <w:color w:val="auto"/>
        </w:rPr>
        <w:t>国家发展和改革委员会2019年第29号令，2020年1月1日起实施</w:t>
      </w:r>
      <w:r>
        <w:rPr>
          <w:rFonts w:hint="eastAsia"/>
          <w:color w:val="auto"/>
        </w:rPr>
        <w:t>）</w:t>
      </w:r>
      <w:r>
        <w:rPr>
          <w:color w:val="auto"/>
        </w:rPr>
        <w:t>。</w:t>
      </w:r>
    </w:p>
    <w:p>
      <w:pPr>
        <w:pStyle w:val="130"/>
        <w:numPr>
          <w:ilvl w:val="0"/>
          <w:numId w:val="25"/>
        </w:numPr>
        <w:ind w:left="0" w:firstLine="360" w:firstLineChars="150"/>
        <w:rPr>
          <w:color w:val="auto"/>
        </w:rPr>
      </w:pPr>
      <w:r>
        <w:rPr>
          <w:color w:val="auto"/>
        </w:rPr>
        <w:t>《环境影响评价公众参与办法》，生态环境部令第4号，2019年1月1日起实施。</w:t>
      </w:r>
    </w:p>
    <w:p>
      <w:pPr>
        <w:pStyle w:val="130"/>
        <w:numPr>
          <w:ilvl w:val="0"/>
          <w:numId w:val="25"/>
        </w:numPr>
        <w:ind w:left="0" w:firstLine="360" w:firstLineChars="150"/>
        <w:rPr>
          <w:color w:val="auto"/>
        </w:rPr>
      </w:pPr>
      <w:r>
        <w:rPr>
          <w:color w:val="auto"/>
        </w:rPr>
        <w:t>《危险废物鉴别标准通则》（GB5085.7-2019）；</w:t>
      </w:r>
    </w:p>
    <w:p>
      <w:pPr>
        <w:pStyle w:val="130"/>
        <w:numPr>
          <w:ilvl w:val="0"/>
          <w:numId w:val="25"/>
        </w:numPr>
        <w:ind w:left="0" w:firstLine="360" w:firstLineChars="150"/>
        <w:rPr>
          <w:color w:val="auto"/>
        </w:rPr>
      </w:pPr>
      <w:r>
        <w:rPr>
          <w:color w:val="auto"/>
        </w:rPr>
        <w:tab/>
      </w:r>
      <w:r>
        <w:rPr>
          <w:color w:val="auto"/>
        </w:rPr>
        <w:t>《危险废物污染防治技术政策》（2001年）；</w:t>
      </w:r>
    </w:p>
    <w:p>
      <w:pPr>
        <w:pStyle w:val="130"/>
        <w:numPr>
          <w:ilvl w:val="0"/>
          <w:numId w:val="25"/>
        </w:numPr>
        <w:ind w:left="0" w:firstLine="360" w:firstLineChars="150"/>
        <w:rPr>
          <w:color w:val="auto"/>
        </w:rPr>
      </w:pPr>
      <w:r>
        <w:rPr>
          <w:color w:val="auto"/>
        </w:rPr>
        <w:t>《关于进一步规范医疗废物管理工作的通知》</w:t>
      </w:r>
      <w:r>
        <w:rPr>
          <w:rFonts w:hint="eastAsia"/>
          <w:color w:val="auto"/>
        </w:rPr>
        <w:t>（</w:t>
      </w:r>
      <w:r>
        <w:rPr>
          <w:color w:val="auto"/>
        </w:rPr>
        <w:t>国卫办医发（2017）32号</w:t>
      </w:r>
      <w:r>
        <w:rPr>
          <w:rFonts w:hint="eastAsia"/>
          <w:color w:val="auto"/>
        </w:rPr>
        <w:t>）</w:t>
      </w:r>
      <w:r>
        <w:rPr>
          <w:color w:val="auto"/>
        </w:rPr>
        <w:t>；</w:t>
      </w:r>
    </w:p>
    <w:p>
      <w:pPr>
        <w:pStyle w:val="130"/>
        <w:numPr>
          <w:ilvl w:val="0"/>
          <w:numId w:val="25"/>
        </w:numPr>
        <w:ind w:left="0" w:firstLine="360" w:firstLineChars="150"/>
        <w:rPr>
          <w:color w:val="auto"/>
        </w:rPr>
      </w:pPr>
      <w:r>
        <w:rPr>
          <w:color w:val="auto"/>
        </w:rPr>
        <w:t>《关于进一步加强危险废物和医疗废物监管工作的意见》（环发（2011）19号）；</w:t>
      </w:r>
    </w:p>
    <w:p>
      <w:pPr>
        <w:pStyle w:val="130"/>
        <w:numPr>
          <w:ilvl w:val="0"/>
          <w:numId w:val="25"/>
        </w:numPr>
        <w:ind w:left="0" w:firstLine="360" w:firstLineChars="150"/>
        <w:rPr>
          <w:color w:val="auto"/>
        </w:rPr>
      </w:pPr>
      <w:r>
        <w:rPr>
          <w:color w:val="auto"/>
        </w:rPr>
        <w:t>《关于印发医疗机构废弃物综合治理工作方案的通知》</w:t>
      </w:r>
      <w:r>
        <w:rPr>
          <w:rFonts w:hint="eastAsia"/>
          <w:color w:val="auto"/>
        </w:rPr>
        <w:t>（</w:t>
      </w:r>
      <w:r>
        <w:rPr>
          <w:color w:val="auto"/>
        </w:rPr>
        <w:t>国卫医发</w:t>
      </w:r>
      <w:r>
        <w:rPr>
          <w:color w:val="auto"/>
          <w:lang w:val="en"/>
        </w:rPr>
        <w:t>〔</w:t>
      </w:r>
      <w:r>
        <w:rPr>
          <w:color w:val="auto"/>
        </w:rPr>
        <w:t>2020</w:t>
      </w:r>
      <w:r>
        <w:rPr>
          <w:color w:val="auto"/>
          <w:lang w:val="en"/>
        </w:rPr>
        <w:t>〕</w:t>
      </w:r>
      <w:r>
        <w:rPr>
          <w:color w:val="auto"/>
        </w:rPr>
        <w:t>3号</w:t>
      </w:r>
      <w:r>
        <w:rPr>
          <w:rFonts w:hint="eastAsia"/>
          <w:color w:val="auto"/>
        </w:rPr>
        <w:t>）</w:t>
      </w:r>
      <w:r>
        <w:rPr>
          <w:color w:val="auto"/>
        </w:rPr>
        <w:t>；</w:t>
      </w:r>
    </w:p>
    <w:p>
      <w:pPr>
        <w:pStyle w:val="130"/>
        <w:numPr>
          <w:ilvl w:val="0"/>
          <w:numId w:val="25"/>
        </w:numPr>
        <w:ind w:left="0" w:firstLine="360" w:firstLineChars="150"/>
        <w:rPr>
          <w:color w:val="auto"/>
        </w:rPr>
      </w:pPr>
      <w:r>
        <w:rPr>
          <w:color w:val="auto"/>
        </w:rPr>
        <w:t>《医疗废物集中处置设施能力建设实施方案》</w:t>
      </w:r>
      <w:r>
        <w:rPr>
          <w:rFonts w:hint="eastAsia"/>
          <w:color w:val="auto"/>
        </w:rPr>
        <w:t>（</w:t>
      </w:r>
      <w:r>
        <w:rPr>
          <w:color w:val="auto"/>
        </w:rPr>
        <w:t>发改环资</w:t>
      </w:r>
      <w:r>
        <w:rPr>
          <w:color w:val="auto"/>
          <w:lang w:val="en"/>
        </w:rPr>
        <w:t>〔</w:t>
      </w:r>
      <w:r>
        <w:rPr>
          <w:color w:val="auto"/>
        </w:rPr>
        <w:t>2020</w:t>
      </w:r>
      <w:r>
        <w:rPr>
          <w:color w:val="auto"/>
          <w:lang w:val="en"/>
        </w:rPr>
        <w:t>〕</w:t>
      </w:r>
      <w:r>
        <w:rPr>
          <w:color w:val="auto"/>
        </w:rPr>
        <w:t>696号</w:t>
      </w:r>
      <w:r>
        <w:rPr>
          <w:rFonts w:hint="eastAsia"/>
          <w:color w:val="auto"/>
        </w:rPr>
        <w:t>）</w:t>
      </w:r>
      <w:r>
        <w:rPr>
          <w:color w:val="auto"/>
        </w:rPr>
        <w:t>；</w:t>
      </w:r>
    </w:p>
    <w:p>
      <w:pPr>
        <w:pStyle w:val="130"/>
        <w:numPr>
          <w:ilvl w:val="0"/>
          <w:numId w:val="25"/>
        </w:numPr>
        <w:ind w:left="0" w:firstLine="360" w:firstLineChars="150"/>
        <w:rPr>
          <w:color w:val="auto"/>
        </w:rPr>
      </w:pPr>
      <w:r>
        <w:rPr>
          <w:color w:val="auto"/>
        </w:rPr>
        <w:t>《</w:t>
      </w:r>
      <w:r>
        <w:rPr>
          <w:rFonts w:hint="eastAsia"/>
          <w:color w:val="auto"/>
        </w:rPr>
        <w:t>关于印发环评管理中部分行业建设项目重大变动清单的通知</w:t>
      </w:r>
      <w:r>
        <w:rPr>
          <w:color w:val="auto"/>
        </w:rPr>
        <w:t>》</w:t>
      </w:r>
      <w:r>
        <w:rPr>
          <w:color w:val="auto"/>
          <w:lang w:val="en"/>
        </w:rPr>
        <w:t>环办〔2015〕52号</w:t>
      </w:r>
      <w:r>
        <w:rPr>
          <w:rFonts w:hint="eastAsia"/>
          <w:color w:val="auto"/>
          <w:lang w:val="en"/>
        </w:rPr>
        <w:t>；</w:t>
      </w:r>
    </w:p>
    <w:p>
      <w:pPr>
        <w:pStyle w:val="130"/>
        <w:numPr>
          <w:ilvl w:val="0"/>
          <w:numId w:val="25"/>
        </w:numPr>
        <w:ind w:left="0" w:firstLine="360" w:firstLineChars="150"/>
        <w:rPr>
          <w:color w:val="auto"/>
        </w:rPr>
      </w:pPr>
      <w:r>
        <w:rPr>
          <w:rFonts w:hint="eastAsia"/>
          <w:color w:val="auto"/>
        </w:rPr>
        <w:t>关于印发《污染影响类建设项目重大变动清单（试行）》的通知（环办环评函〔2020〕688号）；</w:t>
      </w:r>
    </w:p>
    <w:p>
      <w:pPr>
        <w:pStyle w:val="130"/>
        <w:numPr>
          <w:ilvl w:val="0"/>
          <w:numId w:val="25"/>
        </w:numPr>
        <w:ind w:left="0" w:firstLine="360" w:firstLineChars="150"/>
        <w:rPr>
          <w:color w:val="auto"/>
        </w:rPr>
      </w:pPr>
      <w:r>
        <w:rPr>
          <w:color w:val="auto"/>
        </w:rPr>
        <w:t>《新型冠状病毒感染的肺炎疫情医疗废物应急处置管理与技术指南（试行）》，2020年1月29日。</w:t>
      </w:r>
    </w:p>
    <w:p>
      <w:pPr>
        <w:pStyle w:val="5"/>
        <w:numPr>
          <w:ilvl w:val="2"/>
          <w:numId w:val="0"/>
        </w:numPr>
        <w:ind w:left="-720" w:leftChars="-343" w:firstLine="723" w:firstLineChars="300"/>
        <w:rPr>
          <w:color w:val="auto"/>
        </w:rPr>
      </w:pPr>
      <w:bookmarkStart w:id="61" w:name="_Toc109398536"/>
      <w:r>
        <w:rPr>
          <w:color w:val="auto"/>
        </w:rPr>
        <w:t>1.1.3地方法律法规及规范化文件</w:t>
      </w:r>
      <w:bookmarkEnd w:id="61"/>
    </w:p>
    <w:p>
      <w:pPr>
        <w:pStyle w:val="130"/>
        <w:numPr>
          <w:ilvl w:val="0"/>
          <w:numId w:val="26"/>
        </w:numPr>
        <w:ind w:left="0" w:firstLine="360" w:firstLineChars="150"/>
        <w:rPr>
          <w:color w:val="auto"/>
        </w:rPr>
      </w:pPr>
      <w:r>
        <w:rPr>
          <w:color w:val="auto"/>
        </w:rPr>
        <w:t xml:space="preserve">《宁夏回族自治区环境保护条例》（2010年1月1日起施行，2019年3月26日修订）； </w:t>
      </w:r>
    </w:p>
    <w:p>
      <w:pPr>
        <w:pStyle w:val="130"/>
        <w:numPr>
          <w:ilvl w:val="0"/>
          <w:numId w:val="26"/>
        </w:numPr>
        <w:ind w:left="0" w:firstLine="360" w:firstLineChars="150"/>
        <w:rPr>
          <w:color w:val="auto"/>
        </w:rPr>
      </w:pPr>
      <w:r>
        <w:rPr>
          <w:color w:val="auto"/>
        </w:rPr>
        <w:t xml:space="preserve">《宁夏回族自治区大气污染防治条例》（2017年11月1日起施行，2019年3月26日修订）； </w:t>
      </w:r>
    </w:p>
    <w:p>
      <w:pPr>
        <w:pStyle w:val="130"/>
        <w:numPr>
          <w:ilvl w:val="0"/>
          <w:numId w:val="26"/>
        </w:numPr>
        <w:ind w:left="0" w:firstLine="360" w:firstLineChars="150"/>
        <w:rPr>
          <w:color w:val="auto"/>
        </w:rPr>
      </w:pPr>
      <w:r>
        <w:rPr>
          <w:color w:val="auto"/>
        </w:rPr>
        <w:t xml:space="preserve">《宁夏回族自治区节约用水条例》（2007年5月1日起施行）； </w:t>
      </w:r>
    </w:p>
    <w:p>
      <w:pPr>
        <w:pStyle w:val="130"/>
        <w:numPr>
          <w:ilvl w:val="0"/>
          <w:numId w:val="26"/>
        </w:numPr>
        <w:ind w:left="0" w:firstLine="360" w:firstLineChars="150"/>
        <w:rPr>
          <w:color w:val="auto"/>
        </w:rPr>
      </w:pPr>
      <w:r>
        <w:rPr>
          <w:color w:val="auto"/>
        </w:rPr>
        <w:t>《宁夏回族自治区污染物排放管理条例》（2019年3月26日修订）；</w:t>
      </w:r>
    </w:p>
    <w:p>
      <w:pPr>
        <w:pStyle w:val="130"/>
        <w:numPr>
          <w:ilvl w:val="0"/>
          <w:numId w:val="26"/>
        </w:numPr>
        <w:ind w:left="0" w:firstLine="360" w:firstLineChars="150"/>
        <w:rPr>
          <w:color w:val="auto"/>
        </w:rPr>
      </w:pPr>
      <w:r>
        <w:rPr>
          <w:color w:val="auto"/>
        </w:rPr>
        <w:t>《宁夏回族自治区打赢蓝天保卫战三年行动计划（2018年-2020年）》（宁政发[2018]34号，2018年8月28日）；</w:t>
      </w:r>
    </w:p>
    <w:p>
      <w:pPr>
        <w:pStyle w:val="130"/>
        <w:numPr>
          <w:ilvl w:val="0"/>
          <w:numId w:val="26"/>
        </w:numPr>
        <w:ind w:left="0" w:firstLine="360" w:firstLineChars="150"/>
        <w:rPr>
          <w:color w:val="auto"/>
        </w:rPr>
      </w:pPr>
      <w:r>
        <w:rPr>
          <w:color w:val="auto"/>
        </w:rPr>
        <w:t>《自治区生态环境厅关于进一步加强建设项目环境影响评价管理工作的通知》（宁环规发[2019]1号）；</w:t>
      </w:r>
    </w:p>
    <w:p>
      <w:pPr>
        <w:pStyle w:val="130"/>
        <w:numPr>
          <w:ilvl w:val="0"/>
          <w:numId w:val="26"/>
        </w:numPr>
        <w:ind w:left="0" w:firstLine="360" w:firstLineChars="150"/>
        <w:rPr>
          <w:color w:val="auto"/>
        </w:rPr>
      </w:pPr>
      <w:r>
        <w:rPr>
          <w:color w:val="auto"/>
        </w:rPr>
        <w:t>《自治区环境保护厅建设项目环境影响评价管理办法（试行）》（2016年10月19日）；</w:t>
      </w:r>
    </w:p>
    <w:p>
      <w:pPr>
        <w:pStyle w:val="130"/>
        <w:numPr>
          <w:ilvl w:val="0"/>
          <w:numId w:val="26"/>
        </w:numPr>
        <w:ind w:left="0" w:firstLine="360" w:firstLineChars="150"/>
        <w:rPr>
          <w:color w:val="auto"/>
        </w:rPr>
      </w:pPr>
      <w:r>
        <w:rPr>
          <w:color w:val="auto"/>
        </w:rPr>
        <w:t>《宁夏回族自治区生态保护红线管理条例》（2019年1月1日起实施）；</w:t>
      </w:r>
    </w:p>
    <w:p>
      <w:pPr>
        <w:pStyle w:val="130"/>
        <w:numPr>
          <w:ilvl w:val="0"/>
          <w:numId w:val="26"/>
        </w:numPr>
        <w:ind w:left="0" w:firstLine="360" w:firstLineChars="150"/>
        <w:rPr>
          <w:color w:val="auto"/>
        </w:rPr>
      </w:pPr>
      <w:r>
        <w:rPr>
          <w:color w:val="auto"/>
        </w:rPr>
        <w:t>《宁夏回族自治区实施〈中华人民共和国水土保持法〉办法》（2015年7月31日修订，2015年9月1日起施行）；</w:t>
      </w:r>
    </w:p>
    <w:p>
      <w:pPr>
        <w:pStyle w:val="130"/>
        <w:numPr>
          <w:ilvl w:val="0"/>
          <w:numId w:val="26"/>
        </w:numPr>
        <w:ind w:left="0" w:firstLine="360" w:firstLineChars="150"/>
        <w:rPr>
          <w:color w:val="auto"/>
        </w:rPr>
      </w:pPr>
      <w:r>
        <w:rPr>
          <w:color w:val="auto"/>
        </w:rPr>
        <w:t>《宁夏回族自治区挥发性有机物污染专项治理工作方案》</w:t>
      </w:r>
      <w:r>
        <w:rPr>
          <w:rFonts w:hint="eastAsia"/>
          <w:color w:val="auto"/>
        </w:rPr>
        <w:t>（</w:t>
      </w:r>
      <w:r>
        <w:rPr>
          <w:color w:val="auto"/>
        </w:rPr>
        <w:t>2019年3月29日</w:t>
      </w:r>
      <w:r>
        <w:rPr>
          <w:rFonts w:hint="eastAsia"/>
          <w:color w:val="auto"/>
        </w:rPr>
        <w:t>，</w:t>
      </w:r>
      <w:r>
        <w:rPr>
          <w:color w:val="auto"/>
        </w:rPr>
        <w:t>宁生态环保办〔2019〕1号</w:t>
      </w:r>
      <w:r>
        <w:rPr>
          <w:rFonts w:hint="eastAsia"/>
          <w:color w:val="auto"/>
        </w:rPr>
        <w:t>）</w:t>
      </w:r>
      <w:r>
        <w:rPr>
          <w:color w:val="auto"/>
        </w:rPr>
        <w:t>；</w:t>
      </w:r>
    </w:p>
    <w:p>
      <w:pPr>
        <w:pStyle w:val="130"/>
        <w:numPr>
          <w:ilvl w:val="0"/>
          <w:numId w:val="26"/>
        </w:numPr>
        <w:ind w:left="0" w:firstLine="360" w:firstLineChars="150"/>
        <w:rPr>
          <w:color w:val="auto"/>
        </w:rPr>
      </w:pPr>
      <w:r>
        <w:rPr>
          <w:color w:val="auto"/>
        </w:rPr>
        <w:t>《关于加强建设项目环境影响评价事中事后监管的通知》</w:t>
      </w:r>
      <w:r>
        <w:rPr>
          <w:rFonts w:hint="eastAsia"/>
          <w:color w:val="auto"/>
        </w:rPr>
        <w:t>（</w:t>
      </w:r>
      <w:r>
        <w:rPr>
          <w:color w:val="auto"/>
        </w:rPr>
        <w:t>2020年3月3日</w:t>
      </w:r>
      <w:r>
        <w:rPr>
          <w:rFonts w:hint="eastAsia"/>
          <w:color w:val="auto"/>
        </w:rPr>
        <w:t>，</w:t>
      </w:r>
      <w:r>
        <w:rPr>
          <w:color w:val="auto"/>
        </w:rPr>
        <w:t>宁环办发〔2020〕11号</w:t>
      </w:r>
      <w:r>
        <w:rPr>
          <w:rFonts w:hint="eastAsia"/>
          <w:color w:val="auto"/>
        </w:rPr>
        <w:t>）</w:t>
      </w:r>
      <w:r>
        <w:rPr>
          <w:color w:val="auto"/>
        </w:rPr>
        <w:t>；</w:t>
      </w:r>
    </w:p>
    <w:p>
      <w:pPr>
        <w:pStyle w:val="130"/>
        <w:numPr>
          <w:ilvl w:val="0"/>
          <w:numId w:val="26"/>
        </w:numPr>
        <w:ind w:left="0" w:firstLine="360" w:firstLineChars="150"/>
        <w:rPr>
          <w:color w:val="auto"/>
        </w:rPr>
      </w:pPr>
      <w:r>
        <w:rPr>
          <w:color w:val="auto"/>
        </w:rPr>
        <w:t>《市人民政府办公室关于印发〈中卫市打赢蓝天保卫战三年行动计划（2018年</w:t>
      </w:r>
      <w:r>
        <w:rPr>
          <w:rFonts w:hint="eastAsia"/>
          <w:color w:val="auto"/>
        </w:rPr>
        <w:t>-</w:t>
      </w:r>
      <w:r>
        <w:rPr>
          <w:color w:val="auto"/>
        </w:rPr>
        <w:t>2020年）〉的通知》（卫政办发[2018]164号，2018年11月2日）；</w:t>
      </w:r>
    </w:p>
    <w:p>
      <w:pPr>
        <w:pStyle w:val="130"/>
        <w:numPr>
          <w:ilvl w:val="0"/>
          <w:numId w:val="26"/>
        </w:numPr>
        <w:ind w:left="0" w:firstLine="360" w:firstLineChars="150"/>
        <w:rPr>
          <w:color w:val="auto"/>
        </w:rPr>
      </w:pPr>
      <w:r>
        <w:rPr>
          <w:color w:val="auto"/>
        </w:rPr>
        <w:t>《市人民政府办公室关于印发〈中卫市推进净土保卫战三年行动计划（2018年</w:t>
      </w:r>
      <w:r>
        <w:rPr>
          <w:rFonts w:hint="eastAsia"/>
          <w:color w:val="auto"/>
        </w:rPr>
        <w:t>-</w:t>
      </w:r>
      <w:r>
        <w:rPr>
          <w:color w:val="auto"/>
        </w:rPr>
        <w:t>2020年）〉的通知》（卫政办发[2019]20号，2019年3月6日）。</w:t>
      </w:r>
    </w:p>
    <w:p>
      <w:pPr>
        <w:pStyle w:val="5"/>
        <w:numPr>
          <w:ilvl w:val="2"/>
          <w:numId w:val="0"/>
        </w:numPr>
        <w:ind w:left="-720" w:leftChars="-343" w:firstLine="723" w:firstLineChars="300"/>
        <w:rPr>
          <w:color w:val="auto"/>
        </w:rPr>
      </w:pPr>
      <w:bookmarkStart w:id="62" w:name="_Toc109398537"/>
      <w:r>
        <w:rPr>
          <w:color w:val="auto"/>
        </w:rPr>
        <w:t>1.1.4相关规划</w:t>
      </w:r>
      <w:bookmarkEnd w:id="62"/>
    </w:p>
    <w:p>
      <w:pPr>
        <w:pStyle w:val="130"/>
        <w:numPr>
          <w:ilvl w:val="0"/>
          <w:numId w:val="27"/>
        </w:numPr>
        <w:ind w:left="0" w:firstLine="360" w:firstLineChars="150"/>
        <w:rPr>
          <w:color w:val="auto"/>
        </w:rPr>
      </w:pPr>
      <w:r>
        <w:rPr>
          <w:color w:val="auto"/>
        </w:rPr>
        <w:t>《宁夏回族自治区国民经济和社会发展第十四个五年规划和2035年远景目标纲要》（宁政发〔2021〕1号）；</w:t>
      </w:r>
    </w:p>
    <w:p>
      <w:pPr>
        <w:pStyle w:val="130"/>
        <w:numPr>
          <w:ilvl w:val="0"/>
          <w:numId w:val="27"/>
        </w:numPr>
        <w:ind w:left="0" w:firstLine="360" w:firstLineChars="150"/>
        <w:rPr>
          <w:color w:val="auto"/>
        </w:rPr>
      </w:pPr>
      <w:r>
        <w:rPr>
          <w:color w:val="auto"/>
        </w:rPr>
        <w:t>《宁夏回族自治区生态环境保护“十四五”规划》（宁政办发〔2021〕59号）；</w:t>
      </w:r>
    </w:p>
    <w:p>
      <w:pPr>
        <w:pStyle w:val="130"/>
        <w:numPr>
          <w:ilvl w:val="0"/>
          <w:numId w:val="27"/>
        </w:numPr>
        <w:ind w:left="0" w:firstLine="360" w:firstLineChars="150"/>
        <w:rPr>
          <w:color w:val="auto"/>
        </w:rPr>
      </w:pPr>
      <w:r>
        <w:rPr>
          <w:color w:val="auto"/>
        </w:rPr>
        <w:t>《宁夏回族自治区工业固体废物污染环境防治“十四五”规划》；</w:t>
      </w:r>
    </w:p>
    <w:p>
      <w:pPr>
        <w:pStyle w:val="130"/>
        <w:numPr>
          <w:ilvl w:val="0"/>
          <w:numId w:val="27"/>
        </w:numPr>
        <w:ind w:left="0" w:firstLine="360" w:firstLineChars="150"/>
        <w:rPr>
          <w:color w:val="auto"/>
        </w:rPr>
      </w:pPr>
      <w:r>
        <w:rPr>
          <w:color w:val="auto"/>
        </w:rPr>
        <w:t>《宁夏回族自治区危险废物处置利用设施建设方案（2020年-2025年）》；</w:t>
      </w:r>
    </w:p>
    <w:p>
      <w:pPr>
        <w:pStyle w:val="130"/>
        <w:numPr>
          <w:ilvl w:val="0"/>
          <w:numId w:val="27"/>
        </w:numPr>
        <w:ind w:left="0" w:firstLine="360" w:firstLineChars="150"/>
        <w:rPr>
          <w:color w:val="auto"/>
        </w:rPr>
      </w:pPr>
      <w:r>
        <w:rPr>
          <w:color w:val="auto"/>
        </w:rPr>
        <w:t xml:space="preserve">《中卫市生态环境保护“十四五”规划》； </w:t>
      </w:r>
    </w:p>
    <w:p>
      <w:pPr>
        <w:pStyle w:val="130"/>
        <w:numPr>
          <w:ilvl w:val="0"/>
          <w:numId w:val="27"/>
        </w:numPr>
        <w:ind w:left="0" w:firstLine="360" w:firstLineChars="150"/>
        <w:rPr>
          <w:color w:val="auto"/>
        </w:rPr>
      </w:pPr>
      <w:r>
        <w:rPr>
          <w:color w:val="auto"/>
        </w:rPr>
        <w:t>《中卫市工业固体废物污染环境防治“十四五”规划》；</w:t>
      </w:r>
    </w:p>
    <w:p>
      <w:pPr>
        <w:pStyle w:val="130"/>
        <w:numPr>
          <w:ilvl w:val="0"/>
          <w:numId w:val="27"/>
        </w:numPr>
        <w:ind w:left="0" w:firstLine="360" w:firstLineChars="150"/>
        <w:rPr>
          <w:color w:val="auto"/>
        </w:rPr>
      </w:pPr>
      <w:r>
        <w:rPr>
          <w:color w:val="auto"/>
        </w:rPr>
        <w:t>《中卫市城市总体规划（2009-2025年）》。</w:t>
      </w:r>
    </w:p>
    <w:p>
      <w:pPr>
        <w:pStyle w:val="5"/>
        <w:numPr>
          <w:ilvl w:val="2"/>
          <w:numId w:val="0"/>
        </w:numPr>
        <w:ind w:left="-720" w:leftChars="-343" w:firstLine="723" w:firstLineChars="300"/>
        <w:rPr>
          <w:color w:val="auto"/>
        </w:rPr>
      </w:pPr>
      <w:bookmarkStart w:id="63" w:name="_Toc109398538"/>
      <w:bookmarkStart w:id="64" w:name="_Toc508377258"/>
      <w:bookmarkStart w:id="65" w:name="_Toc386179858"/>
      <w:bookmarkStart w:id="66" w:name="_Toc11595165"/>
      <w:bookmarkStart w:id="67" w:name="_Toc508714630"/>
      <w:r>
        <w:rPr>
          <w:color w:val="auto"/>
        </w:rPr>
        <w:t>1.1.5技术导则及设计规范</w:t>
      </w:r>
      <w:bookmarkEnd w:id="63"/>
      <w:bookmarkEnd w:id="64"/>
      <w:bookmarkEnd w:id="65"/>
      <w:bookmarkEnd w:id="66"/>
      <w:bookmarkEnd w:id="67"/>
    </w:p>
    <w:p>
      <w:pPr>
        <w:pStyle w:val="130"/>
        <w:numPr>
          <w:ilvl w:val="0"/>
          <w:numId w:val="28"/>
        </w:numPr>
        <w:ind w:left="0" w:firstLine="360" w:firstLineChars="150"/>
        <w:rPr>
          <w:color w:val="auto"/>
        </w:rPr>
      </w:pPr>
      <w:r>
        <w:rPr>
          <w:color w:val="auto"/>
        </w:rPr>
        <w:t>《建设项目环境影响评价技术导则总纲》（HJ2.1-2016）；</w:t>
      </w:r>
    </w:p>
    <w:p>
      <w:pPr>
        <w:pStyle w:val="130"/>
        <w:numPr>
          <w:ilvl w:val="0"/>
          <w:numId w:val="28"/>
        </w:numPr>
        <w:ind w:left="0" w:firstLine="360" w:firstLineChars="150"/>
        <w:rPr>
          <w:color w:val="auto"/>
        </w:rPr>
      </w:pPr>
      <w:r>
        <w:rPr>
          <w:color w:val="auto"/>
        </w:rPr>
        <w:t>《环境影响评价技术导则大气环境》（HJ2.2-2018）；</w:t>
      </w:r>
    </w:p>
    <w:p>
      <w:pPr>
        <w:pStyle w:val="130"/>
        <w:numPr>
          <w:ilvl w:val="0"/>
          <w:numId w:val="28"/>
        </w:numPr>
        <w:ind w:left="0" w:firstLine="360" w:firstLineChars="150"/>
        <w:rPr>
          <w:color w:val="auto"/>
        </w:rPr>
      </w:pPr>
      <w:r>
        <w:rPr>
          <w:color w:val="auto"/>
        </w:rPr>
        <w:t>《环境影响评价技术导则地表水环境》（HJ2.3-2018）；</w:t>
      </w:r>
    </w:p>
    <w:p>
      <w:pPr>
        <w:pStyle w:val="130"/>
        <w:numPr>
          <w:ilvl w:val="0"/>
          <w:numId w:val="28"/>
        </w:numPr>
        <w:ind w:left="0" w:firstLine="360" w:firstLineChars="150"/>
        <w:rPr>
          <w:color w:val="auto"/>
        </w:rPr>
      </w:pPr>
      <w:r>
        <w:rPr>
          <w:color w:val="auto"/>
        </w:rPr>
        <w:t>《环境影响评价技术导则声环境》（HJ2.4-2021）；</w:t>
      </w:r>
    </w:p>
    <w:p>
      <w:pPr>
        <w:pStyle w:val="130"/>
        <w:numPr>
          <w:ilvl w:val="0"/>
          <w:numId w:val="28"/>
        </w:numPr>
        <w:ind w:left="0" w:firstLine="360" w:firstLineChars="150"/>
        <w:rPr>
          <w:color w:val="auto"/>
        </w:rPr>
      </w:pPr>
      <w:r>
        <w:rPr>
          <w:color w:val="auto"/>
        </w:rPr>
        <w:t>《环境影响评价技术导则地下水环境》（HJ610-2016）；</w:t>
      </w:r>
    </w:p>
    <w:p>
      <w:pPr>
        <w:pStyle w:val="130"/>
        <w:numPr>
          <w:ilvl w:val="0"/>
          <w:numId w:val="28"/>
        </w:numPr>
        <w:ind w:left="0" w:firstLine="360" w:firstLineChars="150"/>
        <w:rPr>
          <w:color w:val="auto"/>
        </w:rPr>
      </w:pPr>
      <w:r>
        <w:rPr>
          <w:color w:val="auto"/>
        </w:rPr>
        <w:t>《建设项目环境风险评价技术导则》（HJ169-2018）；</w:t>
      </w:r>
    </w:p>
    <w:p>
      <w:pPr>
        <w:pStyle w:val="130"/>
        <w:numPr>
          <w:ilvl w:val="0"/>
          <w:numId w:val="28"/>
        </w:numPr>
        <w:ind w:left="0" w:firstLine="360" w:firstLineChars="150"/>
        <w:rPr>
          <w:color w:val="auto"/>
        </w:rPr>
      </w:pPr>
      <w:r>
        <w:rPr>
          <w:color w:val="auto"/>
        </w:rPr>
        <w:t>《环境影响评价技术导则生态影响》（HJ19-2022）；</w:t>
      </w:r>
    </w:p>
    <w:p>
      <w:pPr>
        <w:pStyle w:val="130"/>
        <w:numPr>
          <w:ilvl w:val="0"/>
          <w:numId w:val="28"/>
        </w:numPr>
        <w:ind w:left="0" w:firstLine="360" w:firstLineChars="150"/>
        <w:rPr>
          <w:color w:val="auto"/>
        </w:rPr>
      </w:pPr>
      <w:r>
        <w:rPr>
          <w:color w:val="auto"/>
        </w:rPr>
        <w:t>《大气污染治理工程技术导则》（HJ 2000-2010）；</w:t>
      </w:r>
    </w:p>
    <w:p>
      <w:pPr>
        <w:pStyle w:val="130"/>
        <w:numPr>
          <w:ilvl w:val="0"/>
          <w:numId w:val="28"/>
        </w:numPr>
        <w:ind w:left="0" w:firstLine="360" w:firstLineChars="150"/>
        <w:rPr>
          <w:color w:val="auto"/>
        </w:rPr>
      </w:pPr>
      <w:r>
        <w:rPr>
          <w:color w:val="auto"/>
        </w:rPr>
        <w:t>《大气污染物无组织排放监测技术导则》（HJ/T55-2000）；</w:t>
      </w:r>
    </w:p>
    <w:p>
      <w:pPr>
        <w:pStyle w:val="130"/>
        <w:numPr>
          <w:ilvl w:val="0"/>
          <w:numId w:val="28"/>
        </w:numPr>
        <w:ind w:left="0" w:firstLine="360" w:firstLineChars="150"/>
        <w:rPr>
          <w:color w:val="auto"/>
        </w:rPr>
      </w:pPr>
      <w:r>
        <w:rPr>
          <w:color w:val="auto"/>
        </w:rPr>
        <w:t>《建设项目危险废物环境影响评价指南》（2017年8月29日）；</w:t>
      </w:r>
    </w:p>
    <w:p>
      <w:pPr>
        <w:pStyle w:val="130"/>
        <w:numPr>
          <w:ilvl w:val="0"/>
          <w:numId w:val="28"/>
        </w:numPr>
        <w:ind w:left="0" w:firstLine="360" w:firstLineChars="150"/>
        <w:rPr>
          <w:color w:val="auto"/>
        </w:rPr>
      </w:pPr>
      <w:r>
        <w:rPr>
          <w:color w:val="auto"/>
        </w:rPr>
        <w:t>《危险废物和医疗废物处置设施建设项目环境影响评价技术原则（试行）》（环发〔2004〕58 号）。</w:t>
      </w:r>
    </w:p>
    <w:p>
      <w:pPr>
        <w:pStyle w:val="130"/>
        <w:numPr>
          <w:ilvl w:val="0"/>
          <w:numId w:val="28"/>
        </w:numPr>
        <w:ind w:left="0" w:firstLine="360" w:firstLineChars="150"/>
        <w:rPr>
          <w:color w:val="auto"/>
        </w:rPr>
      </w:pPr>
      <w:r>
        <w:rPr>
          <w:color w:val="auto"/>
        </w:rPr>
        <w:t>《医疗废物集中处置技术规范（试行）》（环发〔2003〕206 号）；</w:t>
      </w:r>
    </w:p>
    <w:p>
      <w:pPr>
        <w:pStyle w:val="130"/>
        <w:numPr>
          <w:ilvl w:val="0"/>
          <w:numId w:val="28"/>
        </w:numPr>
        <w:ind w:left="0" w:firstLine="360" w:firstLineChars="150"/>
        <w:rPr>
          <w:color w:val="auto"/>
        </w:rPr>
      </w:pPr>
      <w:r>
        <w:rPr>
          <w:color w:val="auto"/>
        </w:rPr>
        <w:t>《医疗废物处理处置污染防治最佳可行技术指南（试行）》（HJ-BAT-8）；</w:t>
      </w:r>
    </w:p>
    <w:p>
      <w:pPr>
        <w:pStyle w:val="130"/>
        <w:numPr>
          <w:ilvl w:val="0"/>
          <w:numId w:val="28"/>
        </w:numPr>
        <w:ind w:left="0" w:firstLine="360" w:firstLineChars="150"/>
        <w:rPr>
          <w:color w:val="auto"/>
        </w:rPr>
      </w:pPr>
      <w:r>
        <w:rPr>
          <w:color w:val="auto"/>
        </w:rPr>
        <w:t>《医疗废物高温蒸汽消毒集中处理工程技术规范》（HJ 276-2021）；</w:t>
      </w:r>
    </w:p>
    <w:p>
      <w:pPr>
        <w:pStyle w:val="130"/>
        <w:numPr>
          <w:ilvl w:val="0"/>
          <w:numId w:val="28"/>
        </w:numPr>
        <w:ind w:left="0" w:firstLine="360" w:firstLineChars="150"/>
        <w:rPr>
          <w:color w:val="auto"/>
        </w:rPr>
      </w:pPr>
      <w:r>
        <w:rPr>
          <w:color w:val="auto"/>
        </w:rPr>
        <w:t>《医疗废物专用包装袋、容器和警示标志标准》（HJ421-2008）；</w:t>
      </w:r>
    </w:p>
    <w:p>
      <w:pPr>
        <w:pStyle w:val="130"/>
        <w:numPr>
          <w:ilvl w:val="0"/>
          <w:numId w:val="28"/>
        </w:numPr>
        <w:ind w:left="0" w:firstLine="360" w:firstLineChars="150"/>
        <w:rPr>
          <w:color w:val="auto"/>
        </w:rPr>
      </w:pPr>
      <w:r>
        <w:rPr>
          <w:color w:val="auto"/>
        </w:rPr>
        <w:t>《医疗废物转运车技术要求（试行）》（GB 19217-2003）；</w:t>
      </w:r>
    </w:p>
    <w:p>
      <w:pPr>
        <w:pStyle w:val="130"/>
        <w:numPr>
          <w:ilvl w:val="0"/>
          <w:numId w:val="28"/>
        </w:numPr>
        <w:ind w:left="0" w:firstLine="360" w:firstLineChars="150"/>
        <w:rPr>
          <w:color w:val="auto"/>
        </w:rPr>
      </w:pPr>
      <w:r>
        <w:rPr>
          <w:color w:val="auto"/>
        </w:rPr>
        <w:t>《排污许可证申请与核发技术规范 工业固体废物和危险废物治理》（HJ1033-2019）;</w:t>
      </w:r>
    </w:p>
    <w:p>
      <w:pPr>
        <w:pStyle w:val="130"/>
        <w:numPr>
          <w:ilvl w:val="0"/>
          <w:numId w:val="28"/>
        </w:numPr>
        <w:ind w:left="0" w:firstLine="360" w:firstLineChars="150"/>
        <w:rPr>
          <w:color w:val="auto"/>
        </w:rPr>
      </w:pPr>
      <w:r>
        <w:rPr>
          <w:color w:val="auto"/>
        </w:rPr>
        <w:t>《地下水环境监测技术规范》（HJ164-2020）;</w:t>
      </w:r>
    </w:p>
    <w:p>
      <w:pPr>
        <w:pStyle w:val="130"/>
        <w:numPr>
          <w:ilvl w:val="0"/>
          <w:numId w:val="28"/>
        </w:numPr>
        <w:ind w:left="0" w:firstLine="360" w:firstLineChars="150"/>
        <w:rPr>
          <w:color w:val="auto"/>
        </w:rPr>
      </w:pPr>
      <w:r>
        <w:rPr>
          <w:color w:val="auto"/>
        </w:rPr>
        <w:t>《工业企业土壤和地下水自行监测 技术指南（试行）》（HJ 1209-2021）。</w:t>
      </w:r>
    </w:p>
    <w:p>
      <w:pPr>
        <w:pStyle w:val="5"/>
        <w:numPr>
          <w:ilvl w:val="2"/>
          <w:numId w:val="0"/>
        </w:numPr>
        <w:ind w:left="-720" w:leftChars="-343" w:firstLine="723" w:firstLineChars="300"/>
        <w:rPr>
          <w:color w:val="auto"/>
        </w:rPr>
      </w:pPr>
      <w:bookmarkStart w:id="68" w:name="_Toc11595167"/>
      <w:bookmarkStart w:id="69" w:name="_Toc386179859"/>
      <w:bookmarkStart w:id="70" w:name="_Toc508714632"/>
      <w:bookmarkStart w:id="71" w:name="_Toc508377260"/>
      <w:bookmarkStart w:id="72" w:name="_Toc109398539"/>
      <w:r>
        <w:rPr>
          <w:color w:val="auto"/>
        </w:rPr>
        <w:t>1.1.6项目</w:t>
      </w:r>
      <w:bookmarkEnd w:id="68"/>
      <w:bookmarkEnd w:id="69"/>
      <w:bookmarkEnd w:id="70"/>
      <w:bookmarkEnd w:id="71"/>
      <w:r>
        <w:rPr>
          <w:color w:val="auto"/>
        </w:rPr>
        <w:t>依据文件</w:t>
      </w:r>
      <w:bookmarkEnd w:id="72"/>
    </w:p>
    <w:p>
      <w:pPr>
        <w:pStyle w:val="130"/>
        <w:numPr>
          <w:ilvl w:val="0"/>
          <w:numId w:val="29"/>
        </w:numPr>
        <w:ind w:left="0" w:firstLine="360" w:firstLineChars="150"/>
        <w:rPr>
          <w:rFonts w:eastAsiaTheme="minorEastAsia"/>
          <w:color w:val="auto"/>
        </w:rPr>
      </w:pPr>
      <w:bookmarkStart w:id="73" w:name="_Toc508377261"/>
      <w:bookmarkStart w:id="74" w:name="_Toc508714633"/>
      <w:bookmarkStart w:id="75" w:name="_Toc484115921"/>
      <w:bookmarkStart w:id="76" w:name="_Toc508377156"/>
      <w:r>
        <w:rPr>
          <w:rFonts w:eastAsiaTheme="minorEastAsia"/>
          <w:color w:val="auto"/>
        </w:rPr>
        <w:t>项目环境影响评价委托书；</w:t>
      </w:r>
    </w:p>
    <w:p>
      <w:pPr>
        <w:pStyle w:val="130"/>
        <w:numPr>
          <w:ilvl w:val="0"/>
          <w:numId w:val="29"/>
        </w:numPr>
        <w:ind w:left="0" w:firstLine="360" w:firstLineChars="150"/>
        <w:rPr>
          <w:rFonts w:eastAsiaTheme="minorEastAsia"/>
          <w:color w:val="auto"/>
        </w:rPr>
      </w:pPr>
      <w:r>
        <w:rPr>
          <w:rFonts w:eastAsiaTheme="minorEastAsia"/>
          <w:color w:val="auto"/>
        </w:rPr>
        <w:t>《中卫医疗废物处置中心改造项目建设方案》，银川市规划建筑设计研究院，2019年12月；</w:t>
      </w:r>
    </w:p>
    <w:p>
      <w:pPr>
        <w:pStyle w:val="130"/>
        <w:numPr>
          <w:ilvl w:val="0"/>
          <w:numId w:val="29"/>
        </w:numPr>
        <w:ind w:left="0" w:firstLine="360" w:firstLineChars="150"/>
        <w:rPr>
          <w:rFonts w:eastAsiaTheme="minorEastAsia"/>
          <w:color w:val="auto"/>
        </w:rPr>
      </w:pPr>
      <w:r>
        <w:rPr>
          <w:rFonts w:eastAsiaTheme="minorEastAsia"/>
          <w:color w:val="auto"/>
        </w:rPr>
        <w:t>《关于中卫医疗废物处置中心改造项目建设方案的批复》</w:t>
      </w:r>
      <w:r>
        <w:rPr>
          <w:rFonts w:hint="eastAsia" w:eastAsiaTheme="minorEastAsia"/>
          <w:color w:val="auto"/>
        </w:rPr>
        <w:t>（</w:t>
      </w:r>
      <w:r>
        <w:rPr>
          <w:rFonts w:eastAsiaTheme="minorEastAsia"/>
          <w:color w:val="auto"/>
        </w:rPr>
        <w:t>卫发改发〔2020〕114号</w:t>
      </w:r>
      <w:r>
        <w:rPr>
          <w:rFonts w:hint="eastAsia" w:eastAsiaTheme="minorEastAsia"/>
          <w:color w:val="auto"/>
        </w:rPr>
        <w:t>）</w:t>
      </w:r>
      <w:r>
        <w:rPr>
          <w:rFonts w:eastAsiaTheme="minorEastAsia"/>
          <w:color w:val="auto"/>
        </w:rPr>
        <w:t>；</w:t>
      </w:r>
    </w:p>
    <w:p>
      <w:pPr>
        <w:pStyle w:val="130"/>
        <w:numPr>
          <w:ilvl w:val="0"/>
          <w:numId w:val="29"/>
        </w:numPr>
        <w:ind w:left="0" w:firstLine="360" w:firstLineChars="150"/>
        <w:rPr>
          <w:rFonts w:eastAsiaTheme="minorEastAsia"/>
          <w:color w:val="auto"/>
        </w:rPr>
      </w:pPr>
      <w:r>
        <w:rPr>
          <w:rFonts w:eastAsiaTheme="minorEastAsia"/>
          <w:color w:val="auto"/>
        </w:rPr>
        <w:t>《宁夏回族自治区中卫市医疗废物集中处置设施建设项目环境影响报告书》，宁夏环境科学设计研究院（有限公司），2006年12月；</w:t>
      </w:r>
    </w:p>
    <w:p>
      <w:pPr>
        <w:pStyle w:val="130"/>
        <w:numPr>
          <w:ilvl w:val="0"/>
          <w:numId w:val="29"/>
        </w:numPr>
        <w:ind w:left="0" w:firstLine="360" w:firstLineChars="150"/>
        <w:rPr>
          <w:rFonts w:eastAsiaTheme="minorEastAsia"/>
          <w:color w:val="auto"/>
        </w:rPr>
      </w:pPr>
      <w:r>
        <w:rPr>
          <w:rFonts w:eastAsiaTheme="minorEastAsia"/>
          <w:color w:val="auto"/>
        </w:rPr>
        <w:t>《关于中卫市医疗废物集中处置设施建设项目环境影响报告书的批复》</w:t>
      </w:r>
      <w:r>
        <w:rPr>
          <w:rFonts w:hint="eastAsia" w:eastAsiaTheme="minorEastAsia"/>
          <w:color w:val="auto"/>
        </w:rPr>
        <w:t>（</w:t>
      </w:r>
      <w:r>
        <w:rPr>
          <w:rFonts w:eastAsiaTheme="minorEastAsia"/>
          <w:color w:val="auto"/>
        </w:rPr>
        <w:t>宁环函〔2006〕285号</w:t>
      </w:r>
      <w:r>
        <w:rPr>
          <w:rFonts w:hint="eastAsia" w:eastAsiaTheme="minorEastAsia"/>
          <w:color w:val="auto"/>
        </w:rPr>
        <w:t>）</w:t>
      </w:r>
      <w:r>
        <w:rPr>
          <w:rFonts w:eastAsiaTheme="minorEastAsia"/>
          <w:color w:val="auto"/>
        </w:rPr>
        <w:t>；</w:t>
      </w:r>
    </w:p>
    <w:p>
      <w:pPr>
        <w:pStyle w:val="130"/>
        <w:numPr>
          <w:ilvl w:val="0"/>
          <w:numId w:val="29"/>
        </w:numPr>
        <w:ind w:left="0" w:firstLine="360" w:firstLineChars="150"/>
        <w:rPr>
          <w:rFonts w:eastAsiaTheme="minorEastAsia"/>
          <w:color w:val="auto"/>
        </w:rPr>
      </w:pPr>
      <w:r>
        <w:rPr>
          <w:rFonts w:eastAsiaTheme="minorEastAsia"/>
          <w:color w:val="auto"/>
        </w:rPr>
        <w:t>《宁夏回族自治区中卫市医疗废物集中处置设施建设项目竣工环境保护验收监测报告》</w:t>
      </w:r>
      <w:r>
        <w:rPr>
          <w:rFonts w:hint="eastAsia" w:eastAsiaTheme="minorEastAsia"/>
          <w:color w:val="auto"/>
        </w:rPr>
        <w:t>（</w:t>
      </w:r>
      <w:r>
        <w:rPr>
          <w:rFonts w:eastAsiaTheme="minorEastAsia"/>
          <w:color w:val="auto"/>
        </w:rPr>
        <w:t>宁环监验（2011）第035号，2012年3月</w:t>
      </w:r>
      <w:r>
        <w:rPr>
          <w:rFonts w:hint="eastAsia" w:eastAsiaTheme="minorEastAsia"/>
          <w:color w:val="auto"/>
        </w:rPr>
        <w:t>）</w:t>
      </w:r>
      <w:r>
        <w:rPr>
          <w:rFonts w:eastAsiaTheme="minorEastAsia"/>
          <w:color w:val="auto"/>
        </w:rPr>
        <w:t>；</w:t>
      </w:r>
    </w:p>
    <w:p>
      <w:pPr>
        <w:pStyle w:val="130"/>
        <w:numPr>
          <w:ilvl w:val="0"/>
          <w:numId w:val="29"/>
        </w:numPr>
        <w:ind w:left="0" w:firstLine="360" w:firstLineChars="150"/>
        <w:rPr>
          <w:rFonts w:eastAsiaTheme="minorEastAsia"/>
          <w:color w:val="auto"/>
        </w:rPr>
      </w:pPr>
      <w:r>
        <w:rPr>
          <w:rFonts w:eastAsiaTheme="minorEastAsia"/>
          <w:color w:val="auto"/>
        </w:rPr>
        <w:t>《宁夏回族自治区中卫市医疗废物集中处置设施建设项目竣工环境保护验收的批复》（宁环验[2012]47号）。</w:t>
      </w:r>
    </w:p>
    <w:p>
      <w:pPr>
        <w:pStyle w:val="130"/>
        <w:numPr>
          <w:ilvl w:val="0"/>
          <w:numId w:val="29"/>
        </w:numPr>
        <w:ind w:left="0" w:firstLine="360" w:firstLineChars="150"/>
        <w:rPr>
          <w:rFonts w:eastAsiaTheme="minorEastAsia"/>
          <w:color w:val="auto"/>
        </w:rPr>
      </w:pPr>
      <w:r>
        <w:rPr>
          <w:rFonts w:hint="eastAsia" w:eastAsiaTheme="minorEastAsia"/>
          <w:color w:val="auto"/>
        </w:rPr>
        <w:t>关于同意中卫市应理城乡市政产业（集团）有限公司</w:t>
      </w:r>
      <w:r>
        <w:rPr>
          <w:color w:val="auto"/>
        </w:rPr>
        <w:t>《</w:t>
      </w:r>
      <w:r>
        <w:rPr>
          <w:rFonts w:hint="eastAsia"/>
          <w:color w:val="auto"/>
        </w:rPr>
        <w:t>中卫医疗废物处置中心改造项目</w:t>
      </w:r>
      <w:r>
        <w:rPr>
          <w:color w:val="auto"/>
        </w:rPr>
        <w:t>环境影响报告书》</w:t>
      </w:r>
      <w:r>
        <w:rPr>
          <w:rFonts w:hint="eastAsia"/>
          <w:color w:val="auto"/>
        </w:rPr>
        <w:t>的函（卫环沙坡头区分局函</w:t>
      </w:r>
      <w:r>
        <w:rPr>
          <w:rFonts w:eastAsiaTheme="minorEastAsia"/>
          <w:color w:val="auto"/>
        </w:rPr>
        <w:t>〔</w:t>
      </w:r>
      <w:r>
        <w:rPr>
          <w:rFonts w:hint="eastAsia"/>
          <w:color w:val="auto"/>
        </w:rPr>
        <w:t>2</w:t>
      </w:r>
      <w:r>
        <w:rPr>
          <w:color w:val="auto"/>
        </w:rPr>
        <w:t>020</w:t>
      </w:r>
      <w:r>
        <w:rPr>
          <w:rFonts w:eastAsiaTheme="minorEastAsia"/>
          <w:color w:val="auto"/>
        </w:rPr>
        <w:t>〕</w:t>
      </w:r>
      <w:r>
        <w:rPr>
          <w:color w:val="auto"/>
        </w:rPr>
        <w:t>91</w:t>
      </w:r>
      <w:r>
        <w:rPr>
          <w:rFonts w:hint="eastAsia"/>
          <w:color w:val="auto"/>
        </w:rPr>
        <w:t>号）。</w:t>
      </w:r>
    </w:p>
    <w:p>
      <w:pPr>
        <w:pStyle w:val="4"/>
        <w:numPr>
          <w:ilvl w:val="1"/>
          <w:numId w:val="0"/>
        </w:numPr>
        <w:spacing w:before="120"/>
        <w:rPr>
          <w:color w:val="auto"/>
        </w:rPr>
      </w:pPr>
      <w:bookmarkStart w:id="77" w:name="_Toc109398540"/>
      <w:bookmarkStart w:id="78" w:name="_Toc11595168"/>
      <w:r>
        <w:rPr>
          <w:color w:val="auto"/>
        </w:rPr>
        <w:t>1.2评价目的及工作内容</w:t>
      </w:r>
      <w:bookmarkEnd w:id="73"/>
      <w:bookmarkEnd w:id="74"/>
      <w:bookmarkEnd w:id="75"/>
      <w:bookmarkEnd w:id="76"/>
      <w:bookmarkEnd w:id="77"/>
      <w:bookmarkEnd w:id="78"/>
    </w:p>
    <w:p>
      <w:pPr>
        <w:pStyle w:val="5"/>
        <w:numPr>
          <w:ilvl w:val="2"/>
          <w:numId w:val="0"/>
        </w:numPr>
        <w:ind w:left="-720" w:leftChars="-343" w:firstLine="723" w:firstLineChars="300"/>
        <w:rPr>
          <w:color w:val="auto"/>
        </w:rPr>
      </w:pPr>
      <w:bookmarkStart w:id="79" w:name="_Toc11595169"/>
      <w:bookmarkStart w:id="80" w:name="_Toc508377262"/>
      <w:bookmarkStart w:id="81" w:name="_Toc109398541"/>
      <w:bookmarkStart w:id="82" w:name="_Toc508714634"/>
      <w:r>
        <w:rPr>
          <w:color w:val="auto"/>
        </w:rPr>
        <w:t>1.2.1评价目的</w:t>
      </w:r>
      <w:bookmarkEnd w:id="79"/>
      <w:bookmarkEnd w:id="80"/>
      <w:bookmarkEnd w:id="81"/>
      <w:bookmarkEnd w:id="82"/>
    </w:p>
    <w:p>
      <w:pPr>
        <w:pStyle w:val="130"/>
        <w:ind w:firstLine="480"/>
        <w:rPr>
          <w:color w:val="auto"/>
        </w:rPr>
      </w:pPr>
      <w:bookmarkStart w:id="83" w:name="_Toc2588893"/>
      <w:r>
        <w:rPr>
          <w:color w:val="auto"/>
        </w:rPr>
        <w:t>⑴对评价区域环境质量现状进行调查、监测与评价，明确环境保护目标；</w:t>
      </w:r>
    </w:p>
    <w:p>
      <w:pPr>
        <w:pStyle w:val="130"/>
        <w:ind w:firstLine="480"/>
        <w:rPr>
          <w:color w:val="auto"/>
        </w:rPr>
      </w:pPr>
      <w:r>
        <w:rPr>
          <w:color w:val="auto"/>
        </w:rPr>
        <w:t>⑵明确工程建设的规模和主要内容，通过工程分析，分析施工期和营运期的主要污染环节、污染类型、排污方式及污染程度，预测对环境的影响范围，提出切实可行的污染防治措施，在达标排放的前提下，制定污染物排放的总量控制指标；</w:t>
      </w:r>
    </w:p>
    <w:p>
      <w:pPr>
        <w:pStyle w:val="130"/>
        <w:ind w:firstLine="480"/>
        <w:rPr>
          <w:color w:val="auto"/>
        </w:rPr>
      </w:pPr>
      <w:r>
        <w:rPr>
          <w:color w:val="auto"/>
        </w:rPr>
        <w:t>⑶从技术、经济角度分析和论证拟采取的环保措施的可行性，必要时提出替代方案；</w:t>
      </w:r>
    </w:p>
    <w:p>
      <w:pPr>
        <w:pStyle w:val="130"/>
        <w:ind w:firstLine="480"/>
        <w:rPr>
          <w:color w:val="auto"/>
        </w:rPr>
      </w:pPr>
      <w:r>
        <w:rPr>
          <w:color w:val="auto"/>
        </w:rPr>
        <w:t>⑷明确建设项目所处位置是否符合规划要求，并且对项目选址及平面布置合理性进行分析；</w:t>
      </w:r>
    </w:p>
    <w:p>
      <w:pPr>
        <w:pStyle w:val="130"/>
        <w:ind w:firstLine="480"/>
        <w:rPr>
          <w:color w:val="auto"/>
        </w:rPr>
      </w:pPr>
      <w:r>
        <w:rPr>
          <w:color w:val="auto"/>
        </w:rPr>
        <w:t>⑸从环境保护角度对本项目建设的可行性作出明确结论，为主管部门决策和环境管理提供依据。</w:t>
      </w:r>
    </w:p>
    <w:p>
      <w:pPr>
        <w:pStyle w:val="130"/>
        <w:ind w:firstLine="480"/>
        <w:rPr>
          <w:color w:val="auto"/>
        </w:rPr>
      </w:pPr>
      <w:r>
        <w:rPr>
          <w:color w:val="auto"/>
        </w:rPr>
        <w:t>通过上述工作，论证项目在环境方面的可行性，提出环境影响评价结论，使本评价达到为管理部门决策、设计部门优化设计、建设单位环境管理提供科学依据的目的。</w:t>
      </w:r>
    </w:p>
    <w:bookmarkEnd w:id="83"/>
    <w:p>
      <w:pPr>
        <w:pStyle w:val="5"/>
        <w:numPr>
          <w:ilvl w:val="2"/>
          <w:numId w:val="0"/>
        </w:numPr>
        <w:ind w:left="-720" w:leftChars="-343" w:firstLine="723" w:firstLineChars="300"/>
        <w:rPr>
          <w:color w:val="auto"/>
        </w:rPr>
      </w:pPr>
      <w:bookmarkStart w:id="84" w:name="_Toc508714635"/>
      <w:bookmarkStart w:id="85" w:name="_Toc508377263"/>
      <w:bookmarkStart w:id="86" w:name="_Toc109398542"/>
      <w:bookmarkStart w:id="87" w:name="_Toc11595170"/>
      <w:r>
        <w:rPr>
          <w:color w:val="auto"/>
        </w:rPr>
        <w:t>1.2.2评价原则及评价工作内容</w:t>
      </w:r>
      <w:bookmarkEnd w:id="84"/>
      <w:bookmarkEnd w:id="85"/>
      <w:bookmarkEnd w:id="86"/>
      <w:bookmarkEnd w:id="87"/>
    </w:p>
    <w:p>
      <w:pPr>
        <w:pStyle w:val="130"/>
        <w:ind w:firstLine="480"/>
        <w:rPr>
          <w:color w:val="auto"/>
        </w:rPr>
      </w:pPr>
      <w:r>
        <w:rPr>
          <w:snapToGrid w:val="0"/>
          <w:color w:val="auto"/>
        </w:rPr>
        <w:t>1、</w:t>
      </w:r>
      <w:r>
        <w:rPr>
          <w:color w:val="auto"/>
        </w:rPr>
        <w:t>认真贯彻各项环保法规，坚持“达标排放、总量控制、节能减排”的原则，始终贯彻“清洁生产”和“可持续发展”的战略思想。</w:t>
      </w:r>
    </w:p>
    <w:p>
      <w:pPr>
        <w:pStyle w:val="130"/>
        <w:ind w:firstLine="480"/>
        <w:rPr>
          <w:color w:val="auto"/>
        </w:rPr>
      </w:pPr>
      <w:r>
        <w:rPr>
          <w:snapToGrid w:val="0"/>
          <w:color w:val="auto"/>
        </w:rPr>
        <w:t>2、</w:t>
      </w:r>
      <w:r>
        <w:rPr>
          <w:color w:val="auto"/>
        </w:rPr>
        <w:t>根据项目生产工艺对环境的影响和排污特征，认真做好工程分析，弄清污染物排放点、排放量、排污特点等情况。</w:t>
      </w:r>
    </w:p>
    <w:p>
      <w:pPr>
        <w:pStyle w:val="130"/>
        <w:ind w:firstLine="480"/>
        <w:rPr>
          <w:color w:val="auto"/>
        </w:rPr>
      </w:pPr>
      <w:r>
        <w:rPr>
          <w:color w:val="auto"/>
        </w:rPr>
        <w:t>3、对项目采取的环保措施、污染治理措施进行分析和评述，提出有针对性、可操作性强的补充措施。</w:t>
      </w:r>
    </w:p>
    <w:p>
      <w:pPr>
        <w:pStyle w:val="130"/>
        <w:ind w:firstLine="480"/>
        <w:rPr>
          <w:color w:val="auto"/>
        </w:rPr>
      </w:pPr>
      <w:r>
        <w:rPr>
          <w:snapToGrid w:val="0"/>
          <w:color w:val="auto"/>
        </w:rPr>
        <w:t>4、</w:t>
      </w:r>
      <w:r>
        <w:rPr>
          <w:color w:val="auto"/>
        </w:rPr>
        <w:t>坚持实事求是的科学态度，报告书力求做到内容全面，重点突出、评价结果明确可信，防治对策切实可行。</w:t>
      </w:r>
    </w:p>
    <w:p>
      <w:pPr>
        <w:pStyle w:val="130"/>
        <w:ind w:firstLine="480"/>
        <w:rPr>
          <w:snapToGrid w:val="0"/>
          <w:color w:val="auto"/>
        </w:rPr>
      </w:pPr>
      <w:r>
        <w:rPr>
          <w:snapToGrid w:val="0"/>
          <w:color w:val="auto"/>
        </w:rPr>
        <w:t>根据国家相关技术导则对评价工作的要求，结合本项目的具体情况，确定本次评价工作主要内容为：</w:t>
      </w:r>
    </w:p>
    <w:p>
      <w:pPr>
        <w:pStyle w:val="130"/>
        <w:ind w:firstLine="480"/>
        <w:rPr>
          <w:snapToGrid w:val="0"/>
          <w:color w:val="auto"/>
        </w:rPr>
      </w:pPr>
      <w:r>
        <w:rPr>
          <w:snapToGrid w:val="0"/>
          <w:color w:val="auto"/>
        </w:rPr>
        <w:t>1、通过监测、类比调查和理论计算，分析项目主要污染工序，不同类型污染物排放情况，进一步核实项目主要环境影响因素的产生及处理排放量，从产业政策和污染物稳定达标排放方面论证项目的可行性。</w:t>
      </w:r>
    </w:p>
    <w:p>
      <w:pPr>
        <w:pStyle w:val="130"/>
        <w:ind w:firstLine="480"/>
        <w:rPr>
          <w:snapToGrid w:val="0"/>
          <w:color w:val="auto"/>
        </w:rPr>
      </w:pPr>
      <w:r>
        <w:rPr>
          <w:snapToGrid w:val="0"/>
          <w:color w:val="auto"/>
        </w:rPr>
        <w:t>2、通过环境现状调查、监测、资料收集分析，确定区域重点环境保护目标。</w:t>
      </w:r>
    </w:p>
    <w:p>
      <w:pPr>
        <w:pStyle w:val="130"/>
        <w:ind w:firstLine="480"/>
        <w:rPr>
          <w:snapToGrid w:val="0"/>
          <w:color w:val="auto"/>
        </w:rPr>
      </w:pPr>
      <w:r>
        <w:rPr>
          <w:snapToGrid w:val="0"/>
          <w:color w:val="auto"/>
        </w:rPr>
        <w:t>3、预测项目排污对环境的影响范围和程度以及对主要环境保护目标的影响程度，进一步论证项目污染治理措施的可行性和选址的合理性。</w:t>
      </w:r>
    </w:p>
    <w:p>
      <w:pPr>
        <w:pStyle w:val="130"/>
        <w:ind w:firstLine="480"/>
        <w:rPr>
          <w:snapToGrid w:val="0"/>
          <w:color w:val="auto"/>
        </w:rPr>
      </w:pPr>
      <w:r>
        <w:rPr>
          <w:snapToGrid w:val="0"/>
          <w:color w:val="auto"/>
        </w:rPr>
        <w:t>4、结合工程方案、环境质量要求，参照国内成熟经验，论证项目的污染治理措施的技术可行性和经济合理性。</w:t>
      </w:r>
    </w:p>
    <w:p>
      <w:pPr>
        <w:pStyle w:val="4"/>
        <w:numPr>
          <w:ilvl w:val="1"/>
          <w:numId w:val="0"/>
        </w:numPr>
        <w:spacing w:before="120"/>
        <w:rPr>
          <w:color w:val="auto"/>
        </w:rPr>
      </w:pPr>
      <w:bookmarkStart w:id="88" w:name="_Toc60559824"/>
      <w:bookmarkStart w:id="89" w:name="_Toc155007563"/>
      <w:bookmarkStart w:id="90" w:name="_Toc281470107"/>
      <w:bookmarkStart w:id="91" w:name="_Toc44834646"/>
      <w:bookmarkStart w:id="92" w:name="_Toc6654327"/>
      <w:bookmarkStart w:id="93" w:name="_Toc2588891"/>
      <w:bookmarkStart w:id="94" w:name="_Toc6654411"/>
      <w:bookmarkStart w:id="95" w:name="_Toc386179860"/>
      <w:bookmarkStart w:id="96" w:name="_Toc205369072"/>
      <w:bookmarkStart w:id="97" w:name="_Toc216155072"/>
      <w:bookmarkStart w:id="98" w:name="_Toc6654492"/>
      <w:bookmarkStart w:id="99" w:name="_Toc287867549"/>
      <w:bookmarkStart w:id="100" w:name="_Toc6654575"/>
      <w:bookmarkStart w:id="101" w:name="_Toc223151536"/>
      <w:bookmarkStart w:id="102" w:name="_Toc508377157"/>
      <w:bookmarkStart w:id="103" w:name="_Toc508714636"/>
      <w:bookmarkStart w:id="104" w:name="_Toc508377264"/>
      <w:bookmarkStart w:id="105" w:name="_Toc109398543"/>
      <w:bookmarkStart w:id="106" w:name="_Toc11595171"/>
      <w:r>
        <w:rPr>
          <w:color w:val="auto"/>
        </w:rPr>
        <w:t>1.3评价</w:t>
      </w:r>
      <w:bookmarkEnd w:id="88"/>
      <w:bookmarkEnd w:id="89"/>
      <w:bookmarkEnd w:id="90"/>
      <w:bookmarkEnd w:id="91"/>
      <w:bookmarkEnd w:id="92"/>
      <w:bookmarkEnd w:id="93"/>
      <w:bookmarkEnd w:id="94"/>
      <w:bookmarkEnd w:id="95"/>
      <w:bookmarkEnd w:id="96"/>
      <w:bookmarkEnd w:id="97"/>
      <w:bookmarkEnd w:id="98"/>
      <w:bookmarkEnd w:id="99"/>
      <w:bookmarkEnd w:id="100"/>
      <w:bookmarkEnd w:id="101"/>
      <w:r>
        <w:rPr>
          <w:color w:val="auto"/>
        </w:rPr>
        <w:t>因子与评价</w:t>
      </w:r>
      <w:bookmarkEnd w:id="102"/>
      <w:bookmarkEnd w:id="103"/>
      <w:bookmarkEnd w:id="104"/>
      <w:r>
        <w:rPr>
          <w:color w:val="auto"/>
        </w:rPr>
        <w:t>重点</w:t>
      </w:r>
      <w:bookmarkEnd w:id="105"/>
      <w:bookmarkEnd w:id="106"/>
    </w:p>
    <w:p>
      <w:pPr>
        <w:pStyle w:val="5"/>
        <w:numPr>
          <w:ilvl w:val="2"/>
          <w:numId w:val="0"/>
        </w:numPr>
        <w:ind w:left="-720" w:leftChars="-343" w:firstLine="723" w:firstLineChars="300"/>
        <w:rPr>
          <w:color w:val="auto"/>
        </w:rPr>
      </w:pPr>
      <w:bookmarkStart w:id="107" w:name="_Toc109398544"/>
      <w:bookmarkStart w:id="108" w:name="_Toc11595172"/>
      <w:r>
        <w:rPr>
          <w:color w:val="auto"/>
        </w:rPr>
        <w:t>1.3.1评价因子识别</w:t>
      </w:r>
      <w:bookmarkEnd w:id="107"/>
      <w:bookmarkEnd w:id="108"/>
    </w:p>
    <w:p>
      <w:pPr>
        <w:spacing w:line="360" w:lineRule="auto"/>
        <w:ind w:firstLine="480" w:firstLineChars="200"/>
        <w:rPr>
          <w:rFonts w:eastAsiaTheme="minorEastAsia"/>
          <w:color w:val="auto"/>
          <w:sz w:val="24"/>
          <w:szCs w:val="24"/>
        </w:rPr>
      </w:pPr>
      <w:r>
        <w:rPr>
          <w:rFonts w:eastAsiaTheme="minorEastAsia"/>
          <w:color w:val="auto"/>
          <w:sz w:val="24"/>
          <w:szCs w:val="24"/>
          <w:lang w:bidi="zh-CN"/>
        </w:rPr>
        <w:t>根据工程分析及区域环境现状进行评价因子筛选</w:t>
      </w:r>
      <w:r>
        <w:rPr>
          <w:rFonts w:eastAsiaTheme="minorEastAsia"/>
          <w:color w:val="auto"/>
          <w:sz w:val="24"/>
          <w:szCs w:val="24"/>
        </w:rPr>
        <w:t>，确定本项目</w:t>
      </w:r>
      <w:r>
        <w:rPr>
          <w:rFonts w:hint="eastAsia" w:eastAsiaTheme="minorEastAsia"/>
          <w:color w:val="auto"/>
          <w:sz w:val="24"/>
          <w:szCs w:val="24"/>
        </w:rPr>
        <w:t>及全厂</w:t>
      </w:r>
      <w:r>
        <w:rPr>
          <w:rFonts w:eastAsiaTheme="minorEastAsia"/>
          <w:color w:val="auto"/>
          <w:sz w:val="24"/>
          <w:szCs w:val="24"/>
        </w:rPr>
        <w:t>的评价因子如下：</w:t>
      </w:r>
    </w:p>
    <w:p>
      <w:pPr>
        <w:jc w:val="center"/>
        <w:rPr>
          <w:rFonts w:eastAsiaTheme="minorEastAsia"/>
          <w:b/>
          <w:color w:val="auto"/>
          <w:sz w:val="24"/>
          <w:szCs w:val="24"/>
        </w:rPr>
      </w:pPr>
      <w:r>
        <w:rPr>
          <w:rFonts w:eastAsiaTheme="minorEastAsia"/>
          <w:b/>
          <w:color w:val="auto"/>
          <w:sz w:val="24"/>
          <w:szCs w:val="24"/>
        </w:rPr>
        <w:t>表1.3-1  本项目</w:t>
      </w:r>
      <w:r>
        <w:rPr>
          <w:rFonts w:hint="eastAsia" w:eastAsiaTheme="minorEastAsia"/>
          <w:b/>
          <w:color w:val="auto"/>
          <w:sz w:val="24"/>
          <w:szCs w:val="24"/>
        </w:rPr>
        <w:t>及全厂</w:t>
      </w:r>
      <w:r>
        <w:rPr>
          <w:rFonts w:eastAsiaTheme="minorEastAsia"/>
          <w:b/>
          <w:color w:val="auto"/>
          <w:sz w:val="24"/>
          <w:szCs w:val="24"/>
        </w:rPr>
        <w:t>评价因子一览表</w:t>
      </w:r>
    </w:p>
    <w:tbl>
      <w:tblPr>
        <w:tblStyle w:val="74"/>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74"/>
        <w:gridCol w:w="1579"/>
        <w:gridCol w:w="59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Align w:val="center"/>
          </w:tcPr>
          <w:p>
            <w:pPr>
              <w:adjustRightInd w:val="0"/>
              <w:snapToGrid w:val="0"/>
              <w:jc w:val="center"/>
              <w:rPr>
                <w:rFonts w:eastAsiaTheme="minorEastAsia"/>
                <w:color w:val="auto"/>
              </w:rPr>
            </w:pPr>
            <w:r>
              <w:rPr>
                <w:rFonts w:eastAsiaTheme="minorEastAsia"/>
                <w:color w:val="auto"/>
              </w:rPr>
              <w:t>环境要素</w:t>
            </w:r>
          </w:p>
        </w:tc>
        <w:tc>
          <w:tcPr>
            <w:tcW w:w="1579" w:type="dxa"/>
            <w:vAlign w:val="center"/>
          </w:tcPr>
          <w:p>
            <w:pPr>
              <w:adjustRightInd w:val="0"/>
              <w:snapToGrid w:val="0"/>
              <w:jc w:val="center"/>
              <w:rPr>
                <w:rFonts w:eastAsiaTheme="minorEastAsia"/>
                <w:color w:val="auto"/>
              </w:rPr>
            </w:pPr>
            <w:r>
              <w:rPr>
                <w:rFonts w:eastAsiaTheme="minorEastAsia"/>
                <w:color w:val="auto"/>
              </w:rPr>
              <w:t>评价专题</w:t>
            </w:r>
          </w:p>
        </w:tc>
        <w:tc>
          <w:tcPr>
            <w:tcW w:w="5967" w:type="dxa"/>
            <w:vAlign w:val="center"/>
          </w:tcPr>
          <w:p>
            <w:pPr>
              <w:adjustRightInd w:val="0"/>
              <w:snapToGrid w:val="0"/>
              <w:jc w:val="center"/>
              <w:rPr>
                <w:rFonts w:eastAsiaTheme="minorEastAsia"/>
                <w:color w:val="auto"/>
              </w:rPr>
            </w:pPr>
            <w:r>
              <w:rPr>
                <w:rFonts w:eastAsiaTheme="minorEastAsia"/>
                <w:color w:val="auto"/>
              </w:rPr>
              <w:t>评价因子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restart"/>
            <w:vAlign w:val="center"/>
          </w:tcPr>
          <w:p>
            <w:pPr>
              <w:adjustRightInd w:val="0"/>
              <w:snapToGrid w:val="0"/>
              <w:jc w:val="center"/>
              <w:rPr>
                <w:rFonts w:eastAsiaTheme="minorEastAsia"/>
                <w:color w:val="auto"/>
              </w:rPr>
            </w:pPr>
            <w:r>
              <w:rPr>
                <w:rFonts w:eastAsiaTheme="minorEastAsia"/>
                <w:color w:val="auto"/>
              </w:rPr>
              <w:t>环境空气</w:t>
            </w:r>
          </w:p>
        </w:tc>
        <w:tc>
          <w:tcPr>
            <w:tcW w:w="1579" w:type="dxa"/>
            <w:vAlign w:val="center"/>
          </w:tcPr>
          <w:p>
            <w:pPr>
              <w:adjustRightInd w:val="0"/>
              <w:snapToGrid w:val="0"/>
              <w:jc w:val="center"/>
              <w:rPr>
                <w:rFonts w:eastAsiaTheme="minorEastAsia"/>
                <w:color w:val="auto"/>
              </w:rPr>
            </w:pPr>
            <w:r>
              <w:rPr>
                <w:rFonts w:eastAsiaTheme="minorEastAsia"/>
                <w:color w:val="auto"/>
              </w:rPr>
              <w:t>现状评价</w:t>
            </w:r>
          </w:p>
        </w:tc>
        <w:tc>
          <w:tcPr>
            <w:tcW w:w="5967" w:type="dxa"/>
            <w:vAlign w:val="center"/>
          </w:tcPr>
          <w:p>
            <w:pPr>
              <w:adjustRightInd w:val="0"/>
              <w:snapToGrid w:val="0"/>
              <w:jc w:val="center"/>
              <w:rPr>
                <w:rFonts w:eastAsiaTheme="minorEastAsia"/>
                <w:color w:val="auto"/>
              </w:rPr>
            </w:pPr>
            <w:r>
              <w:rPr>
                <w:rFonts w:eastAsiaTheme="minorEastAsia"/>
                <w:color w:val="auto"/>
              </w:rPr>
              <w:t>SO</w:t>
            </w:r>
            <w:r>
              <w:rPr>
                <w:rFonts w:eastAsiaTheme="minorEastAsia"/>
                <w:color w:val="auto"/>
                <w:vertAlign w:val="subscript"/>
              </w:rPr>
              <w:t>2</w:t>
            </w:r>
            <w:r>
              <w:rPr>
                <w:rFonts w:eastAsiaTheme="minorEastAsia"/>
                <w:color w:val="auto"/>
              </w:rPr>
              <w:t>、NO</w:t>
            </w:r>
            <w:r>
              <w:rPr>
                <w:rFonts w:eastAsiaTheme="minorEastAsia"/>
                <w:color w:val="auto"/>
                <w:vertAlign w:val="subscript"/>
              </w:rPr>
              <w:t>2</w:t>
            </w:r>
            <w:r>
              <w:rPr>
                <w:rFonts w:eastAsiaTheme="minorEastAsia"/>
                <w:color w:val="auto"/>
              </w:rPr>
              <w:t>、PM</w:t>
            </w:r>
            <w:r>
              <w:rPr>
                <w:rFonts w:eastAsiaTheme="minorEastAsia"/>
                <w:color w:val="auto"/>
                <w:vertAlign w:val="subscript"/>
              </w:rPr>
              <w:t>10</w:t>
            </w:r>
            <w:r>
              <w:rPr>
                <w:rFonts w:eastAsiaTheme="minorEastAsia"/>
                <w:color w:val="auto"/>
              </w:rPr>
              <w:t>、PM</w:t>
            </w:r>
            <w:r>
              <w:rPr>
                <w:rFonts w:eastAsiaTheme="minorEastAsia"/>
                <w:color w:val="auto"/>
                <w:vertAlign w:val="subscript"/>
              </w:rPr>
              <w:t>2.5</w:t>
            </w:r>
            <w:r>
              <w:rPr>
                <w:rFonts w:eastAsiaTheme="minorEastAsia"/>
                <w:color w:val="auto"/>
              </w:rPr>
              <w:t>、CO、O</w:t>
            </w:r>
            <w:r>
              <w:rPr>
                <w:rFonts w:eastAsiaTheme="minorEastAsia"/>
                <w:color w:val="auto"/>
                <w:vertAlign w:val="subscript"/>
              </w:rPr>
              <w:t>3</w:t>
            </w:r>
            <w:r>
              <w:rPr>
                <w:rFonts w:eastAsiaTheme="minorEastAsia"/>
                <w:color w:val="auto"/>
              </w:rPr>
              <w:t>、TVOC</w:t>
            </w:r>
            <w:r>
              <w:rPr>
                <w:rFonts w:eastAsiaTheme="minorEastAsia"/>
                <w:color w:val="auto"/>
                <w:szCs w:val="21"/>
              </w:rPr>
              <w:t>、NH</w:t>
            </w:r>
            <w:r>
              <w:rPr>
                <w:rFonts w:eastAsiaTheme="minorEastAsia"/>
                <w:color w:val="auto"/>
                <w:szCs w:val="21"/>
                <w:vertAlign w:val="subscript"/>
              </w:rPr>
              <w:t>3</w:t>
            </w:r>
            <w:r>
              <w:rPr>
                <w:color w:val="auto"/>
                <w:spacing w:val="-26"/>
                <w:w w:val="85"/>
                <w:szCs w:val="21"/>
              </w:rPr>
              <w:t>、</w:t>
            </w:r>
            <w:r>
              <w:rPr>
                <w:color w:val="auto"/>
              </w:rPr>
              <w:t>H</w:t>
            </w:r>
            <w:r>
              <w:rPr>
                <w:color w:val="auto"/>
                <w:vertAlign w:val="subscript"/>
              </w:rPr>
              <w:t>2</w:t>
            </w:r>
            <w:r>
              <w:rPr>
                <w:color w:val="auto"/>
              </w:rPr>
              <w:t>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continue"/>
            <w:vAlign w:val="center"/>
          </w:tcPr>
          <w:p>
            <w:pPr>
              <w:widowControl/>
              <w:jc w:val="left"/>
              <w:rPr>
                <w:rFonts w:eastAsiaTheme="minorEastAsia"/>
                <w:color w:val="auto"/>
              </w:rPr>
            </w:pPr>
          </w:p>
        </w:tc>
        <w:tc>
          <w:tcPr>
            <w:tcW w:w="1579" w:type="dxa"/>
            <w:vAlign w:val="center"/>
          </w:tcPr>
          <w:p>
            <w:pPr>
              <w:adjustRightInd w:val="0"/>
              <w:snapToGrid w:val="0"/>
              <w:jc w:val="center"/>
              <w:rPr>
                <w:rFonts w:eastAsiaTheme="minorEastAsia"/>
                <w:color w:val="auto"/>
              </w:rPr>
            </w:pPr>
            <w:r>
              <w:rPr>
                <w:rFonts w:eastAsiaTheme="minorEastAsia"/>
                <w:color w:val="auto"/>
              </w:rPr>
              <w:t>影响评价</w:t>
            </w:r>
          </w:p>
        </w:tc>
        <w:tc>
          <w:tcPr>
            <w:tcW w:w="5967" w:type="dxa"/>
            <w:vAlign w:val="center"/>
          </w:tcPr>
          <w:p>
            <w:pPr>
              <w:adjustRightInd w:val="0"/>
              <w:snapToGrid w:val="0"/>
              <w:jc w:val="center"/>
              <w:rPr>
                <w:rFonts w:eastAsiaTheme="minorEastAsia"/>
                <w:color w:val="auto"/>
              </w:rPr>
            </w:pPr>
            <w:r>
              <w:rPr>
                <w:rFonts w:eastAsiaTheme="minorEastAsia"/>
                <w:color w:val="auto"/>
              </w:rPr>
              <w:t>PM</w:t>
            </w:r>
            <w:r>
              <w:rPr>
                <w:rFonts w:eastAsiaTheme="minorEastAsia"/>
                <w:color w:val="auto"/>
                <w:vertAlign w:val="subscript"/>
              </w:rPr>
              <w:t>10</w:t>
            </w:r>
            <w:r>
              <w:rPr>
                <w:rFonts w:eastAsiaTheme="minorEastAsia"/>
                <w:color w:val="auto"/>
              </w:rPr>
              <w:t>、VOCs</w:t>
            </w:r>
            <w:r>
              <w:rPr>
                <w:rFonts w:eastAsiaTheme="minorEastAsia"/>
                <w:color w:val="auto"/>
                <w:szCs w:val="21"/>
              </w:rPr>
              <w:t>、NH</w:t>
            </w:r>
            <w:r>
              <w:rPr>
                <w:rFonts w:eastAsiaTheme="minorEastAsia"/>
                <w:color w:val="auto"/>
                <w:szCs w:val="21"/>
                <w:vertAlign w:val="subscript"/>
              </w:rPr>
              <w:t>3</w:t>
            </w:r>
            <w:r>
              <w:rPr>
                <w:color w:val="auto"/>
                <w:spacing w:val="-26"/>
                <w:w w:val="85"/>
                <w:szCs w:val="21"/>
              </w:rPr>
              <w:t>、</w:t>
            </w:r>
            <w:r>
              <w:rPr>
                <w:color w:val="auto"/>
              </w:rPr>
              <w:t>H</w:t>
            </w:r>
            <w:r>
              <w:rPr>
                <w:color w:val="auto"/>
                <w:vertAlign w:val="subscript"/>
              </w:rPr>
              <w:t>2</w:t>
            </w:r>
            <w:r>
              <w:rPr>
                <w:color w:val="auto"/>
              </w:rPr>
              <w:t>S、臭气浓度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continue"/>
            <w:vAlign w:val="center"/>
          </w:tcPr>
          <w:p>
            <w:pPr>
              <w:widowControl/>
              <w:jc w:val="left"/>
              <w:rPr>
                <w:rFonts w:eastAsiaTheme="minorEastAsia"/>
                <w:color w:val="auto"/>
              </w:rPr>
            </w:pPr>
          </w:p>
        </w:tc>
        <w:tc>
          <w:tcPr>
            <w:tcW w:w="1579" w:type="dxa"/>
            <w:vAlign w:val="center"/>
          </w:tcPr>
          <w:p>
            <w:pPr>
              <w:adjustRightInd w:val="0"/>
              <w:snapToGrid w:val="0"/>
              <w:jc w:val="center"/>
              <w:rPr>
                <w:rFonts w:eastAsiaTheme="minorEastAsia"/>
                <w:color w:val="auto"/>
              </w:rPr>
            </w:pPr>
            <w:r>
              <w:rPr>
                <w:rFonts w:eastAsiaTheme="minorEastAsia"/>
                <w:color w:val="auto"/>
              </w:rPr>
              <w:t>总量控制因子</w:t>
            </w:r>
          </w:p>
        </w:tc>
        <w:tc>
          <w:tcPr>
            <w:tcW w:w="5967" w:type="dxa"/>
            <w:vAlign w:val="center"/>
          </w:tcPr>
          <w:p>
            <w:pPr>
              <w:adjustRightInd w:val="0"/>
              <w:snapToGrid w:val="0"/>
              <w:jc w:val="center"/>
              <w:rPr>
                <w:rFonts w:eastAsiaTheme="minorEastAsia"/>
                <w:color w:val="auto"/>
              </w:rPr>
            </w:pPr>
            <w:r>
              <w:rPr>
                <w:rFonts w:eastAsiaTheme="minorEastAsia"/>
                <w:color w:val="auto"/>
              </w:rPr>
              <w:t>粉尘、VOCs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restart"/>
            <w:vAlign w:val="center"/>
          </w:tcPr>
          <w:p>
            <w:pPr>
              <w:adjustRightInd w:val="0"/>
              <w:snapToGrid w:val="0"/>
              <w:jc w:val="center"/>
              <w:rPr>
                <w:rFonts w:eastAsiaTheme="minorEastAsia"/>
                <w:color w:val="auto"/>
              </w:rPr>
            </w:pPr>
            <w:r>
              <w:rPr>
                <w:rFonts w:eastAsiaTheme="minorEastAsia"/>
                <w:color w:val="auto"/>
              </w:rPr>
              <w:t>地表水</w:t>
            </w:r>
          </w:p>
        </w:tc>
        <w:tc>
          <w:tcPr>
            <w:tcW w:w="1579" w:type="dxa"/>
            <w:vAlign w:val="center"/>
          </w:tcPr>
          <w:p>
            <w:pPr>
              <w:adjustRightInd w:val="0"/>
              <w:snapToGrid w:val="0"/>
              <w:jc w:val="center"/>
              <w:rPr>
                <w:rFonts w:eastAsiaTheme="minorEastAsia"/>
                <w:color w:val="auto"/>
              </w:rPr>
            </w:pPr>
            <w:r>
              <w:rPr>
                <w:rFonts w:eastAsiaTheme="minorEastAsia"/>
                <w:color w:val="auto"/>
              </w:rPr>
              <w:t>现状评价</w:t>
            </w:r>
          </w:p>
        </w:tc>
        <w:tc>
          <w:tcPr>
            <w:tcW w:w="5967" w:type="dxa"/>
            <w:vAlign w:val="center"/>
          </w:tcPr>
          <w:p>
            <w:pPr>
              <w:adjustRightInd w:val="0"/>
              <w:snapToGrid w:val="0"/>
              <w:jc w:val="center"/>
              <w:rPr>
                <w:rFonts w:eastAsiaTheme="minorEastAsia"/>
                <w:color w:val="auto"/>
              </w:rPr>
            </w:pPr>
            <w:r>
              <w:rPr>
                <w:color w:val="auto"/>
              </w:rPr>
              <w:t>pH、电导率、溶解氧、高锰酸盐指数、BOD</w:t>
            </w:r>
            <w:r>
              <w:rPr>
                <w:color w:val="auto"/>
                <w:vertAlign w:val="subscript"/>
              </w:rPr>
              <w:t>5</w:t>
            </w:r>
            <w:r>
              <w:rPr>
                <w:color w:val="auto"/>
              </w:rPr>
              <w:t>、氨氮、汞、铅、挥发酚、石油类、COD、总磷、铜、锌、氟化物、晒、砷、镉、六价铬、氰化物、阴离子表面活性剂和硫化物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continue"/>
            <w:vAlign w:val="center"/>
          </w:tcPr>
          <w:p>
            <w:pPr>
              <w:widowControl/>
              <w:jc w:val="left"/>
              <w:rPr>
                <w:rFonts w:eastAsiaTheme="minorEastAsia"/>
                <w:color w:val="auto"/>
              </w:rPr>
            </w:pPr>
          </w:p>
        </w:tc>
        <w:tc>
          <w:tcPr>
            <w:tcW w:w="1579" w:type="dxa"/>
            <w:vAlign w:val="center"/>
          </w:tcPr>
          <w:p>
            <w:pPr>
              <w:adjustRightInd w:val="0"/>
              <w:snapToGrid w:val="0"/>
              <w:jc w:val="center"/>
              <w:rPr>
                <w:rFonts w:eastAsiaTheme="minorEastAsia"/>
                <w:color w:val="auto"/>
              </w:rPr>
            </w:pPr>
            <w:r>
              <w:rPr>
                <w:rFonts w:eastAsiaTheme="minorEastAsia"/>
                <w:color w:val="auto"/>
              </w:rPr>
              <w:t>影响评价</w:t>
            </w:r>
          </w:p>
        </w:tc>
        <w:tc>
          <w:tcPr>
            <w:tcW w:w="5967" w:type="dxa"/>
            <w:vAlign w:val="center"/>
          </w:tcPr>
          <w:p>
            <w:pPr>
              <w:adjustRightInd w:val="0"/>
              <w:snapToGrid w:val="0"/>
              <w:jc w:val="center"/>
              <w:rPr>
                <w:rFonts w:eastAsiaTheme="minorEastAsia"/>
                <w:color w:val="auto"/>
              </w:rPr>
            </w:pPr>
            <w:r>
              <w:rPr>
                <w:rFonts w:eastAsiaTheme="minorEastAsia"/>
                <w:color w:val="auto"/>
              </w:rPr>
              <w:t>项目废水不外排，</w:t>
            </w:r>
            <w:r>
              <w:rPr>
                <w:rFonts w:eastAsiaTheme="minorEastAsia"/>
                <w:color w:val="auto"/>
                <w:lang w:bidi="zh-CN"/>
              </w:rPr>
              <w:t>仅对废水处理措施可行性进行分析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continue"/>
            <w:vAlign w:val="center"/>
          </w:tcPr>
          <w:p>
            <w:pPr>
              <w:widowControl/>
              <w:jc w:val="left"/>
              <w:rPr>
                <w:rFonts w:eastAsiaTheme="minorEastAsia"/>
                <w:color w:val="auto"/>
              </w:rPr>
            </w:pPr>
          </w:p>
        </w:tc>
        <w:tc>
          <w:tcPr>
            <w:tcW w:w="1579" w:type="dxa"/>
            <w:vAlign w:val="center"/>
          </w:tcPr>
          <w:p>
            <w:pPr>
              <w:adjustRightInd w:val="0"/>
              <w:snapToGrid w:val="0"/>
              <w:jc w:val="center"/>
              <w:rPr>
                <w:rFonts w:eastAsiaTheme="minorEastAsia"/>
                <w:color w:val="auto"/>
              </w:rPr>
            </w:pPr>
            <w:r>
              <w:rPr>
                <w:rFonts w:eastAsiaTheme="minorEastAsia"/>
                <w:color w:val="auto"/>
              </w:rPr>
              <w:t>总量控制因子</w:t>
            </w:r>
          </w:p>
        </w:tc>
        <w:tc>
          <w:tcPr>
            <w:tcW w:w="5967" w:type="dxa"/>
            <w:vAlign w:val="center"/>
          </w:tcPr>
          <w:p>
            <w:pPr>
              <w:adjustRightInd w:val="0"/>
              <w:snapToGrid w:val="0"/>
              <w:jc w:val="center"/>
              <w:rPr>
                <w:rFonts w:eastAsiaTheme="minorEastAsia"/>
                <w:color w:val="auto"/>
              </w:rPr>
            </w:pPr>
            <w:r>
              <w:rPr>
                <w:rFonts w:eastAsiaTheme="minorEastAsia"/>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restart"/>
            <w:vAlign w:val="center"/>
          </w:tcPr>
          <w:p>
            <w:pPr>
              <w:adjustRightInd w:val="0"/>
              <w:snapToGrid w:val="0"/>
              <w:jc w:val="center"/>
              <w:rPr>
                <w:rFonts w:eastAsiaTheme="minorEastAsia"/>
                <w:color w:val="auto"/>
              </w:rPr>
            </w:pPr>
            <w:r>
              <w:rPr>
                <w:rFonts w:eastAsiaTheme="minorEastAsia"/>
                <w:color w:val="auto"/>
              </w:rPr>
              <w:t>地下水</w:t>
            </w:r>
          </w:p>
        </w:tc>
        <w:tc>
          <w:tcPr>
            <w:tcW w:w="1579" w:type="dxa"/>
            <w:vAlign w:val="center"/>
          </w:tcPr>
          <w:p>
            <w:pPr>
              <w:adjustRightInd w:val="0"/>
              <w:snapToGrid w:val="0"/>
              <w:jc w:val="center"/>
              <w:rPr>
                <w:rFonts w:eastAsiaTheme="minorEastAsia"/>
                <w:color w:val="auto"/>
              </w:rPr>
            </w:pPr>
            <w:r>
              <w:rPr>
                <w:rFonts w:eastAsiaTheme="minorEastAsia"/>
                <w:color w:val="auto"/>
              </w:rPr>
              <w:t>现状评价</w:t>
            </w:r>
          </w:p>
        </w:tc>
        <w:tc>
          <w:tcPr>
            <w:tcW w:w="5967" w:type="dxa"/>
            <w:vAlign w:val="center"/>
          </w:tcPr>
          <w:p>
            <w:pPr>
              <w:adjustRightInd w:val="0"/>
              <w:snapToGrid w:val="0"/>
              <w:jc w:val="center"/>
              <w:rPr>
                <w:rFonts w:eastAsiaTheme="minorEastAsia"/>
                <w:color w:val="auto"/>
              </w:rPr>
            </w:pPr>
            <w:r>
              <w:rPr>
                <w:color w:val="auto"/>
              </w:rPr>
              <w:t>pH、总硬度、溶解性总固体、硫酸盐、氯化物、铁、锰、挥发性酚类、耗氧量、硝酸盐、亚硝酸盐、氨氮、氟化物、氰化物、汞、砷、镉、铬（六价）、铅、镍、总大肠菌群、细菌总数、K</w:t>
            </w:r>
            <w:r>
              <w:rPr>
                <w:color w:val="auto"/>
                <w:vertAlign w:val="superscript"/>
              </w:rPr>
              <w:t>+</w:t>
            </w:r>
            <w:r>
              <w:rPr>
                <w:color w:val="auto"/>
              </w:rPr>
              <w:t>、Na</w:t>
            </w:r>
            <w:r>
              <w:rPr>
                <w:color w:val="auto"/>
                <w:vertAlign w:val="superscript"/>
              </w:rPr>
              <w:t>+</w:t>
            </w:r>
            <w:r>
              <w:rPr>
                <w:color w:val="auto"/>
              </w:rPr>
              <w:t>、Ca</w:t>
            </w:r>
            <w:r>
              <w:rPr>
                <w:color w:val="auto"/>
                <w:vertAlign w:val="superscript"/>
              </w:rPr>
              <w:t>2+</w:t>
            </w:r>
            <w:r>
              <w:rPr>
                <w:color w:val="auto"/>
              </w:rPr>
              <w:t>、Mg</w:t>
            </w:r>
            <w:r>
              <w:rPr>
                <w:color w:val="auto"/>
                <w:vertAlign w:val="superscript"/>
              </w:rPr>
              <w:t>2+</w:t>
            </w:r>
            <w:r>
              <w:rPr>
                <w:color w:val="auto"/>
              </w:rPr>
              <w:t>、CO</w:t>
            </w:r>
            <w:r>
              <w:rPr>
                <w:color w:val="auto"/>
                <w:vertAlign w:val="subscript"/>
              </w:rPr>
              <w:t>3</w:t>
            </w:r>
            <w:r>
              <w:rPr>
                <w:color w:val="auto"/>
                <w:vertAlign w:val="superscript"/>
              </w:rPr>
              <w:t>2-</w:t>
            </w:r>
            <w:r>
              <w:rPr>
                <w:color w:val="auto"/>
              </w:rPr>
              <w:t>、HCO</w:t>
            </w:r>
            <w:r>
              <w:rPr>
                <w:color w:val="auto"/>
                <w:vertAlign w:val="subscript"/>
              </w:rPr>
              <w:t>3</w:t>
            </w:r>
            <w:r>
              <w:rPr>
                <w:color w:val="auto"/>
                <w:vertAlign w:val="superscript"/>
              </w:rPr>
              <w:t>-</w:t>
            </w:r>
            <w:r>
              <w:rPr>
                <w:color w:val="auto"/>
              </w:rPr>
              <w:t>、Cl</w:t>
            </w:r>
            <w:r>
              <w:rPr>
                <w:color w:val="auto"/>
                <w:vertAlign w:val="superscript"/>
              </w:rPr>
              <w:t>-</w:t>
            </w:r>
            <w:r>
              <w:rPr>
                <w:color w:val="auto"/>
              </w:rPr>
              <w:t>、SO</w:t>
            </w:r>
            <w:r>
              <w:rPr>
                <w:color w:val="auto"/>
                <w:vertAlign w:val="subscript"/>
              </w:rPr>
              <w:t>4</w:t>
            </w:r>
            <w:r>
              <w:rPr>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continue"/>
            <w:vAlign w:val="center"/>
          </w:tcPr>
          <w:p>
            <w:pPr>
              <w:widowControl/>
              <w:jc w:val="left"/>
              <w:rPr>
                <w:rFonts w:eastAsiaTheme="minorEastAsia"/>
                <w:color w:val="auto"/>
              </w:rPr>
            </w:pPr>
          </w:p>
        </w:tc>
        <w:tc>
          <w:tcPr>
            <w:tcW w:w="1579" w:type="dxa"/>
            <w:vAlign w:val="center"/>
          </w:tcPr>
          <w:p>
            <w:pPr>
              <w:adjustRightInd w:val="0"/>
              <w:snapToGrid w:val="0"/>
              <w:jc w:val="center"/>
              <w:rPr>
                <w:rFonts w:eastAsiaTheme="minorEastAsia"/>
                <w:color w:val="auto"/>
              </w:rPr>
            </w:pPr>
            <w:r>
              <w:rPr>
                <w:rFonts w:eastAsiaTheme="minorEastAsia"/>
                <w:color w:val="auto"/>
              </w:rPr>
              <w:t>影响评价</w:t>
            </w:r>
          </w:p>
        </w:tc>
        <w:tc>
          <w:tcPr>
            <w:tcW w:w="5967" w:type="dxa"/>
            <w:vAlign w:val="center"/>
          </w:tcPr>
          <w:p>
            <w:pPr>
              <w:adjustRightInd w:val="0"/>
              <w:snapToGrid w:val="0"/>
              <w:jc w:val="center"/>
              <w:rPr>
                <w:rFonts w:eastAsiaTheme="minorEastAsia"/>
                <w:color w:val="auto"/>
              </w:rPr>
            </w:pPr>
            <w:r>
              <w:rPr>
                <w:rFonts w:eastAsiaTheme="minorEastAsia"/>
                <w:color w:val="auto"/>
              </w:rPr>
              <w:t>耗氧量（COD</w:t>
            </w:r>
            <w:r>
              <w:rPr>
                <w:rFonts w:eastAsiaTheme="minorEastAsia"/>
                <w:color w:val="auto"/>
                <w:vertAlign w:val="subscript"/>
              </w:rPr>
              <w:t>Mn</w:t>
            </w:r>
            <w:r>
              <w:rPr>
                <w:rFonts w:eastAsiaTheme="minorEastAsia"/>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restart"/>
            <w:vAlign w:val="center"/>
          </w:tcPr>
          <w:p>
            <w:pPr>
              <w:adjustRightInd w:val="0"/>
              <w:snapToGrid w:val="0"/>
              <w:jc w:val="center"/>
              <w:rPr>
                <w:rFonts w:eastAsiaTheme="minorEastAsia"/>
                <w:color w:val="auto"/>
              </w:rPr>
            </w:pPr>
            <w:r>
              <w:rPr>
                <w:rFonts w:eastAsiaTheme="minorEastAsia"/>
                <w:color w:val="auto"/>
              </w:rPr>
              <w:t>声环境</w:t>
            </w:r>
          </w:p>
        </w:tc>
        <w:tc>
          <w:tcPr>
            <w:tcW w:w="1579" w:type="dxa"/>
            <w:vAlign w:val="center"/>
          </w:tcPr>
          <w:p>
            <w:pPr>
              <w:adjustRightInd w:val="0"/>
              <w:snapToGrid w:val="0"/>
              <w:jc w:val="center"/>
              <w:rPr>
                <w:rFonts w:eastAsiaTheme="minorEastAsia"/>
                <w:color w:val="auto"/>
              </w:rPr>
            </w:pPr>
            <w:r>
              <w:rPr>
                <w:rFonts w:eastAsiaTheme="minorEastAsia"/>
                <w:color w:val="auto"/>
              </w:rPr>
              <w:t>现状评价</w:t>
            </w:r>
          </w:p>
        </w:tc>
        <w:tc>
          <w:tcPr>
            <w:tcW w:w="5967" w:type="dxa"/>
            <w:vAlign w:val="center"/>
          </w:tcPr>
          <w:p>
            <w:pPr>
              <w:adjustRightInd w:val="0"/>
              <w:snapToGrid w:val="0"/>
              <w:jc w:val="center"/>
              <w:rPr>
                <w:rFonts w:eastAsiaTheme="minorEastAsia"/>
                <w:color w:val="auto"/>
              </w:rPr>
            </w:pPr>
            <w:r>
              <w:rPr>
                <w:rFonts w:eastAsiaTheme="minorEastAsia"/>
                <w:color w:val="auto"/>
              </w:rPr>
              <w:t>等效连续A声级（Leq）</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continue"/>
            <w:vAlign w:val="center"/>
          </w:tcPr>
          <w:p>
            <w:pPr>
              <w:widowControl/>
              <w:jc w:val="left"/>
              <w:rPr>
                <w:rFonts w:eastAsiaTheme="minorEastAsia"/>
                <w:color w:val="auto"/>
              </w:rPr>
            </w:pPr>
          </w:p>
        </w:tc>
        <w:tc>
          <w:tcPr>
            <w:tcW w:w="1579" w:type="dxa"/>
            <w:vAlign w:val="center"/>
          </w:tcPr>
          <w:p>
            <w:pPr>
              <w:adjustRightInd w:val="0"/>
              <w:snapToGrid w:val="0"/>
              <w:jc w:val="center"/>
              <w:rPr>
                <w:rFonts w:eastAsiaTheme="minorEastAsia"/>
                <w:color w:val="auto"/>
              </w:rPr>
            </w:pPr>
            <w:r>
              <w:rPr>
                <w:rFonts w:eastAsiaTheme="minorEastAsia"/>
                <w:color w:val="auto"/>
              </w:rPr>
              <w:t>影响评价</w:t>
            </w:r>
          </w:p>
        </w:tc>
        <w:tc>
          <w:tcPr>
            <w:tcW w:w="5967" w:type="dxa"/>
            <w:vAlign w:val="center"/>
          </w:tcPr>
          <w:p>
            <w:pPr>
              <w:adjustRightInd w:val="0"/>
              <w:snapToGrid w:val="0"/>
              <w:jc w:val="center"/>
              <w:rPr>
                <w:rFonts w:eastAsiaTheme="minorEastAsia"/>
                <w:color w:val="auto"/>
              </w:rPr>
            </w:pPr>
            <w:r>
              <w:rPr>
                <w:rFonts w:eastAsiaTheme="minorEastAsia"/>
                <w:color w:val="auto"/>
              </w:rPr>
              <w:t>等效连续A声级（Leq）</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Align w:val="center"/>
          </w:tcPr>
          <w:p>
            <w:pPr>
              <w:adjustRightInd w:val="0"/>
              <w:snapToGrid w:val="0"/>
              <w:jc w:val="center"/>
              <w:rPr>
                <w:rFonts w:eastAsiaTheme="minorEastAsia"/>
                <w:color w:val="auto"/>
              </w:rPr>
            </w:pPr>
            <w:r>
              <w:rPr>
                <w:rFonts w:eastAsiaTheme="minorEastAsia"/>
                <w:color w:val="auto"/>
              </w:rPr>
              <w:t>固体废物</w:t>
            </w:r>
          </w:p>
        </w:tc>
        <w:tc>
          <w:tcPr>
            <w:tcW w:w="1579" w:type="dxa"/>
            <w:vAlign w:val="center"/>
          </w:tcPr>
          <w:p>
            <w:pPr>
              <w:adjustRightInd w:val="0"/>
              <w:snapToGrid w:val="0"/>
              <w:jc w:val="center"/>
              <w:rPr>
                <w:rFonts w:eastAsiaTheme="minorEastAsia"/>
                <w:color w:val="auto"/>
              </w:rPr>
            </w:pPr>
            <w:r>
              <w:rPr>
                <w:rFonts w:eastAsiaTheme="minorEastAsia"/>
                <w:color w:val="auto"/>
              </w:rPr>
              <w:t>影响评价</w:t>
            </w:r>
          </w:p>
        </w:tc>
        <w:tc>
          <w:tcPr>
            <w:tcW w:w="5967" w:type="dxa"/>
            <w:vAlign w:val="center"/>
          </w:tcPr>
          <w:p>
            <w:pPr>
              <w:adjustRightInd w:val="0"/>
              <w:snapToGrid w:val="0"/>
              <w:jc w:val="center"/>
              <w:rPr>
                <w:rFonts w:eastAsiaTheme="minorEastAsia"/>
                <w:color w:val="auto"/>
              </w:rPr>
            </w:pPr>
            <w:r>
              <w:rPr>
                <w:rFonts w:eastAsiaTheme="minorEastAsia"/>
                <w:color w:val="auto"/>
              </w:rPr>
              <w:t>生活垃圾、灭菌处理后的医疗废物、废活性炭、废滤芯等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restart"/>
            <w:vAlign w:val="center"/>
          </w:tcPr>
          <w:p>
            <w:pPr>
              <w:adjustRightInd w:val="0"/>
              <w:snapToGrid w:val="0"/>
              <w:jc w:val="center"/>
              <w:rPr>
                <w:rFonts w:eastAsiaTheme="minorEastAsia"/>
                <w:color w:val="auto"/>
              </w:rPr>
            </w:pPr>
            <w:r>
              <w:rPr>
                <w:rFonts w:eastAsiaTheme="minorEastAsia"/>
                <w:color w:val="auto"/>
              </w:rPr>
              <w:t>土壤</w:t>
            </w:r>
          </w:p>
        </w:tc>
        <w:tc>
          <w:tcPr>
            <w:tcW w:w="1579" w:type="dxa"/>
            <w:vAlign w:val="center"/>
          </w:tcPr>
          <w:p>
            <w:pPr>
              <w:adjustRightInd w:val="0"/>
              <w:snapToGrid w:val="0"/>
              <w:jc w:val="center"/>
              <w:rPr>
                <w:rFonts w:eastAsiaTheme="minorEastAsia"/>
                <w:color w:val="auto"/>
              </w:rPr>
            </w:pPr>
            <w:r>
              <w:rPr>
                <w:rFonts w:eastAsiaTheme="minorEastAsia"/>
                <w:color w:val="auto"/>
              </w:rPr>
              <w:t>现状评价</w:t>
            </w:r>
          </w:p>
        </w:tc>
        <w:tc>
          <w:tcPr>
            <w:tcW w:w="5967" w:type="dxa"/>
            <w:vAlign w:val="center"/>
          </w:tcPr>
          <w:p>
            <w:pPr>
              <w:adjustRightInd w:val="0"/>
              <w:snapToGrid w:val="0"/>
              <w:jc w:val="center"/>
              <w:rPr>
                <w:rFonts w:eastAsiaTheme="minorEastAsia"/>
                <w:color w:val="auto"/>
              </w:rPr>
            </w:pPr>
            <w:r>
              <w:rPr>
                <w:color w:val="auto"/>
                <w:kern w:val="0"/>
                <w:szCs w:val="21"/>
              </w:rPr>
              <w:t>pH、砷、镉、铬、铜、铅、汞、镍、四氯化碳、氯仿、氯甲烷、1,1-二氧乙烷、1,2-二氧乙烷、1,1-二氧乙烯、顺-1,2-二氧乙烯、反-1,2-二氧乙烯、二氧甲烷、1,2-二氧丙烷、1,1,1,2-四氯乙烷、1,1,2,2-四氯乙烷、四氯乙烯、1,1,1-三氯乙烷、1,1,2-三氯乙烷、三氯乙烯、1,2,3-三氯丙烷、氯乙烯、苯、氯苯、1,2-二氯苯、1,4-二氯苯、乙苯、苯乙烯、甲苯、间二甲苯+对二甲苯、邻二甲苯、硝基苯、苯胺、2-氯酚、苯并[α]蒽、苯并[α]芘、苯并[α]荧蒽、苯并[k]荧蒽、䓛、二苯并[α、h]蒽、茚并[1,2,3-cd]芘、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continue"/>
            <w:vAlign w:val="center"/>
          </w:tcPr>
          <w:p>
            <w:pPr>
              <w:adjustRightInd w:val="0"/>
              <w:snapToGrid w:val="0"/>
              <w:jc w:val="center"/>
              <w:rPr>
                <w:rFonts w:eastAsiaTheme="minorEastAsia"/>
                <w:color w:val="auto"/>
              </w:rPr>
            </w:pPr>
          </w:p>
        </w:tc>
        <w:tc>
          <w:tcPr>
            <w:tcW w:w="1579" w:type="dxa"/>
            <w:vAlign w:val="center"/>
          </w:tcPr>
          <w:p>
            <w:pPr>
              <w:adjustRightInd w:val="0"/>
              <w:snapToGrid w:val="0"/>
              <w:jc w:val="center"/>
              <w:rPr>
                <w:rFonts w:eastAsiaTheme="minorEastAsia"/>
                <w:color w:val="auto"/>
              </w:rPr>
            </w:pPr>
            <w:r>
              <w:rPr>
                <w:rFonts w:eastAsiaTheme="minorEastAsia"/>
                <w:color w:val="auto"/>
              </w:rPr>
              <w:t>影响评价</w:t>
            </w:r>
          </w:p>
        </w:tc>
        <w:tc>
          <w:tcPr>
            <w:tcW w:w="5967" w:type="dxa"/>
            <w:vAlign w:val="center"/>
          </w:tcPr>
          <w:p>
            <w:pPr>
              <w:adjustRightInd w:val="0"/>
              <w:snapToGrid w:val="0"/>
              <w:jc w:val="center"/>
              <w:rPr>
                <w:color w:val="auto"/>
                <w:kern w:val="0"/>
                <w:szCs w:val="21"/>
              </w:rPr>
            </w:pPr>
            <w:r>
              <w:rPr>
                <w:color w:val="auto"/>
                <w:kern w:val="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restart"/>
            <w:vAlign w:val="center"/>
          </w:tcPr>
          <w:p>
            <w:pPr>
              <w:adjustRightInd w:val="0"/>
              <w:snapToGrid w:val="0"/>
              <w:jc w:val="center"/>
              <w:rPr>
                <w:rFonts w:eastAsiaTheme="minorEastAsia"/>
                <w:color w:val="auto"/>
              </w:rPr>
            </w:pPr>
            <w:bookmarkStart w:id="109" w:name="_Toc11595175"/>
            <w:r>
              <w:rPr>
                <w:rFonts w:eastAsiaTheme="minorEastAsia"/>
                <w:color w:val="auto"/>
              </w:rPr>
              <w:t>生态环境</w:t>
            </w:r>
          </w:p>
        </w:tc>
        <w:tc>
          <w:tcPr>
            <w:tcW w:w="1579" w:type="dxa"/>
            <w:vAlign w:val="center"/>
          </w:tcPr>
          <w:p>
            <w:pPr>
              <w:adjustRightInd w:val="0"/>
              <w:snapToGrid w:val="0"/>
              <w:jc w:val="center"/>
              <w:rPr>
                <w:rFonts w:eastAsiaTheme="minorEastAsia"/>
                <w:color w:val="auto"/>
              </w:rPr>
            </w:pPr>
            <w:r>
              <w:rPr>
                <w:rFonts w:eastAsiaTheme="minorEastAsia"/>
                <w:color w:val="auto"/>
              </w:rPr>
              <w:t>现状评价</w:t>
            </w:r>
          </w:p>
        </w:tc>
        <w:tc>
          <w:tcPr>
            <w:tcW w:w="5967" w:type="dxa"/>
            <w:vAlign w:val="center"/>
          </w:tcPr>
          <w:p>
            <w:pPr>
              <w:adjustRightInd w:val="0"/>
              <w:snapToGrid w:val="0"/>
              <w:jc w:val="center"/>
              <w:rPr>
                <w:color w:val="auto"/>
                <w:kern w:val="0"/>
                <w:szCs w:val="21"/>
              </w:rPr>
            </w:pPr>
            <w:r>
              <w:rPr>
                <w:color w:val="auto"/>
                <w:kern w:val="0"/>
                <w:szCs w:val="21"/>
              </w:rPr>
              <w:t>动植物、周边生态环境等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Merge w:val="continue"/>
            <w:vAlign w:val="center"/>
          </w:tcPr>
          <w:p>
            <w:pPr>
              <w:adjustRightInd w:val="0"/>
              <w:snapToGrid w:val="0"/>
              <w:jc w:val="center"/>
              <w:rPr>
                <w:rFonts w:eastAsiaTheme="minorEastAsia"/>
                <w:color w:val="auto"/>
              </w:rPr>
            </w:pPr>
          </w:p>
        </w:tc>
        <w:tc>
          <w:tcPr>
            <w:tcW w:w="1579" w:type="dxa"/>
            <w:vAlign w:val="center"/>
          </w:tcPr>
          <w:p>
            <w:pPr>
              <w:adjustRightInd w:val="0"/>
              <w:snapToGrid w:val="0"/>
              <w:jc w:val="center"/>
              <w:rPr>
                <w:rFonts w:eastAsiaTheme="minorEastAsia"/>
                <w:color w:val="auto"/>
              </w:rPr>
            </w:pPr>
            <w:r>
              <w:rPr>
                <w:rFonts w:eastAsiaTheme="minorEastAsia"/>
                <w:color w:val="auto"/>
              </w:rPr>
              <w:t>影响评价</w:t>
            </w:r>
          </w:p>
        </w:tc>
        <w:tc>
          <w:tcPr>
            <w:tcW w:w="5967" w:type="dxa"/>
            <w:vAlign w:val="center"/>
          </w:tcPr>
          <w:p>
            <w:pPr>
              <w:adjustRightInd w:val="0"/>
              <w:snapToGrid w:val="0"/>
              <w:jc w:val="center"/>
              <w:rPr>
                <w:color w:val="auto"/>
                <w:kern w:val="0"/>
                <w:szCs w:val="21"/>
              </w:rPr>
            </w:pPr>
            <w:r>
              <w:rPr>
                <w:color w:val="auto"/>
                <w:kern w:val="0"/>
                <w:szCs w:val="21"/>
              </w:rPr>
              <w:t>动植物、周边生态环境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74" w:type="dxa"/>
            <w:vAlign w:val="center"/>
          </w:tcPr>
          <w:p>
            <w:pPr>
              <w:adjustRightInd w:val="0"/>
              <w:snapToGrid w:val="0"/>
              <w:jc w:val="center"/>
              <w:rPr>
                <w:rFonts w:eastAsiaTheme="minorEastAsia"/>
                <w:color w:val="auto"/>
              </w:rPr>
            </w:pPr>
            <w:r>
              <w:rPr>
                <w:rFonts w:eastAsiaTheme="minorEastAsia"/>
                <w:color w:val="auto"/>
              </w:rPr>
              <w:t>环境风险</w:t>
            </w:r>
          </w:p>
        </w:tc>
        <w:tc>
          <w:tcPr>
            <w:tcW w:w="1579" w:type="dxa"/>
            <w:vAlign w:val="center"/>
          </w:tcPr>
          <w:p>
            <w:pPr>
              <w:adjustRightInd w:val="0"/>
              <w:snapToGrid w:val="0"/>
              <w:jc w:val="center"/>
              <w:rPr>
                <w:rFonts w:eastAsiaTheme="minorEastAsia"/>
                <w:color w:val="auto"/>
              </w:rPr>
            </w:pPr>
            <w:r>
              <w:rPr>
                <w:rFonts w:eastAsiaTheme="minorEastAsia"/>
                <w:color w:val="auto"/>
              </w:rPr>
              <w:t>影响评价</w:t>
            </w:r>
          </w:p>
        </w:tc>
        <w:tc>
          <w:tcPr>
            <w:tcW w:w="5967" w:type="dxa"/>
            <w:vAlign w:val="center"/>
          </w:tcPr>
          <w:p>
            <w:pPr>
              <w:adjustRightInd w:val="0"/>
              <w:snapToGrid w:val="0"/>
              <w:jc w:val="center"/>
              <w:rPr>
                <w:color w:val="auto"/>
                <w:kern w:val="0"/>
                <w:szCs w:val="21"/>
              </w:rPr>
            </w:pPr>
            <w:r>
              <w:rPr>
                <w:color w:val="auto"/>
                <w:szCs w:val="21"/>
              </w:rPr>
              <w:t>风险物质氢氧化钠、次氯酸钠和未高温蒸汽处理的医疗废物</w:t>
            </w:r>
          </w:p>
        </w:tc>
      </w:tr>
    </w:tbl>
    <w:p>
      <w:pPr>
        <w:pStyle w:val="5"/>
        <w:numPr>
          <w:ilvl w:val="2"/>
          <w:numId w:val="0"/>
        </w:numPr>
        <w:ind w:left="-720" w:leftChars="-343" w:firstLine="723" w:firstLineChars="300"/>
        <w:rPr>
          <w:color w:val="auto"/>
        </w:rPr>
      </w:pPr>
      <w:bookmarkStart w:id="110" w:name="_Toc109398545"/>
      <w:r>
        <w:rPr>
          <w:color w:val="auto"/>
        </w:rPr>
        <w:t>1.3.2评价重点</w:t>
      </w:r>
      <w:bookmarkEnd w:id="109"/>
      <w:bookmarkEnd w:id="110"/>
    </w:p>
    <w:p>
      <w:pPr>
        <w:pStyle w:val="130"/>
        <w:ind w:firstLine="480"/>
        <w:rPr>
          <w:color w:val="auto"/>
        </w:rPr>
      </w:pPr>
      <w:r>
        <w:rPr>
          <w:color w:val="auto"/>
        </w:rPr>
        <w:t>根据项目生产特点、排污特征，综合考虑项目所在地周边自然及环境状况，确定本次环境影响评价重点为：在深入开展工程分析及区域自然环境状况调查的基础上，以环境空气影响评价、地下水环境影响及环境风险评价与管理评价为重点。并且在综合评价的基础上，分析污染防治措施的经济合理性和技术可靠性，提出主要污染物排放总量控制方案，在广泛公众参与的基础上综合评价项目建设的环境可行性。</w:t>
      </w:r>
    </w:p>
    <w:p>
      <w:pPr>
        <w:pStyle w:val="4"/>
        <w:numPr>
          <w:ilvl w:val="1"/>
          <w:numId w:val="0"/>
        </w:numPr>
        <w:spacing w:before="120"/>
        <w:rPr>
          <w:color w:val="auto"/>
        </w:rPr>
      </w:pPr>
      <w:bookmarkStart w:id="111" w:name="_Toc11595176"/>
      <w:bookmarkStart w:id="112" w:name="_Toc109398546"/>
      <w:r>
        <w:rPr>
          <w:color w:val="auto"/>
        </w:rPr>
        <w:t>1.4评价标准</w:t>
      </w:r>
      <w:bookmarkEnd w:id="111"/>
      <w:bookmarkEnd w:id="112"/>
    </w:p>
    <w:p>
      <w:pPr>
        <w:pStyle w:val="5"/>
        <w:numPr>
          <w:ilvl w:val="2"/>
          <w:numId w:val="0"/>
        </w:numPr>
        <w:ind w:left="-720" w:leftChars="-343" w:firstLine="723" w:firstLineChars="300"/>
        <w:rPr>
          <w:color w:val="auto"/>
        </w:rPr>
      </w:pPr>
      <w:bookmarkStart w:id="113" w:name="_Toc109398547"/>
      <w:bookmarkStart w:id="114" w:name="_Toc11595177"/>
      <w:r>
        <w:rPr>
          <w:color w:val="auto"/>
        </w:rPr>
        <w:t>1.4.1环境质量标准</w:t>
      </w:r>
      <w:bookmarkEnd w:id="113"/>
      <w:bookmarkEnd w:id="114"/>
    </w:p>
    <w:p>
      <w:pPr>
        <w:rPr>
          <w:color w:val="auto"/>
        </w:rPr>
      </w:pPr>
    </w:p>
    <w:p>
      <w:pPr>
        <w:pStyle w:val="2"/>
        <w:rPr>
          <w:color w:val="auto"/>
        </w:rPr>
      </w:pPr>
    </w:p>
    <w:p>
      <w:pPr>
        <w:pStyle w:val="6"/>
        <w:numPr>
          <w:ilvl w:val="3"/>
          <w:numId w:val="0"/>
        </w:numPr>
        <w:rPr>
          <w:color w:val="auto"/>
        </w:rPr>
      </w:pPr>
      <w:bookmarkStart w:id="115" w:name="_Toc11595178"/>
      <w:r>
        <w:rPr>
          <w:color w:val="auto"/>
        </w:rPr>
        <w:t>1.4.1.1环境空气质量标准</w:t>
      </w:r>
      <w:bookmarkEnd w:id="115"/>
    </w:p>
    <w:p>
      <w:pPr>
        <w:pStyle w:val="130"/>
        <w:ind w:firstLine="480"/>
        <w:rPr>
          <w:color w:val="auto"/>
        </w:rPr>
      </w:pPr>
      <w:r>
        <w:rPr>
          <w:color w:val="auto"/>
        </w:rPr>
        <w:t>本项目建设地点位于宁夏中卫市永康镇阳沟村中卫市生活垃圾填埋场西侧，根据《环境空气质量标准》（GB3095-2012）及2018年修改单中有关环境空气质量功能分类规定：“一类区为自然保护区、风景名胜区和其他需要特殊保护的区域；二类区为居住区、商业交通居民混合区、文化区、工业区和农村地区”，故项目所在区域属于环境空气二类区域，PM</w:t>
      </w:r>
      <w:r>
        <w:rPr>
          <w:color w:val="auto"/>
          <w:vertAlign w:val="subscript"/>
        </w:rPr>
        <w:t>10</w:t>
      </w:r>
      <w:r>
        <w:rPr>
          <w:color w:val="auto"/>
        </w:rPr>
        <w:t>、PM</w:t>
      </w:r>
      <w:r>
        <w:rPr>
          <w:color w:val="auto"/>
          <w:vertAlign w:val="subscript"/>
        </w:rPr>
        <w:t>2.5</w:t>
      </w:r>
      <w:r>
        <w:rPr>
          <w:color w:val="auto"/>
        </w:rPr>
        <w:t>、SO</w:t>
      </w:r>
      <w:r>
        <w:rPr>
          <w:color w:val="auto"/>
          <w:vertAlign w:val="subscript"/>
        </w:rPr>
        <w:t>2</w:t>
      </w:r>
      <w:r>
        <w:rPr>
          <w:color w:val="auto"/>
        </w:rPr>
        <w:t>、NO</w:t>
      </w:r>
      <w:r>
        <w:rPr>
          <w:color w:val="auto"/>
          <w:vertAlign w:val="subscript"/>
        </w:rPr>
        <w:t>2</w:t>
      </w:r>
      <w:r>
        <w:rPr>
          <w:rFonts w:eastAsiaTheme="minorEastAsia"/>
          <w:color w:val="auto"/>
          <w:szCs w:val="21"/>
        </w:rPr>
        <w:t>、CO、臭氧</w:t>
      </w:r>
      <w:r>
        <w:rPr>
          <w:color w:val="auto"/>
        </w:rPr>
        <w:t>执行《环境空气质量标准》（GB3095-2012）及2018年修改单二级标准；H</w:t>
      </w:r>
      <w:r>
        <w:rPr>
          <w:color w:val="auto"/>
          <w:vertAlign w:val="subscript"/>
        </w:rPr>
        <w:t>2</w:t>
      </w:r>
      <w:r>
        <w:rPr>
          <w:color w:val="auto"/>
        </w:rPr>
        <w:t>S、NH</w:t>
      </w:r>
      <w:r>
        <w:rPr>
          <w:color w:val="auto"/>
          <w:vertAlign w:val="subscript"/>
        </w:rPr>
        <w:t>3</w:t>
      </w:r>
      <w:r>
        <w:rPr>
          <w:color w:val="auto"/>
        </w:rPr>
        <w:t>、TVOC参照执行《环境影响评价技术导则 大气环境》（HJ2.2-2018）附录D其他污染物空气质量浓度参考限值。</w:t>
      </w:r>
    </w:p>
    <w:p>
      <w:pPr>
        <w:spacing w:line="360" w:lineRule="auto"/>
        <w:ind w:firstLine="480" w:firstLineChars="200"/>
        <w:rPr>
          <w:rFonts w:eastAsiaTheme="minorEastAsia"/>
          <w:color w:val="auto"/>
          <w:sz w:val="24"/>
          <w:szCs w:val="24"/>
        </w:rPr>
      </w:pPr>
      <w:r>
        <w:rPr>
          <w:rFonts w:eastAsiaTheme="minorEastAsia"/>
          <w:color w:val="auto"/>
          <w:sz w:val="24"/>
          <w:szCs w:val="24"/>
        </w:rPr>
        <w:t>环境空气质量评价因子执行标准见表1.4-1。</w:t>
      </w:r>
    </w:p>
    <w:p>
      <w:pPr>
        <w:jc w:val="center"/>
        <w:rPr>
          <w:rFonts w:eastAsiaTheme="minorEastAsia"/>
          <w:b/>
          <w:color w:val="auto"/>
          <w:sz w:val="24"/>
          <w:szCs w:val="24"/>
        </w:rPr>
      </w:pPr>
      <w:r>
        <w:rPr>
          <w:rFonts w:eastAsiaTheme="minorEastAsia"/>
          <w:b/>
          <w:color w:val="auto"/>
          <w:sz w:val="24"/>
          <w:szCs w:val="24"/>
        </w:rPr>
        <w:t>表1.4-1  环境空气质量评价因子执行标准</w:t>
      </w:r>
    </w:p>
    <w:tbl>
      <w:tblPr>
        <w:tblStyle w:val="74"/>
        <w:tblW w:w="8743"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77"/>
        <w:gridCol w:w="2983"/>
        <w:gridCol w:w="1299"/>
        <w:gridCol w:w="1852"/>
        <w:gridCol w:w="1021"/>
        <w:gridCol w:w="10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tblHeader/>
          <w:jc w:val="center"/>
        </w:trPr>
        <w:tc>
          <w:tcPr>
            <w:tcW w:w="577" w:type="dxa"/>
            <w:vMerge w:val="restart"/>
            <w:vAlign w:val="center"/>
          </w:tcPr>
          <w:p>
            <w:pPr>
              <w:adjustRightInd w:val="0"/>
              <w:snapToGrid w:val="0"/>
              <w:jc w:val="center"/>
              <w:rPr>
                <w:rFonts w:eastAsiaTheme="minorEastAsia"/>
                <w:b/>
                <w:color w:val="auto"/>
                <w:szCs w:val="21"/>
              </w:rPr>
            </w:pPr>
            <w:r>
              <w:rPr>
                <w:rFonts w:eastAsiaTheme="minorEastAsia"/>
                <w:b/>
                <w:color w:val="auto"/>
                <w:szCs w:val="21"/>
              </w:rPr>
              <w:t>类别</w:t>
            </w:r>
          </w:p>
        </w:tc>
        <w:tc>
          <w:tcPr>
            <w:tcW w:w="2983" w:type="dxa"/>
            <w:vMerge w:val="restart"/>
            <w:vAlign w:val="center"/>
          </w:tcPr>
          <w:p>
            <w:pPr>
              <w:adjustRightInd w:val="0"/>
              <w:snapToGrid w:val="0"/>
              <w:jc w:val="center"/>
              <w:rPr>
                <w:rFonts w:eastAsiaTheme="minorEastAsia"/>
                <w:b/>
                <w:color w:val="auto"/>
                <w:szCs w:val="21"/>
              </w:rPr>
            </w:pPr>
            <w:r>
              <w:rPr>
                <w:rFonts w:eastAsiaTheme="minorEastAsia"/>
                <w:b/>
                <w:color w:val="auto"/>
                <w:szCs w:val="21"/>
              </w:rPr>
              <w:t>标准名称及级（类）别</w:t>
            </w:r>
          </w:p>
        </w:tc>
        <w:tc>
          <w:tcPr>
            <w:tcW w:w="1299" w:type="dxa"/>
            <w:vMerge w:val="restart"/>
            <w:vAlign w:val="center"/>
          </w:tcPr>
          <w:p>
            <w:pPr>
              <w:adjustRightInd w:val="0"/>
              <w:snapToGrid w:val="0"/>
              <w:jc w:val="center"/>
              <w:rPr>
                <w:rFonts w:eastAsiaTheme="minorEastAsia"/>
                <w:b/>
                <w:color w:val="auto"/>
                <w:szCs w:val="21"/>
              </w:rPr>
            </w:pPr>
            <w:r>
              <w:rPr>
                <w:rFonts w:eastAsiaTheme="minorEastAsia"/>
                <w:b/>
                <w:color w:val="auto"/>
                <w:szCs w:val="21"/>
              </w:rPr>
              <w:t>污染因子</w:t>
            </w:r>
          </w:p>
        </w:tc>
        <w:tc>
          <w:tcPr>
            <w:tcW w:w="3884" w:type="dxa"/>
            <w:gridSpan w:val="3"/>
            <w:vAlign w:val="center"/>
          </w:tcPr>
          <w:p>
            <w:pPr>
              <w:adjustRightInd w:val="0"/>
              <w:snapToGrid w:val="0"/>
              <w:jc w:val="center"/>
              <w:rPr>
                <w:rFonts w:eastAsiaTheme="minorEastAsia"/>
                <w:b/>
                <w:color w:val="auto"/>
                <w:szCs w:val="21"/>
              </w:rPr>
            </w:pPr>
            <w:r>
              <w:rPr>
                <w:rFonts w:eastAsiaTheme="minorEastAsia"/>
                <w:b/>
                <w:color w:val="auto"/>
                <w:szCs w:val="21"/>
              </w:rPr>
              <w:t>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tblHeader/>
          <w:jc w:val="center"/>
        </w:trPr>
        <w:tc>
          <w:tcPr>
            <w:tcW w:w="577" w:type="dxa"/>
            <w:vMerge w:val="continue"/>
            <w:vAlign w:val="center"/>
          </w:tcPr>
          <w:p>
            <w:pPr>
              <w:widowControl/>
              <w:jc w:val="left"/>
              <w:rPr>
                <w:rFonts w:eastAsiaTheme="minorEastAsia"/>
                <w:b/>
                <w:color w:val="auto"/>
                <w:szCs w:val="21"/>
              </w:rPr>
            </w:pPr>
          </w:p>
        </w:tc>
        <w:tc>
          <w:tcPr>
            <w:tcW w:w="2983" w:type="dxa"/>
            <w:vMerge w:val="continue"/>
            <w:vAlign w:val="center"/>
          </w:tcPr>
          <w:p>
            <w:pPr>
              <w:widowControl/>
              <w:jc w:val="left"/>
              <w:rPr>
                <w:rFonts w:eastAsiaTheme="minorEastAsia"/>
                <w:b/>
                <w:color w:val="auto"/>
                <w:szCs w:val="21"/>
              </w:rPr>
            </w:pPr>
          </w:p>
        </w:tc>
        <w:tc>
          <w:tcPr>
            <w:tcW w:w="1299" w:type="dxa"/>
            <w:vMerge w:val="continue"/>
            <w:vAlign w:val="center"/>
          </w:tcPr>
          <w:p>
            <w:pPr>
              <w:widowControl/>
              <w:jc w:val="left"/>
              <w:rPr>
                <w:rFonts w:eastAsiaTheme="minorEastAsia"/>
                <w:b/>
                <w:color w:val="auto"/>
                <w:szCs w:val="21"/>
              </w:rPr>
            </w:pPr>
          </w:p>
        </w:tc>
        <w:tc>
          <w:tcPr>
            <w:tcW w:w="1852" w:type="dxa"/>
            <w:vAlign w:val="center"/>
          </w:tcPr>
          <w:p>
            <w:pPr>
              <w:adjustRightInd w:val="0"/>
              <w:snapToGrid w:val="0"/>
              <w:jc w:val="center"/>
              <w:rPr>
                <w:rFonts w:eastAsiaTheme="minorEastAsia"/>
                <w:b/>
                <w:color w:val="auto"/>
                <w:szCs w:val="21"/>
              </w:rPr>
            </w:pPr>
            <w:r>
              <w:rPr>
                <w:rFonts w:eastAsiaTheme="minorEastAsia"/>
                <w:b/>
                <w:color w:val="auto"/>
                <w:szCs w:val="21"/>
              </w:rPr>
              <w:t>单位</w:t>
            </w:r>
          </w:p>
        </w:tc>
        <w:tc>
          <w:tcPr>
            <w:tcW w:w="1021" w:type="dxa"/>
            <w:vAlign w:val="center"/>
          </w:tcPr>
          <w:p>
            <w:pPr>
              <w:adjustRightInd w:val="0"/>
              <w:snapToGrid w:val="0"/>
              <w:jc w:val="center"/>
              <w:rPr>
                <w:rFonts w:eastAsiaTheme="minorEastAsia"/>
                <w:b/>
                <w:color w:val="auto"/>
                <w:szCs w:val="21"/>
              </w:rPr>
            </w:pPr>
            <w:r>
              <w:rPr>
                <w:rFonts w:eastAsiaTheme="minorEastAsia"/>
                <w:b/>
                <w:color w:val="auto"/>
                <w:szCs w:val="21"/>
              </w:rPr>
              <w:t>数值</w:t>
            </w:r>
          </w:p>
        </w:tc>
        <w:tc>
          <w:tcPr>
            <w:tcW w:w="1011" w:type="dxa"/>
            <w:vAlign w:val="center"/>
          </w:tcPr>
          <w:p>
            <w:pPr>
              <w:adjustRightInd w:val="0"/>
              <w:snapToGrid w:val="0"/>
              <w:jc w:val="center"/>
              <w:rPr>
                <w:rFonts w:eastAsiaTheme="minorEastAsia"/>
                <w:b/>
                <w:color w:val="auto"/>
                <w:szCs w:val="21"/>
              </w:rPr>
            </w:pPr>
            <w:r>
              <w:rPr>
                <w:rFonts w:eastAsiaTheme="minorEastAsia"/>
                <w:b/>
                <w:color w:val="auto"/>
                <w:szCs w:val="21"/>
              </w:rPr>
              <w:t>单位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restart"/>
            <w:vAlign w:val="center"/>
          </w:tcPr>
          <w:p>
            <w:pPr>
              <w:adjustRightInd w:val="0"/>
              <w:snapToGrid w:val="0"/>
              <w:jc w:val="center"/>
              <w:rPr>
                <w:rFonts w:eastAsiaTheme="minorEastAsia"/>
                <w:color w:val="auto"/>
                <w:szCs w:val="21"/>
              </w:rPr>
            </w:pPr>
            <w:r>
              <w:rPr>
                <w:rFonts w:eastAsiaTheme="minorEastAsia"/>
                <w:color w:val="auto"/>
                <w:szCs w:val="21"/>
              </w:rPr>
              <w:t>环</w:t>
            </w:r>
          </w:p>
          <w:p>
            <w:pPr>
              <w:adjustRightInd w:val="0"/>
              <w:snapToGrid w:val="0"/>
              <w:jc w:val="center"/>
              <w:rPr>
                <w:rFonts w:eastAsiaTheme="minorEastAsia"/>
                <w:color w:val="auto"/>
                <w:szCs w:val="21"/>
              </w:rPr>
            </w:pPr>
            <w:r>
              <w:rPr>
                <w:rFonts w:eastAsiaTheme="minorEastAsia"/>
                <w:color w:val="auto"/>
                <w:szCs w:val="21"/>
              </w:rPr>
              <w:t>境</w:t>
            </w:r>
          </w:p>
          <w:p>
            <w:pPr>
              <w:adjustRightInd w:val="0"/>
              <w:snapToGrid w:val="0"/>
              <w:jc w:val="center"/>
              <w:rPr>
                <w:rFonts w:eastAsiaTheme="minorEastAsia"/>
                <w:color w:val="auto"/>
                <w:szCs w:val="21"/>
              </w:rPr>
            </w:pPr>
            <w:r>
              <w:rPr>
                <w:rFonts w:eastAsiaTheme="minorEastAsia"/>
                <w:color w:val="auto"/>
                <w:szCs w:val="21"/>
              </w:rPr>
              <w:t>空</w:t>
            </w:r>
          </w:p>
          <w:p>
            <w:pPr>
              <w:adjustRightInd w:val="0"/>
              <w:snapToGrid w:val="0"/>
              <w:jc w:val="center"/>
              <w:rPr>
                <w:rFonts w:eastAsiaTheme="minorEastAsia"/>
                <w:color w:val="auto"/>
                <w:szCs w:val="21"/>
              </w:rPr>
            </w:pPr>
            <w:r>
              <w:rPr>
                <w:rFonts w:eastAsiaTheme="minorEastAsia"/>
                <w:color w:val="auto"/>
                <w:szCs w:val="21"/>
              </w:rPr>
              <w:t>气</w:t>
            </w:r>
          </w:p>
        </w:tc>
        <w:tc>
          <w:tcPr>
            <w:tcW w:w="2983" w:type="dxa"/>
            <w:vMerge w:val="restart"/>
            <w:vAlign w:val="center"/>
          </w:tcPr>
          <w:p>
            <w:pPr>
              <w:adjustRightInd w:val="0"/>
              <w:snapToGrid w:val="0"/>
              <w:jc w:val="center"/>
              <w:rPr>
                <w:rFonts w:eastAsiaTheme="minorEastAsia"/>
                <w:color w:val="auto"/>
                <w:szCs w:val="21"/>
              </w:rPr>
            </w:pPr>
            <w:r>
              <w:rPr>
                <w:rFonts w:eastAsiaTheme="minorEastAsia"/>
                <w:color w:val="auto"/>
                <w:szCs w:val="21"/>
              </w:rPr>
              <w:t>《环境空气质量标准》（GB3095-2012</w:t>
            </w:r>
            <w:r>
              <w:rPr>
                <w:color w:val="auto"/>
              </w:rPr>
              <w:t>及2018年修改单</w:t>
            </w:r>
            <w:r>
              <w:rPr>
                <w:rFonts w:eastAsiaTheme="minorEastAsia"/>
                <w:color w:val="auto"/>
                <w:szCs w:val="21"/>
              </w:rPr>
              <w:t>）二级标准</w:t>
            </w:r>
          </w:p>
        </w:tc>
        <w:tc>
          <w:tcPr>
            <w:tcW w:w="1299" w:type="dxa"/>
            <w:vMerge w:val="restart"/>
            <w:vAlign w:val="center"/>
          </w:tcPr>
          <w:p>
            <w:pPr>
              <w:adjustRightInd w:val="0"/>
              <w:snapToGrid w:val="0"/>
              <w:jc w:val="center"/>
              <w:rPr>
                <w:rFonts w:eastAsiaTheme="minorEastAsia"/>
                <w:color w:val="auto"/>
                <w:szCs w:val="21"/>
              </w:rPr>
            </w:pPr>
            <w:r>
              <w:rPr>
                <w:rFonts w:eastAsiaTheme="minorEastAsia"/>
                <w:color w:val="auto"/>
                <w:szCs w:val="21"/>
              </w:rPr>
              <w:t>PM</w:t>
            </w:r>
            <w:r>
              <w:rPr>
                <w:rFonts w:eastAsiaTheme="minorEastAsia"/>
                <w:color w:val="auto"/>
                <w:szCs w:val="21"/>
                <w:vertAlign w:val="subscript"/>
              </w:rPr>
              <w:t>2.5</w:t>
            </w: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24小时平均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75</w:t>
            </w:r>
          </w:p>
        </w:tc>
        <w:tc>
          <w:tcPr>
            <w:tcW w:w="1011" w:type="dxa"/>
            <w:vMerge w:val="restart"/>
            <w:vAlign w:val="center"/>
          </w:tcPr>
          <w:p>
            <w:pPr>
              <w:adjustRightInd w:val="0"/>
              <w:snapToGrid w:val="0"/>
              <w:jc w:val="center"/>
              <w:rPr>
                <w:rFonts w:eastAsiaTheme="minorEastAsia"/>
                <w:color w:val="auto"/>
                <w:szCs w:val="21"/>
              </w:rPr>
            </w:pPr>
            <w:r>
              <w:rPr>
                <w:rFonts w:eastAsiaTheme="minorEastAsia"/>
                <w:color w:val="auto"/>
                <w:szCs w:val="21"/>
              </w:rPr>
              <w:t>ug/m³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Merge w:val="continue"/>
            <w:vAlign w:val="center"/>
          </w:tcPr>
          <w:p>
            <w:pPr>
              <w:widowControl/>
              <w:jc w:val="left"/>
              <w:rPr>
                <w:rFonts w:eastAsiaTheme="minorEastAsia"/>
                <w:color w:val="auto"/>
                <w:szCs w:val="21"/>
              </w:rPr>
            </w:pP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年平均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35</w:t>
            </w:r>
          </w:p>
        </w:tc>
        <w:tc>
          <w:tcPr>
            <w:tcW w:w="1011" w:type="dxa"/>
            <w:vMerge w:val="continue"/>
            <w:vAlign w:val="center"/>
          </w:tcPr>
          <w:p>
            <w:pPr>
              <w:widowControl/>
              <w:jc w:val="left"/>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Merge w:val="restart"/>
            <w:vAlign w:val="center"/>
          </w:tcPr>
          <w:p>
            <w:pPr>
              <w:adjustRightInd w:val="0"/>
              <w:snapToGrid w:val="0"/>
              <w:jc w:val="center"/>
              <w:rPr>
                <w:rFonts w:eastAsiaTheme="minorEastAsia"/>
                <w:color w:val="auto"/>
                <w:szCs w:val="21"/>
              </w:rPr>
            </w:pPr>
            <w:r>
              <w:rPr>
                <w:rFonts w:eastAsiaTheme="minorEastAsia"/>
                <w:color w:val="auto"/>
                <w:szCs w:val="21"/>
              </w:rPr>
              <w:t>PM</w:t>
            </w:r>
            <w:r>
              <w:rPr>
                <w:rFonts w:eastAsiaTheme="minorEastAsia"/>
                <w:color w:val="auto"/>
                <w:szCs w:val="21"/>
                <w:vertAlign w:val="subscript"/>
              </w:rPr>
              <w:t>10</w:t>
            </w: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24小时平均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150</w:t>
            </w:r>
          </w:p>
        </w:tc>
        <w:tc>
          <w:tcPr>
            <w:tcW w:w="1011" w:type="dxa"/>
            <w:vMerge w:val="continue"/>
            <w:vAlign w:val="center"/>
          </w:tcPr>
          <w:p>
            <w:pPr>
              <w:widowControl/>
              <w:jc w:val="left"/>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Merge w:val="continue"/>
            <w:vAlign w:val="center"/>
          </w:tcPr>
          <w:p>
            <w:pPr>
              <w:widowControl/>
              <w:jc w:val="left"/>
              <w:rPr>
                <w:rFonts w:eastAsiaTheme="minorEastAsia"/>
                <w:color w:val="auto"/>
                <w:szCs w:val="21"/>
              </w:rPr>
            </w:pP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年平均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70</w:t>
            </w:r>
          </w:p>
        </w:tc>
        <w:tc>
          <w:tcPr>
            <w:tcW w:w="1011" w:type="dxa"/>
            <w:vMerge w:val="continue"/>
            <w:vAlign w:val="center"/>
          </w:tcPr>
          <w:p>
            <w:pPr>
              <w:widowControl/>
              <w:jc w:val="left"/>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Merge w:val="restart"/>
            <w:vAlign w:val="center"/>
          </w:tcPr>
          <w:p>
            <w:pPr>
              <w:adjustRightInd w:val="0"/>
              <w:snapToGrid w:val="0"/>
              <w:jc w:val="center"/>
              <w:rPr>
                <w:rFonts w:eastAsiaTheme="minorEastAsia"/>
                <w:color w:val="auto"/>
                <w:szCs w:val="21"/>
              </w:rPr>
            </w:pPr>
            <w:r>
              <w:rPr>
                <w:rFonts w:eastAsiaTheme="minorEastAsia"/>
                <w:color w:val="auto"/>
                <w:szCs w:val="21"/>
              </w:rPr>
              <w:t>SO</w:t>
            </w:r>
            <w:r>
              <w:rPr>
                <w:rFonts w:eastAsiaTheme="minorEastAsia"/>
                <w:color w:val="auto"/>
                <w:szCs w:val="21"/>
                <w:vertAlign w:val="subscript"/>
              </w:rPr>
              <w:t>2</w:t>
            </w: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1小时平均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500</w:t>
            </w:r>
          </w:p>
        </w:tc>
        <w:tc>
          <w:tcPr>
            <w:tcW w:w="1011" w:type="dxa"/>
            <w:vMerge w:val="continue"/>
            <w:vAlign w:val="center"/>
          </w:tcPr>
          <w:p>
            <w:pPr>
              <w:widowControl/>
              <w:jc w:val="left"/>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Merge w:val="continue"/>
            <w:vAlign w:val="center"/>
          </w:tcPr>
          <w:p>
            <w:pPr>
              <w:widowControl/>
              <w:jc w:val="left"/>
              <w:rPr>
                <w:rFonts w:eastAsiaTheme="minorEastAsia"/>
                <w:color w:val="auto"/>
                <w:szCs w:val="21"/>
              </w:rPr>
            </w:pP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24小时平均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150</w:t>
            </w:r>
          </w:p>
        </w:tc>
        <w:tc>
          <w:tcPr>
            <w:tcW w:w="1011" w:type="dxa"/>
            <w:vMerge w:val="continue"/>
            <w:vAlign w:val="center"/>
          </w:tcPr>
          <w:p>
            <w:pPr>
              <w:widowControl/>
              <w:jc w:val="left"/>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Merge w:val="continue"/>
            <w:vAlign w:val="center"/>
          </w:tcPr>
          <w:p>
            <w:pPr>
              <w:widowControl/>
              <w:jc w:val="left"/>
              <w:rPr>
                <w:rFonts w:eastAsiaTheme="minorEastAsia"/>
                <w:color w:val="auto"/>
                <w:szCs w:val="21"/>
              </w:rPr>
            </w:pP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年平均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60</w:t>
            </w:r>
          </w:p>
        </w:tc>
        <w:tc>
          <w:tcPr>
            <w:tcW w:w="1011" w:type="dxa"/>
            <w:vMerge w:val="continue"/>
            <w:vAlign w:val="center"/>
          </w:tcPr>
          <w:p>
            <w:pPr>
              <w:widowControl/>
              <w:jc w:val="left"/>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Merge w:val="restart"/>
            <w:vAlign w:val="center"/>
          </w:tcPr>
          <w:p>
            <w:pPr>
              <w:adjustRightInd w:val="0"/>
              <w:snapToGrid w:val="0"/>
              <w:jc w:val="center"/>
              <w:rPr>
                <w:rFonts w:eastAsiaTheme="minorEastAsia"/>
                <w:color w:val="auto"/>
                <w:szCs w:val="21"/>
              </w:rPr>
            </w:pPr>
            <w:r>
              <w:rPr>
                <w:rFonts w:eastAsiaTheme="minorEastAsia"/>
                <w:color w:val="auto"/>
                <w:szCs w:val="21"/>
              </w:rPr>
              <w:t>NO</w:t>
            </w:r>
            <w:r>
              <w:rPr>
                <w:rFonts w:eastAsiaTheme="minorEastAsia"/>
                <w:color w:val="auto"/>
                <w:szCs w:val="21"/>
                <w:vertAlign w:val="subscript"/>
              </w:rPr>
              <w:t>2</w:t>
            </w: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1小时平均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200</w:t>
            </w:r>
          </w:p>
        </w:tc>
        <w:tc>
          <w:tcPr>
            <w:tcW w:w="1011" w:type="dxa"/>
            <w:vMerge w:val="continue"/>
            <w:vAlign w:val="center"/>
          </w:tcPr>
          <w:p>
            <w:pPr>
              <w:widowControl/>
              <w:jc w:val="left"/>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Merge w:val="continue"/>
            <w:vAlign w:val="center"/>
          </w:tcPr>
          <w:p>
            <w:pPr>
              <w:widowControl/>
              <w:jc w:val="left"/>
              <w:rPr>
                <w:rFonts w:eastAsiaTheme="minorEastAsia"/>
                <w:color w:val="auto"/>
                <w:szCs w:val="21"/>
              </w:rPr>
            </w:pP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24小时平均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80</w:t>
            </w:r>
          </w:p>
        </w:tc>
        <w:tc>
          <w:tcPr>
            <w:tcW w:w="1011" w:type="dxa"/>
            <w:vMerge w:val="continue"/>
            <w:vAlign w:val="center"/>
          </w:tcPr>
          <w:p>
            <w:pPr>
              <w:widowControl/>
              <w:jc w:val="left"/>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Merge w:val="continue"/>
            <w:vAlign w:val="center"/>
          </w:tcPr>
          <w:p>
            <w:pPr>
              <w:widowControl/>
              <w:jc w:val="left"/>
              <w:rPr>
                <w:rFonts w:eastAsiaTheme="minorEastAsia"/>
                <w:color w:val="auto"/>
                <w:szCs w:val="21"/>
              </w:rPr>
            </w:pP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年平均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40</w:t>
            </w:r>
          </w:p>
        </w:tc>
        <w:tc>
          <w:tcPr>
            <w:tcW w:w="1011" w:type="dxa"/>
            <w:vMerge w:val="continue"/>
            <w:vAlign w:val="center"/>
          </w:tcPr>
          <w:p>
            <w:pPr>
              <w:widowControl/>
              <w:jc w:val="left"/>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center"/>
              <w:rPr>
                <w:rFonts w:eastAsiaTheme="minorEastAsia"/>
                <w:color w:val="auto"/>
                <w:szCs w:val="21"/>
              </w:rPr>
            </w:pPr>
          </w:p>
        </w:tc>
        <w:tc>
          <w:tcPr>
            <w:tcW w:w="1299" w:type="dxa"/>
            <w:vMerge w:val="restart"/>
            <w:vAlign w:val="center"/>
          </w:tcPr>
          <w:p>
            <w:pPr>
              <w:widowControl/>
              <w:adjustRightInd w:val="0"/>
              <w:snapToGrid w:val="0"/>
              <w:jc w:val="center"/>
              <w:rPr>
                <w:rFonts w:eastAsiaTheme="minorEastAsia"/>
                <w:color w:val="auto"/>
                <w:szCs w:val="21"/>
              </w:rPr>
            </w:pPr>
            <w:r>
              <w:rPr>
                <w:rFonts w:eastAsiaTheme="minorEastAsia"/>
                <w:color w:val="auto"/>
                <w:szCs w:val="21"/>
              </w:rPr>
              <w:t>CO</w:t>
            </w: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1小时平均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10</w:t>
            </w:r>
          </w:p>
        </w:tc>
        <w:tc>
          <w:tcPr>
            <w:tcW w:w="1011" w:type="dxa"/>
            <w:vMerge w:val="restart"/>
            <w:vAlign w:val="center"/>
          </w:tcPr>
          <w:p>
            <w:pPr>
              <w:widowControl/>
              <w:jc w:val="center"/>
              <w:rPr>
                <w:rFonts w:eastAsiaTheme="minorEastAsia"/>
                <w:color w:val="auto"/>
                <w:szCs w:val="21"/>
              </w:rPr>
            </w:pPr>
            <w:r>
              <w:rPr>
                <w:rFonts w:eastAsiaTheme="minorEastAsia"/>
                <w:color w:val="auto"/>
                <w:szCs w:val="21"/>
              </w:rPr>
              <w:t>mg/m³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center"/>
              <w:rPr>
                <w:rFonts w:eastAsiaTheme="minorEastAsia"/>
                <w:color w:val="auto"/>
                <w:szCs w:val="21"/>
              </w:rPr>
            </w:pPr>
          </w:p>
        </w:tc>
        <w:tc>
          <w:tcPr>
            <w:tcW w:w="1299" w:type="dxa"/>
            <w:vMerge w:val="continue"/>
            <w:vAlign w:val="center"/>
          </w:tcPr>
          <w:p>
            <w:pPr>
              <w:widowControl/>
              <w:adjustRightInd w:val="0"/>
              <w:snapToGrid w:val="0"/>
              <w:jc w:val="center"/>
              <w:rPr>
                <w:rFonts w:eastAsiaTheme="minorEastAsia"/>
                <w:color w:val="auto"/>
                <w:szCs w:val="21"/>
              </w:rPr>
            </w:pP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24小时平均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4</w:t>
            </w:r>
          </w:p>
        </w:tc>
        <w:tc>
          <w:tcPr>
            <w:tcW w:w="1011" w:type="dxa"/>
            <w:vMerge w:val="continue"/>
            <w:vAlign w:val="center"/>
          </w:tcPr>
          <w:p>
            <w:pPr>
              <w:widowControl/>
              <w:jc w:val="center"/>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center"/>
              <w:rPr>
                <w:rFonts w:eastAsiaTheme="minorEastAsia"/>
                <w:color w:val="auto"/>
                <w:szCs w:val="21"/>
              </w:rPr>
            </w:pPr>
          </w:p>
        </w:tc>
        <w:tc>
          <w:tcPr>
            <w:tcW w:w="1299" w:type="dxa"/>
            <w:vMerge w:val="restart"/>
            <w:vAlign w:val="center"/>
          </w:tcPr>
          <w:p>
            <w:pPr>
              <w:widowControl/>
              <w:adjustRightInd w:val="0"/>
              <w:snapToGrid w:val="0"/>
              <w:jc w:val="center"/>
              <w:rPr>
                <w:rFonts w:eastAsiaTheme="minorEastAsia"/>
                <w:color w:val="auto"/>
                <w:szCs w:val="21"/>
              </w:rPr>
            </w:pPr>
            <w:r>
              <w:rPr>
                <w:rFonts w:eastAsiaTheme="minorEastAsia"/>
                <w:color w:val="auto"/>
                <w:szCs w:val="21"/>
              </w:rPr>
              <w:t>臭氧</w:t>
            </w: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1小时平均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200</w:t>
            </w:r>
          </w:p>
        </w:tc>
        <w:tc>
          <w:tcPr>
            <w:tcW w:w="1011" w:type="dxa"/>
            <w:vMerge w:val="restart"/>
            <w:vAlign w:val="center"/>
          </w:tcPr>
          <w:p>
            <w:pPr>
              <w:widowControl/>
              <w:jc w:val="center"/>
              <w:rPr>
                <w:rFonts w:eastAsiaTheme="minorEastAsia"/>
                <w:color w:val="auto"/>
                <w:szCs w:val="21"/>
              </w:rPr>
            </w:pPr>
            <w:r>
              <w:rPr>
                <w:rFonts w:eastAsiaTheme="minorEastAsia"/>
                <w:color w:val="auto"/>
                <w:szCs w:val="21"/>
              </w:rPr>
              <w:t>ug/m³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center"/>
              <w:rPr>
                <w:rFonts w:eastAsiaTheme="minorEastAsia"/>
                <w:color w:val="auto"/>
                <w:szCs w:val="21"/>
              </w:rPr>
            </w:pPr>
          </w:p>
        </w:tc>
        <w:tc>
          <w:tcPr>
            <w:tcW w:w="1299" w:type="dxa"/>
            <w:vMerge w:val="continue"/>
            <w:vAlign w:val="center"/>
          </w:tcPr>
          <w:p>
            <w:pPr>
              <w:widowControl/>
              <w:adjustRightInd w:val="0"/>
              <w:snapToGrid w:val="0"/>
              <w:jc w:val="center"/>
              <w:rPr>
                <w:rFonts w:eastAsiaTheme="minorEastAsia"/>
                <w:color w:val="auto"/>
                <w:szCs w:val="21"/>
              </w:rPr>
            </w:pPr>
          </w:p>
        </w:tc>
        <w:tc>
          <w:tcPr>
            <w:tcW w:w="1852" w:type="dxa"/>
            <w:vAlign w:val="center"/>
          </w:tcPr>
          <w:p>
            <w:pPr>
              <w:adjustRightInd w:val="0"/>
              <w:snapToGrid w:val="0"/>
              <w:jc w:val="center"/>
              <w:rPr>
                <w:rFonts w:eastAsiaTheme="minorEastAsia"/>
                <w:color w:val="auto"/>
                <w:szCs w:val="21"/>
              </w:rPr>
            </w:pPr>
            <w:r>
              <w:rPr>
                <w:rFonts w:eastAsiaTheme="minorEastAsia"/>
                <w:color w:val="auto"/>
                <w:szCs w:val="21"/>
              </w:rPr>
              <w:t>日最大8小时平均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160</w:t>
            </w:r>
          </w:p>
        </w:tc>
        <w:tc>
          <w:tcPr>
            <w:tcW w:w="1011" w:type="dxa"/>
            <w:vMerge w:val="continue"/>
            <w:vAlign w:val="center"/>
          </w:tcPr>
          <w:p>
            <w:pPr>
              <w:widowControl/>
              <w:jc w:val="center"/>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restart"/>
            <w:vAlign w:val="center"/>
          </w:tcPr>
          <w:p>
            <w:pPr>
              <w:adjustRightInd w:val="0"/>
              <w:snapToGrid w:val="0"/>
              <w:jc w:val="center"/>
              <w:rPr>
                <w:rFonts w:eastAsiaTheme="minorEastAsia"/>
                <w:color w:val="auto"/>
                <w:szCs w:val="21"/>
              </w:rPr>
            </w:pPr>
            <w:r>
              <w:rPr>
                <w:rFonts w:eastAsiaTheme="minorEastAsia"/>
                <w:color w:val="auto"/>
                <w:szCs w:val="21"/>
              </w:rPr>
              <w:t>《环境影响评价技术导则 大气环境》（HJ2.2-2018）附录D其他污染物空气质量浓度参考限值</w:t>
            </w:r>
          </w:p>
        </w:tc>
        <w:tc>
          <w:tcPr>
            <w:tcW w:w="1299" w:type="dxa"/>
            <w:vAlign w:val="center"/>
          </w:tcPr>
          <w:p>
            <w:pPr>
              <w:adjustRightInd w:val="0"/>
              <w:snapToGrid w:val="0"/>
              <w:jc w:val="center"/>
              <w:rPr>
                <w:rFonts w:eastAsiaTheme="minorEastAsia"/>
                <w:color w:val="auto"/>
                <w:szCs w:val="21"/>
              </w:rPr>
            </w:pPr>
            <w:r>
              <w:rPr>
                <w:color w:val="auto"/>
              </w:rPr>
              <w:t>H</w:t>
            </w:r>
            <w:r>
              <w:rPr>
                <w:color w:val="auto"/>
                <w:vertAlign w:val="subscript"/>
              </w:rPr>
              <w:t>2</w:t>
            </w:r>
            <w:r>
              <w:rPr>
                <w:color w:val="auto"/>
              </w:rPr>
              <w:t>S</w:t>
            </w:r>
          </w:p>
        </w:tc>
        <w:tc>
          <w:tcPr>
            <w:tcW w:w="1852" w:type="dxa"/>
            <w:vMerge w:val="restart"/>
            <w:vAlign w:val="center"/>
          </w:tcPr>
          <w:p>
            <w:pPr>
              <w:adjustRightInd w:val="0"/>
              <w:snapToGrid w:val="0"/>
              <w:jc w:val="center"/>
              <w:rPr>
                <w:rFonts w:eastAsiaTheme="minorEastAsia"/>
                <w:color w:val="auto"/>
                <w:szCs w:val="21"/>
              </w:rPr>
            </w:pPr>
            <w:r>
              <w:rPr>
                <w:rFonts w:eastAsiaTheme="minorEastAsia"/>
                <w:color w:val="auto"/>
                <w:szCs w:val="21"/>
              </w:rPr>
              <w:t>1h平均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10</w:t>
            </w:r>
          </w:p>
        </w:tc>
        <w:tc>
          <w:tcPr>
            <w:tcW w:w="1011" w:type="dxa"/>
            <w:vMerge w:val="restart"/>
            <w:vAlign w:val="center"/>
          </w:tcPr>
          <w:p>
            <w:pPr>
              <w:adjustRightInd w:val="0"/>
              <w:snapToGrid w:val="0"/>
              <w:jc w:val="center"/>
              <w:rPr>
                <w:rFonts w:eastAsiaTheme="minorEastAsia"/>
                <w:color w:val="auto"/>
                <w:szCs w:val="21"/>
              </w:rPr>
            </w:pPr>
            <w:r>
              <w:rPr>
                <w:rFonts w:eastAsiaTheme="minorEastAsia"/>
                <w:color w:val="auto"/>
                <w:szCs w:val="21"/>
              </w:rPr>
              <w:t>ug/m³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adjustRightInd w:val="0"/>
              <w:snapToGrid w:val="0"/>
              <w:jc w:val="center"/>
              <w:rPr>
                <w:rFonts w:eastAsiaTheme="minorEastAsia"/>
                <w:color w:val="auto"/>
                <w:szCs w:val="21"/>
              </w:rPr>
            </w:pPr>
          </w:p>
        </w:tc>
        <w:tc>
          <w:tcPr>
            <w:tcW w:w="1299" w:type="dxa"/>
            <w:vAlign w:val="center"/>
          </w:tcPr>
          <w:p>
            <w:pPr>
              <w:adjustRightInd w:val="0"/>
              <w:snapToGrid w:val="0"/>
              <w:jc w:val="center"/>
              <w:rPr>
                <w:color w:val="auto"/>
              </w:rPr>
            </w:pPr>
            <w:r>
              <w:rPr>
                <w:color w:val="auto"/>
              </w:rPr>
              <w:t>NH</w:t>
            </w:r>
            <w:r>
              <w:rPr>
                <w:color w:val="auto"/>
                <w:vertAlign w:val="subscript"/>
              </w:rPr>
              <w:t>3</w:t>
            </w:r>
          </w:p>
        </w:tc>
        <w:tc>
          <w:tcPr>
            <w:tcW w:w="1852" w:type="dxa"/>
            <w:vMerge w:val="continue"/>
            <w:vAlign w:val="center"/>
          </w:tcPr>
          <w:p>
            <w:pPr>
              <w:adjustRightInd w:val="0"/>
              <w:snapToGrid w:val="0"/>
              <w:jc w:val="center"/>
              <w:rPr>
                <w:rFonts w:eastAsiaTheme="minorEastAsia"/>
                <w:color w:val="auto"/>
                <w:szCs w:val="21"/>
              </w:rPr>
            </w:pP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200</w:t>
            </w:r>
          </w:p>
        </w:tc>
        <w:tc>
          <w:tcPr>
            <w:tcW w:w="1011" w:type="dxa"/>
            <w:vMerge w:val="continue"/>
            <w:vAlign w:val="center"/>
          </w:tcPr>
          <w:p>
            <w:pPr>
              <w:adjustRightInd w:val="0"/>
              <w:snapToGrid w:val="0"/>
              <w:jc w:val="center"/>
              <w:rPr>
                <w:rFonts w:eastAsiaTheme="minorEastAsia"/>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577" w:type="dxa"/>
            <w:vMerge w:val="continue"/>
            <w:vAlign w:val="center"/>
          </w:tcPr>
          <w:p>
            <w:pPr>
              <w:widowControl/>
              <w:jc w:val="left"/>
              <w:rPr>
                <w:rFonts w:eastAsiaTheme="minorEastAsia"/>
                <w:color w:val="auto"/>
                <w:szCs w:val="21"/>
              </w:rPr>
            </w:pPr>
          </w:p>
        </w:tc>
        <w:tc>
          <w:tcPr>
            <w:tcW w:w="2983" w:type="dxa"/>
            <w:vMerge w:val="continue"/>
            <w:vAlign w:val="center"/>
          </w:tcPr>
          <w:p>
            <w:pPr>
              <w:widowControl/>
              <w:jc w:val="left"/>
              <w:rPr>
                <w:rFonts w:eastAsiaTheme="minorEastAsia"/>
                <w:color w:val="auto"/>
                <w:szCs w:val="21"/>
              </w:rPr>
            </w:pPr>
          </w:p>
        </w:tc>
        <w:tc>
          <w:tcPr>
            <w:tcW w:w="1299" w:type="dxa"/>
            <w:vAlign w:val="center"/>
          </w:tcPr>
          <w:p>
            <w:pPr>
              <w:adjustRightInd w:val="0"/>
              <w:snapToGrid w:val="0"/>
              <w:jc w:val="center"/>
              <w:rPr>
                <w:rFonts w:eastAsiaTheme="minorEastAsia"/>
                <w:color w:val="auto"/>
                <w:szCs w:val="21"/>
              </w:rPr>
            </w:pPr>
            <w:r>
              <w:rPr>
                <w:rFonts w:eastAsiaTheme="minorEastAsia"/>
                <w:color w:val="auto"/>
                <w:szCs w:val="21"/>
              </w:rPr>
              <w:t>TVOC</w:t>
            </w:r>
          </w:p>
        </w:tc>
        <w:tc>
          <w:tcPr>
            <w:tcW w:w="1852" w:type="dxa"/>
            <w:vAlign w:val="center"/>
          </w:tcPr>
          <w:p>
            <w:pPr>
              <w:widowControl/>
              <w:jc w:val="center"/>
              <w:rPr>
                <w:rFonts w:eastAsiaTheme="minorEastAsia"/>
                <w:color w:val="auto"/>
                <w:szCs w:val="21"/>
              </w:rPr>
            </w:pPr>
            <w:r>
              <w:rPr>
                <w:rFonts w:eastAsiaTheme="minorEastAsia"/>
                <w:color w:val="auto"/>
                <w:szCs w:val="21"/>
              </w:rPr>
              <w:t>8h平均</w:t>
            </w:r>
          </w:p>
        </w:tc>
        <w:tc>
          <w:tcPr>
            <w:tcW w:w="1021" w:type="dxa"/>
            <w:vAlign w:val="center"/>
          </w:tcPr>
          <w:p>
            <w:pPr>
              <w:adjustRightInd w:val="0"/>
              <w:snapToGrid w:val="0"/>
              <w:jc w:val="center"/>
              <w:rPr>
                <w:rFonts w:eastAsiaTheme="minorEastAsia"/>
                <w:color w:val="auto"/>
                <w:szCs w:val="21"/>
              </w:rPr>
            </w:pPr>
            <w:r>
              <w:rPr>
                <w:rFonts w:eastAsiaTheme="minorEastAsia"/>
                <w:color w:val="auto"/>
                <w:szCs w:val="21"/>
              </w:rPr>
              <w:t>600</w:t>
            </w:r>
          </w:p>
        </w:tc>
        <w:tc>
          <w:tcPr>
            <w:tcW w:w="1011" w:type="dxa"/>
            <w:vMerge w:val="continue"/>
            <w:vAlign w:val="center"/>
          </w:tcPr>
          <w:p>
            <w:pPr>
              <w:widowControl/>
              <w:jc w:val="left"/>
              <w:rPr>
                <w:rFonts w:eastAsiaTheme="minorEastAsia"/>
                <w:color w:val="auto"/>
                <w:szCs w:val="21"/>
              </w:rPr>
            </w:pPr>
          </w:p>
        </w:tc>
      </w:tr>
    </w:tbl>
    <w:p>
      <w:pPr>
        <w:pStyle w:val="6"/>
        <w:numPr>
          <w:ilvl w:val="3"/>
          <w:numId w:val="0"/>
        </w:numPr>
        <w:spacing w:before="120" w:beforeLines="50"/>
        <w:ind w:left="-861" w:leftChars="-410" w:firstLine="723" w:firstLineChars="300"/>
        <w:rPr>
          <w:color w:val="auto"/>
        </w:rPr>
      </w:pPr>
      <w:bookmarkStart w:id="116" w:name="_Toc11595179"/>
      <w:r>
        <w:rPr>
          <w:color w:val="auto"/>
        </w:rPr>
        <w:t>1.4.1.2地表水环境质量标准</w:t>
      </w:r>
      <w:bookmarkEnd w:id="116"/>
    </w:p>
    <w:p>
      <w:pPr>
        <w:pStyle w:val="130"/>
        <w:ind w:firstLine="480"/>
        <w:rPr>
          <w:color w:val="auto"/>
        </w:rPr>
      </w:pPr>
      <w:r>
        <w:rPr>
          <w:color w:val="auto"/>
        </w:rPr>
        <w:t>本项目所在区域主要地表水体为黄河，地表水环境质量执行《地表水环境质量标准》（GB3838-2002）Ⅱ类标准，地表水环境质量评价因子执行标准见表1.4-2。</w:t>
      </w:r>
    </w:p>
    <w:p>
      <w:pPr>
        <w:jc w:val="center"/>
        <w:rPr>
          <w:rFonts w:eastAsiaTheme="minorEastAsia"/>
          <w:b/>
          <w:color w:val="auto"/>
          <w:sz w:val="24"/>
          <w:szCs w:val="24"/>
        </w:rPr>
      </w:pPr>
      <w:r>
        <w:rPr>
          <w:rFonts w:eastAsiaTheme="minorEastAsia"/>
          <w:b/>
          <w:color w:val="auto"/>
          <w:sz w:val="24"/>
          <w:szCs w:val="24"/>
        </w:rPr>
        <w:t>表1.4-2  地表水环境质量评价因子执行标准</w:t>
      </w:r>
    </w:p>
    <w:tbl>
      <w:tblPr>
        <w:tblStyle w:val="74"/>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53"/>
        <w:gridCol w:w="2187"/>
        <w:gridCol w:w="1311"/>
        <w:gridCol w:w="1156"/>
        <w:gridCol w:w="1453"/>
        <w:gridCol w:w="14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b/>
                <w:color w:val="auto"/>
              </w:rPr>
            </w:pPr>
            <w:r>
              <w:rPr>
                <w:rFonts w:eastAsiaTheme="minorEastAsia"/>
                <w:b/>
                <w:color w:val="auto"/>
              </w:rPr>
              <w:t>序号</w:t>
            </w:r>
          </w:p>
        </w:tc>
        <w:tc>
          <w:tcPr>
            <w:tcW w:w="2187" w:type="dxa"/>
            <w:vAlign w:val="center"/>
          </w:tcPr>
          <w:p>
            <w:pPr>
              <w:adjustRightInd w:val="0"/>
              <w:snapToGrid w:val="0"/>
              <w:jc w:val="center"/>
              <w:rPr>
                <w:rFonts w:eastAsiaTheme="minorEastAsia"/>
                <w:b/>
                <w:color w:val="auto"/>
              </w:rPr>
            </w:pPr>
            <w:r>
              <w:rPr>
                <w:rFonts w:eastAsiaTheme="minorEastAsia"/>
                <w:b/>
                <w:color w:val="auto"/>
              </w:rPr>
              <w:t>项目</w:t>
            </w:r>
          </w:p>
        </w:tc>
        <w:tc>
          <w:tcPr>
            <w:tcW w:w="1311" w:type="dxa"/>
            <w:vAlign w:val="center"/>
          </w:tcPr>
          <w:p>
            <w:pPr>
              <w:adjustRightInd w:val="0"/>
              <w:snapToGrid w:val="0"/>
              <w:jc w:val="center"/>
              <w:rPr>
                <w:rFonts w:eastAsiaTheme="minorEastAsia"/>
                <w:b/>
                <w:color w:val="auto"/>
              </w:rPr>
            </w:pPr>
            <w:r>
              <w:rPr>
                <w:rFonts w:eastAsiaTheme="minorEastAsia"/>
                <w:b/>
                <w:color w:val="auto"/>
              </w:rPr>
              <w:t>标准值</w:t>
            </w:r>
          </w:p>
        </w:tc>
        <w:tc>
          <w:tcPr>
            <w:tcW w:w="1156" w:type="dxa"/>
            <w:vAlign w:val="center"/>
          </w:tcPr>
          <w:p>
            <w:pPr>
              <w:adjustRightInd w:val="0"/>
              <w:snapToGrid w:val="0"/>
              <w:jc w:val="center"/>
              <w:rPr>
                <w:rFonts w:eastAsiaTheme="minorEastAsia"/>
                <w:b/>
                <w:color w:val="auto"/>
              </w:rPr>
            </w:pPr>
            <w:r>
              <w:rPr>
                <w:rFonts w:eastAsiaTheme="minorEastAsia"/>
                <w:b/>
                <w:color w:val="auto"/>
              </w:rPr>
              <w:t>序号</w:t>
            </w:r>
          </w:p>
        </w:tc>
        <w:tc>
          <w:tcPr>
            <w:tcW w:w="1453" w:type="dxa"/>
            <w:vAlign w:val="center"/>
          </w:tcPr>
          <w:p>
            <w:pPr>
              <w:adjustRightInd w:val="0"/>
              <w:snapToGrid w:val="0"/>
              <w:jc w:val="center"/>
              <w:rPr>
                <w:rFonts w:eastAsiaTheme="minorEastAsia"/>
                <w:b/>
                <w:color w:val="auto"/>
              </w:rPr>
            </w:pPr>
            <w:r>
              <w:rPr>
                <w:rFonts w:eastAsiaTheme="minorEastAsia"/>
                <w:b/>
                <w:color w:val="auto"/>
              </w:rPr>
              <w:t>项目</w:t>
            </w:r>
          </w:p>
        </w:tc>
        <w:tc>
          <w:tcPr>
            <w:tcW w:w="1460" w:type="dxa"/>
            <w:vAlign w:val="center"/>
          </w:tcPr>
          <w:p>
            <w:pPr>
              <w:adjustRightInd w:val="0"/>
              <w:snapToGrid w:val="0"/>
              <w:jc w:val="center"/>
              <w:rPr>
                <w:rFonts w:eastAsiaTheme="minorEastAsia"/>
                <w:b/>
                <w:color w:val="auto"/>
              </w:rPr>
            </w:pPr>
            <w:r>
              <w:rPr>
                <w:rFonts w:eastAsiaTheme="minorEastAsia"/>
                <w:b/>
                <w:color w:val="auto"/>
              </w:rPr>
              <w:t>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1</w:t>
            </w:r>
          </w:p>
        </w:tc>
        <w:tc>
          <w:tcPr>
            <w:tcW w:w="2187" w:type="dxa"/>
            <w:vAlign w:val="center"/>
          </w:tcPr>
          <w:p>
            <w:pPr>
              <w:adjustRightInd w:val="0"/>
              <w:snapToGrid w:val="0"/>
              <w:jc w:val="center"/>
              <w:rPr>
                <w:rFonts w:eastAsiaTheme="minorEastAsia"/>
                <w:color w:val="auto"/>
              </w:rPr>
            </w:pPr>
            <w:r>
              <w:rPr>
                <w:color w:val="auto"/>
              </w:rPr>
              <w:t>pH值（无量纲）</w:t>
            </w:r>
          </w:p>
        </w:tc>
        <w:tc>
          <w:tcPr>
            <w:tcW w:w="1311" w:type="dxa"/>
            <w:vAlign w:val="center"/>
          </w:tcPr>
          <w:p>
            <w:pPr>
              <w:adjustRightInd w:val="0"/>
              <w:snapToGrid w:val="0"/>
              <w:jc w:val="center"/>
              <w:rPr>
                <w:rFonts w:eastAsiaTheme="minorEastAsia"/>
                <w:color w:val="auto"/>
              </w:rPr>
            </w:pPr>
            <w:r>
              <w:rPr>
                <w:color w:val="auto"/>
              </w:rPr>
              <w:t>6～9</w:t>
            </w:r>
          </w:p>
        </w:tc>
        <w:tc>
          <w:tcPr>
            <w:tcW w:w="1156" w:type="dxa"/>
            <w:vAlign w:val="center"/>
          </w:tcPr>
          <w:p>
            <w:pPr>
              <w:adjustRightInd w:val="0"/>
              <w:snapToGrid w:val="0"/>
              <w:jc w:val="center"/>
              <w:rPr>
                <w:rFonts w:eastAsiaTheme="minorEastAsia"/>
                <w:color w:val="auto"/>
              </w:rPr>
            </w:pPr>
            <w:r>
              <w:rPr>
                <w:color w:val="auto"/>
              </w:rPr>
              <w:t>12</w:t>
            </w:r>
          </w:p>
        </w:tc>
        <w:tc>
          <w:tcPr>
            <w:tcW w:w="1453" w:type="dxa"/>
            <w:vAlign w:val="center"/>
          </w:tcPr>
          <w:p>
            <w:pPr>
              <w:adjustRightInd w:val="0"/>
              <w:snapToGrid w:val="0"/>
              <w:jc w:val="center"/>
              <w:rPr>
                <w:rFonts w:eastAsiaTheme="minorEastAsia"/>
                <w:color w:val="auto"/>
              </w:rPr>
            </w:pPr>
            <w:r>
              <w:rPr>
                <w:color w:val="auto"/>
              </w:rPr>
              <w:t>铜</w:t>
            </w:r>
          </w:p>
        </w:tc>
        <w:tc>
          <w:tcPr>
            <w:tcW w:w="1460" w:type="dxa"/>
            <w:vAlign w:val="center"/>
          </w:tcPr>
          <w:p>
            <w:pPr>
              <w:adjustRightInd w:val="0"/>
              <w:snapToGrid w:val="0"/>
              <w:jc w:val="center"/>
              <w:rPr>
                <w:rFonts w:eastAsiaTheme="minorEastAsia"/>
                <w:color w:val="auto"/>
              </w:rPr>
            </w:pPr>
            <w:r>
              <w:rPr>
                <w:color w:val="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2</w:t>
            </w:r>
          </w:p>
        </w:tc>
        <w:tc>
          <w:tcPr>
            <w:tcW w:w="2187" w:type="dxa"/>
            <w:vAlign w:val="center"/>
          </w:tcPr>
          <w:p>
            <w:pPr>
              <w:adjustRightInd w:val="0"/>
              <w:snapToGrid w:val="0"/>
              <w:jc w:val="center"/>
              <w:rPr>
                <w:rFonts w:eastAsiaTheme="minorEastAsia"/>
                <w:color w:val="auto"/>
              </w:rPr>
            </w:pPr>
            <w:r>
              <w:rPr>
                <w:color w:val="auto"/>
              </w:rPr>
              <w:t>溶解氧</w:t>
            </w:r>
          </w:p>
        </w:tc>
        <w:tc>
          <w:tcPr>
            <w:tcW w:w="1311" w:type="dxa"/>
            <w:vAlign w:val="center"/>
          </w:tcPr>
          <w:p>
            <w:pPr>
              <w:adjustRightInd w:val="0"/>
              <w:snapToGrid w:val="0"/>
              <w:jc w:val="center"/>
              <w:rPr>
                <w:rFonts w:eastAsiaTheme="minorEastAsia"/>
                <w:color w:val="auto"/>
              </w:rPr>
            </w:pPr>
            <w:r>
              <w:rPr>
                <w:color w:val="auto"/>
              </w:rPr>
              <w:t>≥6</w:t>
            </w:r>
          </w:p>
        </w:tc>
        <w:tc>
          <w:tcPr>
            <w:tcW w:w="1156" w:type="dxa"/>
            <w:vAlign w:val="center"/>
          </w:tcPr>
          <w:p>
            <w:pPr>
              <w:adjustRightInd w:val="0"/>
              <w:snapToGrid w:val="0"/>
              <w:jc w:val="center"/>
              <w:rPr>
                <w:rFonts w:eastAsiaTheme="minorEastAsia"/>
                <w:color w:val="auto"/>
              </w:rPr>
            </w:pPr>
            <w:r>
              <w:rPr>
                <w:color w:val="auto"/>
              </w:rPr>
              <w:t>13</w:t>
            </w:r>
          </w:p>
        </w:tc>
        <w:tc>
          <w:tcPr>
            <w:tcW w:w="1453" w:type="dxa"/>
            <w:vAlign w:val="center"/>
          </w:tcPr>
          <w:p>
            <w:pPr>
              <w:adjustRightInd w:val="0"/>
              <w:snapToGrid w:val="0"/>
              <w:jc w:val="center"/>
              <w:rPr>
                <w:rFonts w:eastAsiaTheme="minorEastAsia"/>
                <w:color w:val="auto"/>
              </w:rPr>
            </w:pPr>
            <w:r>
              <w:rPr>
                <w:color w:val="auto"/>
              </w:rPr>
              <w:t>锌</w:t>
            </w:r>
          </w:p>
        </w:tc>
        <w:tc>
          <w:tcPr>
            <w:tcW w:w="1460" w:type="dxa"/>
            <w:vAlign w:val="center"/>
          </w:tcPr>
          <w:p>
            <w:pPr>
              <w:adjustRightInd w:val="0"/>
              <w:snapToGrid w:val="0"/>
              <w:jc w:val="center"/>
              <w:rPr>
                <w:rFonts w:eastAsiaTheme="minorEastAsia"/>
                <w:color w:val="auto"/>
              </w:rPr>
            </w:pPr>
            <w:r>
              <w:rPr>
                <w:color w:val="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3</w:t>
            </w:r>
          </w:p>
        </w:tc>
        <w:tc>
          <w:tcPr>
            <w:tcW w:w="2187" w:type="dxa"/>
            <w:vAlign w:val="center"/>
          </w:tcPr>
          <w:p>
            <w:pPr>
              <w:adjustRightInd w:val="0"/>
              <w:snapToGrid w:val="0"/>
              <w:jc w:val="center"/>
              <w:rPr>
                <w:rFonts w:eastAsiaTheme="minorEastAsia"/>
                <w:color w:val="auto"/>
              </w:rPr>
            </w:pPr>
            <w:r>
              <w:rPr>
                <w:color w:val="auto"/>
              </w:rPr>
              <w:t>高锰酸盐指数</w:t>
            </w:r>
          </w:p>
        </w:tc>
        <w:tc>
          <w:tcPr>
            <w:tcW w:w="1311" w:type="dxa"/>
            <w:vAlign w:val="center"/>
          </w:tcPr>
          <w:p>
            <w:pPr>
              <w:adjustRightInd w:val="0"/>
              <w:snapToGrid w:val="0"/>
              <w:jc w:val="center"/>
              <w:rPr>
                <w:rFonts w:eastAsiaTheme="minorEastAsia"/>
                <w:color w:val="auto"/>
              </w:rPr>
            </w:pPr>
            <w:r>
              <w:rPr>
                <w:color w:val="auto"/>
              </w:rPr>
              <w:t>≤4</w:t>
            </w:r>
          </w:p>
        </w:tc>
        <w:tc>
          <w:tcPr>
            <w:tcW w:w="1156" w:type="dxa"/>
            <w:vAlign w:val="center"/>
          </w:tcPr>
          <w:p>
            <w:pPr>
              <w:adjustRightInd w:val="0"/>
              <w:snapToGrid w:val="0"/>
              <w:jc w:val="center"/>
              <w:rPr>
                <w:rFonts w:eastAsiaTheme="minorEastAsia"/>
                <w:color w:val="auto"/>
              </w:rPr>
            </w:pPr>
            <w:r>
              <w:rPr>
                <w:color w:val="auto"/>
              </w:rPr>
              <w:t>14</w:t>
            </w:r>
          </w:p>
        </w:tc>
        <w:tc>
          <w:tcPr>
            <w:tcW w:w="1453" w:type="dxa"/>
            <w:vAlign w:val="center"/>
          </w:tcPr>
          <w:p>
            <w:pPr>
              <w:adjustRightInd w:val="0"/>
              <w:snapToGrid w:val="0"/>
              <w:jc w:val="center"/>
              <w:rPr>
                <w:rFonts w:eastAsiaTheme="minorEastAsia"/>
                <w:color w:val="auto"/>
              </w:rPr>
            </w:pPr>
            <w:r>
              <w:rPr>
                <w:color w:val="auto"/>
              </w:rPr>
              <w:t>氟化物</w:t>
            </w:r>
          </w:p>
        </w:tc>
        <w:tc>
          <w:tcPr>
            <w:tcW w:w="1460" w:type="dxa"/>
            <w:vAlign w:val="center"/>
          </w:tcPr>
          <w:p>
            <w:pPr>
              <w:adjustRightInd w:val="0"/>
              <w:snapToGrid w:val="0"/>
              <w:jc w:val="center"/>
              <w:rPr>
                <w:rFonts w:eastAsiaTheme="minorEastAsia"/>
                <w:color w:val="auto"/>
              </w:rPr>
            </w:pPr>
            <w:r>
              <w:rPr>
                <w:color w:val="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4</w:t>
            </w:r>
          </w:p>
        </w:tc>
        <w:tc>
          <w:tcPr>
            <w:tcW w:w="2187" w:type="dxa"/>
            <w:vAlign w:val="center"/>
          </w:tcPr>
          <w:p>
            <w:pPr>
              <w:adjustRightInd w:val="0"/>
              <w:snapToGrid w:val="0"/>
              <w:jc w:val="center"/>
              <w:rPr>
                <w:rFonts w:eastAsiaTheme="minorEastAsia"/>
                <w:color w:val="auto"/>
              </w:rPr>
            </w:pPr>
            <w:r>
              <w:rPr>
                <w:color w:val="auto"/>
              </w:rPr>
              <w:t>生化需氧量</w:t>
            </w:r>
          </w:p>
        </w:tc>
        <w:tc>
          <w:tcPr>
            <w:tcW w:w="1311" w:type="dxa"/>
            <w:vAlign w:val="center"/>
          </w:tcPr>
          <w:p>
            <w:pPr>
              <w:tabs>
                <w:tab w:val="left" w:pos="585"/>
              </w:tabs>
              <w:adjustRightInd w:val="0"/>
              <w:snapToGrid w:val="0"/>
              <w:jc w:val="center"/>
              <w:rPr>
                <w:rFonts w:eastAsiaTheme="minorEastAsia"/>
                <w:color w:val="auto"/>
              </w:rPr>
            </w:pPr>
            <w:r>
              <w:rPr>
                <w:color w:val="auto"/>
              </w:rPr>
              <w:t>≤3</w:t>
            </w:r>
          </w:p>
        </w:tc>
        <w:tc>
          <w:tcPr>
            <w:tcW w:w="1156" w:type="dxa"/>
            <w:vAlign w:val="center"/>
          </w:tcPr>
          <w:p>
            <w:pPr>
              <w:adjustRightInd w:val="0"/>
              <w:snapToGrid w:val="0"/>
              <w:jc w:val="center"/>
              <w:rPr>
                <w:rFonts w:eastAsiaTheme="minorEastAsia"/>
                <w:color w:val="auto"/>
              </w:rPr>
            </w:pPr>
            <w:r>
              <w:rPr>
                <w:color w:val="auto"/>
              </w:rPr>
              <w:t>15</w:t>
            </w:r>
          </w:p>
        </w:tc>
        <w:tc>
          <w:tcPr>
            <w:tcW w:w="1453" w:type="dxa"/>
            <w:vAlign w:val="center"/>
          </w:tcPr>
          <w:p>
            <w:pPr>
              <w:adjustRightInd w:val="0"/>
              <w:snapToGrid w:val="0"/>
              <w:jc w:val="center"/>
              <w:rPr>
                <w:rFonts w:eastAsiaTheme="minorEastAsia"/>
                <w:color w:val="auto"/>
              </w:rPr>
            </w:pPr>
            <w:r>
              <w:rPr>
                <w:color w:val="auto"/>
              </w:rPr>
              <w:t>硒</w:t>
            </w:r>
          </w:p>
        </w:tc>
        <w:tc>
          <w:tcPr>
            <w:tcW w:w="1460" w:type="dxa"/>
            <w:vAlign w:val="center"/>
          </w:tcPr>
          <w:p>
            <w:pPr>
              <w:adjustRightInd w:val="0"/>
              <w:snapToGrid w:val="0"/>
              <w:jc w:val="center"/>
              <w:rPr>
                <w:rFonts w:eastAsiaTheme="minorEastAsia"/>
                <w:color w:val="auto"/>
              </w:rPr>
            </w:pPr>
            <w:r>
              <w:rPr>
                <w:color w:val="auto"/>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5</w:t>
            </w:r>
          </w:p>
        </w:tc>
        <w:tc>
          <w:tcPr>
            <w:tcW w:w="2187" w:type="dxa"/>
            <w:vAlign w:val="center"/>
          </w:tcPr>
          <w:p>
            <w:pPr>
              <w:adjustRightInd w:val="0"/>
              <w:snapToGrid w:val="0"/>
              <w:jc w:val="center"/>
              <w:rPr>
                <w:rFonts w:eastAsiaTheme="minorEastAsia"/>
                <w:color w:val="auto"/>
              </w:rPr>
            </w:pPr>
            <w:r>
              <w:rPr>
                <w:color w:val="auto"/>
              </w:rPr>
              <w:t>氨氮</w:t>
            </w:r>
          </w:p>
        </w:tc>
        <w:tc>
          <w:tcPr>
            <w:tcW w:w="1311" w:type="dxa"/>
            <w:vAlign w:val="center"/>
          </w:tcPr>
          <w:p>
            <w:pPr>
              <w:tabs>
                <w:tab w:val="left" w:pos="525"/>
              </w:tabs>
              <w:adjustRightInd w:val="0"/>
              <w:snapToGrid w:val="0"/>
              <w:jc w:val="center"/>
              <w:rPr>
                <w:rFonts w:eastAsiaTheme="minorEastAsia"/>
                <w:color w:val="auto"/>
              </w:rPr>
            </w:pPr>
            <w:r>
              <w:rPr>
                <w:color w:val="auto"/>
              </w:rPr>
              <w:t>≤0.5</w:t>
            </w:r>
          </w:p>
        </w:tc>
        <w:tc>
          <w:tcPr>
            <w:tcW w:w="1156" w:type="dxa"/>
            <w:vAlign w:val="center"/>
          </w:tcPr>
          <w:p>
            <w:pPr>
              <w:adjustRightInd w:val="0"/>
              <w:snapToGrid w:val="0"/>
              <w:jc w:val="center"/>
              <w:rPr>
                <w:rFonts w:eastAsiaTheme="minorEastAsia"/>
                <w:color w:val="auto"/>
              </w:rPr>
            </w:pPr>
            <w:r>
              <w:rPr>
                <w:color w:val="auto"/>
              </w:rPr>
              <w:t>16</w:t>
            </w:r>
          </w:p>
        </w:tc>
        <w:tc>
          <w:tcPr>
            <w:tcW w:w="1453" w:type="dxa"/>
            <w:vAlign w:val="center"/>
          </w:tcPr>
          <w:p>
            <w:pPr>
              <w:adjustRightInd w:val="0"/>
              <w:snapToGrid w:val="0"/>
              <w:jc w:val="center"/>
              <w:rPr>
                <w:rFonts w:eastAsiaTheme="minorEastAsia"/>
                <w:color w:val="auto"/>
              </w:rPr>
            </w:pPr>
            <w:r>
              <w:rPr>
                <w:color w:val="auto"/>
              </w:rPr>
              <w:t>砷</w:t>
            </w:r>
          </w:p>
        </w:tc>
        <w:tc>
          <w:tcPr>
            <w:tcW w:w="1460" w:type="dxa"/>
            <w:vAlign w:val="center"/>
          </w:tcPr>
          <w:p>
            <w:pPr>
              <w:adjustRightInd w:val="0"/>
              <w:snapToGrid w:val="0"/>
              <w:jc w:val="center"/>
              <w:rPr>
                <w:rFonts w:eastAsiaTheme="minorEastAsia"/>
                <w:color w:val="auto"/>
              </w:rPr>
            </w:pPr>
            <w:r>
              <w:rPr>
                <w:color w:val="auto"/>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6</w:t>
            </w:r>
          </w:p>
        </w:tc>
        <w:tc>
          <w:tcPr>
            <w:tcW w:w="2187" w:type="dxa"/>
            <w:vAlign w:val="center"/>
          </w:tcPr>
          <w:p>
            <w:pPr>
              <w:adjustRightInd w:val="0"/>
              <w:snapToGrid w:val="0"/>
              <w:jc w:val="center"/>
              <w:rPr>
                <w:rFonts w:eastAsiaTheme="minorEastAsia"/>
                <w:color w:val="auto"/>
              </w:rPr>
            </w:pPr>
            <w:r>
              <w:rPr>
                <w:color w:val="auto"/>
              </w:rPr>
              <w:t>汞</w:t>
            </w:r>
          </w:p>
        </w:tc>
        <w:tc>
          <w:tcPr>
            <w:tcW w:w="1311" w:type="dxa"/>
            <w:vAlign w:val="center"/>
          </w:tcPr>
          <w:p>
            <w:pPr>
              <w:adjustRightInd w:val="0"/>
              <w:snapToGrid w:val="0"/>
              <w:jc w:val="center"/>
              <w:rPr>
                <w:rFonts w:eastAsiaTheme="minorEastAsia"/>
                <w:color w:val="auto"/>
              </w:rPr>
            </w:pPr>
            <w:r>
              <w:rPr>
                <w:color w:val="auto"/>
              </w:rPr>
              <w:t>≤0.00005</w:t>
            </w:r>
          </w:p>
        </w:tc>
        <w:tc>
          <w:tcPr>
            <w:tcW w:w="1156" w:type="dxa"/>
            <w:vAlign w:val="center"/>
          </w:tcPr>
          <w:p>
            <w:pPr>
              <w:adjustRightInd w:val="0"/>
              <w:snapToGrid w:val="0"/>
              <w:jc w:val="center"/>
              <w:rPr>
                <w:rFonts w:eastAsiaTheme="minorEastAsia"/>
                <w:color w:val="auto"/>
              </w:rPr>
            </w:pPr>
            <w:r>
              <w:rPr>
                <w:color w:val="auto"/>
              </w:rPr>
              <w:t>17</w:t>
            </w:r>
          </w:p>
        </w:tc>
        <w:tc>
          <w:tcPr>
            <w:tcW w:w="1453" w:type="dxa"/>
            <w:vAlign w:val="center"/>
          </w:tcPr>
          <w:p>
            <w:pPr>
              <w:adjustRightInd w:val="0"/>
              <w:snapToGrid w:val="0"/>
              <w:jc w:val="center"/>
              <w:rPr>
                <w:rFonts w:eastAsiaTheme="minorEastAsia"/>
                <w:color w:val="auto"/>
              </w:rPr>
            </w:pPr>
            <w:r>
              <w:rPr>
                <w:color w:val="auto"/>
              </w:rPr>
              <w:t>镉</w:t>
            </w:r>
          </w:p>
        </w:tc>
        <w:tc>
          <w:tcPr>
            <w:tcW w:w="1460" w:type="dxa"/>
            <w:vAlign w:val="center"/>
          </w:tcPr>
          <w:p>
            <w:pPr>
              <w:adjustRightInd w:val="0"/>
              <w:snapToGrid w:val="0"/>
              <w:jc w:val="center"/>
              <w:rPr>
                <w:rFonts w:eastAsiaTheme="minorEastAsia"/>
                <w:color w:val="auto"/>
              </w:rPr>
            </w:pPr>
            <w:r>
              <w:rPr>
                <w:color w:val="auto"/>
              </w:rPr>
              <w:t>≤0.005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7</w:t>
            </w:r>
          </w:p>
        </w:tc>
        <w:tc>
          <w:tcPr>
            <w:tcW w:w="2187" w:type="dxa"/>
            <w:vAlign w:val="center"/>
          </w:tcPr>
          <w:p>
            <w:pPr>
              <w:adjustRightInd w:val="0"/>
              <w:snapToGrid w:val="0"/>
              <w:jc w:val="center"/>
              <w:rPr>
                <w:rFonts w:eastAsiaTheme="minorEastAsia"/>
                <w:color w:val="auto"/>
              </w:rPr>
            </w:pPr>
            <w:r>
              <w:rPr>
                <w:color w:val="auto"/>
              </w:rPr>
              <w:t>铅</w:t>
            </w:r>
          </w:p>
        </w:tc>
        <w:tc>
          <w:tcPr>
            <w:tcW w:w="1311" w:type="dxa"/>
            <w:vAlign w:val="center"/>
          </w:tcPr>
          <w:p>
            <w:pPr>
              <w:adjustRightInd w:val="0"/>
              <w:snapToGrid w:val="0"/>
              <w:jc w:val="center"/>
              <w:rPr>
                <w:rFonts w:eastAsiaTheme="minorEastAsia"/>
                <w:color w:val="auto"/>
              </w:rPr>
            </w:pPr>
            <w:r>
              <w:rPr>
                <w:color w:val="auto"/>
              </w:rPr>
              <w:t>≤0.01</w:t>
            </w:r>
          </w:p>
        </w:tc>
        <w:tc>
          <w:tcPr>
            <w:tcW w:w="1156" w:type="dxa"/>
            <w:vAlign w:val="center"/>
          </w:tcPr>
          <w:p>
            <w:pPr>
              <w:adjustRightInd w:val="0"/>
              <w:snapToGrid w:val="0"/>
              <w:jc w:val="center"/>
              <w:rPr>
                <w:rFonts w:eastAsiaTheme="minorEastAsia"/>
                <w:color w:val="auto"/>
              </w:rPr>
            </w:pPr>
            <w:r>
              <w:rPr>
                <w:color w:val="auto"/>
              </w:rPr>
              <w:t>18</w:t>
            </w:r>
          </w:p>
        </w:tc>
        <w:tc>
          <w:tcPr>
            <w:tcW w:w="1453" w:type="dxa"/>
            <w:vAlign w:val="center"/>
          </w:tcPr>
          <w:p>
            <w:pPr>
              <w:adjustRightInd w:val="0"/>
              <w:snapToGrid w:val="0"/>
              <w:jc w:val="center"/>
              <w:rPr>
                <w:rFonts w:eastAsiaTheme="minorEastAsia"/>
                <w:color w:val="auto"/>
              </w:rPr>
            </w:pPr>
            <w:r>
              <w:rPr>
                <w:color w:val="auto"/>
              </w:rPr>
              <w:t>六价铬</w:t>
            </w:r>
          </w:p>
        </w:tc>
        <w:tc>
          <w:tcPr>
            <w:tcW w:w="1460" w:type="dxa"/>
            <w:vAlign w:val="center"/>
          </w:tcPr>
          <w:p>
            <w:pPr>
              <w:adjustRightInd w:val="0"/>
              <w:snapToGrid w:val="0"/>
              <w:jc w:val="center"/>
              <w:rPr>
                <w:rFonts w:eastAsiaTheme="minorEastAsia"/>
                <w:color w:val="auto"/>
              </w:rPr>
            </w:pPr>
            <w:r>
              <w:rPr>
                <w:color w:val="auto"/>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8</w:t>
            </w:r>
          </w:p>
        </w:tc>
        <w:tc>
          <w:tcPr>
            <w:tcW w:w="2187" w:type="dxa"/>
            <w:vAlign w:val="center"/>
          </w:tcPr>
          <w:p>
            <w:pPr>
              <w:adjustRightInd w:val="0"/>
              <w:snapToGrid w:val="0"/>
              <w:jc w:val="center"/>
              <w:rPr>
                <w:rFonts w:eastAsiaTheme="minorEastAsia"/>
                <w:color w:val="auto"/>
              </w:rPr>
            </w:pPr>
            <w:r>
              <w:rPr>
                <w:color w:val="auto"/>
              </w:rPr>
              <w:t>挥发酚</w:t>
            </w:r>
          </w:p>
        </w:tc>
        <w:tc>
          <w:tcPr>
            <w:tcW w:w="1311" w:type="dxa"/>
            <w:vAlign w:val="center"/>
          </w:tcPr>
          <w:p>
            <w:pPr>
              <w:tabs>
                <w:tab w:val="left" w:pos="690"/>
              </w:tabs>
              <w:adjustRightInd w:val="0"/>
              <w:snapToGrid w:val="0"/>
              <w:jc w:val="center"/>
              <w:rPr>
                <w:rFonts w:eastAsiaTheme="minorEastAsia"/>
                <w:color w:val="auto"/>
              </w:rPr>
            </w:pPr>
            <w:r>
              <w:rPr>
                <w:color w:val="auto"/>
              </w:rPr>
              <w:t>≤0.002</w:t>
            </w:r>
          </w:p>
        </w:tc>
        <w:tc>
          <w:tcPr>
            <w:tcW w:w="1156" w:type="dxa"/>
            <w:vAlign w:val="center"/>
          </w:tcPr>
          <w:p>
            <w:pPr>
              <w:adjustRightInd w:val="0"/>
              <w:snapToGrid w:val="0"/>
              <w:jc w:val="center"/>
              <w:rPr>
                <w:rFonts w:eastAsiaTheme="minorEastAsia"/>
                <w:color w:val="auto"/>
              </w:rPr>
            </w:pPr>
            <w:r>
              <w:rPr>
                <w:color w:val="auto"/>
              </w:rPr>
              <w:t>19</w:t>
            </w:r>
          </w:p>
        </w:tc>
        <w:tc>
          <w:tcPr>
            <w:tcW w:w="1453" w:type="dxa"/>
            <w:vAlign w:val="center"/>
          </w:tcPr>
          <w:p>
            <w:pPr>
              <w:adjustRightInd w:val="0"/>
              <w:snapToGrid w:val="0"/>
              <w:jc w:val="center"/>
              <w:rPr>
                <w:rFonts w:eastAsiaTheme="minorEastAsia"/>
                <w:color w:val="auto"/>
              </w:rPr>
            </w:pPr>
            <w:r>
              <w:rPr>
                <w:color w:val="auto"/>
              </w:rPr>
              <w:t>氰化物</w:t>
            </w:r>
          </w:p>
        </w:tc>
        <w:tc>
          <w:tcPr>
            <w:tcW w:w="1460" w:type="dxa"/>
            <w:vAlign w:val="center"/>
          </w:tcPr>
          <w:p>
            <w:pPr>
              <w:adjustRightInd w:val="0"/>
              <w:snapToGrid w:val="0"/>
              <w:jc w:val="center"/>
              <w:rPr>
                <w:rFonts w:eastAsiaTheme="minorEastAsia"/>
                <w:color w:val="auto"/>
              </w:rPr>
            </w:pPr>
            <w:r>
              <w:rPr>
                <w:color w:val="auto"/>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9</w:t>
            </w:r>
          </w:p>
        </w:tc>
        <w:tc>
          <w:tcPr>
            <w:tcW w:w="2187" w:type="dxa"/>
            <w:vAlign w:val="center"/>
          </w:tcPr>
          <w:p>
            <w:pPr>
              <w:adjustRightInd w:val="0"/>
              <w:snapToGrid w:val="0"/>
              <w:jc w:val="center"/>
              <w:rPr>
                <w:rFonts w:eastAsiaTheme="minorEastAsia"/>
                <w:color w:val="auto"/>
              </w:rPr>
            </w:pPr>
            <w:r>
              <w:rPr>
                <w:color w:val="auto"/>
              </w:rPr>
              <w:t>石油类</w:t>
            </w:r>
          </w:p>
        </w:tc>
        <w:tc>
          <w:tcPr>
            <w:tcW w:w="1311" w:type="dxa"/>
            <w:vAlign w:val="center"/>
          </w:tcPr>
          <w:p>
            <w:pPr>
              <w:adjustRightInd w:val="0"/>
              <w:snapToGrid w:val="0"/>
              <w:jc w:val="center"/>
              <w:rPr>
                <w:rFonts w:eastAsiaTheme="minorEastAsia"/>
                <w:color w:val="auto"/>
              </w:rPr>
            </w:pPr>
            <w:r>
              <w:rPr>
                <w:color w:val="auto"/>
              </w:rPr>
              <w:t>≤0.05</w:t>
            </w:r>
          </w:p>
        </w:tc>
        <w:tc>
          <w:tcPr>
            <w:tcW w:w="1156" w:type="dxa"/>
            <w:vAlign w:val="center"/>
          </w:tcPr>
          <w:p>
            <w:pPr>
              <w:adjustRightInd w:val="0"/>
              <w:snapToGrid w:val="0"/>
              <w:jc w:val="center"/>
              <w:rPr>
                <w:rFonts w:eastAsiaTheme="minorEastAsia"/>
                <w:color w:val="auto"/>
              </w:rPr>
            </w:pPr>
            <w:r>
              <w:rPr>
                <w:color w:val="auto"/>
              </w:rPr>
              <w:t>20</w:t>
            </w:r>
          </w:p>
        </w:tc>
        <w:tc>
          <w:tcPr>
            <w:tcW w:w="1453" w:type="dxa"/>
            <w:vAlign w:val="center"/>
          </w:tcPr>
          <w:p>
            <w:pPr>
              <w:adjustRightInd w:val="0"/>
              <w:snapToGrid w:val="0"/>
              <w:jc w:val="center"/>
              <w:rPr>
                <w:rFonts w:eastAsiaTheme="minorEastAsia"/>
                <w:color w:val="auto"/>
              </w:rPr>
            </w:pPr>
            <w:r>
              <w:rPr>
                <w:color w:val="auto"/>
              </w:rPr>
              <w:t>硫化物</w:t>
            </w:r>
          </w:p>
        </w:tc>
        <w:tc>
          <w:tcPr>
            <w:tcW w:w="1460" w:type="dxa"/>
            <w:vAlign w:val="center"/>
          </w:tcPr>
          <w:p>
            <w:pPr>
              <w:adjustRightInd w:val="0"/>
              <w:snapToGrid w:val="0"/>
              <w:jc w:val="center"/>
              <w:rPr>
                <w:rFonts w:eastAsiaTheme="minorEastAsia"/>
                <w:color w:val="auto"/>
              </w:rPr>
            </w:pPr>
            <w:r>
              <w:rPr>
                <w:color w:val="auto"/>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color w:val="auto"/>
              </w:rPr>
              <w:t>10</w:t>
            </w:r>
          </w:p>
        </w:tc>
        <w:tc>
          <w:tcPr>
            <w:tcW w:w="2187" w:type="dxa"/>
            <w:vAlign w:val="center"/>
          </w:tcPr>
          <w:p>
            <w:pPr>
              <w:adjustRightInd w:val="0"/>
              <w:snapToGrid w:val="0"/>
              <w:jc w:val="center"/>
              <w:rPr>
                <w:rFonts w:eastAsiaTheme="minorEastAsia"/>
                <w:color w:val="auto"/>
              </w:rPr>
            </w:pPr>
            <w:r>
              <w:rPr>
                <w:color w:val="auto"/>
              </w:rPr>
              <w:t>化学需氧量</w:t>
            </w:r>
          </w:p>
        </w:tc>
        <w:tc>
          <w:tcPr>
            <w:tcW w:w="1311" w:type="dxa"/>
            <w:vAlign w:val="center"/>
          </w:tcPr>
          <w:p>
            <w:pPr>
              <w:adjustRightInd w:val="0"/>
              <w:snapToGrid w:val="0"/>
              <w:jc w:val="center"/>
              <w:rPr>
                <w:rFonts w:eastAsiaTheme="minorEastAsia"/>
                <w:color w:val="auto"/>
              </w:rPr>
            </w:pPr>
            <w:r>
              <w:rPr>
                <w:color w:val="auto"/>
              </w:rPr>
              <w:t>≤15</w:t>
            </w:r>
          </w:p>
        </w:tc>
        <w:tc>
          <w:tcPr>
            <w:tcW w:w="1156" w:type="dxa"/>
            <w:vMerge w:val="restart"/>
            <w:vAlign w:val="center"/>
          </w:tcPr>
          <w:p>
            <w:pPr>
              <w:adjustRightInd w:val="0"/>
              <w:snapToGrid w:val="0"/>
              <w:jc w:val="center"/>
              <w:rPr>
                <w:rFonts w:eastAsiaTheme="minorEastAsia"/>
                <w:color w:val="auto"/>
              </w:rPr>
            </w:pPr>
            <w:r>
              <w:rPr>
                <w:color w:val="auto"/>
              </w:rPr>
              <w:t>21</w:t>
            </w:r>
          </w:p>
        </w:tc>
        <w:tc>
          <w:tcPr>
            <w:tcW w:w="1453" w:type="dxa"/>
            <w:vMerge w:val="restart"/>
            <w:vAlign w:val="center"/>
          </w:tcPr>
          <w:p>
            <w:pPr>
              <w:adjustRightInd w:val="0"/>
              <w:snapToGrid w:val="0"/>
              <w:jc w:val="center"/>
              <w:rPr>
                <w:rFonts w:eastAsiaTheme="minorEastAsia"/>
                <w:color w:val="auto"/>
              </w:rPr>
            </w:pPr>
            <w:r>
              <w:rPr>
                <w:color w:val="auto"/>
              </w:rPr>
              <w:t>阴离子表面活性剂</w:t>
            </w:r>
          </w:p>
        </w:tc>
        <w:tc>
          <w:tcPr>
            <w:tcW w:w="1460" w:type="dxa"/>
            <w:vMerge w:val="restart"/>
            <w:vAlign w:val="center"/>
          </w:tcPr>
          <w:p>
            <w:pPr>
              <w:adjustRightInd w:val="0"/>
              <w:snapToGrid w:val="0"/>
              <w:jc w:val="center"/>
              <w:rPr>
                <w:rFonts w:eastAsiaTheme="minorEastAsia"/>
                <w:color w:val="auto"/>
              </w:rPr>
            </w:pPr>
            <w:r>
              <w:rPr>
                <w:color w:val="auto"/>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4" w:hRule="atLeast"/>
        </w:trPr>
        <w:tc>
          <w:tcPr>
            <w:tcW w:w="1153" w:type="dxa"/>
            <w:vAlign w:val="center"/>
          </w:tcPr>
          <w:p>
            <w:pPr>
              <w:adjustRightInd w:val="0"/>
              <w:snapToGrid w:val="0"/>
              <w:jc w:val="center"/>
              <w:rPr>
                <w:rFonts w:eastAsiaTheme="minorEastAsia"/>
                <w:color w:val="auto"/>
              </w:rPr>
            </w:pPr>
            <w:r>
              <w:rPr>
                <w:color w:val="auto"/>
              </w:rPr>
              <w:t>11</w:t>
            </w:r>
          </w:p>
        </w:tc>
        <w:tc>
          <w:tcPr>
            <w:tcW w:w="2187" w:type="dxa"/>
            <w:vAlign w:val="center"/>
          </w:tcPr>
          <w:p>
            <w:pPr>
              <w:adjustRightInd w:val="0"/>
              <w:snapToGrid w:val="0"/>
              <w:jc w:val="center"/>
              <w:rPr>
                <w:rFonts w:eastAsiaTheme="minorEastAsia"/>
                <w:color w:val="auto"/>
              </w:rPr>
            </w:pPr>
            <w:r>
              <w:rPr>
                <w:color w:val="auto"/>
              </w:rPr>
              <w:t>总磷</w:t>
            </w:r>
          </w:p>
        </w:tc>
        <w:tc>
          <w:tcPr>
            <w:tcW w:w="1311" w:type="dxa"/>
            <w:vAlign w:val="center"/>
          </w:tcPr>
          <w:p>
            <w:pPr>
              <w:adjustRightInd w:val="0"/>
              <w:snapToGrid w:val="0"/>
              <w:jc w:val="center"/>
              <w:rPr>
                <w:rFonts w:eastAsiaTheme="minorEastAsia"/>
                <w:color w:val="auto"/>
              </w:rPr>
            </w:pPr>
            <w:r>
              <w:rPr>
                <w:color w:val="auto"/>
              </w:rPr>
              <w:t>≤0.1</w:t>
            </w:r>
          </w:p>
        </w:tc>
        <w:tc>
          <w:tcPr>
            <w:tcW w:w="1156" w:type="dxa"/>
            <w:vMerge w:val="continue"/>
            <w:vAlign w:val="center"/>
          </w:tcPr>
          <w:p>
            <w:pPr>
              <w:adjustRightInd w:val="0"/>
              <w:snapToGrid w:val="0"/>
              <w:jc w:val="center"/>
              <w:rPr>
                <w:rFonts w:eastAsiaTheme="minorEastAsia"/>
                <w:color w:val="auto"/>
              </w:rPr>
            </w:pPr>
          </w:p>
        </w:tc>
        <w:tc>
          <w:tcPr>
            <w:tcW w:w="1453" w:type="dxa"/>
            <w:vMerge w:val="continue"/>
            <w:vAlign w:val="center"/>
          </w:tcPr>
          <w:p>
            <w:pPr>
              <w:adjustRightInd w:val="0"/>
              <w:snapToGrid w:val="0"/>
              <w:jc w:val="center"/>
              <w:rPr>
                <w:rFonts w:eastAsiaTheme="minorEastAsia"/>
                <w:color w:val="auto"/>
              </w:rPr>
            </w:pPr>
          </w:p>
        </w:tc>
        <w:tc>
          <w:tcPr>
            <w:tcW w:w="1460" w:type="dxa"/>
            <w:vMerge w:val="continue"/>
            <w:vAlign w:val="center"/>
          </w:tcPr>
          <w:p>
            <w:pPr>
              <w:adjustRightInd w:val="0"/>
              <w:snapToGrid w:val="0"/>
              <w:jc w:val="center"/>
              <w:rPr>
                <w:rFonts w:eastAsiaTheme="minorEastAsia"/>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adjustRightInd w:val="0"/>
              <w:snapToGrid w:val="0"/>
              <w:jc w:val="center"/>
              <w:rPr>
                <w:rFonts w:eastAsiaTheme="minorEastAsia"/>
                <w:color w:val="auto"/>
              </w:rPr>
            </w:pPr>
            <w:r>
              <w:rPr>
                <w:rFonts w:eastAsiaTheme="minorEastAsia"/>
                <w:color w:val="auto"/>
              </w:rPr>
              <w:t>单位</w:t>
            </w:r>
          </w:p>
        </w:tc>
        <w:tc>
          <w:tcPr>
            <w:tcW w:w="7567" w:type="dxa"/>
            <w:gridSpan w:val="5"/>
            <w:vAlign w:val="center"/>
          </w:tcPr>
          <w:p>
            <w:pPr>
              <w:adjustRightInd w:val="0"/>
              <w:snapToGrid w:val="0"/>
              <w:jc w:val="center"/>
              <w:rPr>
                <w:rFonts w:eastAsiaTheme="minorEastAsia"/>
                <w:color w:val="auto"/>
                <w:szCs w:val="21"/>
              </w:rPr>
            </w:pPr>
            <w:r>
              <w:rPr>
                <w:rFonts w:eastAsiaTheme="minorEastAsia"/>
                <w:color w:val="auto"/>
                <w:szCs w:val="21"/>
              </w:rPr>
              <w:t>mg/L，pH无量纲</w:t>
            </w:r>
          </w:p>
        </w:tc>
      </w:tr>
    </w:tbl>
    <w:p>
      <w:pPr>
        <w:pStyle w:val="6"/>
        <w:numPr>
          <w:ilvl w:val="3"/>
          <w:numId w:val="0"/>
        </w:numPr>
        <w:spacing w:before="120" w:beforeLines="50"/>
        <w:ind w:left="-861" w:leftChars="-410" w:firstLine="723" w:firstLineChars="300"/>
        <w:rPr>
          <w:color w:val="auto"/>
        </w:rPr>
      </w:pPr>
      <w:bookmarkStart w:id="117" w:name="_Toc11595180"/>
      <w:r>
        <w:rPr>
          <w:color w:val="auto"/>
        </w:rPr>
        <w:t>1.4.1.3地下水质量标准</w:t>
      </w:r>
      <w:bookmarkEnd w:id="117"/>
    </w:p>
    <w:p>
      <w:pPr>
        <w:pStyle w:val="130"/>
        <w:ind w:firstLine="480"/>
        <w:rPr>
          <w:color w:val="auto"/>
        </w:rPr>
      </w:pPr>
      <w:r>
        <w:rPr>
          <w:color w:val="auto"/>
        </w:rPr>
        <w:t>评价区地下水质量执行《地下水质量标准》（GB/T14848-2017）III类标准，地下水质量评价因子执行标准见表1.4-3。</w:t>
      </w:r>
    </w:p>
    <w:p>
      <w:pPr>
        <w:wordWrap w:val="0"/>
        <w:jc w:val="center"/>
        <w:rPr>
          <w:rFonts w:eastAsiaTheme="minorEastAsia"/>
          <w:b/>
          <w:color w:val="auto"/>
          <w:sz w:val="24"/>
          <w:szCs w:val="24"/>
        </w:rPr>
      </w:pPr>
      <w:r>
        <w:rPr>
          <w:rFonts w:eastAsiaTheme="minorEastAsia"/>
          <w:b/>
          <w:color w:val="auto"/>
          <w:sz w:val="24"/>
          <w:szCs w:val="24"/>
        </w:rPr>
        <w:t>表1.4-3  地下水质量评价因子执行标准限值</w:t>
      </w:r>
    </w:p>
    <w:tbl>
      <w:tblPr>
        <w:tblStyle w:val="74"/>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8"/>
        <w:gridCol w:w="1779"/>
        <w:gridCol w:w="1453"/>
        <w:gridCol w:w="971"/>
        <w:gridCol w:w="1945"/>
        <w:gridCol w:w="14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序号</w:t>
            </w:r>
          </w:p>
        </w:tc>
        <w:tc>
          <w:tcPr>
            <w:tcW w:w="1779" w:type="dxa"/>
            <w:vAlign w:val="center"/>
          </w:tcPr>
          <w:p>
            <w:pPr>
              <w:jc w:val="center"/>
              <w:rPr>
                <w:color w:val="auto"/>
              </w:rPr>
            </w:pPr>
            <w:r>
              <w:rPr>
                <w:color w:val="auto"/>
              </w:rPr>
              <w:t>评价因子</w:t>
            </w:r>
          </w:p>
        </w:tc>
        <w:tc>
          <w:tcPr>
            <w:tcW w:w="1453" w:type="dxa"/>
            <w:vAlign w:val="center"/>
          </w:tcPr>
          <w:p>
            <w:pPr>
              <w:jc w:val="center"/>
              <w:rPr>
                <w:color w:val="auto"/>
              </w:rPr>
            </w:pPr>
            <w:r>
              <w:rPr>
                <w:color w:val="auto"/>
              </w:rPr>
              <w:t>标准限值</w:t>
            </w:r>
          </w:p>
        </w:tc>
        <w:tc>
          <w:tcPr>
            <w:tcW w:w="971" w:type="dxa"/>
            <w:vAlign w:val="center"/>
          </w:tcPr>
          <w:p>
            <w:pPr>
              <w:jc w:val="center"/>
              <w:rPr>
                <w:color w:val="auto"/>
              </w:rPr>
            </w:pPr>
            <w:r>
              <w:rPr>
                <w:color w:val="auto"/>
              </w:rPr>
              <w:t>序号</w:t>
            </w:r>
          </w:p>
        </w:tc>
        <w:tc>
          <w:tcPr>
            <w:tcW w:w="1945" w:type="dxa"/>
            <w:vAlign w:val="center"/>
          </w:tcPr>
          <w:p>
            <w:pPr>
              <w:jc w:val="center"/>
              <w:rPr>
                <w:color w:val="auto"/>
              </w:rPr>
            </w:pPr>
            <w:r>
              <w:rPr>
                <w:color w:val="auto"/>
              </w:rPr>
              <w:t>评价因子</w:t>
            </w:r>
          </w:p>
        </w:tc>
        <w:tc>
          <w:tcPr>
            <w:tcW w:w="1444" w:type="dxa"/>
            <w:vAlign w:val="center"/>
          </w:tcPr>
          <w:p>
            <w:pPr>
              <w:jc w:val="center"/>
              <w:rPr>
                <w:color w:val="auto"/>
              </w:rPr>
            </w:pPr>
            <w:r>
              <w:rPr>
                <w:color w:val="auto"/>
              </w:rPr>
              <w:t>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1</w:t>
            </w:r>
          </w:p>
        </w:tc>
        <w:tc>
          <w:tcPr>
            <w:tcW w:w="1779" w:type="dxa"/>
            <w:vAlign w:val="center"/>
          </w:tcPr>
          <w:p>
            <w:pPr>
              <w:jc w:val="center"/>
              <w:rPr>
                <w:color w:val="auto"/>
              </w:rPr>
            </w:pPr>
            <w:r>
              <w:rPr>
                <w:color w:val="auto"/>
              </w:rPr>
              <w:t>pH</w:t>
            </w:r>
          </w:p>
        </w:tc>
        <w:tc>
          <w:tcPr>
            <w:tcW w:w="1453" w:type="dxa"/>
            <w:vAlign w:val="center"/>
          </w:tcPr>
          <w:p>
            <w:pPr>
              <w:jc w:val="center"/>
              <w:rPr>
                <w:color w:val="auto"/>
              </w:rPr>
            </w:pPr>
            <w:r>
              <w:rPr>
                <w:color w:val="auto"/>
              </w:rPr>
              <w:t>6.5~8.5</w:t>
            </w:r>
          </w:p>
        </w:tc>
        <w:tc>
          <w:tcPr>
            <w:tcW w:w="971" w:type="dxa"/>
            <w:vAlign w:val="center"/>
          </w:tcPr>
          <w:p>
            <w:pPr>
              <w:jc w:val="center"/>
              <w:rPr>
                <w:color w:val="auto"/>
              </w:rPr>
            </w:pPr>
            <w:r>
              <w:rPr>
                <w:color w:val="auto"/>
              </w:rPr>
              <w:t>16</w:t>
            </w:r>
          </w:p>
        </w:tc>
        <w:tc>
          <w:tcPr>
            <w:tcW w:w="1945" w:type="dxa"/>
            <w:vAlign w:val="center"/>
          </w:tcPr>
          <w:p>
            <w:pPr>
              <w:jc w:val="center"/>
              <w:rPr>
                <w:color w:val="auto"/>
              </w:rPr>
            </w:pPr>
            <w:r>
              <w:rPr>
                <w:color w:val="auto"/>
              </w:rPr>
              <w:t>砷</w:t>
            </w:r>
          </w:p>
        </w:tc>
        <w:tc>
          <w:tcPr>
            <w:tcW w:w="1444" w:type="dxa"/>
            <w:vAlign w:val="center"/>
          </w:tcPr>
          <w:p>
            <w:pPr>
              <w:jc w:val="center"/>
              <w:rPr>
                <w:color w:val="auto"/>
              </w:rPr>
            </w:pPr>
            <w:r>
              <w:rPr>
                <w:color w:val="auto"/>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2</w:t>
            </w:r>
          </w:p>
        </w:tc>
        <w:tc>
          <w:tcPr>
            <w:tcW w:w="1779" w:type="dxa"/>
            <w:vAlign w:val="center"/>
          </w:tcPr>
          <w:p>
            <w:pPr>
              <w:jc w:val="center"/>
              <w:rPr>
                <w:color w:val="auto"/>
              </w:rPr>
            </w:pPr>
            <w:r>
              <w:rPr>
                <w:color w:val="auto"/>
              </w:rPr>
              <w:t>总硬度</w:t>
            </w:r>
          </w:p>
        </w:tc>
        <w:tc>
          <w:tcPr>
            <w:tcW w:w="1453" w:type="dxa"/>
            <w:vAlign w:val="center"/>
          </w:tcPr>
          <w:p>
            <w:pPr>
              <w:jc w:val="center"/>
              <w:rPr>
                <w:color w:val="auto"/>
              </w:rPr>
            </w:pPr>
            <w:r>
              <w:rPr>
                <w:color w:val="auto"/>
              </w:rPr>
              <w:t>≤450</w:t>
            </w:r>
          </w:p>
        </w:tc>
        <w:tc>
          <w:tcPr>
            <w:tcW w:w="971" w:type="dxa"/>
            <w:vAlign w:val="center"/>
          </w:tcPr>
          <w:p>
            <w:pPr>
              <w:jc w:val="center"/>
              <w:rPr>
                <w:color w:val="auto"/>
              </w:rPr>
            </w:pPr>
            <w:r>
              <w:rPr>
                <w:color w:val="auto"/>
              </w:rPr>
              <w:t>17</w:t>
            </w:r>
          </w:p>
        </w:tc>
        <w:tc>
          <w:tcPr>
            <w:tcW w:w="1945" w:type="dxa"/>
            <w:vAlign w:val="center"/>
          </w:tcPr>
          <w:p>
            <w:pPr>
              <w:jc w:val="center"/>
              <w:rPr>
                <w:color w:val="auto"/>
              </w:rPr>
            </w:pPr>
            <w:r>
              <w:rPr>
                <w:color w:val="auto"/>
              </w:rPr>
              <w:t>镉</w:t>
            </w:r>
          </w:p>
        </w:tc>
        <w:tc>
          <w:tcPr>
            <w:tcW w:w="1444" w:type="dxa"/>
            <w:vAlign w:val="center"/>
          </w:tcPr>
          <w:p>
            <w:pPr>
              <w:jc w:val="center"/>
              <w:rPr>
                <w:color w:val="auto"/>
              </w:rPr>
            </w:pPr>
            <w:r>
              <w:rPr>
                <w:color w:val="auto"/>
              </w:rPr>
              <w:t>≤0.005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3</w:t>
            </w:r>
          </w:p>
        </w:tc>
        <w:tc>
          <w:tcPr>
            <w:tcW w:w="1779" w:type="dxa"/>
            <w:vAlign w:val="center"/>
          </w:tcPr>
          <w:p>
            <w:pPr>
              <w:jc w:val="center"/>
              <w:rPr>
                <w:color w:val="auto"/>
              </w:rPr>
            </w:pPr>
            <w:r>
              <w:rPr>
                <w:color w:val="auto"/>
              </w:rPr>
              <w:t>溶解性总固体</w:t>
            </w:r>
          </w:p>
        </w:tc>
        <w:tc>
          <w:tcPr>
            <w:tcW w:w="1453" w:type="dxa"/>
            <w:vAlign w:val="center"/>
          </w:tcPr>
          <w:p>
            <w:pPr>
              <w:jc w:val="center"/>
              <w:rPr>
                <w:color w:val="auto"/>
              </w:rPr>
            </w:pPr>
            <w:r>
              <w:rPr>
                <w:color w:val="auto"/>
              </w:rPr>
              <w:t>≤1000</w:t>
            </w:r>
          </w:p>
        </w:tc>
        <w:tc>
          <w:tcPr>
            <w:tcW w:w="971" w:type="dxa"/>
            <w:vAlign w:val="center"/>
          </w:tcPr>
          <w:p>
            <w:pPr>
              <w:jc w:val="center"/>
              <w:rPr>
                <w:color w:val="auto"/>
              </w:rPr>
            </w:pPr>
            <w:r>
              <w:rPr>
                <w:color w:val="auto"/>
              </w:rPr>
              <w:t>18</w:t>
            </w:r>
          </w:p>
        </w:tc>
        <w:tc>
          <w:tcPr>
            <w:tcW w:w="1945" w:type="dxa"/>
            <w:vAlign w:val="center"/>
          </w:tcPr>
          <w:p>
            <w:pPr>
              <w:jc w:val="center"/>
              <w:rPr>
                <w:color w:val="auto"/>
              </w:rPr>
            </w:pPr>
            <w:r>
              <w:rPr>
                <w:color w:val="auto"/>
              </w:rPr>
              <w:t>铬（六价）</w:t>
            </w:r>
          </w:p>
        </w:tc>
        <w:tc>
          <w:tcPr>
            <w:tcW w:w="1444" w:type="dxa"/>
            <w:vAlign w:val="center"/>
          </w:tcPr>
          <w:p>
            <w:pPr>
              <w:jc w:val="center"/>
              <w:rPr>
                <w:color w:val="auto"/>
              </w:rPr>
            </w:pPr>
            <w:r>
              <w:rPr>
                <w:color w:val="auto"/>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4</w:t>
            </w:r>
          </w:p>
        </w:tc>
        <w:tc>
          <w:tcPr>
            <w:tcW w:w="1779" w:type="dxa"/>
            <w:vAlign w:val="center"/>
          </w:tcPr>
          <w:p>
            <w:pPr>
              <w:jc w:val="center"/>
              <w:rPr>
                <w:color w:val="auto"/>
              </w:rPr>
            </w:pPr>
            <w:r>
              <w:rPr>
                <w:color w:val="auto"/>
              </w:rPr>
              <w:t>硫酸盐</w:t>
            </w:r>
          </w:p>
        </w:tc>
        <w:tc>
          <w:tcPr>
            <w:tcW w:w="1453" w:type="dxa"/>
            <w:vAlign w:val="center"/>
          </w:tcPr>
          <w:p>
            <w:pPr>
              <w:jc w:val="center"/>
              <w:rPr>
                <w:color w:val="auto"/>
              </w:rPr>
            </w:pPr>
            <w:r>
              <w:rPr>
                <w:color w:val="auto"/>
              </w:rPr>
              <w:t>≤250</w:t>
            </w:r>
          </w:p>
        </w:tc>
        <w:tc>
          <w:tcPr>
            <w:tcW w:w="971" w:type="dxa"/>
            <w:vAlign w:val="center"/>
          </w:tcPr>
          <w:p>
            <w:pPr>
              <w:jc w:val="center"/>
              <w:rPr>
                <w:color w:val="auto"/>
              </w:rPr>
            </w:pPr>
            <w:r>
              <w:rPr>
                <w:color w:val="auto"/>
              </w:rPr>
              <w:t>19</w:t>
            </w:r>
          </w:p>
        </w:tc>
        <w:tc>
          <w:tcPr>
            <w:tcW w:w="1945" w:type="dxa"/>
            <w:vAlign w:val="center"/>
          </w:tcPr>
          <w:p>
            <w:pPr>
              <w:jc w:val="center"/>
              <w:rPr>
                <w:color w:val="auto"/>
              </w:rPr>
            </w:pPr>
            <w:r>
              <w:rPr>
                <w:color w:val="auto"/>
              </w:rPr>
              <w:t>铅</w:t>
            </w:r>
          </w:p>
        </w:tc>
        <w:tc>
          <w:tcPr>
            <w:tcW w:w="1444" w:type="dxa"/>
            <w:vAlign w:val="center"/>
          </w:tcPr>
          <w:p>
            <w:pPr>
              <w:jc w:val="center"/>
              <w:rPr>
                <w:color w:val="auto"/>
              </w:rPr>
            </w:pPr>
            <w:r>
              <w:rPr>
                <w:color w:val="auto"/>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5</w:t>
            </w:r>
          </w:p>
        </w:tc>
        <w:tc>
          <w:tcPr>
            <w:tcW w:w="1779" w:type="dxa"/>
            <w:vAlign w:val="center"/>
          </w:tcPr>
          <w:p>
            <w:pPr>
              <w:jc w:val="center"/>
              <w:rPr>
                <w:color w:val="auto"/>
              </w:rPr>
            </w:pPr>
            <w:r>
              <w:rPr>
                <w:color w:val="auto"/>
              </w:rPr>
              <w:t>氯化物</w:t>
            </w:r>
          </w:p>
        </w:tc>
        <w:tc>
          <w:tcPr>
            <w:tcW w:w="1453" w:type="dxa"/>
            <w:vAlign w:val="center"/>
          </w:tcPr>
          <w:p>
            <w:pPr>
              <w:jc w:val="center"/>
              <w:rPr>
                <w:color w:val="auto"/>
              </w:rPr>
            </w:pPr>
            <w:r>
              <w:rPr>
                <w:color w:val="auto"/>
              </w:rPr>
              <w:t>≤250</w:t>
            </w:r>
          </w:p>
        </w:tc>
        <w:tc>
          <w:tcPr>
            <w:tcW w:w="971" w:type="dxa"/>
            <w:vAlign w:val="center"/>
          </w:tcPr>
          <w:p>
            <w:pPr>
              <w:jc w:val="center"/>
              <w:rPr>
                <w:color w:val="auto"/>
              </w:rPr>
            </w:pPr>
            <w:r>
              <w:rPr>
                <w:color w:val="auto"/>
              </w:rPr>
              <w:t>20</w:t>
            </w:r>
          </w:p>
        </w:tc>
        <w:tc>
          <w:tcPr>
            <w:tcW w:w="1945" w:type="dxa"/>
            <w:vAlign w:val="center"/>
          </w:tcPr>
          <w:p>
            <w:pPr>
              <w:jc w:val="center"/>
              <w:rPr>
                <w:color w:val="auto"/>
              </w:rPr>
            </w:pPr>
            <w:r>
              <w:rPr>
                <w:color w:val="auto"/>
              </w:rPr>
              <w:t>镍</w:t>
            </w:r>
          </w:p>
        </w:tc>
        <w:tc>
          <w:tcPr>
            <w:tcW w:w="1444" w:type="dxa"/>
            <w:vAlign w:val="center"/>
          </w:tcPr>
          <w:p>
            <w:pPr>
              <w:jc w:val="center"/>
              <w:rPr>
                <w:color w:val="auto"/>
              </w:rPr>
            </w:pPr>
            <w:r>
              <w:rPr>
                <w:color w:val="auto"/>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6</w:t>
            </w:r>
          </w:p>
        </w:tc>
        <w:tc>
          <w:tcPr>
            <w:tcW w:w="1779" w:type="dxa"/>
            <w:vAlign w:val="center"/>
          </w:tcPr>
          <w:p>
            <w:pPr>
              <w:jc w:val="center"/>
              <w:rPr>
                <w:color w:val="auto"/>
              </w:rPr>
            </w:pPr>
            <w:r>
              <w:rPr>
                <w:color w:val="auto"/>
              </w:rPr>
              <w:t>铁</w:t>
            </w:r>
          </w:p>
        </w:tc>
        <w:tc>
          <w:tcPr>
            <w:tcW w:w="1453" w:type="dxa"/>
            <w:vAlign w:val="center"/>
          </w:tcPr>
          <w:p>
            <w:pPr>
              <w:jc w:val="center"/>
              <w:rPr>
                <w:color w:val="auto"/>
              </w:rPr>
            </w:pPr>
            <w:r>
              <w:rPr>
                <w:color w:val="auto"/>
              </w:rPr>
              <w:t>≤0.3</w:t>
            </w:r>
          </w:p>
        </w:tc>
        <w:tc>
          <w:tcPr>
            <w:tcW w:w="971" w:type="dxa"/>
            <w:vAlign w:val="center"/>
          </w:tcPr>
          <w:p>
            <w:pPr>
              <w:jc w:val="center"/>
              <w:rPr>
                <w:color w:val="auto"/>
              </w:rPr>
            </w:pPr>
            <w:r>
              <w:rPr>
                <w:color w:val="auto"/>
              </w:rPr>
              <w:t>21</w:t>
            </w:r>
          </w:p>
        </w:tc>
        <w:tc>
          <w:tcPr>
            <w:tcW w:w="1945" w:type="dxa"/>
            <w:vAlign w:val="center"/>
          </w:tcPr>
          <w:p>
            <w:pPr>
              <w:jc w:val="center"/>
              <w:rPr>
                <w:color w:val="auto"/>
              </w:rPr>
            </w:pPr>
            <w:r>
              <w:rPr>
                <w:color w:val="auto"/>
              </w:rPr>
              <w:t>细菌总数</w:t>
            </w:r>
          </w:p>
        </w:tc>
        <w:tc>
          <w:tcPr>
            <w:tcW w:w="1444" w:type="dxa"/>
            <w:vAlign w:val="center"/>
          </w:tcPr>
          <w:p>
            <w:pPr>
              <w:jc w:val="center"/>
              <w:rPr>
                <w:color w:val="auto"/>
              </w:rPr>
            </w:pPr>
            <w:r>
              <w:rPr>
                <w:color w:val="auto"/>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7</w:t>
            </w:r>
          </w:p>
        </w:tc>
        <w:tc>
          <w:tcPr>
            <w:tcW w:w="1779" w:type="dxa"/>
            <w:vAlign w:val="center"/>
          </w:tcPr>
          <w:p>
            <w:pPr>
              <w:jc w:val="center"/>
              <w:rPr>
                <w:color w:val="auto"/>
              </w:rPr>
            </w:pPr>
            <w:r>
              <w:rPr>
                <w:color w:val="auto"/>
              </w:rPr>
              <w:t>锰</w:t>
            </w:r>
          </w:p>
        </w:tc>
        <w:tc>
          <w:tcPr>
            <w:tcW w:w="1453" w:type="dxa"/>
            <w:vAlign w:val="center"/>
          </w:tcPr>
          <w:p>
            <w:pPr>
              <w:jc w:val="center"/>
              <w:rPr>
                <w:color w:val="auto"/>
              </w:rPr>
            </w:pPr>
            <w:r>
              <w:rPr>
                <w:color w:val="auto"/>
              </w:rPr>
              <w:t>≤0.10</w:t>
            </w:r>
          </w:p>
        </w:tc>
        <w:tc>
          <w:tcPr>
            <w:tcW w:w="971" w:type="dxa"/>
            <w:vAlign w:val="center"/>
          </w:tcPr>
          <w:p>
            <w:pPr>
              <w:jc w:val="center"/>
              <w:rPr>
                <w:color w:val="auto"/>
              </w:rPr>
            </w:pPr>
            <w:r>
              <w:rPr>
                <w:color w:val="auto"/>
              </w:rPr>
              <w:t>22</w:t>
            </w:r>
          </w:p>
        </w:tc>
        <w:tc>
          <w:tcPr>
            <w:tcW w:w="1945" w:type="dxa"/>
            <w:vAlign w:val="center"/>
          </w:tcPr>
          <w:p>
            <w:pPr>
              <w:jc w:val="center"/>
              <w:rPr>
                <w:color w:val="auto"/>
              </w:rPr>
            </w:pPr>
            <w:r>
              <w:rPr>
                <w:color w:val="auto"/>
              </w:rPr>
              <w:t>总大肠菌群</w:t>
            </w:r>
          </w:p>
        </w:tc>
        <w:tc>
          <w:tcPr>
            <w:tcW w:w="1444" w:type="dxa"/>
            <w:vAlign w:val="center"/>
          </w:tcPr>
          <w:p>
            <w:pPr>
              <w:jc w:val="center"/>
              <w:rPr>
                <w:color w:val="auto"/>
              </w:rPr>
            </w:pPr>
            <w:r>
              <w:rPr>
                <w:color w:val="auto"/>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8</w:t>
            </w:r>
          </w:p>
        </w:tc>
        <w:tc>
          <w:tcPr>
            <w:tcW w:w="1779" w:type="dxa"/>
            <w:vAlign w:val="center"/>
          </w:tcPr>
          <w:p>
            <w:pPr>
              <w:jc w:val="center"/>
              <w:rPr>
                <w:color w:val="auto"/>
              </w:rPr>
            </w:pPr>
            <w:r>
              <w:rPr>
                <w:color w:val="auto"/>
              </w:rPr>
              <w:t>挥发性酚类</w:t>
            </w:r>
          </w:p>
        </w:tc>
        <w:tc>
          <w:tcPr>
            <w:tcW w:w="1453" w:type="dxa"/>
            <w:vAlign w:val="center"/>
          </w:tcPr>
          <w:p>
            <w:pPr>
              <w:jc w:val="center"/>
              <w:rPr>
                <w:color w:val="auto"/>
              </w:rPr>
            </w:pPr>
            <w:r>
              <w:rPr>
                <w:color w:val="auto"/>
              </w:rPr>
              <w:t>≤0.002</w:t>
            </w:r>
          </w:p>
        </w:tc>
        <w:tc>
          <w:tcPr>
            <w:tcW w:w="971" w:type="dxa"/>
            <w:vAlign w:val="center"/>
          </w:tcPr>
          <w:p>
            <w:pPr>
              <w:jc w:val="center"/>
              <w:rPr>
                <w:color w:val="auto"/>
              </w:rPr>
            </w:pPr>
            <w:r>
              <w:rPr>
                <w:color w:val="auto"/>
              </w:rPr>
              <w:t>23</w:t>
            </w:r>
          </w:p>
        </w:tc>
        <w:tc>
          <w:tcPr>
            <w:tcW w:w="1945" w:type="dxa"/>
            <w:vAlign w:val="center"/>
          </w:tcPr>
          <w:p>
            <w:pPr>
              <w:jc w:val="center"/>
              <w:rPr>
                <w:color w:val="auto"/>
              </w:rPr>
            </w:pPr>
            <w:r>
              <w:rPr>
                <w:color w:val="auto"/>
              </w:rPr>
              <w:t>Na</w:t>
            </w:r>
            <w:r>
              <w:rPr>
                <w:color w:val="auto"/>
                <w:vertAlign w:val="superscript"/>
              </w:rPr>
              <w:t>+</w:t>
            </w:r>
          </w:p>
        </w:tc>
        <w:tc>
          <w:tcPr>
            <w:tcW w:w="1444" w:type="dxa"/>
            <w:vAlign w:val="center"/>
          </w:tcPr>
          <w:p>
            <w:pPr>
              <w:jc w:val="center"/>
              <w:rPr>
                <w:color w:val="auto"/>
              </w:rPr>
            </w:pPr>
            <w:r>
              <w:rPr>
                <w:color w:val="auto"/>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9</w:t>
            </w:r>
          </w:p>
        </w:tc>
        <w:tc>
          <w:tcPr>
            <w:tcW w:w="1779" w:type="dxa"/>
            <w:vAlign w:val="center"/>
          </w:tcPr>
          <w:p>
            <w:pPr>
              <w:jc w:val="center"/>
              <w:rPr>
                <w:color w:val="auto"/>
              </w:rPr>
            </w:pPr>
            <w:r>
              <w:rPr>
                <w:color w:val="auto"/>
              </w:rPr>
              <w:t>耗氧量</w:t>
            </w:r>
          </w:p>
        </w:tc>
        <w:tc>
          <w:tcPr>
            <w:tcW w:w="1453" w:type="dxa"/>
            <w:vAlign w:val="center"/>
          </w:tcPr>
          <w:p>
            <w:pPr>
              <w:jc w:val="center"/>
              <w:rPr>
                <w:color w:val="auto"/>
              </w:rPr>
            </w:pPr>
            <w:r>
              <w:rPr>
                <w:color w:val="auto"/>
              </w:rPr>
              <w:t>≤3.0</w:t>
            </w:r>
          </w:p>
        </w:tc>
        <w:tc>
          <w:tcPr>
            <w:tcW w:w="971" w:type="dxa"/>
            <w:vAlign w:val="center"/>
          </w:tcPr>
          <w:p>
            <w:pPr>
              <w:jc w:val="center"/>
              <w:rPr>
                <w:color w:val="auto"/>
              </w:rPr>
            </w:pPr>
            <w:r>
              <w:rPr>
                <w:color w:val="auto"/>
              </w:rPr>
              <w:t>24</w:t>
            </w:r>
          </w:p>
        </w:tc>
        <w:tc>
          <w:tcPr>
            <w:tcW w:w="1945" w:type="dxa"/>
            <w:vAlign w:val="center"/>
          </w:tcPr>
          <w:p>
            <w:pPr>
              <w:jc w:val="center"/>
              <w:rPr>
                <w:color w:val="auto"/>
              </w:rPr>
            </w:pPr>
            <w:r>
              <w:rPr>
                <w:color w:val="auto"/>
              </w:rPr>
              <w:t>K</w:t>
            </w:r>
            <w:r>
              <w:rPr>
                <w:color w:val="auto"/>
                <w:vertAlign w:val="superscript"/>
              </w:rPr>
              <w:t>+</w:t>
            </w:r>
          </w:p>
        </w:tc>
        <w:tc>
          <w:tcPr>
            <w:tcW w:w="1444" w:type="dxa"/>
            <w:vAlign w:val="center"/>
          </w:tcPr>
          <w:p>
            <w:pPr>
              <w:jc w:val="center"/>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10</w:t>
            </w:r>
          </w:p>
        </w:tc>
        <w:tc>
          <w:tcPr>
            <w:tcW w:w="1779" w:type="dxa"/>
            <w:vAlign w:val="center"/>
          </w:tcPr>
          <w:p>
            <w:pPr>
              <w:jc w:val="center"/>
              <w:rPr>
                <w:color w:val="auto"/>
              </w:rPr>
            </w:pPr>
            <w:r>
              <w:rPr>
                <w:color w:val="auto"/>
              </w:rPr>
              <w:t>硝酸盐</w:t>
            </w:r>
          </w:p>
        </w:tc>
        <w:tc>
          <w:tcPr>
            <w:tcW w:w="1453" w:type="dxa"/>
            <w:vAlign w:val="center"/>
          </w:tcPr>
          <w:p>
            <w:pPr>
              <w:jc w:val="center"/>
              <w:rPr>
                <w:color w:val="auto"/>
              </w:rPr>
            </w:pPr>
            <w:r>
              <w:rPr>
                <w:color w:val="auto"/>
              </w:rPr>
              <w:t>≤20.0</w:t>
            </w:r>
          </w:p>
        </w:tc>
        <w:tc>
          <w:tcPr>
            <w:tcW w:w="971" w:type="dxa"/>
            <w:vAlign w:val="center"/>
          </w:tcPr>
          <w:p>
            <w:pPr>
              <w:jc w:val="center"/>
              <w:rPr>
                <w:color w:val="auto"/>
              </w:rPr>
            </w:pPr>
            <w:r>
              <w:rPr>
                <w:color w:val="auto"/>
              </w:rPr>
              <w:t>25</w:t>
            </w:r>
          </w:p>
        </w:tc>
        <w:tc>
          <w:tcPr>
            <w:tcW w:w="1945" w:type="dxa"/>
            <w:vAlign w:val="center"/>
          </w:tcPr>
          <w:p>
            <w:pPr>
              <w:jc w:val="center"/>
              <w:rPr>
                <w:color w:val="auto"/>
              </w:rPr>
            </w:pPr>
            <w:r>
              <w:rPr>
                <w:color w:val="auto"/>
              </w:rPr>
              <w:t>Ca</w:t>
            </w:r>
            <w:r>
              <w:rPr>
                <w:color w:val="auto"/>
                <w:vertAlign w:val="superscript"/>
              </w:rPr>
              <w:t>2+</w:t>
            </w:r>
          </w:p>
        </w:tc>
        <w:tc>
          <w:tcPr>
            <w:tcW w:w="1444" w:type="dxa"/>
            <w:vAlign w:val="center"/>
          </w:tcPr>
          <w:p>
            <w:pPr>
              <w:jc w:val="center"/>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11</w:t>
            </w:r>
          </w:p>
        </w:tc>
        <w:tc>
          <w:tcPr>
            <w:tcW w:w="1779" w:type="dxa"/>
            <w:vAlign w:val="center"/>
          </w:tcPr>
          <w:p>
            <w:pPr>
              <w:jc w:val="center"/>
              <w:rPr>
                <w:color w:val="auto"/>
              </w:rPr>
            </w:pPr>
            <w:r>
              <w:rPr>
                <w:color w:val="auto"/>
              </w:rPr>
              <w:t>亚硝酸盐</w:t>
            </w:r>
          </w:p>
        </w:tc>
        <w:tc>
          <w:tcPr>
            <w:tcW w:w="1453" w:type="dxa"/>
            <w:vAlign w:val="center"/>
          </w:tcPr>
          <w:p>
            <w:pPr>
              <w:jc w:val="center"/>
              <w:rPr>
                <w:color w:val="auto"/>
              </w:rPr>
            </w:pPr>
            <w:r>
              <w:rPr>
                <w:color w:val="auto"/>
              </w:rPr>
              <w:t>≤1.00</w:t>
            </w:r>
          </w:p>
        </w:tc>
        <w:tc>
          <w:tcPr>
            <w:tcW w:w="971" w:type="dxa"/>
            <w:vAlign w:val="center"/>
          </w:tcPr>
          <w:p>
            <w:pPr>
              <w:jc w:val="center"/>
              <w:rPr>
                <w:color w:val="auto"/>
              </w:rPr>
            </w:pPr>
            <w:r>
              <w:rPr>
                <w:color w:val="auto"/>
              </w:rPr>
              <w:t>26</w:t>
            </w:r>
          </w:p>
        </w:tc>
        <w:tc>
          <w:tcPr>
            <w:tcW w:w="1945" w:type="dxa"/>
            <w:vAlign w:val="center"/>
          </w:tcPr>
          <w:p>
            <w:pPr>
              <w:jc w:val="center"/>
              <w:rPr>
                <w:color w:val="auto"/>
              </w:rPr>
            </w:pPr>
            <w:r>
              <w:rPr>
                <w:color w:val="auto"/>
              </w:rPr>
              <w:t>Mg</w:t>
            </w:r>
            <w:r>
              <w:rPr>
                <w:color w:val="auto"/>
                <w:vertAlign w:val="superscript"/>
              </w:rPr>
              <w:t>2+</w:t>
            </w:r>
          </w:p>
        </w:tc>
        <w:tc>
          <w:tcPr>
            <w:tcW w:w="1444" w:type="dxa"/>
            <w:vAlign w:val="center"/>
          </w:tcPr>
          <w:p>
            <w:pPr>
              <w:jc w:val="center"/>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12</w:t>
            </w:r>
          </w:p>
        </w:tc>
        <w:tc>
          <w:tcPr>
            <w:tcW w:w="1779" w:type="dxa"/>
            <w:vAlign w:val="center"/>
          </w:tcPr>
          <w:p>
            <w:pPr>
              <w:jc w:val="center"/>
              <w:rPr>
                <w:color w:val="auto"/>
              </w:rPr>
            </w:pPr>
            <w:r>
              <w:rPr>
                <w:color w:val="auto"/>
              </w:rPr>
              <w:t>氨氮</w:t>
            </w:r>
          </w:p>
        </w:tc>
        <w:tc>
          <w:tcPr>
            <w:tcW w:w="1453" w:type="dxa"/>
            <w:vAlign w:val="center"/>
          </w:tcPr>
          <w:p>
            <w:pPr>
              <w:jc w:val="center"/>
              <w:rPr>
                <w:color w:val="auto"/>
              </w:rPr>
            </w:pPr>
            <w:r>
              <w:rPr>
                <w:color w:val="auto"/>
              </w:rPr>
              <w:t>≤0.50</w:t>
            </w:r>
          </w:p>
        </w:tc>
        <w:tc>
          <w:tcPr>
            <w:tcW w:w="971" w:type="dxa"/>
            <w:vAlign w:val="center"/>
          </w:tcPr>
          <w:p>
            <w:pPr>
              <w:jc w:val="center"/>
              <w:rPr>
                <w:color w:val="auto"/>
              </w:rPr>
            </w:pPr>
            <w:r>
              <w:rPr>
                <w:color w:val="auto"/>
              </w:rPr>
              <w:t>27</w:t>
            </w:r>
          </w:p>
        </w:tc>
        <w:tc>
          <w:tcPr>
            <w:tcW w:w="1945" w:type="dxa"/>
            <w:vAlign w:val="center"/>
          </w:tcPr>
          <w:p>
            <w:pPr>
              <w:jc w:val="center"/>
              <w:rPr>
                <w:color w:val="auto"/>
              </w:rPr>
            </w:pPr>
            <w:r>
              <w:rPr>
                <w:color w:val="auto"/>
              </w:rPr>
              <w:t>CO</w:t>
            </w:r>
            <w:r>
              <w:rPr>
                <w:color w:val="auto"/>
                <w:vertAlign w:val="subscript"/>
              </w:rPr>
              <w:t>3</w:t>
            </w:r>
            <w:r>
              <w:rPr>
                <w:color w:val="auto"/>
                <w:vertAlign w:val="superscript"/>
              </w:rPr>
              <w:t>2-</w:t>
            </w:r>
          </w:p>
        </w:tc>
        <w:tc>
          <w:tcPr>
            <w:tcW w:w="1444" w:type="dxa"/>
            <w:vAlign w:val="center"/>
          </w:tcPr>
          <w:p>
            <w:pPr>
              <w:jc w:val="center"/>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13</w:t>
            </w:r>
          </w:p>
        </w:tc>
        <w:tc>
          <w:tcPr>
            <w:tcW w:w="1779" w:type="dxa"/>
            <w:vAlign w:val="center"/>
          </w:tcPr>
          <w:p>
            <w:pPr>
              <w:jc w:val="center"/>
              <w:rPr>
                <w:color w:val="auto"/>
              </w:rPr>
            </w:pPr>
            <w:r>
              <w:rPr>
                <w:color w:val="auto"/>
              </w:rPr>
              <w:t>氟化物</w:t>
            </w:r>
          </w:p>
        </w:tc>
        <w:tc>
          <w:tcPr>
            <w:tcW w:w="1453" w:type="dxa"/>
            <w:vAlign w:val="center"/>
          </w:tcPr>
          <w:p>
            <w:pPr>
              <w:jc w:val="center"/>
              <w:rPr>
                <w:color w:val="auto"/>
              </w:rPr>
            </w:pPr>
            <w:r>
              <w:rPr>
                <w:color w:val="auto"/>
              </w:rPr>
              <w:t>≤1.0</w:t>
            </w:r>
          </w:p>
        </w:tc>
        <w:tc>
          <w:tcPr>
            <w:tcW w:w="971" w:type="dxa"/>
            <w:vAlign w:val="center"/>
          </w:tcPr>
          <w:p>
            <w:pPr>
              <w:jc w:val="center"/>
              <w:rPr>
                <w:color w:val="auto"/>
              </w:rPr>
            </w:pPr>
            <w:r>
              <w:rPr>
                <w:color w:val="auto"/>
              </w:rPr>
              <w:t>28</w:t>
            </w:r>
          </w:p>
        </w:tc>
        <w:tc>
          <w:tcPr>
            <w:tcW w:w="1945" w:type="dxa"/>
            <w:vAlign w:val="center"/>
          </w:tcPr>
          <w:p>
            <w:pPr>
              <w:jc w:val="center"/>
              <w:rPr>
                <w:color w:val="auto"/>
              </w:rPr>
            </w:pPr>
            <w:r>
              <w:rPr>
                <w:color w:val="auto"/>
              </w:rPr>
              <w:t>HCO</w:t>
            </w:r>
            <w:r>
              <w:rPr>
                <w:color w:val="auto"/>
                <w:vertAlign w:val="subscript"/>
              </w:rPr>
              <w:t>3</w:t>
            </w:r>
            <w:r>
              <w:rPr>
                <w:color w:val="auto"/>
                <w:vertAlign w:val="superscript"/>
              </w:rPr>
              <w:t>-</w:t>
            </w:r>
          </w:p>
        </w:tc>
        <w:tc>
          <w:tcPr>
            <w:tcW w:w="1444" w:type="dxa"/>
            <w:vAlign w:val="center"/>
          </w:tcPr>
          <w:p>
            <w:pPr>
              <w:jc w:val="center"/>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14</w:t>
            </w:r>
          </w:p>
        </w:tc>
        <w:tc>
          <w:tcPr>
            <w:tcW w:w="1779" w:type="dxa"/>
            <w:vAlign w:val="center"/>
          </w:tcPr>
          <w:p>
            <w:pPr>
              <w:jc w:val="center"/>
              <w:rPr>
                <w:color w:val="auto"/>
              </w:rPr>
            </w:pPr>
            <w:r>
              <w:rPr>
                <w:color w:val="auto"/>
              </w:rPr>
              <w:t>氰化物</w:t>
            </w:r>
          </w:p>
        </w:tc>
        <w:tc>
          <w:tcPr>
            <w:tcW w:w="1453" w:type="dxa"/>
            <w:vAlign w:val="center"/>
          </w:tcPr>
          <w:p>
            <w:pPr>
              <w:jc w:val="center"/>
              <w:rPr>
                <w:color w:val="auto"/>
              </w:rPr>
            </w:pPr>
            <w:r>
              <w:rPr>
                <w:color w:val="auto"/>
              </w:rPr>
              <w:t>≤0.05</w:t>
            </w:r>
          </w:p>
        </w:tc>
        <w:tc>
          <w:tcPr>
            <w:tcW w:w="971" w:type="dxa"/>
            <w:vAlign w:val="center"/>
          </w:tcPr>
          <w:p>
            <w:pPr>
              <w:jc w:val="center"/>
              <w:rPr>
                <w:color w:val="auto"/>
              </w:rPr>
            </w:pPr>
            <w:r>
              <w:rPr>
                <w:color w:val="auto"/>
              </w:rPr>
              <w:t>29</w:t>
            </w:r>
          </w:p>
        </w:tc>
        <w:tc>
          <w:tcPr>
            <w:tcW w:w="1945" w:type="dxa"/>
            <w:vAlign w:val="center"/>
          </w:tcPr>
          <w:p>
            <w:pPr>
              <w:jc w:val="center"/>
              <w:rPr>
                <w:color w:val="auto"/>
              </w:rPr>
            </w:pPr>
            <w:r>
              <w:rPr>
                <w:color w:val="auto"/>
              </w:rPr>
              <w:t>Cl</w:t>
            </w:r>
            <w:r>
              <w:rPr>
                <w:color w:val="auto"/>
                <w:vertAlign w:val="superscript"/>
              </w:rPr>
              <w:t>-</w:t>
            </w:r>
          </w:p>
        </w:tc>
        <w:tc>
          <w:tcPr>
            <w:tcW w:w="1444" w:type="dxa"/>
            <w:vAlign w:val="center"/>
          </w:tcPr>
          <w:p>
            <w:pPr>
              <w:jc w:val="center"/>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15</w:t>
            </w:r>
          </w:p>
        </w:tc>
        <w:tc>
          <w:tcPr>
            <w:tcW w:w="1779" w:type="dxa"/>
            <w:vAlign w:val="center"/>
          </w:tcPr>
          <w:p>
            <w:pPr>
              <w:jc w:val="center"/>
              <w:rPr>
                <w:color w:val="auto"/>
              </w:rPr>
            </w:pPr>
            <w:r>
              <w:rPr>
                <w:color w:val="auto"/>
              </w:rPr>
              <w:t>汞</w:t>
            </w:r>
          </w:p>
        </w:tc>
        <w:tc>
          <w:tcPr>
            <w:tcW w:w="1453" w:type="dxa"/>
            <w:vAlign w:val="center"/>
          </w:tcPr>
          <w:p>
            <w:pPr>
              <w:jc w:val="center"/>
              <w:rPr>
                <w:color w:val="auto"/>
              </w:rPr>
            </w:pPr>
            <w:r>
              <w:rPr>
                <w:color w:val="auto"/>
              </w:rPr>
              <w:t>≤0.001</w:t>
            </w:r>
          </w:p>
        </w:tc>
        <w:tc>
          <w:tcPr>
            <w:tcW w:w="971" w:type="dxa"/>
            <w:vAlign w:val="center"/>
          </w:tcPr>
          <w:p>
            <w:pPr>
              <w:jc w:val="center"/>
              <w:rPr>
                <w:color w:val="auto"/>
              </w:rPr>
            </w:pPr>
            <w:r>
              <w:rPr>
                <w:color w:val="auto"/>
              </w:rPr>
              <w:t>30</w:t>
            </w:r>
          </w:p>
        </w:tc>
        <w:tc>
          <w:tcPr>
            <w:tcW w:w="1945" w:type="dxa"/>
            <w:vAlign w:val="center"/>
          </w:tcPr>
          <w:p>
            <w:pPr>
              <w:jc w:val="center"/>
              <w:rPr>
                <w:color w:val="auto"/>
              </w:rPr>
            </w:pPr>
            <w:r>
              <w:rPr>
                <w:color w:val="auto"/>
              </w:rPr>
              <w:t>SO</w:t>
            </w:r>
            <w:r>
              <w:rPr>
                <w:color w:val="auto"/>
                <w:vertAlign w:val="subscript"/>
              </w:rPr>
              <w:t>4</w:t>
            </w:r>
            <w:r>
              <w:rPr>
                <w:color w:val="auto"/>
                <w:vertAlign w:val="superscript"/>
              </w:rPr>
              <w:t>2-</w:t>
            </w:r>
          </w:p>
        </w:tc>
        <w:tc>
          <w:tcPr>
            <w:tcW w:w="1444" w:type="dxa"/>
            <w:vAlign w:val="center"/>
          </w:tcPr>
          <w:p>
            <w:pPr>
              <w:jc w:val="center"/>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1128" w:type="dxa"/>
            <w:vAlign w:val="center"/>
          </w:tcPr>
          <w:p>
            <w:pPr>
              <w:jc w:val="center"/>
              <w:rPr>
                <w:color w:val="auto"/>
              </w:rPr>
            </w:pPr>
            <w:r>
              <w:rPr>
                <w:color w:val="auto"/>
              </w:rPr>
              <w:t>单位</w:t>
            </w:r>
          </w:p>
        </w:tc>
        <w:tc>
          <w:tcPr>
            <w:tcW w:w="7592" w:type="dxa"/>
            <w:gridSpan w:val="5"/>
            <w:vAlign w:val="center"/>
          </w:tcPr>
          <w:p>
            <w:pPr>
              <w:jc w:val="center"/>
              <w:rPr>
                <w:color w:val="auto"/>
              </w:rPr>
            </w:pPr>
            <w:r>
              <w:rPr>
                <w:color w:val="auto"/>
              </w:rPr>
              <w:t>mg/L，pH无量纲</w:t>
            </w:r>
          </w:p>
        </w:tc>
      </w:tr>
    </w:tbl>
    <w:p>
      <w:pPr>
        <w:pStyle w:val="6"/>
        <w:numPr>
          <w:ilvl w:val="3"/>
          <w:numId w:val="0"/>
        </w:numPr>
        <w:spacing w:before="120" w:beforeLines="50"/>
        <w:ind w:left="-861" w:leftChars="-410" w:firstLine="723" w:firstLineChars="300"/>
        <w:rPr>
          <w:color w:val="auto"/>
        </w:rPr>
      </w:pPr>
      <w:bookmarkStart w:id="118" w:name="_Toc11595181"/>
      <w:r>
        <w:rPr>
          <w:color w:val="auto"/>
        </w:rPr>
        <w:t>1.4.1.4声环境质量标准</w:t>
      </w:r>
      <w:bookmarkEnd w:id="118"/>
    </w:p>
    <w:p>
      <w:pPr>
        <w:pStyle w:val="130"/>
        <w:ind w:firstLine="480"/>
        <w:rPr>
          <w:color w:val="auto"/>
        </w:rPr>
      </w:pPr>
      <w:r>
        <w:rPr>
          <w:color w:val="auto"/>
        </w:rPr>
        <w:t>根据《声环境功能区划分技术规范》（GB/T15190-2014），项目所在区域可划分为2类声功能区，项目区声环境质量执行《声环境质量标准》（GB3096-2008）2类区标准，声环境敏感目标（阳沟村希望小学）执行1类区标准。声环境质量评价因子执行标准见表1.4-4。</w:t>
      </w:r>
    </w:p>
    <w:p>
      <w:pPr>
        <w:jc w:val="center"/>
        <w:rPr>
          <w:rFonts w:eastAsiaTheme="minorEastAsia"/>
          <w:b/>
          <w:color w:val="auto"/>
          <w:sz w:val="24"/>
          <w:szCs w:val="24"/>
        </w:rPr>
      </w:pPr>
      <w:r>
        <w:rPr>
          <w:rFonts w:eastAsiaTheme="minorEastAsia"/>
          <w:b/>
          <w:color w:val="auto"/>
          <w:sz w:val="24"/>
          <w:szCs w:val="24"/>
        </w:rPr>
        <w:t>表1.4-4  声环境质量执行标准     单位：dB(A)</w:t>
      </w:r>
    </w:p>
    <w:tbl>
      <w:tblPr>
        <w:tblStyle w:val="74"/>
        <w:tblW w:w="875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918"/>
        <w:gridCol w:w="2918"/>
        <w:gridCol w:w="29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2" w:hRule="exact"/>
        </w:trPr>
        <w:tc>
          <w:tcPr>
            <w:tcW w:w="2918" w:type="dxa"/>
            <w:vAlign w:val="center"/>
          </w:tcPr>
          <w:p>
            <w:pPr>
              <w:pStyle w:val="164"/>
              <w:rPr>
                <w:color w:val="auto"/>
              </w:rPr>
            </w:pPr>
            <w:r>
              <w:rPr>
                <w:color w:val="auto"/>
              </w:rPr>
              <w:t>标准类别</w:t>
            </w:r>
          </w:p>
        </w:tc>
        <w:tc>
          <w:tcPr>
            <w:tcW w:w="2918" w:type="dxa"/>
            <w:vAlign w:val="center"/>
          </w:tcPr>
          <w:p>
            <w:pPr>
              <w:pStyle w:val="164"/>
              <w:rPr>
                <w:color w:val="auto"/>
              </w:rPr>
            </w:pPr>
            <w:r>
              <w:rPr>
                <w:color w:val="auto"/>
              </w:rPr>
              <w:t>昼间</w:t>
            </w:r>
          </w:p>
        </w:tc>
        <w:tc>
          <w:tcPr>
            <w:tcW w:w="2917" w:type="dxa"/>
            <w:vAlign w:val="center"/>
          </w:tcPr>
          <w:p>
            <w:pPr>
              <w:pStyle w:val="164"/>
              <w:rPr>
                <w:color w:val="auto"/>
              </w:rPr>
            </w:pPr>
            <w:r>
              <w:rPr>
                <w:color w:val="auto"/>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2" w:hRule="exact"/>
        </w:trPr>
        <w:tc>
          <w:tcPr>
            <w:tcW w:w="2918" w:type="dxa"/>
            <w:vAlign w:val="center"/>
          </w:tcPr>
          <w:p>
            <w:pPr>
              <w:pStyle w:val="164"/>
              <w:rPr>
                <w:color w:val="auto"/>
              </w:rPr>
            </w:pPr>
            <w:r>
              <w:rPr>
                <w:color w:val="auto"/>
              </w:rPr>
              <w:t>1类区</w:t>
            </w:r>
          </w:p>
        </w:tc>
        <w:tc>
          <w:tcPr>
            <w:tcW w:w="2918" w:type="dxa"/>
            <w:vAlign w:val="center"/>
          </w:tcPr>
          <w:p>
            <w:pPr>
              <w:pStyle w:val="164"/>
              <w:rPr>
                <w:color w:val="auto"/>
              </w:rPr>
            </w:pPr>
            <w:r>
              <w:rPr>
                <w:color w:val="auto"/>
              </w:rPr>
              <w:t>55</w:t>
            </w:r>
          </w:p>
        </w:tc>
        <w:tc>
          <w:tcPr>
            <w:tcW w:w="2917" w:type="dxa"/>
            <w:vAlign w:val="center"/>
          </w:tcPr>
          <w:p>
            <w:pPr>
              <w:pStyle w:val="164"/>
              <w:rPr>
                <w:color w:val="auto"/>
              </w:rPr>
            </w:pPr>
            <w:r>
              <w:rPr>
                <w:color w:val="auto"/>
              </w:rPr>
              <w:t>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2" w:hRule="exact"/>
        </w:trPr>
        <w:tc>
          <w:tcPr>
            <w:tcW w:w="2918" w:type="dxa"/>
            <w:vAlign w:val="center"/>
          </w:tcPr>
          <w:p>
            <w:pPr>
              <w:pStyle w:val="164"/>
              <w:rPr>
                <w:color w:val="auto"/>
              </w:rPr>
            </w:pPr>
            <w:r>
              <w:rPr>
                <w:color w:val="auto"/>
              </w:rPr>
              <w:t>2类区</w:t>
            </w:r>
          </w:p>
        </w:tc>
        <w:tc>
          <w:tcPr>
            <w:tcW w:w="2918" w:type="dxa"/>
            <w:vAlign w:val="center"/>
          </w:tcPr>
          <w:p>
            <w:pPr>
              <w:pStyle w:val="164"/>
              <w:rPr>
                <w:color w:val="auto"/>
              </w:rPr>
            </w:pPr>
            <w:r>
              <w:rPr>
                <w:color w:val="auto"/>
              </w:rPr>
              <w:t>60</w:t>
            </w:r>
          </w:p>
        </w:tc>
        <w:tc>
          <w:tcPr>
            <w:tcW w:w="2917" w:type="dxa"/>
            <w:vAlign w:val="center"/>
          </w:tcPr>
          <w:p>
            <w:pPr>
              <w:pStyle w:val="164"/>
              <w:rPr>
                <w:color w:val="auto"/>
              </w:rPr>
            </w:pPr>
            <w:r>
              <w:rPr>
                <w:color w:val="auto"/>
              </w:rPr>
              <w:t>50</w:t>
            </w:r>
          </w:p>
        </w:tc>
      </w:tr>
    </w:tbl>
    <w:p>
      <w:pPr>
        <w:pStyle w:val="6"/>
        <w:numPr>
          <w:ilvl w:val="3"/>
          <w:numId w:val="0"/>
        </w:numPr>
        <w:spacing w:before="120" w:beforeLines="50"/>
        <w:ind w:left="-861" w:leftChars="-410" w:firstLine="723" w:firstLineChars="300"/>
        <w:rPr>
          <w:color w:val="auto"/>
        </w:rPr>
      </w:pPr>
      <w:bookmarkStart w:id="119" w:name="_Toc11595182"/>
      <w:r>
        <w:rPr>
          <w:color w:val="auto"/>
        </w:rPr>
        <w:t>1.4.1.5土壤环境质量标准</w:t>
      </w:r>
      <w:bookmarkEnd w:id="119"/>
    </w:p>
    <w:p>
      <w:pPr>
        <w:pStyle w:val="130"/>
        <w:ind w:firstLine="480"/>
        <w:rPr>
          <w:color w:val="auto"/>
        </w:rPr>
      </w:pPr>
      <w:r>
        <w:rPr>
          <w:color w:val="auto"/>
        </w:rPr>
        <w:t>评价区建设用地土壤环境质量执行《土壤环境质量 建设用地土壤污染风险管控标准（试行）》（GB36600-2018）第二类用地筛选值标准，农用地土壤环境质量执行《土壤环境质量 农用地土壤污染风险管控标准（试行）》（GB15618-2018）风险筛选值，标准限值见表1.4-5~1.4-6。</w:t>
      </w:r>
    </w:p>
    <w:p>
      <w:pPr>
        <w:wordWrap w:val="0"/>
        <w:jc w:val="right"/>
        <w:rPr>
          <w:rFonts w:eastAsiaTheme="minorEastAsia"/>
          <w:b/>
          <w:color w:val="auto"/>
          <w:sz w:val="24"/>
          <w:szCs w:val="24"/>
        </w:rPr>
      </w:pPr>
      <w:r>
        <w:rPr>
          <w:rFonts w:eastAsiaTheme="minorEastAsia"/>
          <w:b/>
          <w:color w:val="auto"/>
          <w:sz w:val="24"/>
          <w:szCs w:val="24"/>
        </w:rPr>
        <w:t>表1.4-5  土壤环境质量建设用地土壤污染风险管控一览表      单位mg/kg</w:t>
      </w:r>
    </w:p>
    <w:tbl>
      <w:tblPr>
        <w:tblStyle w:val="74"/>
        <w:tblW w:w="8720"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91"/>
        <w:gridCol w:w="2818"/>
        <w:gridCol w:w="2520"/>
        <w:gridCol w:w="249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blHeader/>
        </w:trPr>
        <w:tc>
          <w:tcPr>
            <w:tcW w:w="891" w:type="dxa"/>
            <w:vMerge w:val="restart"/>
            <w:vAlign w:val="center"/>
          </w:tcPr>
          <w:p>
            <w:pPr>
              <w:pStyle w:val="164"/>
              <w:rPr>
                <w:color w:val="auto"/>
              </w:rPr>
            </w:pPr>
            <w:r>
              <w:rPr>
                <w:color w:val="auto"/>
              </w:rPr>
              <w:t>序号</w:t>
            </w:r>
          </w:p>
        </w:tc>
        <w:tc>
          <w:tcPr>
            <w:tcW w:w="2818" w:type="dxa"/>
            <w:vMerge w:val="restart"/>
            <w:vAlign w:val="center"/>
          </w:tcPr>
          <w:p>
            <w:pPr>
              <w:pStyle w:val="164"/>
              <w:rPr>
                <w:color w:val="auto"/>
              </w:rPr>
            </w:pPr>
            <w:r>
              <w:rPr>
                <w:color w:val="auto"/>
              </w:rPr>
              <w:t>点位项目</w:t>
            </w:r>
          </w:p>
        </w:tc>
        <w:tc>
          <w:tcPr>
            <w:tcW w:w="5011" w:type="dxa"/>
            <w:gridSpan w:val="2"/>
            <w:vAlign w:val="center"/>
          </w:tcPr>
          <w:p>
            <w:pPr>
              <w:pStyle w:val="164"/>
              <w:rPr>
                <w:color w:val="auto"/>
              </w:rPr>
            </w:pPr>
            <w:r>
              <w:rPr>
                <w:color w:val="auto"/>
              </w:rPr>
              <w:t>第二类用地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blHeader/>
        </w:trPr>
        <w:tc>
          <w:tcPr>
            <w:tcW w:w="891" w:type="dxa"/>
            <w:vMerge w:val="continue"/>
            <w:vAlign w:val="center"/>
          </w:tcPr>
          <w:p>
            <w:pPr>
              <w:pStyle w:val="164"/>
              <w:rPr>
                <w:color w:val="auto"/>
              </w:rPr>
            </w:pPr>
          </w:p>
        </w:tc>
        <w:tc>
          <w:tcPr>
            <w:tcW w:w="2818" w:type="dxa"/>
            <w:vMerge w:val="continue"/>
            <w:vAlign w:val="center"/>
          </w:tcPr>
          <w:p>
            <w:pPr>
              <w:pStyle w:val="164"/>
              <w:rPr>
                <w:color w:val="auto"/>
              </w:rPr>
            </w:pPr>
          </w:p>
        </w:tc>
        <w:tc>
          <w:tcPr>
            <w:tcW w:w="2520" w:type="dxa"/>
            <w:vAlign w:val="center"/>
          </w:tcPr>
          <w:p>
            <w:pPr>
              <w:pStyle w:val="164"/>
              <w:rPr>
                <w:color w:val="auto"/>
              </w:rPr>
            </w:pPr>
            <w:r>
              <w:rPr>
                <w:color w:val="auto"/>
              </w:rPr>
              <w:t>筛选值</w:t>
            </w:r>
          </w:p>
        </w:tc>
        <w:tc>
          <w:tcPr>
            <w:tcW w:w="2491" w:type="dxa"/>
            <w:vAlign w:val="center"/>
          </w:tcPr>
          <w:p>
            <w:pPr>
              <w:pStyle w:val="164"/>
              <w:rPr>
                <w:color w:val="auto"/>
              </w:rPr>
            </w:pPr>
            <w:r>
              <w:rPr>
                <w:color w:val="auto"/>
              </w:rPr>
              <w:t>管制值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720" w:type="dxa"/>
            <w:gridSpan w:val="4"/>
            <w:vAlign w:val="center"/>
          </w:tcPr>
          <w:p>
            <w:pPr>
              <w:pStyle w:val="164"/>
              <w:rPr>
                <w:color w:val="auto"/>
              </w:rPr>
            </w:pPr>
            <w:r>
              <w:rPr>
                <w:color w:val="auto"/>
              </w:rPr>
              <w:t>重金和无机物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w:t>
            </w:r>
          </w:p>
        </w:tc>
        <w:tc>
          <w:tcPr>
            <w:tcW w:w="2818" w:type="dxa"/>
            <w:vAlign w:val="center"/>
          </w:tcPr>
          <w:p>
            <w:pPr>
              <w:pStyle w:val="164"/>
              <w:rPr>
                <w:color w:val="auto"/>
              </w:rPr>
            </w:pPr>
            <w:r>
              <w:rPr>
                <w:color w:val="auto"/>
              </w:rPr>
              <w:t>砷</w:t>
            </w:r>
          </w:p>
        </w:tc>
        <w:tc>
          <w:tcPr>
            <w:tcW w:w="2520" w:type="dxa"/>
            <w:vAlign w:val="center"/>
          </w:tcPr>
          <w:p>
            <w:pPr>
              <w:pStyle w:val="164"/>
              <w:rPr>
                <w:color w:val="auto"/>
              </w:rPr>
            </w:pPr>
            <w:r>
              <w:rPr>
                <w:color w:val="auto"/>
              </w:rPr>
              <w:t>60</w:t>
            </w:r>
          </w:p>
        </w:tc>
        <w:tc>
          <w:tcPr>
            <w:tcW w:w="2491" w:type="dxa"/>
            <w:vAlign w:val="center"/>
          </w:tcPr>
          <w:p>
            <w:pPr>
              <w:pStyle w:val="164"/>
              <w:rPr>
                <w:color w:val="auto"/>
              </w:rPr>
            </w:pPr>
            <w:r>
              <w:rPr>
                <w:color w:val="auto"/>
              </w:rPr>
              <w:t>140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w:t>
            </w:r>
          </w:p>
        </w:tc>
        <w:tc>
          <w:tcPr>
            <w:tcW w:w="2818" w:type="dxa"/>
            <w:vAlign w:val="center"/>
          </w:tcPr>
          <w:p>
            <w:pPr>
              <w:pStyle w:val="164"/>
              <w:rPr>
                <w:color w:val="auto"/>
              </w:rPr>
            </w:pPr>
            <w:r>
              <w:rPr>
                <w:color w:val="auto"/>
              </w:rPr>
              <w:t>镉</w:t>
            </w:r>
          </w:p>
        </w:tc>
        <w:tc>
          <w:tcPr>
            <w:tcW w:w="2520" w:type="dxa"/>
            <w:vAlign w:val="center"/>
          </w:tcPr>
          <w:p>
            <w:pPr>
              <w:pStyle w:val="164"/>
              <w:rPr>
                <w:color w:val="auto"/>
              </w:rPr>
            </w:pPr>
            <w:r>
              <w:rPr>
                <w:color w:val="auto"/>
              </w:rPr>
              <w:t>5</w:t>
            </w:r>
          </w:p>
        </w:tc>
        <w:tc>
          <w:tcPr>
            <w:tcW w:w="2491" w:type="dxa"/>
            <w:vAlign w:val="center"/>
          </w:tcPr>
          <w:p>
            <w:pPr>
              <w:pStyle w:val="164"/>
              <w:rPr>
                <w:color w:val="auto"/>
              </w:rPr>
            </w:pPr>
            <w:r>
              <w:rPr>
                <w:color w:val="auto"/>
              </w:rPr>
              <w:t>172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w:t>
            </w:r>
          </w:p>
        </w:tc>
        <w:tc>
          <w:tcPr>
            <w:tcW w:w="2818" w:type="dxa"/>
            <w:vAlign w:val="center"/>
          </w:tcPr>
          <w:p>
            <w:pPr>
              <w:pStyle w:val="164"/>
              <w:rPr>
                <w:color w:val="auto"/>
              </w:rPr>
            </w:pPr>
            <w:r>
              <w:rPr>
                <w:color w:val="auto"/>
              </w:rPr>
              <w:t>铬（六价）</w:t>
            </w:r>
          </w:p>
        </w:tc>
        <w:tc>
          <w:tcPr>
            <w:tcW w:w="2520" w:type="dxa"/>
            <w:vAlign w:val="center"/>
          </w:tcPr>
          <w:p>
            <w:pPr>
              <w:pStyle w:val="164"/>
              <w:rPr>
                <w:color w:val="auto"/>
              </w:rPr>
            </w:pPr>
            <w:r>
              <w:rPr>
                <w:color w:val="auto"/>
              </w:rPr>
              <w:t>5.7</w:t>
            </w:r>
          </w:p>
        </w:tc>
        <w:tc>
          <w:tcPr>
            <w:tcW w:w="2491" w:type="dxa"/>
            <w:vAlign w:val="center"/>
          </w:tcPr>
          <w:p>
            <w:pPr>
              <w:pStyle w:val="164"/>
              <w:rPr>
                <w:color w:val="auto"/>
              </w:rPr>
            </w:pPr>
            <w:r>
              <w:rPr>
                <w:color w:val="auto"/>
              </w:rPr>
              <w:t>78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4</w:t>
            </w:r>
          </w:p>
        </w:tc>
        <w:tc>
          <w:tcPr>
            <w:tcW w:w="2818" w:type="dxa"/>
            <w:vAlign w:val="center"/>
          </w:tcPr>
          <w:p>
            <w:pPr>
              <w:pStyle w:val="164"/>
              <w:rPr>
                <w:color w:val="auto"/>
              </w:rPr>
            </w:pPr>
            <w:r>
              <w:rPr>
                <w:color w:val="auto"/>
              </w:rPr>
              <w:t>铜</w:t>
            </w:r>
          </w:p>
        </w:tc>
        <w:tc>
          <w:tcPr>
            <w:tcW w:w="2520" w:type="dxa"/>
            <w:vAlign w:val="center"/>
          </w:tcPr>
          <w:p>
            <w:pPr>
              <w:pStyle w:val="164"/>
              <w:rPr>
                <w:color w:val="auto"/>
              </w:rPr>
            </w:pPr>
            <w:r>
              <w:rPr>
                <w:color w:val="auto"/>
              </w:rPr>
              <w:t>18000</w:t>
            </w:r>
          </w:p>
        </w:tc>
        <w:tc>
          <w:tcPr>
            <w:tcW w:w="2491" w:type="dxa"/>
            <w:vAlign w:val="center"/>
          </w:tcPr>
          <w:p>
            <w:pPr>
              <w:pStyle w:val="164"/>
              <w:rPr>
                <w:color w:val="auto"/>
              </w:rPr>
            </w:pPr>
            <w:r>
              <w:rPr>
                <w:color w:val="auto"/>
              </w:rPr>
              <w:t>36000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5</w:t>
            </w:r>
          </w:p>
        </w:tc>
        <w:tc>
          <w:tcPr>
            <w:tcW w:w="2818" w:type="dxa"/>
            <w:vAlign w:val="center"/>
          </w:tcPr>
          <w:p>
            <w:pPr>
              <w:pStyle w:val="164"/>
              <w:rPr>
                <w:color w:val="auto"/>
              </w:rPr>
            </w:pPr>
            <w:r>
              <w:rPr>
                <w:color w:val="auto"/>
              </w:rPr>
              <w:t>铅</w:t>
            </w:r>
          </w:p>
        </w:tc>
        <w:tc>
          <w:tcPr>
            <w:tcW w:w="2520" w:type="dxa"/>
            <w:vAlign w:val="center"/>
          </w:tcPr>
          <w:p>
            <w:pPr>
              <w:pStyle w:val="164"/>
              <w:rPr>
                <w:color w:val="auto"/>
              </w:rPr>
            </w:pPr>
            <w:r>
              <w:rPr>
                <w:color w:val="auto"/>
              </w:rPr>
              <w:t>800</w:t>
            </w:r>
          </w:p>
        </w:tc>
        <w:tc>
          <w:tcPr>
            <w:tcW w:w="2491" w:type="dxa"/>
            <w:vAlign w:val="center"/>
          </w:tcPr>
          <w:p>
            <w:pPr>
              <w:pStyle w:val="164"/>
              <w:rPr>
                <w:color w:val="auto"/>
              </w:rPr>
            </w:pPr>
            <w:r>
              <w:rPr>
                <w:color w:val="auto"/>
              </w:rPr>
              <w:t>2500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6</w:t>
            </w:r>
          </w:p>
        </w:tc>
        <w:tc>
          <w:tcPr>
            <w:tcW w:w="2818" w:type="dxa"/>
            <w:vAlign w:val="center"/>
          </w:tcPr>
          <w:p>
            <w:pPr>
              <w:pStyle w:val="164"/>
              <w:rPr>
                <w:color w:val="auto"/>
              </w:rPr>
            </w:pPr>
            <w:r>
              <w:rPr>
                <w:color w:val="auto"/>
              </w:rPr>
              <w:t>汞</w:t>
            </w:r>
          </w:p>
        </w:tc>
        <w:tc>
          <w:tcPr>
            <w:tcW w:w="2520" w:type="dxa"/>
            <w:vAlign w:val="center"/>
          </w:tcPr>
          <w:p>
            <w:pPr>
              <w:pStyle w:val="164"/>
              <w:rPr>
                <w:color w:val="auto"/>
              </w:rPr>
            </w:pPr>
            <w:r>
              <w:rPr>
                <w:color w:val="auto"/>
              </w:rPr>
              <w:t>38</w:t>
            </w:r>
          </w:p>
        </w:tc>
        <w:tc>
          <w:tcPr>
            <w:tcW w:w="2491" w:type="dxa"/>
            <w:vAlign w:val="center"/>
          </w:tcPr>
          <w:p>
            <w:pPr>
              <w:pStyle w:val="164"/>
              <w:rPr>
                <w:color w:val="auto"/>
              </w:rPr>
            </w:pPr>
            <w:r>
              <w:rPr>
                <w:color w:val="auto"/>
              </w:rPr>
              <w:t>82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7</w:t>
            </w:r>
          </w:p>
        </w:tc>
        <w:tc>
          <w:tcPr>
            <w:tcW w:w="2818" w:type="dxa"/>
            <w:vAlign w:val="center"/>
          </w:tcPr>
          <w:p>
            <w:pPr>
              <w:pStyle w:val="164"/>
              <w:rPr>
                <w:color w:val="auto"/>
              </w:rPr>
            </w:pPr>
            <w:r>
              <w:rPr>
                <w:color w:val="auto"/>
              </w:rPr>
              <w:t>镍</w:t>
            </w:r>
          </w:p>
        </w:tc>
        <w:tc>
          <w:tcPr>
            <w:tcW w:w="2520" w:type="dxa"/>
            <w:vAlign w:val="center"/>
          </w:tcPr>
          <w:p>
            <w:pPr>
              <w:pStyle w:val="164"/>
              <w:rPr>
                <w:color w:val="auto"/>
              </w:rPr>
            </w:pPr>
            <w:r>
              <w:rPr>
                <w:color w:val="auto"/>
              </w:rPr>
              <w:t>900</w:t>
            </w:r>
          </w:p>
        </w:tc>
        <w:tc>
          <w:tcPr>
            <w:tcW w:w="2491" w:type="dxa"/>
            <w:vAlign w:val="center"/>
          </w:tcPr>
          <w:p>
            <w:pPr>
              <w:pStyle w:val="164"/>
              <w:rPr>
                <w:color w:val="auto"/>
              </w:rPr>
            </w:pPr>
            <w:r>
              <w:rPr>
                <w:color w:val="auto"/>
              </w:rPr>
              <w:t>2000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720" w:type="dxa"/>
            <w:gridSpan w:val="4"/>
            <w:vAlign w:val="center"/>
          </w:tcPr>
          <w:p>
            <w:pPr>
              <w:pStyle w:val="164"/>
              <w:rPr>
                <w:color w:val="auto"/>
              </w:rPr>
            </w:pPr>
            <w:r>
              <w:rPr>
                <w:color w:val="auto"/>
              </w:rPr>
              <w:t>挥发性有机物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8</w:t>
            </w:r>
          </w:p>
        </w:tc>
        <w:tc>
          <w:tcPr>
            <w:tcW w:w="2818" w:type="dxa"/>
            <w:vAlign w:val="center"/>
          </w:tcPr>
          <w:p>
            <w:pPr>
              <w:pStyle w:val="164"/>
              <w:rPr>
                <w:color w:val="auto"/>
              </w:rPr>
            </w:pPr>
            <w:r>
              <w:rPr>
                <w:color w:val="auto"/>
              </w:rPr>
              <w:t>四氯化碳</w:t>
            </w:r>
          </w:p>
        </w:tc>
        <w:tc>
          <w:tcPr>
            <w:tcW w:w="2520" w:type="dxa"/>
            <w:vAlign w:val="center"/>
          </w:tcPr>
          <w:p>
            <w:pPr>
              <w:pStyle w:val="164"/>
              <w:rPr>
                <w:color w:val="auto"/>
              </w:rPr>
            </w:pPr>
            <w:r>
              <w:rPr>
                <w:color w:val="auto"/>
              </w:rPr>
              <w:t>2.8</w:t>
            </w:r>
          </w:p>
        </w:tc>
        <w:tc>
          <w:tcPr>
            <w:tcW w:w="2491" w:type="dxa"/>
            <w:vAlign w:val="center"/>
          </w:tcPr>
          <w:p>
            <w:pPr>
              <w:pStyle w:val="164"/>
              <w:rPr>
                <w:color w:val="auto"/>
              </w:rPr>
            </w:pPr>
            <w:r>
              <w:rPr>
                <w:color w:val="auto"/>
              </w:rPr>
              <w:t>36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9</w:t>
            </w:r>
          </w:p>
        </w:tc>
        <w:tc>
          <w:tcPr>
            <w:tcW w:w="2818" w:type="dxa"/>
            <w:vAlign w:val="center"/>
          </w:tcPr>
          <w:p>
            <w:pPr>
              <w:pStyle w:val="164"/>
              <w:rPr>
                <w:color w:val="auto"/>
              </w:rPr>
            </w:pPr>
            <w:r>
              <w:rPr>
                <w:color w:val="auto"/>
              </w:rPr>
              <w:t>氯仿</w:t>
            </w:r>
          </w:p>
        </w:tc>
        <w:tc>
          <w:tcPr>
            <w:tcW w:w="2520" w:type="dxa"/>
            <w:vAlign w:val="center"/>
          </w:tcPr>
          <w:p>
            <w:pPr>
              <w:pStyle w:val="164"/>
              <w:rPr>
                <w:color w:val="auto"/>
              </w:rPr>
            </w:pPr>
            <w:r>
              <w:rPr>
                <w:color w:val="auto"/>
              </w:rPr>
              <w:t>0.9</w:t>
            </w:r>
          </w:p>
        </w:tc>
        <w:tc>
          <w:tcPr>
            <w:tcW w:w="2491" w:type="dxa"/>
            <w:vAlign w:val="center"/>
          </w:tcPr>
          <w:p>
            <w:pPr>
              <w:pStyle w:val="164"/>
              <w:rPr>
                <w:color w:val="auto"/>
              </w:rPr>
            </w:pPr>
            <w:r>
              <w:rPr>
                <w:color w:val="auto"/>
              </w:rPr>
              <w:t>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10</w:t>
            </w:r>
          </w:p>
        </w:tc>
        <w:tc>
          <w:tcPr>
            <w:tcW w:w="2818" w:type="dxa"/>
            <w:vAlign w:val="center"/>
          </w:tcPr>
          <w:p>
            <w:pPr>
              <w:pStyle w:val="164"/>
              <w:rPr>
                <w:color w:val="auto"/>
              </w:rPr>
            </w:pPr>
            <w:r>
              <w:rPr>
                <w:color w:val="auto"/>
              </w:rPr>
              <w:t>氯甲烷</w:t>
            </w:r>
          </w:p>
        </w:tc>
        <w:tc>
          <w:tcPr>
            <w:tcW w:w="2520" w:type="dxa"/>
            <w:vAlign w:val="center"/>
          </w:tcPr>
          <w:p>
            <w:pPr>
              <w:pStyle w:val="164"/>
              <w:rPr>
                <w:color w:val="auto"/>
              </w:rPr>
            </w:pPr>
            <w:r>
              <w:rPr>
                <w:color w:val="auto"/>
              </w:rPr>
              <w:t>37</w:t>
            </w:r>
          </w:p>
        </w:tc>
        <w:tc>
          <w:tcPr>
            <w:tcW w:w="2491" w:type="dxa"/>
            <w:vAlign w:val="center"/>
          </w:tcPr>
          <w:p>
            <w:pPr>
              <w:pStyle w:val="164"/>
              <w:rPr>
                <w:color w:val="auto"/>
              </w:rPr>
            </w:pPr>
            <w:r>
              <w:rPr>
                <w:color w:val="auto"/>
              </w:rPr>
              <w:t>120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11</w:t>
            </w:r>
          </w:p>
        </w:tc>
        <w:tc>
          <w:tcPr>
            <w:tcW w:w="2818" w:type="dxa"/>
            <w:vAlign w:val="center"/>
          </w:tcPr>
          <w:p>
            <w:pPr>
              <w:pStyle w:val="164"/>
              <w:rPr>
                <w:color w:val="auto"/>
              </w:rPr>
            </w:pPr>
            <w:r>
              <w:rPr>
                <w:color w:val="auto"/>
              </w:rPr>
              <w:t>1，1-二氯乙烷</w:t>
            </w:r>
          </w:p>
        </w:tc>
        <w:tc>
          <w:tcPr>
            <w:tcW w:w="2520" w:type="dxa"/>
            <w:vAlign w:val="center"/>
          </w:tcPr>
          <w:p>
            <w:pPr>
              <w:pStyle w:val="164"/>
              <w:rPr>
                <w:color w:val="auto"/>
              </w:rPr>
            </w:pPr>
            <w:r>
              <w:rPr>
                <w:color w:val="auto"/>
              </w:rPr>
              <w:t>9</w:t>
            </w:r>
          </w:p>
        </w:tc>
        <w:tc>
          <w:tcPr>
            <w:tcW w:w="2491" w:type="dxa"/>
            <w:vAlign w:val="center"/>
          </w:tcPr>
          <w:p>
            <w:pPr>
              <w:pStyle w:val="164"/>
              <w:rPr>
                <w:color w:val="auto"/>
              </w:rPr>
            </w:pPr>
            <w:r>
              <w:rPr>
                <w:color w:val="auto"/>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12</w:t>
            </w:r>
          </w:p>
        </w:tc>
        <w:tc>
          <w:tcPr>
            <w:tcW w:w="2818" w:type="dxa"/>
            <w:vAlign w:val="center"/>
          </w:tcPr>
          <w:p>
            <w:pPr>
              <w:pStyle w:val="164"/>
              <w:rPr>
                <w:color w:val="auto"/>
              </w:rPr>
            </w:pPr>
            <w:r>
              <w:rPr>
                <w:color w:val="auto"/>
              </w:rPr>
              <w:t>1，2-二氯乙烷</w:t>
            </w:r>
          </w:p>
        </w:tc>
        <w:tc>
          <w:tcPr>
            <w:tcW w:w="2520" w:type="dxa"/>
            <w:vAlign w:val="center"/>
          </w:tcPr>
          <w:p>
            <w:pPr>
              <w:pStyle w:val="164"/>
              <w:rPr>
                <w:color w:val="auto"/>
              </w:rPr>
            </w:pPr>
            <w:r>
              <w:rPr>
                <w:color w:val="auto"/>
              </w:rPr>
              <w:t>5</w:t>
            </w:r>
          </w:p>
        </w:tc>
        <w:tc>
          <w:tcPr>
            <w:tcW w:w="2491" w:type="dxa"/>
            <w:vAlign w:val="center"/>
          </w:tcPr>
          <w:p>
            <w:pPr>
              <w:pStyle w:val="164"/>
              <w:rPr>
                <w:color w:val="auto"/>
              </w:rPr>
            </w:pPr>
            <w:r>
              <w:rPr>
                <w:color w:val="auto"/>
              </w:rPr>
              <w:t>21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13</w:t>
            </w:r>
          </w:p>
        </w:tc>
        <w:tc>
          <w:tcPr>
            <w:tcW w:w="2818" w:type="dxa"/>
            <w:vAlign w:val="center"/>
          </w:tcPr>
          <w:p>
            <w:pPr>
              <w:pStyle w:val="164"/>
              <w:rPr>
                <w:color w:val="auto"/>
              </w:rPr>
            </w:pPr>
            <w:r>
              <w:rPr>
                <w:color w:val="auto"/>
              </w:rPr>
              <w:t>1，1-二氯乙烯</w:t>
            </w:r>
          </w:p>
        </w:tc>
        <w:tc>
          <w:tcPr>
            <w:tcW w:w="2520" w:type="dxa"/>
            <w:vAlign w:val="center"/>
          </w:tcPr>
          <w:p>
            <w:pPr>
              <w:pStyle w:val="164"/>
              <w:rPr>
                <w:color w:val="auto"/>
              </w:rPr>
            </w:pPr>
            <w:r>
              <w:rPr>
                <w:color w:val="auto"/>
              </w:rPr>
              <w:t>66</w:t>
            </w:r>
          </w:p>
        </w:tc>
        <w:tc>
          <w:tcPr>
            <w:tcW w:w="2491" w:type="dxa"/>
            <w:vAlign w:val="center"/>
          </w:tcPr>
          <w:p>
            <w:pPr>
              <w:pStyle w:val="164"/>
              <w:rPr>
                <w:color w:val="auto"/>
              </w:rPr>
            </w:pPr>
            <w:r>
              <w:rPr>
                <w:color w:val="auto"/>
              </w:rPr>
              <w:t>200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14</w:t>
            </w:r>
          </w:p>
        </w:tc>
        <w:tc>
          <w:tcPr>
            <w:tcW w:w="2818" w:type="dxa"/>
            <w:vAlign w:val="center"/>
          </w:tcPr>
          <w:p>
            <w:pPr>
              <w:pStyle w:val="164"/>
              <w:rPr>
                <w:color w:val="auto"/>
              </w:rPr>
            </w:pPr>
            <w:r>
              <w:rPr>
                <w:color w:val="auto"/>
              </w:rPr>
              <w:t>顺-1，2-二氯乙烯</w:t>
            </w:r>
          </w:p>
        </w:tc>
        <w:tc>
          <w:tcPr>
            <w:tcW w:w="2520" w:type="dxa"/>
            <w:vAlign w:val="center"/>
          </w:tcPr>
          <w:p>
            <w:pPr>
              <w:pStyle w:val="164"/>
              <w:rPr>
                <w:color w:val="auto"/>
              </w:rPr>
            </w:pPr>
            <w:r>
              <w:rPr>
                <w:color w:val="auto"/>
              </w:rPr>
              <w:t>596</w:t>
            </w:r>
          </w:p>
        </w:tc>
        <w:tc>
          <w:tcPr>
            <w:tcW w:w="2491" w:type="dxa"/>
            <w:vAlign w:val="center"/>
          </w:tcPr>
          <w:p>
            <w:pPr>
              <w:pStyle w:val="164"/>
              <w:rPr>
                <w:color w:val="auto"/>
              </w:rPr>
            </w:pPr>
            <w:r>
              <w:rPr>
                <w:color w:val="auto"/>
              </w:rPr>
              <w:t>2000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15</w:t>
            </w:r>
          </w:p>
        </w:tc>
        <w:tc>
          <w:tcPr>
            <w:tcW w:w="2818" w:type="dxa"/>
            <w:vAlign w:val="center"/>
          </w:tcPr>
          <w:p>
            <w:pPr>
              <w:pStyle w:val="164"/>
              <w:rPr>
                <w:color w:val="auto"/>
              </w:rPr>
            </w:pPr>
            <w:r>
              <w:rPr>
                <w:color w:val="auto"/>
              </w:rPr>
              <w:t>反-1，2-二氯乙烯</w:t>
            </w:r>
          </w:p>
        </w:tc>
        <w:tc>
          <w:tcPr>
            <w:tcW w:w="2520" w:type="dxa"/>
            <w:vAlign w:val="center"/>
          </w:tcPr>
          <w:p>
            <w:pPr>
              <w:pStyle w:val="164"/>
              <w:rPr>
                <w:color w:val="auto"/>
              </w:rPr>
            </w:pPr>
            <w:r>
              <w:rPr>
                <w:color w:val="auto"/>
              </w:rPr>
              <w:t>54</w:t>
            </w:r>
          </w:p>
        </w:tc>
        <w:tc>
          <w:tcPr>
            <w:tcW w:w="2491" w:type="dxa"/>
            <w:vAlign w:val="center"/>
          </w:tcPr>
          <w:p>
            <w:pPr>
              <w:pStyle w:val="164"/>
              <w:rPr>
                <w:color w:val="auto"/>
              </w:rPr>
            </w:pPr>
            <w:r>
              <w:rPr>
                <w:color w:val="auto"/>
              </w:rPr>
              <w:t>163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16</w:t>
            </w:r>
          </w:p>
        </w:tc>
        <w:tc>
          <w:tcPr>
            <w:tcW w:w="2818" w:type="dxa"/>
            <w:vAlign w:val="center"/>
          </w:tcPr>
          <w:p>
            <w:pPr>
              <w:pStyle w:val="164"/>
              <w:rPr>
                <w:color w:val="auto"/>
              </w:rPr>
            </w:pPr>
            <w:r>
              <w:rPr>
                <w:color w:val="auto"/>
              </w:rPr>
              <w:t>二氯甲烷</w:t>
            </w:r>
          </w:p>
        </w:tc>
        <w:tc>
          <w:tcPr>
            <w:tcW w:w="2520" w:type="dxa"/>
            <w:vAlign w:val="center"/>
          </w:tcPr>
          <w:p>
            <w:pPr>
              <w:pStyle w:val="164"/>
              <w:rPr>
                <w:color w:val="auto"/>
              </w:rPr>
            </w:pPr>
            <w:r>
              <w:rPr>
                <w:color w:val="auto"/>
              </w:rPr>
              <w:t>616</w:t>
            </w:r>
          </w:p>
        </w:tc>
        <w:tc>
          <w:tcPr>
            <w:tcW w:w="2491" w:type="dxa"/>
            <w:vAlign w:val="center"/>
          </w:tcPr>
          <w:p>
            <w:pPr>
              <w:pStyle w:val="164"/>
              <w:rPr>
                <w:color w:val="auto"/>
              </w:rPr>
            </w:pPr>
            <w:r>
              <w:rPr>
                <w:color w:val="auto"/>
              </w:rPr>
              <w:t>2000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17</w:t>
            </w:r>
          </w:p>
        </w:tc>
        <w:tc>
          <w:tcPr>
            <w:tcW w:w="2818" w:type="dxa"/>
            <w:vAlign w:val="center"/>
          </w:tcPr>
          <w:p>
            <w:pPr>
              <w:pStyle w:val="164"/>
              <w:rPr>
                <w:color w:val="auto"/>
              </w:rPr>
            </w:pPr>
            <w:r>
              <w:rPr>
                <w:color w:val="auto"/>
              </w:rPr>
              <w:t>1，2-二氯丙烷</w:t>
            </w:r>
          </w:p>
        </w:tc>
        <w:tc>
          <w:tcPr>
            <w:tcW w:w="2520" w:type="dxa"/>
            <w:vAlign w:val="center"/>
          </w:tcPr>
          <w:p>
            <w:pPr>
              <w:pStyle w:val="164"/>
              <w:rPr>
                <w:color w:val="auto"/>
              </w:rPr>
            </w:pPr>
            <w:r>
              <w:rPr>
                <w:color w:val="auto"/>
              </w:rPr>
              <w:t>5</w:t>
            </w:r>
          </w:p>
        </w:tc>
        <w:tc>
          <w:tcPr>
            <w:tcW w:w="2491" w:type="dxa"/>
            <w:vAlign w:val="center"/>
          </w:tcPr>
          <w:p>
            <w:pPr>
              <w:pStyle w:val="164"/>
              <w:rPr>
                <w:color w:val="auto"/>
              </w:rPr>
            </w:pPr>
            <w:r>
              <w:rPr>
                <w:color w:val="auto"/>
              </w:rPr>
              <w:t>47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18</w:t>
            </w:r>
          </w:p>
        </w:tc>
        <w:tc>
          <w:tcPr>
            <w:tcW w:w="2818" w:type="dxa"/>
            <w:vAlign w:val="center"/>
          </w:tcPr>
          <w:p>
            <w:pPr>
              <w:pStyle w:val="164"/>
              <w:rPr>
                <w:color w:val="auto"/>
              </w:rPr>
            </w:pPr>
            <w:r>
              <w:rPr>
                <w:color w:val="auto"/>
              </w:rPr>
              <w:t>1，1，1，2-四氯乙烷</w:t>
            </w:r>
          </w:p>
        </w:tc>
        <w:tc>
          <w:tcPr>
            <w:tcW w:w="2520" w:type="dxa"/>
            <w:vAlign w:val="center"/>
          </w:tcPr>
          <w:p>
            <w:pPr>
              <w:pStyle w:val="164"/>
              <w:rPr>
                <w:color w:val="auto"/>
              </w:rPr>
            </w:pPr>
            <w:r>
              <w:rPr>
                <w:color w:val="auto"/>
              </w:rPr>
              <w:t>10</w:t>
            </w:r>
          </w:p>
        </w:tc>
        <w:tc>
          <w:tcPr>
            <w:tcW w:w="2491" w:type="dxa"/>
            <w:vAlign w:val="center"/>
          </w:tcPr>
          <w:p>
            <w:pPr>
              <w:pStyle w:val="164"/>
              <w:rPr>
                <w:color w:val="auto"/>
              </w:rPr>
            </w:pPr>
            <w:r>
              <w:rPr>
                <w:color w:val="auto"/>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19</w:t>
            </w:r>
          </w:p>
        </w:tc>
        <w:tc>
          <w:tcPr>
            <w:tcW w:w="2818" w:type="dxa"/>
            <w:vAlign w:val="center"/>
          </w:tcPr>
          <w:p>
            <w:pPr>
              <w:pStyle w:val="164"/>
              <w:rPr>
                <w:color w:val="auto"/>
              </w:rPr>
            </w:pPr>
            <w:r>
              <w:rPr>
                <w:color w:val="auto"/>
              </w:rPr>
              <w:t>1，1，2，2-四氯乙烷</w:t>
            </w:r>
          </w:p>
        </w:tc>
        <w:tc>
          <w:tcPr>
            <w:tcW w:w="2520" w:type="dxa"/>
            <w:vAlign w:val="center"/>
          </w:tcPr>
          <w:p>
            <w:pPr>
              <w:pStyle w:val="164"/>
              <w:rPr>
                <w:color w:val="auto"/>
              </w:rPr>
            </w:pPr>
            <w:r>
              <w:rPr>
                <w:color w:val="auto"/>
              </w:rPr>
              <w:t>6.8</w:t>
            </w:r>
          </w:p>
        </w:tc>
        <w:tc>
          <w:tcPr>
            <w:tcW w:w="2491" w:type="dxa"/>
            <w:vAlign w:val="center"/>
          </w:tcPr>
          <w:p>
            <w:pPr>
              <w:pStyle w:val="164"/>
              <w:rPr>
                <w:color w:val="auto"/>
              </w:rPr>
            </w:pPr>
            <w:r>
              <w:rPr>
                <w:color w:val="auto"/>
              </w:rPr>
              <w:t>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20</w:t>
            </w:r>
          </w:p>
        </w:tc>
        <w:tc>
          <w:tcPr>
            <w:tcW w:w="2818" w:type="dxa"/>
            <w:vAlign w:val="center"/>
          </w:tcPr>
          <w:p>
            <w:pPr>
              <w:pStyle w:val="164"/>
              <w:rPr>
                <w:color w:val="auto"/>
              </w:rPr>
            </w:pPr>
            <w:r>
              <w:rPr>
                <w:color w:val="auto"/>
              </w:rPr>
              <w:t>四氯乙烯</w:t>
            </w:r>
          </w:p>
        </w:tc>
        <w:tc>
          <w:tcPr>
            <w:tcW w:w="2520" w:type="dxa"/>
            <w:vAlign w:val="center"/>
          </w:tcPr>
          <w:p>
            <w:pPr>
              <w:pStyle w:val="164"/>
              <w:rPr>
                <w:color w:val="auto"/>
              </w:rPr>
            </w:pPr>
            <w:r>
              <w:rPr>
                <w:color w:val="auto"/>
              </w:rPr>
              <w:t>53</w:t>
            </w:r>
          </w:p>
        </w:tc>
        <w:tc>
          <w:tcPr>
            <w:tcW w:w="2491" w:type="dxa"/>
            <w:vAlign w:val="center"/>
          </w:tcPr>
          <w:p>
            <w:pPr>
              <w:pStyle w:val="164"/>
              <w:rPr>
                <w:color w:val="auto"/>
              </w:rPr>
            </w:pPr>
            <w:r>
              <w:rPr>
                <w:color w:val="auto"/>
              </w:rPr>
              <w:t>183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21</w:t>
            </w:r>
          </w:p>
        </w:tc>
        <w:tc>
          <w:tcPr>
            <w:tcW w:w="2818" w:type="dxa"/>
            <w:vAlign w:val="center"/>
          </w:tcPr>
          <w:p>
            <w:pPr>
              <w:pStyle w:val="164"/>
              <w:rPr>
                <w:color w:val="auto"/>
              </w:rPr>
            </w:pPr>
            <w:r>
              <w:rPr>
                <w:color w:val="auto"/>
              </w:rPr>
              <w:t>1，1，1-三氯乙烷</w:t>
            </w:r>
          </w:p>
        </w:tc>
        <w:tc>
          <w:tcPr>
            <w:tcW w:w="2520" w:type="dxa"/>
            <w:vAlign w:val="center"/>
          </w:tcPr>
          <w:p>
            <w:pPr>
              <w:pStyle w:val="164"/>
              <w:rPr>
                <w:color w:val="auto"/>
              </w:rPr>
            </w:pPr>
            <w:r>
              <w:rPr>
                <w:color w:val="auto"/>
              </w:rPr>
              <w:t>840</w:t>
            </w:r>
          </w:p>
        </w:tc>
        <w:tc>
          <w:tcPr>
            <w:tcW w:w="2491" w:type="dxa"/>
            <w:vAlign w:val="center"/>
          </w:tcPr>
          <w:p>
            <w:pPr>
              <w:pStyle w:val="164"/>
              <w:rPr>
                <w:color w:val="auto"/>
              </w:rPr>
            </w:pPr>
            <w:r>
              <w:rPr>
                <w:color w:val="auto"/>
              </w:rPr>
              <w:t>840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22</w:t>
            </w:r>
          </w:p>
        </w:tc>
        <w:tc>
          <w:tcPr>
            <w:tcW w:w="2818" w:type="dxa"/>
            <w:vAlign w:val="center"/>
          </w:tcPr>
          <w:p>
            <w:pPr>
              <w:pStyle w:val="164"/>
              <w:rPr>
                <w:color w:val="auto"/>
              </w:rPr>
            </w:pPr>
            <w:r>
              <w:rPr>
                <w:color w:val="auto"/>
              </w:rPr>
              <w:t>1，1，2-三氯乙烷</w:t>
            </w:r>
          </w:p>
        </w:tc>
        <w:tc>
          <w:tcPr>
            <w:tcW w:w="2520" w:type="dxa"/>
            <w:vAlign w:val="center"/>
          </w:tcPr>
          <w:p>
            <w:pPr>
              <w:pStyle w:val="164"/>
              <w:rPr>
                <w:color w:val="auto"/>
              </w:rPr>
            </w:pPr>
            <w:r>
              <w:rPr>
                <w:color w:val="auto"/>
              </w:rPr>
              <w:t>2.8</w:t>
            </w:r>
          </w:p>
        </w:tc>
        <w:tc>
          <w:tcPr>
            <w:tcW w:w="2491" w:type="dxa"/>
            <w:vAlign w:val="center"/>
          </w:tcPr>
          <w:p>
            <w:pPr>
              <w:pStyle w:val="164"/>
              <w:rPr>
                <w:color w:val="auto"/>
              </w:rPr>
            </w:pPr>
            <w:r>
              <w:rPr>
                <w:color w:val="auto"/>
              </w:rPr>
              <w:t>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23</w:t>
            </w:r>
          </w:p>
        </w:tc>
        <w:tc>
          <w:tcPr>
            <w:tcW w:w="2818" w:type="dxa"/>
            <w:vAlign w:val="center"/>
          </w:tcPr>
          <w:p>
            <w:pPr>
              <w:pStyle w:val="164"/>
              <w:rPr>
                <w:color w:val="auto"/>
              </w:rPr>
            </w:pPr>
            <w:r>
              <w:rPr>
                <w:color w:val="auto"/>
              </w:rPr>
              <w:t>三氯乙烯</w:t>
            </w:r>
          </w:p>
        </w:tc>
        <w:tc>
          <w:tcPr>
            <w:tcW w:w="2520" w:type="dxa"/>
            <w:vAlign w:val="center"/>
          </w:tcPr>
          <w:p>
            <w:pPr>
              <w:pStyle w:val="164"/>
              <w:rPr>
                <w:color w:val="auto"/>
              </w:rPr>
            </w:pPr>
            <w:r>
              <w:rPr>
                <w:color w:val="auto"/>
              </w:rPr>
              <w:t>2.8</w:t>
            </w:r>
          </w:p>
        </w:tc>
        <w:tc>
          <w:tcPr>
            <w:tcW w:w="2491" w:type="dxa"/>
            <w:vAlign w:val="center"/>
          </w:tcPr>
          <w:p>
            <w:pPr>
              <w:pStyle w:val="164"/>
              <w:rPr>
                <w:color w:val="auto"/>
              </w:rPr>
            </w:pPr>
            <w:r>
              <w:rPr>
                <w:color w:val="auto"/>
              </w:rPr>
              <w:t>20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24</w:t>
            </w:r>
          </w:p>
        </w:tc>
        <w:tc>
          <w:tcPr>
            <w:tcW w:w="2818" w:type="dxa"/>
            <w:vAlign w:val="center"/>
          </w:tcPr>
          <w:p>
            <w:pPr>
              <w:pStyle w:val="164"/>
              <w:rPr>
                <w:color w:val="auto"/>
              </w:rPr>
            </w:pPr>
            <w:r>
              <w:rPr>
                <w:color w:val="auto"/>
              </w:rPr>
              <w:t>1，2，3-三氯丙烷</w:t>
            </w:r>
          </w:p>
        </w:tc>
        <w:tc>
          <w:tcPr>
            <w:tcW w:w="2520" w:type="dxa"/>
            <w:vAlign w:val="center"/>
          </w:tcPr>
          <w:p>
            <w:pPr>
              <w:pStyle w:val="164"/>
              <w:rPr>
                <w:color w:val="auto"/>
              </w:rPr>
            </w:pPr>
            <w:r>
              <w:rPr>
                <w:color w:val="auto"/>
              </w:rPr>
              <w:t>0.5</w:t>
            </w:r>
          </w:p>
        </w:tc>
        <w:tc>
          <w:tcPr>
            <w:tcW w:w="2491" w:type="dxa"/>
            <w:vAlign w:val="center"/>
          </w:tcPr>
          <w:p>
            <w:pPr>
              <w:pStyle w:val="164"/>
              <w:rPr>
                <w:color w:val="auto"/>
              </w:rPr>
            </w:pPr>
            <w:r>
              <w:rPr>
                <w:color w:val="auto"/>
              </w:rPr>
              <w:t>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25</w:t>
            </w:r>
          </w:p>
        </w:tc>
        <w:tc>
          <w:tcPr>
            <w:tcW w:w="2818" w:type="dxa"/>
            <w:vAlign w:val="center"/>
          </w:tcPr>
          <w:p>
            <w:pPr>
              <w:pStyle w:val="164"/>
              <w:rPr>
                <w:color w:val="auto"/>
              </w:rPr>
            </w:pPr>
            <w:r>
              <w:rPr>
                <w:color w:val="auto"/>
              </w:rPr>
              <w:t>氯乙烯</w:t>
            </w:r>
          </w:p>
        </w:tc>
        <w:tc>
          <w:tcPr>
            <w:tcW w:w="2520" w:type="dxa"/>
            <w:vAlign w:val="center"/>
          </w:tcPr>
          <w:p>
            <w:pPr>
              <w:pStyle w:val="164"/>
              <w:rPr>
                <w:color w:val="auto"/>
              </w:rPr>
            </w:pPr>
            <w:r>
              <w:rPr>
                <w:color w:val="auto"/>
              </w:rPr>
              <w:t>0.43</w:t>
            </w:r>
          </w:p>
        </w:tc>
        <w:tc>
          <w:tcPr>
            <w:tcW w:w="2491" w:type="dxa"/>
            <w:vAlign w:val="center"/>
          </w:tcPr>
          <w:p>
            <w:pPr>
              <w:pStyle w:val="164"/>
              <w:rPr>
                <w:color w:val="auto"/>
              </w:rPr>
            </w:pPr>
            <w:r>
              <w:rPr>
                <w:color w:val="auto"/>
              </w:rPr>
              <w:t>4.3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26</w:t>
            </w:r>
          </w:p>
        </w:tc>
        <w:tc>
          <w:tcPr>
            <w:tcW w:w="2818" w:type="dxa"/>
            <w:vAlign w:val="center"/>
          </w:tcPr>
          <w:p>
            <w:pPr>
              <w:pStyle w:val="164"/>
              <w:rPr>
                <w:color w:val="auto"/>
              </w:rPr>
            </w:pPr>
            <w:r>
              <w:rPr>
                <w:color w:val="auto"/>
              </w:rPr>
              <w:t>苯</w:t>
            </w:r>
          </w:p>
        </w:tc>
        <w:tc>
          <w:tcPr>
            <w:tcW w:w="2520" w:type="dxa"/>
            <w:vAlign w:val="center"/>
          </w:tcPr>
          <w:p>
            <w:pPr>
              <w:pStyle w:val="164"/>
              <w:rPr>
                <w:color w:val="auto"/>
              </w:rPr>
            </w:pPr>
            <w:r>
              <w:rPr>
                <w:color w:val="auto"/>
              </w:rPr>
              <w:t>4</w:t>
            </w:r>
          </w:p>
        </w:tc>
        <w:tc>
          <w:tcPr>
            <w:tcW w:w="2491" w:type="dxa"/>
            <w:vAlign w:val="center"/>
          </w:tcPr>
          <w:p>
            <w:pPr>
              <w:pStyle w:val="164"/>
              <w:rPr>
                <w:color w:val="auto"/>
              </w:rPr>
            </w:pPr>
            <w:r>
              <w:rPr>
                <w:color w:val="auto"/>
              </w:rPr>
              <w:t>40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27</w:t>
            </w:r>
          </w:p>
        </w:tc>
        <w:tc>
          <w:tcPr>
            <w:tcW w:w="2818" w:type="dxa"/>
            <w:vAlign w:val="center"/>
          </w:tcPr>
          <w:p>
            <w:pPr>
              <w:pStyle w:val="164"/>
              <w:rPr>
                <w:color w:val="auto"/>
              </w:rPr>
            </w:pPr>
            <w:r>
              <w:rPr>
                <w:color w:val="auto"/>
              </w:rPr>
              <w:t>氯苯</w:t>
            </w:r>
          </w:p>
        </w:tc>
        <w:tc>
          <w:tcPr>
            <w:tcW w:w="2520" w:type="dxa"/>
            <w:vAlign w:val="center"/>
          </w:tcPr>
          <w:p>
            <w:pPr>
              <w:pStyle w:val="164"/>
              <w:rPr>
                <w:color w:val="auto"/>
              </w:rPr>
            </w:pPr>
            <w:r>
              <w:rPr>
                <w:color w:val="auto"/>
              </w:rPr>
              <w:t>270</w:t>
            </w:r>
          </w:p>
        </w:tc>
        <w:tc>
          <w:tcPr>
            <w:tcW w:w="2491" w:type="dxa"/>
            <w:vAlign w:val="center"/>
          </w:tcPr>
          <w:p>
            <w:pPr>
              <w:pStyle w:val="164"/>
              <w:rPr>
                <w:color w:val="auto"/>
              </w:rPr>
            </w:pPr>
            <w:r>
              <w:rPr>
                <w:color w:val="auto"/>
              </w:rPr>
              <w:t>1000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28</w:t>
            </w:r>
          </w:p>
        </w:tc>
        <w:tc>
          <w:tcPr>
            <w:tcW w:w="2818" w:type="dxa"/>
            <w:vAlign w:val="center"/>
          </w:tcPr>
          <w:p>
            <w:pPr>
              <w:pStyle w:val="164"/>
              <w:rPr>
                <w:color w:val="auto"/>
              </w:rPr>
            </w:pPr>
            <w:r>
              <w:rPr>
                <w:color w:val="auto"/>
              </w:rPr>
              <w:t>1，2-二氯苯</w:t>
            </w:r>
          </w:p>
        </w:tc>
        <w:tc>
          <w:tcPr>
            <w:tcW w:w="2520" w:type="dxa"/>
            <w:vAlign w:val="center"/>
          </w:tcPr>
          <w:p>
            <w:pPr>
              <w:pStyle w:val="164"/>
              <w:rPr>
                <w:color w:val="auto"/>
              </w:rPr>
            </w:pPr>
            <w:r>
              <w:rPr>
                <w:color w:val="auto"/>
              </w:rPr>
              <w:t>560</w:t>
            </w:r>
          </w:p>
        </w:tc>
        <w:tc>
          <w:tcPr>
            <w:tcW w:w="2491" w:type="dxa"/>
            <w:vAlign w:val="center"/>
          </w:tcPr>
          <w:p>
            <w:pPr>
              <w:pStyle w:val="164"/>
              <w:rPr>
                <w:color w:val="auto"/>
              </w:rPr>
            </w:pPr>
            <w:r>
              <w:rPr>
                <w:color w:val="auto"/>
              </w:rPr>
              <w:t>560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29</w:t>
            </w:r>
          </w:p>
        </w:tc>
        <w:tc>
          <w:tcPr>
            <w:tcW w:w="2818" w:type="dxa"/>
            <w:vAlign w:val="center"/>
          </w:tcPr>
          <w:p>
            <w:pPr>
              <w:pStyle w:val="164"/>
              <w:rPr>
                <w:color w:val="auto"/>
              </w:rPr>
            </w:pPr>
            <w:r>
              <w:rPr>
                <w:color w:val="auto"/>
              </w:rPr>
              <w:t>1，4-二氯苯</w:t>
            </w:r>
          </w:p>
        </w:tc>
        <w:tc>
          <w:tcPr>
            <w:tcW w:w="2520" w:type="dxa"/>
            <w:vAlign w:val="center"/>
          </w:tcPr>
          <w:p>
            <w:pPr>
              <w:pStyle w:val="164"/>
              <w:rPr>
                <w:color w:val="auto"/>
              </w:rPr>
            </w:pPr>
            <w:r>
              <w:rPr>
                <w:color w:val="auto"/>
              </w:rPr>
              <w:t>20</w:t>
            </w:r>
          </w:p>
        </w:tc>
        <w:tc>
          <w:tcPr>
            <w:tcW w:w="2491" w:type="dxa"/>
            <w:vAlign w:val="center"/>
          </w:tcPr>
          <w:p>
            <w:pPr>
              <w:pStyle w:val="164"/>
              <w:rPr>
                <w:color w:val="auto"/>
              </w:rPr>
            </w:pPr>
            <w:r>
              <w:rPr>
                <w:color w:val="auto"/>
              </w:rPr>
              <w:t>200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30</w:t>
            </w:r>
          </w:p>
        </w:tc>
        <w:tc>
          <w:tcPr>
            <w:tcW w:w="2818" w:type="dxa"/>
            <w:vAlign w:val="center"/>
          </w:tcPr>
          <w:p>
            <w:pPr>
              <w:pStyle w:val="164"/>
              <w:rPr>
                <w:color w:val="auto"/>
              </w:rPr>
            </w:pPr>
            <w:r>
              <w:rPr>
                <w:color w:val="auto"/>
              </w:rPr>
              <w:t>乙苯</w:t>
            </w:r>
          </w:p>
        </w:tc>
        <w:tc>
          <w:tcPr>
            <w:tcW w:w="2520" w:type="dxa"/>
            <w:vAlign w:val="center"/>
          </w:tcPr>
          <w:p>
            <w:pPr>
              <w:pStyle w:val="164"/>
              <w:rPr>
                <w:color w:val="auto"/>
              </w:rPr>
            </w:pPr>
            <w:r>
              <w:rPr>
                <w:color w:val="auto"/>
              </w:rPr>
              <w:t>28</w:t>
            </w:r>
          </w:p>
        </w:tc>
        <w:tc>
          <w:tcPr>
            <w:tcW w:w="2491" w:type="dxa"/>
            <w:vAlign w:val="center"/>
          </w:tcPr>
          <w:p>
            <w:pPr>
              <w:pStyle w:val="164"/>
              <w:rPr>
                <w:color w:val="auto"/>
              </w:rPr>
            </w:pPr>
            <w:r>
              <w:rPr>
                <w:color w:val="auto"/>
              </w:rPr>
              <w:t>280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31</w:t>
            </w:r>
          </w:p>
        </w:tc>
        <w:tc>
          <w:tcPr>
            <w:tcW w:w="2818" w:type="dxa"/>
            <w:vAlign w:val="center"/>
          </w:tcPr>
          <w:p>
            <w:pPr>
              <w:pStyle w:val="164"/>
              <w:rPr>
                <w:color w:val="auto"/>
              </w:rPr>
            </w:pPr>
            <w:r>
              <w:rPr>
                <w:color w:val="auto"/>
              </w:rPr>
              <w:t>苯乙烯</w:t>
            </w:r>
          </w:p>
        </w:tc>
        <w:tc>
          <w:tcPr>
            <w:tcW w:w="2520" w:type="dxa"/>
            <w:vAlign w:val="center"/>
          </w:tcPr>
          <w:p>
            <w:pPr>
              <w:pStyle w:val="164"/>
              <w:rPr>
                <w:color w:val="auto"/>
              </w:rPr>
            </w:pPr>
            <w:r>
              <w:rPr>
                <w:color w:val="auto"/>
              </w:rPr>
              <w:t>1290</w:t>
            </w:r>
          </w:p>
        </w:tc>
        <w:tc>
          <w:tcPr>
            <w:tcW w:w="2491" w:type="dxa"/>
            <w:vAlign w:val="center"/>
          </w:tcPr>
          <w:p>
            <w:pPr>
              <w:pStyle w:val="164"/>
              <w:rPr>
                <w:color w:val="auto"/>
              </w:rPr>
            </w:pPr>
            <w:r>
              <w:rPr>
                <w:color w:val="auto"/>
              </w:rPr>
              <w:t>1290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32</w:t>
            </w:r>
          </w:p>
        </w:tc>
        <w:tc>
          <w:tcPr>
            <w:tcW w:w="2818" w:type="dxa"/>
            <w:vAlign w:val="center"/>
          </w:tcPr>
          <w:p>
            <w:pPr>
              <w:pStyle w:val="164"/>
              <w:rPr>
                <w:color w:val="auto"/>
              </w:rPr>
            </w:pPr>
            <w:r>
              <w:rPr>
                <w:color w:val="auto"/>
              </w:rPr>
              <w:t>甲苯</w:t>
            </w:r>
          </w:p>
        </w:tc>
        <w:tc>
          <w:tcPr>
            <w:tcW w:w="2520" w:type="dxa"/>
            <w:vAlign w:val="center"/>
          </w:tcPr>
          <w:p>
            <w:pPr>
              <w:pStyle w:val="164"/>
              <w:rPr>
                <w:color w:val="auto"/>
              </w:rPr>
            </w:pPr>
            <w:r>
              <w:rPr>
                <w:color w:val="auto"/>
              </w:rPr>
              <w:t>1200</w:t>
            </w:r>
          </w:p>
        </w:tc>
        <w:tc>
          <w:tcPr>
            <w:tcW w:w="2491" w:type="dxa"/>
            <w:vAlign w:val="center"/>
          </w:tcPr>
          <w:p>
            <w:pPr>
              <w:pStyle w:val="164"/>
              <w:rPr>
                <w:color w:val="auto"/>
              </w:rPr>
            </w:pPr>
            <w:r>
              <w:rPr>
                <w:color w:val="auto"/>
              </w:rPr>
              <w:t>1200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33</w:t>
            </w:r>
          </w:p>
        </w:tc>
        <w:tc>
          <w:tcPr>
            <w:tcW w:w="2818" w:type="dxa"/>
            <w:vAlign w:val="center"/>
          </w:tcPr>
          <w:p>
            <w:pPr>
              <w:pStyle w:val="164"/>
              <w:rPr>
                <w:color w:val="auto"/>
              </w:rPr>
            </w:pPr>
            <w:r>
              <w:rPr>
                <w:color w:val="auto"/>
              </w:rPr>
              <w:t>间二甲苯+对二甲苯</w:t>
            </w:r>
          </w:p>
        </w:tc>
        <w:tc>
          <w:tcPr>
            <w:tcW w:w="2520" w:type="dxa"/>
            <w:vAlign w:val="center"/>
          </w:tcPr>
          <w:p>
            <w:pPr>
              <w:pStyle w:val="164"/>
              <w:rPr>
                <w:color w:val="auto"/>
              </w:rPr>
            </w:pPr>
            <w:r>
              <w:rPr>
                <w:color w:val="auto"/>
              </w:rPr>
              <w:t>570</w:t>
            </w:r>
          </w:p>
        </w:tc>
        <w:tc>
          <w:tcPr>
            <w:tcW w:w="2491" w:type="dxa"/>
            <w:vAlign w:val="center"/>
          </w:tcPr>
          <w:p>
            <w:pPr>
              <w:pStyle w:val="164"/>
              <w:rPr>
                <w:color w:val="auto"/>
              </w:rPr>
            </w:pPr>
            <w:r>
              <w:rPr>
                <w:color w:val="auto"/>
              </w:rPr>
              <w:t>570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34</w:t>
            </w:r>
          </w:p>
        </w:tc>
        <w:tc>
          <w:tcPr>
            <w:tcW w:w="2818" w:type="dxa"/>
            <w:vAlign w:val="center"/>
          </w:tcPr>
          <w:p>
            <w:pPr>
              <w:pStyle w:val="164"/>
              <w:rPr>
                <w:color w:val="auto"/>
              </w:rPr>
            </w:pPr>
            <w:r>
              <w:rPr>
                <w:color w:val="auto"/>
              </w:rPr>
              <w:t>邻二甲苯</w:t>
            </w:r>
          </w:p>
        </w:tc>
        <w:tc>
          <w:tcPr>
            <w:tcW w:w="2520" w:type="dxa"/>
            <w:vAlign w:val="center"/>
          </w:tcPr>
          <w:p>
            <w:pPr>
              <w:pStyle w:val="164"/>
              <w:rPr>
                <w:color w:val="auto"/>
              </w:rPr>
            </w:pPr>
            <w:r>
              <w:rPr>
                <w:color w:val="auto"/>
              </w:rPr>
              <w:t>640</w:t>
            </w:r>
          </w:p>
        </w:tc>
        <w:tc>
          <w:tcPr>
            <w:tcW w:w="2491" w:type="dxa"/>
            <w:vAlign w:val="center"/>
          </w:tcPr>
          <w:p>
            <w:pPr>
              <w:pStyle w:val="164"/>
              <w:rPr>
                <w:color w:val="auto"/>
              </w:rPr>
            </w:pPr>
            <w:r>
              <w:rPr>
                <w:color w:val="auto"/>
              </w:rPr>
              <w:t>640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720" w:type="dxa"/>
            <w:gridSpan w:val="4"/>
            <w:vAlign w:val="center"/>
          </w:tcPr>
          <w:p>
            <w:pPr>
              <w:pStyle w:val="164"/>
              <w:rPr>
                <w:color w:val="auto"/>
              </w:rPr>
            </w:pPr>
            <w:r>
              <w:rPr>
                <w:color w:val="auto"/>
              </w:rPr>
              <w:t>半挥发性有机物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35</w:t>
            </w:r>
          </w:p>
        </w:tc>
        <w:tc>
          <w:tcPr>
            <w:tcW w:w="2818" w:type="dxa"/>
            <w:vAlign w:val="center"/>
          </w:tcPr>
          <w:p>
            <w:pPr>
              <w:pStyle w:val="164"/>
              <w:rPr>
                <w:color w:val="auto"/>
              </w:rPr>
            </w:pPr>
            <w:r>
              <w:rPr>
                <w:color w:val="auto"/>
              </w:rPr>
              <w:t>硝基苯</w:t>
            </w:r>
          </w:p>
        </w:tc>
        <w:tc>
          <w:tcPr>
            <w:tcW w:w="2520" w:type="dxa"/>
            <w:vAlign w:val="center"/>
          </w:tcPr>
          <w:p>
            <w:pPr>
              <w:pStyle w:val="164"/>
              <w:rPr>
                <w:color w:val="auto"/>
              </w:rPr>
            </w:pPr>
            <w:r>
              <w:rPr>
                <w:color w:val="auto"/>
              </w:rPr>
              <w:t>76</w:t>
            </w:r>
          </w:p>
        </w:tc>
        <w:tc>
          <w:tcPr>
            <w:tcW w:w="2491" w:type="dxa"/>
            <w:vAlign w:val="center"/>
          </w:tcPr>
          <w:p>
            <w:pPr>
              <w:pStyle w:val="164"/>
              <w:rPr>
                <w:color w:val="auto"/>
              </w:rPr>
            </w:pPr>
            <w:r>
              <w:rPr>
                <w:color w:val="auto"/>
              </w:rPr>
              <w:t>760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36</w:t>
            </w:r>
          </w:p>
        </w:tc>
        <w:tc>
          <w:tcPr>
            <w:tcW w:w="2818" w:type="dxa"/>
            <w:vAlign w:val="center"/>
          </w:tcPr>
          <w:p>
            <w:pPr>
              <w:pStyle w:val="164"/>
              <w:rPr>
                <w:color w:val="auto"/>
              </w:rPr>
            </w:pPr>
            <w:r>
              <w:rPr>
                <w:color w:val="auto"/>
              </w:rPr>
              <w:t>苯胺</w:t>
            </w:r>
          </w:p>
        </w:tc>
        <w:tc>
          <w:tcPr>
            <w:tcW w:w="2520" w:type="dxa"/>
            <w:vAlign w:val="center"/>
          </w:tcPr>
          <w:p>
            <w:pPr>
              <w:pStyle w:val="164"/>
              <w:rPr>
                <w:color w:val="auto"/>
              </w:rPr>
            </w:pPr>
            <w:r>
              <w:rPr>
                <w:color w:val="auto"/>
              </w:rPr>
              <w:t>260</w:t>
            </w:r>
          </w:p>
        </w:tc>
        <w:tc>
          <w:tcPr>
            <w:tcW w:w="2491" w:type="dxa"/>
            <w:vAlign w:val="center"/>
          </w:tcPr>
          <w:p>
            <w:pPr>
              <w:pStyle w:val="164"/>
              <w:rPr>
                <w:color w:val="auto"/>
              </w:rPr>
            </w:pPr>
            <w:r>
              <w:rPr>
                <w:color w:val="auto"/>
              </w:rPr>
              <w:t>663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37</w:t>
            </w:r>
          </w:p>
        </w:tc>
        <w:tc>
          <w:tcPr>
            <w:tcW w:w="2818" w:type="dxa"/>
            <w:vAlign w:val="center"/>
          </w:tcPr>
          <w:p>
            <w:pPr>
              <w:pStyle w:val="164"/>
              <w:rPr>
                <w:color w:val="auto"/>
              </w:rPr>
            </w:pPr>
            <w:r>
              <w:rPr>
                <w:color w:val="auto"/>
              </w:rPr>
              <w:t>2-氯酚</w:t>
            </w:r>
          </w:p>
        </w:tc>
        <w:tc>
          <w:tcPr>
            <w:tcW w:w="2520" w:type="dxa"/>
            <w:vAlign w:val="center"/>
          </w:tcPr>
          <w:p>
            <w:pPr>
              <w:pStyle w:val="164"/>
              <w:rPr>
                <w:color w:val="auto"/>
              </w:rPr>
            </w:pPr>
            <w:r>
              <w:rPr>
                <w:color w:val="auto"/>
              </w:rPr>
              <w:t>2256</w:t>
            </w:r>
          </w:p>
        </w:tc>
        <w:tc>
          <w:tcPr>
            <w:tcW w:w="2491" w:type="dxa"/>
            <w:vAlign w:val="center"/>
          </w:tcPr>
          <w:p>
            <w:pPr>
              <w:pStyle w:val="164"/>
              <w:rPr>
                <w:color w:val="auto"/>
              </w:rPr>
            </w:pPr>
            <w:r>
              <w:rPr>
                <w:color w:val="auto"/>
              </w:rPr>
              <w:t>4500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38</w:t>
            </w:r>
          </w:p>
        </w:tc>
        <w:tc>
          <w:tcPr>
            <w:tcW w:w="2818" w:type="dxa"/>
            <w:vAlign w:val="center"/>
          </w:tcPr>
          <w:p>
            <w:pPr>
              <w:pStyle w:val="164"/>
              <w:rPr>
                <w:color w:val="auto"/>
              </w:rPr>
            </w:pPr>
            <w:r>
              <w:rPr>
                <w:color w:val="auto"/>
              </w:rPr>
              <w:t>苯并[a]蒽</w:t>
            </w:r>
          </w:p>
        </w:tc>
        <w:tc>
          <w:tcPr>
            <w:tcW w:w="2520" w:type="dxa"/>
            <w:vAlign w:val="center"/>
          </w:tcPr>
          <w:p>
            <w:pPr>
              <w:pStyle w:val="164"/>
              <w:rPr>
                <w:color w:val="auto"/>
              </w:rPr>
            </w:pPr>
            <w:r>
              <w:rPr>
                <w:color w:val="auto"/>
              </w:rPr>
              <w:t>15</w:t>
            </w:r>
          </w:p>
        </w:tc>
        <w:tc>
          <w:tcPr>
            <w:tcW w:w="2491" w:type="dxa"/>
            <w:vAlign w:val="center"/>
          </w:tcPr>
          <w:p>
            <w:pPr>
              <w:pStyle w:val="164"/>
              <w:rPr>
                <w:color w:val="auto"/>
              </w:rPr>
            </w:pPr>
            <w:r>
              <w:rPr>
                <w:color w:val="auto"/>
              </w:rPr>
              <w:t>151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39</w:t>
            </w:r>
          </w:p>
        </w:tc>
        <w:tc>
          <w:tcPr>
            <w:tcW w:w="2818" w:type="dxa"/>
            <w:vAlign w:val="center"/>
          </w:tcPr>
          <w:p>
            <w:pPr>
              <w:pStyle w:val="164"/>
              <w:rPr>
                <w:color w:val="auto"/>
              </w:rPr>
            </w:pPr>
            <w:r>
              <w:rPr>
                <w:color w:val="auto"/>
              </w:rPr>
              <w:t>苯并[a]芘</w:t>
            </w:r>
          </w:p>
        </w:tc>
        <w:tc>
          <w:tcPr>
            <w:tcW w:w="2520" w:type="dxa"/>
            <w:vAlign w:val="center"/>
          </w:tcPr>
          <w:p>
            <w:pPr>
              <w:pStyle w:val="164"/>
              <w:rPr>
                <w:color w:val="auto"/>
              </w:rPr>
            </w:pPr>
            <w:r>
              <w:rPr>
                <w:color w:val="auto"/>
              </w:rPr>
              <w:t>1.5</w:t>
            </w:r>
          </w:p>
        </w:tc>
        <w:tc>
          <w:tcPr>
            <w:tcW w:w="2491" w:type="dxa"/>
            <w:vAlign w:val="center"/>
          </w:tcPr>
          <w:p>
            <w:pPr>
              <w:pStyle w:val="164"/>
              <w:rPr>
                <w:color w:val="auto"/>
              </w:rPr>
            </w:pPr>
            <w:r>
              <w:rPr>
                <w:color w:val="auto"/>
              </w:rPr>
              <w:t>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40</w:t>
            </w:r>
          </w:p>
        </w:tc>
        <w:tc>
          <w:tcPr>
            <w:tcW w:w="2818" w:type="dxa"/>
            <w:vAlign w:val="center"/>
          </w:tcPr>
          <w:p>
            <w:pPr>
              <w:pStyle w:val="164"/>
              <w:rPr>
                <w:color w:val="auto"/>
              </w:rPr>
            </w:pPr>
            <w:r>
              <w:rPr>
                <w:color w:val="auto"/>
              </w:rPr>
              <w:t>苯并[b]荧蒽</w:t>
            </w:r>
          </w:p>
        </w:tc>
        <w:tc>
          <w:tcPr>
            <w:tcW w:w="2520" w:type="dxa"/>
            <w:vAlign w:val="center"/>
          </w:tcPr>
          <w:p>
            <w:pPr>
              <w:pStyle w:val="164"/>
              <w:rPr>
                <w:color w:val="auto"/>
              </w:rPr>
            </w:pPr>
            <w:r>
              <w:rPr>
                <w:color w:val="auto"/>
              </w:rPr>
              <w:t>15</w:t>
            </w:r>
          </w:p>
        </w:tc>
        <w:tc>
          <w:tcPr>
            <w:tcW w:w="2491" w:type="dxa"/>
            <w:vAlign w:val="center"/>
          </w:tcPr>
          <w:p>
            <w:pPr>
              <w:pStyle w:val="164"/>
              <w:rPr>
                <w:color w:val="auto"/>
              </w:rPr>
            </w:pPr>
            <w:r>
              <w:rPr>
                <w:color w:val="auto"/>
              </w:rPr>
              <w:t>151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41</w:t>
            </w:r>
          </w:p>
        </w:tc>
        <w:tc>
          <w:tcPr>
            <w:tcW w:w="2818" w:type="dxa"/>
            <w:vAlign w:val="center"/>
          </w:tcPr>
          <w:p>
            <w:pPr>
              <w:pStyle w:val="164"/>
              <w:rPr>
                <w:color w:val="auto"/>
              </w:rPr>
            </w:pPr>
            <w:r>
              <w:rPr>
                <w:color w:val="auto"/>
              </w:rPr>
              <w:t>苯并[k]荧蒽</w:t>
            </w:r>
          </w:p>
        </w:tc>
        <w:tc>
          <w:tcPr>
            <w:tcW w:w="2520" w:type="dxa"/>
            <w:vAlign w:val="center"/>
          </w:tcPr>
          <w:p>
            <w:pPr>
              <w:pStyle w:val="164"/>
              <w:rPr>
                <w:color w:val="auto"/>
              </w:rPr>
            </w:pPr>
            <w:r>
              <w:rPr>
                <w:color w:val="auto"/>
              </w:rPr>
              <w:t>151</w:t>
            </w:r>
          </w:p>
        </w:tc>
        <w:tc>
          <w:tcPr>
            <w:tcW w:w="2491" w:type="dxa"/>
            <w:vAlign w:val="center"/>
          </w:tcPr>
          <w:p>
            <w:pPr>
              <w:pStyle w:val="164"/>
              <w:rPr>
                <w:color w:val="auto"/>
              </w:rPr>
            </w:pPr>
            <w:r>
              <w:rPr>
                <w:color w:val="auto"/>
              </w:rPr>
              <w:t>1500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42</w:t>
            </w:r>
          </w:p>
        </w:tc>
        <w:tc>
          <w:tcPr>
            <w:tcW w:w="2818" w:type="dxa"/>
            <w:vAlign w:val="center"/>
          </w:tcPr>
          <w:p>
            <w:pPr>
              <w:pStyle w:val="164"/>
              <w:rPr>
                <w:color w:val="auto"/>
              </w:rPr>
            </w:pPr>
            <w:r>
              <w:rPr>
                <w:color w:val="auto"/>
              </w:rPr>
              <w:t>䓛</w:t>
            </w:r>
          </w:p>
        </w:tc>
        <w:tc>
          <w:tcPr>
            <w:tcW w:w="2520" w:type="dxa"/>
            <w:vAlign w:val="center"/>
          </w:tcPr>
          <w:p>
            <w:pPr>
              <w:pStyle w:val="164"/>
              <w:rPr>
                <w:color w:val="auto"/>
              </w:rPr>
            </w:pPr>
            <w:r>
              <w:rPr>
                <w:color w:val="auto"/>
              </w:rPr>
              <w:t>1293</w:t>
            </w:r>
          </w:p>
        </w:tc>
        <w:tc>
          <w:tcPr>
            <w:tcW w:w="2491" w:type="dxa"/>
            <w:vAlign w:val="center"/>
          </w:tcPr>
          <w:p>
            <w:pPr>
              <w:pStyle w:val="164"/>
              <w:rPr>
                <w:color w:val="auto"/>
              </w:rPr>
            </w:pPr>
            <w:r>
              <w:rPr>
                <w:color w:val="auto"/>
              </w:rPr>
              <w:t>12900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43</w:t>
            </w:r>
          </w:p>
        </w:tc>
        <w:tc>
          <w:tcPr>
            <w:tcW w:w="2818" w:type="dxa"/>
            <w:vAlign w:val="center"/>
          </w:tcPr>
          <w:p>
            <w:pPr>
              <w:pStyle w:val="164"/>
              <w:rPr>
                <w:color w:val="auto"/>
              </w:rPr>
            </w:pPr>
            <w:r>
              <w:rPr>
                <w:color w:val="auto"/>
              </w:rPr>
              <w:t>二苯并[a，h]蒽</w:t>
            </w:r>
          </w:p>
        </w:tc>
        <w:tc>
          <w:tcPr>
            <w:tcW w:w="2520" w:type="dxa"/>
            <w:vAlign w:val="center"/>
          </w:tcPr>
          <w:p>
            <w:pPr>
              <w:pStyle w:val="164"/>
              <w:rPr>
                <w:color w:val="auto"/>
              </w:rPr>
            </w:pPr>
            <w:r>
              <w:rPr>
                <w:color w:val="auto"/>
              </w:rPr>
              <w:t>1.5</w:t>
            </w:r>
          </w:p>
        </w:tc>
        <w:tc>
          <w:tcPr>
            <w:tcW w:w="2491" w:type="dxa"/>
            <w:vAlign w:val="center"/>
          </w:tcPr>
          <w:p>
            <w:pPr>
              <w:pStyle w:val="164"/>
              <w:rPr>
                <w:color w:val="auto"/>
              </w:rPr>
            </w:pPr>
            <w:r>
              <w:rPr>
                <w:color w:val="auto"/>
              </w:rPr>
              <w:t>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44</w:t>
            </w:r>
          </w:p>
        </w:tc>
        <w:tc>
          <w:tcPr>
            <w:tcW w:w="2818" w:type="dxa"/>
            <w:vAlign w:val="center"/>
          </w:tcPr>
          <w:p>
            <w:pPr>
              <w:pStyle w:val="164"/>
              <w:rPr>
                <w:color w:val="auto"/>
              </w:rPr>
            </w:pPr>
            <w:r>
              <w:rPr>
                <w:color w:val="auto"/>
              </w:rPr>
              <w:t>茚并[1，2，3-cd]芘</w:t>
            </w:r>
          </w:p>
        </w:tc>
        <w:tc>
          <w:tcPr>
            <w:tcW w:w="2520" w:type="dxa"/>
            <w:vAlign w:val="center"/>
          </w:tcPr>
          <w:p>
            <w:pPr>
              <w:pStyle w:val="164"/>
              <w:rPr>
                <w:color w:val="auto"/>
              </w:rPr>
            </w:pPr>
            <w:r>
              <w:rPr>
                <w:color w:val="auto"/>
              </w:rPr>
              <w:t>15</w:t>
            </w:r>
          </w:p>
        </w:tc>
        <w:tc>
          <w:tcPr>
            <w:tcW w:w="2491" w:type="dxa"/>
            <w:vAlign w:val="center"/>
          </w:tcPr>
          <w:p>
            <w:pPr>
              <w:pStyle w:val="164"/>
              <w:rPr>
                <w:color w:val="auto"/>
              </w:rPr>
            </w:pPr>
            <w:r>
              <w:rPr>
                <w:color w:val="auto"/>
              </w:rPr>
              <w:t>151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891" w:type="dxa"/>
            <w:vAlign w:val="center"/>
          </w:tcPr>
          <w:p>
            <w:pPr>
              <w:pStyle w:val="164"/>
              <w:rPr>
                <w:color w:val="auto"/>
              </w:rPr>
            </w:pPr>
            <w:r>
              <w:rPr>
                <w:color w:val="auto"/>
              </w:rPr>
              <w:t>45</w:t>
            </w:r>
          </w:p>
        </w:tc>
        <w:tc>
          <w:tcPr>
            <w:tcW w:w="2818" w:type="dxa"/>
            <w:vAlign w:val="center"/>
          </w:tcPr>
          <w:p>
            <w:pPr>
              <w:pStyle w:val="164"/>
              <w:rPr>
                <w:color w:val="auto"/>
              </w:rPr>
            </w:pPr>
            <w:r>
              <w:rPr>
                <w:color w:val="auto"/>
              </w:rPr>
              <w:t>萘</w:t>
            </w:r>
          </w:p>
        </w:tc>
        <w:tc>
          <w:tcPr>
            <w:tcW w:w="2520" w:type="dxa"/>
            <w:vAlign w:val="center"/>
          </w:tcPr>
          <w:p>
            <w:pPr>
              <w:pStyle w:val="164"/>
              <w:rPr>
                <w:color w:val="auto"/>
              </w:rPr>
            </w:pPr>
            <w:r>
              <w:rPr>
                <w:color w:val="auto"/>
              </w:rPr>
              <w:t>70</w:t>
            </w:r>
          </w:p>
        </w:tc>
        <w:tc>
          <w:tcPr>
            <w:tcW w:w="2491" w:type="dxa"/>
            <w:vAlign w:val="center"/>
          </w:tcPr>
          <w:p>
            <w:pPr>
              <w:pStyle w:val="164"/>
              <w:rPr>
                <w:color w:val="auto"/>
              </w:rPr>
            </w:pPr>
            <w:r>
              <w:rPr>
                <w:color w:val="auto"/>
              </w:rPr>
              <w:t>700</w:t>
            </w:r>
          </w:p>
        </w:tc>
      </w:tr>
    </w:tbl>
    <w:p>
      <w:pPr>
        <w:wordWrap w:val="0"/>
        <w:spacing w:before="120" w:beforeLines="50"/>
        <w:ind w:right="241"/>
        <w:jc w:val="right"/>
        <w:rPr>
          <w:rFonts w:eastAsiaTheme="minorEastAsia"/>
          <w:b/>
          <w:color w:val="auto"/>
          <w:sz w:val="24"/>
          <w:szCs w:val="24"/>
        </w:rPr>
      </w:pPr>
      <w:r>
        <w:rPr>
          <w:rFonts w:eastAsiaTheme="minorEastAsia"/>
          <w:b/>
          <w:color w:val="auto"/>
          <w:sz w:val="24"/>
          <w:szCs w:val="24"/>
        </w:rPr>
        <w:t>表1.4-6  土壤环境质量 农用地土壤污染风险管控限值一览表   单位mg/kg</w:t>
      </w:r>
    </w:p>
    <w:tbl>
      <w:tblPr>
        <w:tblStyle w:val="74"/>
        <w:tblW w:w="8751"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44"/>
        <w:gridCol w:w="693"/>
        <w:gridCol w:w="1248"/>
        <w:gridCol w:w="1526"/>
        <w:gridCol w:w="1643"/>
        <w:gridCol w:w="1551"/>
        <w:gridCol w:w="124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2" w:hRule="exact"/>
          <w:jc w:val="center"/>
        </w:trPr>
        <w:tc>
          <w:tcPr>
            <w:tcW w:w="844" w:type="dxa"/>
            <w:vMerge w:val="restart"/>
            <w:vAlign w:val="center"/>
          </w:tcPr>
          <w:p>
            <w:pPr>
              <w:pStyle w:val="161"/>
              <w:kinsoku w:val="0"/>
              <w:overflowPunct w:val="0"/>
              <w:adjustRightInd w:val="0"/>
              <w:snapToGrid w:val="0"/>
              <w:jc w:val="center"/>
              <w:rPr>
                <w:color w:val="auto"/>
                <w:szCs w:val="21"/>
              </w:rPr>
            </w:pPr>
            <w:r>
              <w:rPr>
                <w:color w:val="auto"/>
                <w:spacing w:val="11"/>
                <w:szCs w:val="21"/>
              </w:rPr>
              <w:t>序号</w:t>
            </w:r>
          </w:p>
        </w:tc>
        <w:tc>
          <w:tcPr>
            <w:tcW w:w="1941" w:type="dxa"/>
            <w:gridSpan w:val="2"/>
            <w:vMerge w:val="restart"/>
            <w:vAlign w:val="center"/>
          </w:tcPr>
          <w:p>
            <w:pPr>
              <w:pStyle w:val="161"/>
              <w:kinsoku w:val="0"/>
              <w:overflowPunct w:val="0"/>
              <w:adjustRightInd w:val="0"/>
              <w:snapToGrid w:val="0"/>
              <w:jc w:val="center"/>
              <w:rPr>
                <w:color w:val="auto"/>
                <w:szCs w:val="21"/>
              </w:rPr>
            </w:pPr>
            <w:r>
              <w:rPr>
                <w:color w:val="auto"/>
                <w:spacing w:val="16"/>
                <w:szCs w:val="21"/>
              </w:rPr>
              <w:t>污染项目</w:t>
            </w:r>
          </w:p>
        </w:tc>
        <w:tc>
          <w:tcPr>
            <w:tcW w:w="5966" w:type="dxa"/>
            <w:gridSpan w:val="4"/>
            <w:vAlign w:val="center"/>
          </w:tcPr>
          <w:p>
            <w:pPr>
              <w:pStyle w:val="161"/>
              <w:kinsoku w:val="0"/>
              <w:overflowPunct w:val="0"/>
              <w:adjustRightInd w:val="0"/>
              <w:snapToGrid w:val="0"/>
              <w:ind w:right="25"/>
              <w:jc w:val="center"/>
              <w:rPr>
                <w:color w:val="auto"/>
                <w:szCs w:val="21"/>
              </w:rPr>
            </w:pPr>
            <w:r>
              <w:rPr>
                <w:color w:val="auto"/>
                <w:spacing w:val="17"/>
                <w:szCs w:val="21"/>
              </w:rPr>
              <w:t>风险筛选值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exact"/>
          <w:jc w:val="center"/>
        </w:trPr>
        <w:tc>
          <w:tcPr>
            <w:tcW w:w="844" w:type="dxa"/>
            <w:vMerge w:val="continue"/>
            <w:vAlign w:val="center"/>
          </w:tcPr>
          <w:p>
            <w:pPr>
              <w:pStyle w:val="161"/>
              <w:kinsoku w:val="0"/>
              <w:overflowPunct w:val="0"/>
              <w:adjustRightInd w:val="0"/>
              <w:snapToGrid w:val="0"/>
              <w:ind w:right="25"/>
              <w:jc w:val="center"/>
              <w:rPr>
                <w:color w:val="auto"/>
                <w:szCs w:val="21"/>
              </w:rPr>
            </w:pPr>
          </w:p>
        </w:tc>
        <w:tc>
          <w:tcPr>
            <w:tcW w:w="1941" w:type="dxa"/>
            <w:gridSpan w:val="2"/>
            <w:vMerge w:val="continue"/>
            <w:vAlign w:val="center"/>
          </w:tcPr>
          <w:p>
            <w:pPr>
              <w:pStyle w:val="161"/>
              <w:kinsoku w:val="0"/>
              <w:overflowPunct w:val="0"/>
              <w:adjustRightInd w:val="0"/>
              <w:snapToGrid w:val="0"/>
              <w:ind w:right="25"/>
              <w:jc w:val="center"/>
              <w:rPr>
                <w:color w:val="auto"/>
                <w:szCs w:val="21"/>
              </w:rPr>
            </w:pPr>
          </w:p>
        </w:tc>
        <w:tc>
          <w:tcPr>
            <w:tcW w:w="1526" w:type="dxa"/>
            <w:vAlign w:val="center"/>
          </w:tcPr>
          <w:p>
            <w:pPr>
              <w:pStyle w:val="161"/>
              <w:kinsoku w:val="0"/>
              <w:overflowPunct w:val="0"/>
              <w:adjustRightInd w:val="0"/>
              <w:snapToGrid w:val="0"/>
              <w:jc w:val="center"/>
              <w:rPr>
                <w:color w:val="auto"/>
                <w:szCs w:val="21"/>
              </w:rPr>
            </w:pPr>
            <w:r>
              <w:rPr>
                <w:color w:val="auto"/>
                <w:spacing w:val="8"/>
                <w:szCs w:val="21"/>
              </w:rPr>
              <w:t>pH≤5.5</w:t>
            </w:r>
          </w:p>
        </w:tc>
        <w:tc>
          <w:tcPr>
            <w:tcW w:w="1643" w:type="dxa"/>
            <w:vAlign w:val="center"/>
          </w:tcPr>
          <w:p>
            <w:pPr>
              <w:pStyle w:val="161"/>
              <w:kinsoku w:val="0"/>
              <w:overflowPunct w:val="0"/>
              <w:adjustRightInd w:val="0"/>
              <w:snapToGrid w:val="0"/>
              <w:jc w:val="center"/>
              <w:rPr>
                <w:color w:val="auto"/>
                <w:szCs w:val="21"/>
              </w:rPr>
            </w:pPr>
            <w:r>
              <w:rPr>
                <w:color w:val="auto"/>
                <w:spacing w:val="10"/>
                <w:szCs w:val="21"/>
              </w:rPr>
              <w:t>5.5＜pH≤6.5</w:t>
            </w:r>
          </w:p>
        </w:tc>
        <w:tc>
          <w:tcPr>
            <w:tcW w:w="1551" w:type="dxa"/>
            <w:vAlign w:val="center"/>
          </w:tcPr>
          <w:p>
            <w:pPr>
              <w:pStyle w:val="161"/>
              <w:kinsoku w:val="0"/>
              <w:overflowPunct w:val="0"/>
              <w:adjustRightInd w:val="0"/>
              <w:snapToGrid w:val="0"/>
              <w:jc w:val="center"/>
              <w:rPr>
                <w:color w:val="auto"/>
                <w:szCs w:val="21"/>
              </w:rPr>
            </w:pPr>
            <w:r>
              <w:rPr>
                <w:color w:val="auto"/>
                <w:spacing w:val="10"/>
                <w:szCs w:val="21"/>
              </w:rPr>
              <w:t>6.5＜pH≤7.5</w:t>
            </w:r>
          </w:p>
        </w:tc>
        <w:tc>
          <w:tcPr>
            <w:tcW w:w="1246" w:type="dxa"/>
            <w:vAlign w:val="center"/>
          </w:tcPr>
          <w:p>
            <w:pPr>
              <w:pStyle w:val="161"/>
              <w:kinsoku w:val="0"/>
              <w:overflowPunct w:val="0"/>
              <w:adjustRightInd w:val="0"/>
              <w:snapToGrid w:val="0"/>
              <w:jc w:val="center"/>
              <w:rPr>
                <w:color w:val="auto"/>
                <w:szCs w:val="21"/>
              </w:rPr>
            </w:pPr>
            <w:r>
              <w:rPr>
                <w:color w:val="auto"/>
                <w:spacing w:val="6"/>
                <w:szCs w:val="21"/>
              </w:rPr>
              <w:t>pH＞</w:t>
            </w:r>
            <w:r>
              <w:rPr>
                <w:color w:val="auto"/>
                <w:spacing w:val="-70"/>
                <w:szCs w:val="21"/>
              </w:rPr>
              <w:t xml:space="preserve"> </w:t>
            </w:r>
            <w:r>
              <w:rPr>
                <w:color w:val="auto"/>
                <w:spacing w:val="11"/>
                <w:szCs w:val="21"/>
              </w:rPr>
              <w:t>7.5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2" w:hRule="exact"/>
          <w:jc w:val="center"/>
        </w:trPr>
        <w:tc>
          <w:tcPr>
            <w:tcW w:w="844" w:type="dxa"/>
            <w:vMerge w:val="restart"/>
            <w:vAlign w:val="center"/>
          </w:tcPr>
          <w:p>
            <w:pPr>
              <w:pStyle w:val="161"/>
              <w:kinsoku w:val="0"/>
              <w:overflowPunct w:val="0"/>
              <w:adjustRightInd w:val="0"/>
              <w:snapToGrid w:val="0"/>
              <w:ind w:right="17"/>
              <w:jc w:val="center"/>
              <w:rPr>
                <w:color w:val="auto"/>
                <w:szCs w:val="21"/>
              </w:rPr>
            </w:pPr>
            <w:r>
              <w:rPr>
                <w:color w:val="auto"/>
                <w:szCs w:val="21"/>
              </w:rPr>
              <w:t>1</w:t>
            </w:r>
          </w:p>
        </w:tc>
        <w:tc>
          <w:tcPr>
            <w:tcW w:w="693" w:type="dxa"/>
            <w:vMerge w:val="restart"/>
            <w:vAlign w:val="center"/>
          </w:tcPr>
          <w:p>
            <w:pPr>
              <w:pStyle w:val="161"/>
              <w:kinsoku w:val="0"/>
              <w:overflowPunct w:val="0"/>
              <w:adjustRightInd w:val="0"/>
              <w:snapToGrid w:val="0"/>
              <w:jc w:val="center"/>
              <w:rPr>
                <w:color w:val="auto"/>
                <w:szCs w:val="21"/>
              </w:rPr>
            </w:pPr>
            <w:r>
              <w:rPr>
                <w:color w:val="auto"/>
                <w:szCs w:val="21"/>
              </w:rPr>
              <w:t>镉</w:t>
            </w: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水田</w:t>
            </w:r>
          </w:p>
        </w:tc>
        <w:tc>
          <w:tcPr>
            <w:tcW w:w="1526" w:type="dxa"/>
            <w:vAlign w:val="center"/>
          </w:tcPr>
          <w:p>
            <w:pPr>
              <w:pStyle w:val="161"/>
              <w:kinsoku w:val="0"/>
              <w:overflowPunct w:val="0"/>
              <w:adjustRightInd w:val="0"/>
              <w:snapToGrid w:val="0"/>
              <w:ind w:left="2"/>
              <w:jc w:val="center"/>
              <w:rPr>
                <w:color w:val="auto"/>
                <w:szCs w:val="21"/>
              </w:rPr>
            </w:pPr>
            <w:r>
              <w:rPr>
                <w:color w:val="auto"/>
                <w:spacing w:val="11"/>
                <w:szCs w:val="21"/>
              </w:rPr>
              <w:t>0.3</w:t>
            </w:r>
          </w:p>
        </w:tc>
        <w:tc>
          <w:tcPr>
            <w:tcW w:w="1643" w:type="dxa"/>
            <w:vAlign w:val="center"/>
          </w:tcPr>
          <w:p>
            <w:pPr>
              <w:pStyle w:val="161"/>
              <w:kinsoku w:val="0"/>
              <w:overflowPunct w:val="0"/>
              <w:adjustRightInd w:val="0"/>
              <w:snapToGrid w:val="0"/>
              <w:jc w:val="center"/>
              <w:rPr>
                <w:color w:val="auto"/>
                <w:szCs w:val="21"/>
              </w:rPr>
            </w:pPr>
            <w:r>
              <w:rPr>
                <w:color w:val="auto"/>
                <w:spacing w:val="11"/>
                <w:szCs w:val="21"/>
              </w:rPr>
              <w:t>0.4</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0.6</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0.8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exact"/>
          <w:jc w:val="center"/>
        </w:trPr>
        <w:tc>
          <w:tcPr>
            <w:tcW w:w="844" w:type="dxa"/>
            <w:vMerge w:val="continue"/>
            <w:vAlign w:val="center"/>
          </w:tcPr>
          <w:p>
            <w:pPr>
              <w:pStyle w:val="161"/>
              <w:kinsoku w:val="0"/>
              <w:overflowPunct w:val="0"/>
              <w:adjustRightInd w:val="0"/>
              <w:snapToGrid w:val="0"/>
              <w:jc w:val="center"/>
              <w:rPr>
                <w:color w:val="auto"/>
                <w:szCs w:val="21"/>
              </w:rPr>
            </w:pPr>
          </w:p>
        </w:tc>
        <w:tc>
          <w:tcPr>
            <w:tcW w:w="693" w:type="dxa"/>
            <w:vMerge w:val="continue"/>
            <w:vAlign w:val="center"/>
          </w:tcPr>
          <w:p>
            <w:pPr>
              <w:pStyle w:val="161"/>
              <w:kinsoku w:val="0"/>
              <w:overflowPunct w:val="0"/>
              <w:adjustRightInd w:val="0"/>
              <w:snapToGrid w:val="0"/>
              <w:jc w:val="center"/>
              <w:rPr>
                <w:color w:val="auto"/>
                <w:szCs w:val="21"/>
              </w:rPr>
            </w:pP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其他</w:t>
            </w:r>
          </w:p>
        </w:tc>
        <w:tc>
          <w:tcPr>
            <w:tcW w:w="1526" w:type="dxa"/>
            <w:vAlign w:val="center"/>
          </w:tcPr>
          <w:p>
            <w:pPr>
              <w:pStyle w:val="161"/>
              <w:kinsoku w:val="0"/>
              <w:overflowPunct w:val="0"/>
              <w:adjustRightInd w:val="0"/>
              <w:snapToGrid w:val="0"/>
              <w:ind w:left="2"/>
              <w:jc w:val="center"/>
              <w:rPr>
                <w:color w:val="auto"/>
                <w:szCs w:val="21"/>
              </w:rPr>
            </w:pPr>
            <w:r>
              <w:rPr>
                <w:color w:val="auto"/>
                <w:spacing w:val="11"/>
                <w:szCs w:val="21"/>
              </w:rPr>
              <w:t>0.3</w:t>
            </w:r>
          </w:p>
        </w:tc>
        <w:tc>
          <w:tcPr>
            <w:tcW w:w="1643" w:type="dxa"/>
            <w:vAlign w:val="center"/>
          </w:tcPr>
          <w:p>
            <w:pPr>
              <w:pStyle w:val="161"/>
              <w:kinsoku w:val="0"/>
              <w:overflowPunct w:val="0"/>
              <w:adjustRightInd w:val="0"/>
              <w:snapToGrid w:val="0"/>
              <w:jc w:val="center"/>
              <w:rPr>
                <w:color w:val="auto"/>
                <w:szCs w:val="21"/>
              </w:rPr>
            </w:pPr>
            <w:r>
              <w:rPr>
                <w:color w:val="auto"/>
                <w:spacing w:val="11"/>
                <w:szCs w:val="21"/>
              </w:rPr>
              <w:t>0.3</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0.3</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0.6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exact"/>
          <w:jc w:val="center"/>
        </w:trPr>
        <w:tc>
          <w:tcPr>
            <w:tcW w:w="844" w:type="dxa"/>
            <w:vMerge w:val="restart"/>
            <w:vAlign w:val="center"/>
          </w:tcPr>
          <w:p>
            <w:pPr>
              <w:pStyle w:val="161"/>
              <w:kinsoku w:val="0"/>
              <w:overflowPunct w:val="0"/>
              <w:adjustRightInd w:val="0"/>
              <w:snapToGrid w:val="0"/>
              <w:ind w:right="17"/>
              <w:jc w:val="center"/>
              <w:rPr>
                <w:color w:val="auto"/>
                <w:szCs w:val="21"/>
              </w:rPr>
            </w:pPr>
            <w:r>
              <w:rPr>
                <w:color w:val="auto"/>
                <w:szCs w:val="21"/>
              </w:rPr>
              <w:t>2</w:t>
            </w:r>
          </w:p>
        </w:tc>
        <w:tc>
          <w:tcPr>
            <w:tcW w:w="693" w:type="dxa"/>
            <w:vMerge w:val="restart"/>
            <w:vAlign w:val="center"/>
          </w:tcPr>
          <w:p>
            <w:pPr>
              <w:pStyle w:val="161"/>
              <w:kinsoku w:val="0"/>
              <w:overflowPunct w:val="0"/>
              <w:adjustRightInd w:val="0"/>
              <w:snapToGrid w:val="0"/>
              <w:jc w:val="center"/>
              <w:rPr>
                <w:color w:val="auto"/>
                <w:szCs w:val="21"/>
              </w:rPr>
            </w:pPr>
            <w:r>
              <w:rPr>
                <w:color w:val="auto"/>
                <w:szCs w:val="21"/>
              </w:rPr>
              <w:t>汞</w:t>
            </w: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水田</w:t>
            </w:r>
          </w:p>
        </w:tc>
        <w:tc>
          <w:tcPr>
            <w:tcW w:w="1526" w:type="dxa"/>
            <w:vAlign w:val="center"/>
          </w:tcPr>
          <w:p>
            <w:pPr>
              <w:pStyle w:val="161"/>
              <w:kinsoku w:val="0"/>
              <w:overflowPunct w:val="0"/>
              <w:adjustRightInd w:val="0"/>
              <w:snapToGrid w:val="0"/>
              <w:ind w:left="2"/>
              <w:jc w:val="center"/>
              <w:rPr>
                <w:color w:val="auto"/>
                <w:szCs w:val="21"/>
              </w:rPr>
            </w:pPr>
            <w:r>
              <w:rPr>
                <w:color w:val="auto"/>
                <w:spacing w:val="11"/>
                <w:szCs w:val="21"/>
              </w:rPr>
              <w:t>0.5</w:t>
            </w:r>
          </w:p>
        </w:tc>
        <w:tc>
          <w:tcPr>
            <w:tcW w:w="1643" w:type="dxa"/>
            <w:vAlign w:val="center"/>
          </w:tcPr>
          <w:p>
            <w:pPr>
              <w:pStyle w:val="161"/>
              <w:kinsoku w:val="0"/>
              <w:overflowPunct w:val="0"/>
              <w:adjustRightInd w:val="0"/>
              <w:snapToGrid w:val="0"/>
              <w:jc w:val="center"/>
              <w:rPr>
                <w:color w:val="auto"/>
                <w:szCs w:val="21"/>
              </w:rPr>
            </w:pPr>
            <w:r>
              <w:rPr>
                <w:color w:val="auto"/>
                <w:spacing w:val="11"/>
                <w:szCs w:val="21"/>
              </w:rPr>
              <w:t>0.5</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0.6</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2" w:hRule="exact"/>
          <w:jc w:val="center"/>
        </w:trPr>
        <w:tc>
          <w:tcPr>
            <w:tcW w:w="844" w:type="dxa"/>
            <w:vMerge w:val="continue"/>
            <w:vAlign w:val="center"/>
          </w:tcPr>
          <w:p>
            <w:pPr>
              <w:pStyle w:val="161"/>
              <w:kinsoku w:val="0"/>
              <w:overflowPunct w:val="0"/>
              <w:adjustRightInd w:val="0"/>
              <w:snapToGrid w:val="0"/>
              <w:jc w:val="center"/>
              <w:rPr>
                <w:color w:val="auto"/>
                <w:szCs w:val="21"/>
              </w:rPr>
            </w:pPr>
          </w:p>
        </w:tc>
        <w:tc>
          <w:tcPr>
            <w:tcW w:w="693" w:type="dxa"/>
            <w:vMerge w:val="continue"/>
            <w:vAlign w:val="center"/>
          </w:tcPr>
          <w:p>
            <w:pPr>
              <w:pStyle w:val="161"/>
              <w:kinsoku w:val="0"/>
              <w:overflowPunct w:val="0"/>
              <w:adjustRightInd w:val="0"/>
              <w:snapToGrid w:val="0"/>
              <w:jc w:val="center"/>
              <w:rPr>
                <w:color w:val="auto"/>
                <w:szCs w:val="21"/>
              </w:rPr>
            </w:pP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其他</w:t>
            </w:r>
          </w:p>
        </w:tc>
        <w:tc>
          <w:tcPr>
            <w:tcW w:w="1526" w:type="dxa"/>
            <w:vAlign w:val="center"/>
          </w:tcPr>
          <w:p>
            <w:pPr>
              <w:pStyle w:val="161"/>
              <w:kinsoku w:val="0"/>
              <w:overflowPunct w:val="0"/>
              <w:adjustRightInd w:val="0"/>
              <w:snapToGrid w:val="0"/>
              <w:ind w:left="2"/>
              <w:jc w:val="center"/>
              <w:rPr>
                <w:color w:val="auto"/>
                <w:szCs w:val="21"/>
              </w:rPr>
            </w:pPr>
            <w:r>
              <w:rPr>
                <w:color w:val="auto"/>
                <w:spacing w:val="11"/>
                <w:szCs w:val="21"/>
              </w:rPr>
              <w:t>1.3</w:t>
            </w:r>
          </w:p>
        </w:tc>
        <w:tc>
          <w:tcPr>
            <w:tcW w:w="1643" w:type="dxa"/>
            <w:vAlign w:val="center"/>
          </w:tcPr>
          <w:p>
            <w:pPr>
              <w:pStyle w:val="161"/>
              <w:kinsoku w:val="0"/>
              <w:overflowPunct w:val="0"/>
              <w:adjustRightInd w:val="0"/>
              <w:snapToGrid w:val="0"/>
              <w:jc w:val="center"/>
              <w:rPr>
                <w:color w:val="auto"/>
                <w:szCs w:val="21"/>
              </w:rPr>
            </w:pPr>
            <w:r>
              <w:rPr>
                <w:color w:val="auto"/>
                <w:spacing w:val="11"/>
                <w:szCs w:val="21"/>
              </w:rPr>
              <w:t>1.8</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2.4</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3.4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exact"/>
          <w:jc w:val="center"/>
        </w:trPr>
        <w:tc>
          <w:tcPr>
            <w:tcW w:w="844" w:type="dxa"/>
            <w:vMerge w:val="restart"/>
            <w:vAlign w:val="center"/>
          </w:tcPr>
          <w:p>
            <w:pPr>
              <w:pStyle w:val="161"/>
              <w:kinsoku w:val="0"/>
              <w:overflowPunct w:val="0"/>
              <w:adjustRightInd w:val="0"/>
              <w:snapToGrid w:val="0"/>
              <w:ind w:right="17"/>
              <w:jc w:val="center"/>
              <w:rPr>
                <w:color w:val="auto"/>
                <w:szCs w:val="21"/>
              </w:rPr>
            </w:pPr>
            <w:r>
              <w:rPr>
                <w:color w:val="auto"/>
                <w:szCs w:val="21"/>
              </w:rPr>
              <w:t>3</w:t>
            </w:r>
          </w:p>
        </w:tc>
        <w:tc>
          <w:tcPr>
            <w:tcW w:w="693" w:type="dxa"/>
            <w:vMerge w:val="restart"/>
            <w:vAlign w:val="center"/>
          </w:tcPr>
          <w:p>
            <w:pPr>
              <w:pStyle w:val="161"/>
              <w:kinsoku w:val="0"/>
              <w:overflowPunct w:val="0"/>
              <w:adjustRightInd w:val="0"/>
              <w:snapToGrid w:val="0"/>
              <w:jc w:val="center"/>
              <w:rPr>
                <w:color w:val="auto"/>
                <w:szCs w:val="21"/>
              </w:rPr>
            </w:pPr>
            <w:r>
              <w:rPr>
                <w:color w:val="auto"/>
                <w:szCs w:val="21"/>
              </w:rPr>
              <w:t>砷</w:t>
            </w: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水田</w:t>
            </w:r>
          </w:p>
        </w:tc>
        <w:tc>
          <w:tcPr>
            <w:tcW w:w="1526" w:type="dxa"/>
            <w:vAlign w:val="center"/>
          </w:tcPr>
          <w:p>
            <w:pPr>
              <w:pStyle w:val="161"/>
              <w:kinsoku w:val="0"/>
              <w:overflowPunct w:val="0"/>
              <w:adjustRightInd w:val="0"/>
              <w:snapToGrid w:val="0"/>
              <w:ind w:right="10"/>
              <w:jc w:val="center"/>
              <w:rPr>
                <w:color w:val="auto"/>
                <w:szCs w:val="21"/>
              </w:rPr>
            </w:pPr>
            <w:r>
              <w:rPr>
                <w:color w:val="auto"/>
                <w:spacing w:val="5"/>
                <w:szCs w:val="21"/>
              </w:rPr>
              <w:t>30</w:t>
            </w:r>
          </w:p>
        </w:tc>
        <w:tc>
          <w:tcPr>
            <w:tcW w:w="1643" w:type="dxa"/>
            <w:vAlign w:val="center"/>
          </w:tcPr>
          <w:p>
            <w:pPr>
              <w:pStyle w:val="161"/>
              <w:kinsoku w:val="0"/>
              <w:overflowPunct w:val="0"/>
              <w:adjustRightInd w:val="0"/>
              <w:snapToGrid w:val="0"/>
              <w:ind w:right="12"/>
              <w:jc w:val="center"/>
              <w:rPr>
                <w:color w:val="auto"/>
                <w:szCs w:val="21"/>
              </w:rPr>
            </w:pPr>
            <w:r>
              <w:rPr>
                <w:color w:val="auto"/>
                <w:spacing w:val="5"/>
                <w:szCs w:val="21"/>
              </w:rPr>
              <w:t>30</w:t>
            </w:r>
          </w:p>
        </w:tc>
        <w:tc>
          <w:tcPr>
            <w:tcW w:w="1551" w:type="dxa"/>
            <w:vAlign w:val="center"/>
          </w:tcPr>
          <w:p>
            <w:pPr>
              <w:pStyle w:val="161"/>
              <w:kinsoku w:val="0"/>
              <w:overflowPunct w:val="0"/>
              <w:adjustRightInd w:val="0"/>
              <w:snapToGrid w:val="0"/>
              <w:ind w:right="9"/>
              <w:jc w:val="center"/>
              <w:rPr>
                <w:color w:val="auto"/>
                <w:szCs w:val="21"/>
              </w:rPr>
            </w:pPr>
            <w:r>
              <w:rPr>
                <w:color w:val="auto"/>
                <w:spacing w:val="5"/>
                <w:szCs w:val="21"/>
              </w:rPr>
              <w:t>25</w:t>
            </w:r>
          </w:p>
        </w:tc>
        <w:tc>
          <w:tcPr>
            <w:tcW w:w="1246" w:type="dxa"/>
            <w:vAlign w:val="center"/>
          </w:tcPr>
          <w:p>
            <w:pPr>
              <w:pStyle w:val="161"/>
              <w:kinsoku w:val="0"/>
              <w:overflowPunct w:val="0"/>
              <w:adjustRightInd w:val="0"/>
              <w:snapToGrid w:val="0"/>
              <w:ind w:right="12"/>
              <w:jc w:val="center"/>
              <w:rPr>
                <w:color w:val="auto"/>
                <w:szCs w:val="21"/>
              </w:rPr>
            </w:pPr>
            <w:r>
              <w:rPr>
                <w:color w:val="auto"/>
                <w:spacing w:val="5"/>
                <w:szCs w:val="21"/>
              </w:rPr>
              <w:t>20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2" w:hRule="exact"/>
          <w:jc w:val="center"/>
        </w:trPr>
        <w:tc>
          <w:tcPr>
            <w:tcW w:w="844" w:type="dxa"/>
            <w:vMerge w:val="continue"/>
            <w:vAlign w:val="center"/>
          </w:tcPr>
          <w:p>
            <w:pPr>
              <w:pStyle w:val="161"/>
              <w:kinsoku w:val="0"/>
              <w:overflowPunct w:val="0"/>
              <w:adjustRightInd w:val="0"/>
              <w:snapToGrid w:val="0"/>
              <w:ind w:right="12"/>
              <w:jc w:val="center"/>
              <w:rPr>
                <w:color w:val="auto"/>
                <w:szCs w:val="21"/>
              </w:rPr>
            </w:pPr>
          </w:p>
        </w:tc>
        <w:tc>
          <w:tcPr>
            <w:tcW w:w="693" w:type="dxa"/>
            <w:vMerge w:val="continue"/>
            <w:vAlign w:val="center"/>
          </w:tcPr>
          <w:p>
            <w:pPr>
              <w:pStyle w:val="161"/>
              <w:kinsoku w:val="0"/>
              <w:overflowPunct w:val="0"/>
              <w:adjustRightInd w:val="0"/>
              <w:snapToGrid w:val="0"/>
              <w:ind w:right="12"/>
              <w:jc w:val="center"/>
              <w:rPr>
                <w:color w:val="auto"/>
                <w:szCs w:val="21"/>
              </w:rPr>
            </w:pP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其他</w:t>
            </w:r>
          </w:p>
        </w:tc>
        <w:tc>
          <w:tcPr>
            <w:tcW w:w="1526" w:type="dxa"/>
            <w:vAlign w:val="center"/>
          </w:tcPr>
          <w:p>
            <w:pPr>
              <w:pStyle w:val="161"/>
              <w:kinsoku w:val="0"/>
              <w:overflowPunct w:val="0"/>
              <w:adjustRightInd w:val="0"/>
              <w:snapToGrid w:val="0"/>
              <w:ind w:right="10"/>
              <w:jc w:val="center"/>
              <w:rPr>
                <w:color w:val="auto"/>
                <w:szCs w:val="21"/>
              </w:rPr>
            </w:pPr>
            <w:r>
              <w:rPr>
                <w:color w:val="auto"/>
                <w:spacing w:val="5"/>
                <w:szCs w:val="21"/>
              </w:rPr>
              <w:t>40</w:t>
            </w:r>
          </w:p>
        </w:tc>
        <w:tc>
          <w:tcPr>
            <w:tcW w:w="1643" w:type="dxa"/>
            <w:vAlign w:val="center"/>
          </w:tcPr>
          <w:p>
            <w:pPr>
              <w:pStyle w:val="161"/>
              <w:kinsoku w:val="0"/>
              <w:overflowPunct w:val="0"/>
              <w:adjustRightInd w:val="0"/>
              <w:snapToGrid w:val="0"/>
              <w:ind w:right="12"/>
              <w:jc w:val="center"/>
              <w:rPr>
                <w:color w:val="auto"/>
                <w:szCs w:val="21"/>
              </w:rPr>
            </w:pPr>
            <w:r>
              <w:rPr>
                <w:color w:val="auto"/>
                <w:spacing w:val="5"/>
                <w:szCs w:val="21"/>
              </w:rPr>
              <w:t>40</w:t>
            </w:r>
          </w:p>
        </w:tc>
        <w:tc>
          <w:tcPr>
            <w:tcW w:w="1551" w:type="dxa"/>
            <w:vAlign w:val="center"/>
          </w:tcPr>
          <w:p>
            <w:pPr>
              <w:pStyle w:val="161"/>
              <w:kinsoku w:val="0"/>
              <w:overflowPunct w:val="0"/>
              <w:adjustRightInd w:val="0"/>
              <w:snapToGrid w:val="0"/>
              <w:ind w:right="9"/>
              <w:jc w:val="center"/>
              <w:rPr>
                <w:color w:val="auto"/>
                <w:szCs w:val="21"/>
              </w:rPr>
            </w:pPr>
            <w:r>
              <w:rPr>
                <w:color w:val="auto"/>
                <w:spacing w:val="5"/>
                <w:szCs w:val="21"/>
              </w:rPr>
              <w:t>30</w:t>
            </w:r>
          </w:p>
        </w:tc>
        <w:tc>
          <w:tcPr>
            <w:tcW w:w="1246" w:type="dxa"/>
            <w:vAlign w:val="center"/>
          </w:tcPr>
          <w:p>
            <w:pPr>
              <w:pStyle w:val="161"/>
              <w:kinsoku w:val="0"/>
              <w:overflowPunct w:val="0"/>
              <w:adjustRightInd w:val="0"/>
              <w:snapToGrid w:val="0"/>
              <w:ind w:right="12"/>
              <w:jc w:val="center"/>
              <w:rPr>
                <w:color w:val="auto"/>
                <w:szCs w:val="21"/>
              </w:rPr>
            </w:pPr>
            <w:r>
              <w:rPr>
                <w:color w:val="auto"/>
                <w:spacing w:val="5"/>
                <w:szCs w:val="21"/>
              </w:rPr>
              <w:t>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exact"/>
          <w:jc w:val="center"/>
        </w:trPr>
        <w:tc>
          <w:tcPr>
            <w:tcW w:w="844" w:type="dxa"/>
            <w:vMerge w:val="restart"/>
            <w:vAlign w:val="center"/>
          </w:tcPr>
          <w:p>
            <w:pPr>
              <w:pStyle w:val="161"/>
              <w:kinsoku w:val="0"/>
              <w:overflowPunct w:val="0"/>
              <w:adjustRightInd w:val="0"/>
              <w:snapToGrid w:val="0"/>
              <w:ind w:right="17"/>
              <w:jc w:val="center"/>
              <w:rPr>
                <w:color w:val="auto"/>
                <w:szCs w:val="21"/>
              </w:rPr>
            </w:pPr>
            <w:r>
              <w:rPr>
                <w:color w:val="auto"/>
                <w:szCs w:val="21"/>
              </w:rPr>
              <w:t>4</w:t>
            </w:r>
          </w:p>
        </w:tc>
        <w:tc>
          <w:tcPr>
            <w:tcW w:w="693" w:type="dxa"/>
            <w:vMerge w:val="restart"/>
            <w:vAlign w:val="center"/>
          </w:tcPr>
          <w:p>
            <w:pPr>
              <w:pStyle w:val="161"/>
              <w:kinsoku w:val="0"/>
              <w:overflowPunct w:val="0"/>
              <w:adjustRightInd w:val="0"/>
              <w:snapToGrid w:val="0"/>
              <w:jc w:val="center"/>
              <w:rPr>
                <w:color w:val="auto"/>
                <w:szCs w:val="21"/>
              </w:rPr>
            </w:pPr>
            <w:r>
              <w:rPr>
                <w:color w:val="auto"/>
                <w:szCs w:val="21"/>
              </w:rPr>
              <w:t>铅</w:t>
            </w: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水田</w:t>
            </w:r>
          </w:p>
        </w:tc>
        <w:tc>
          <w:tcPr>
            <w:tcW w:w="1526" w:type="dxa"/>
            <w:vAlign w:val="center"/>
          </w:tcPr>
          <w:p>
            <w:pPr>
              <w:pStyle w:val="161"/>
              <w:kinsoku w:val="0"/>
              <w:overflowPunct w:val="0"/>
              <w:adjustRightInd w:val="0"/>
              <w:snapToGrid w:val="0"/>
              <w:ind w:right="10"/>
              <w:jc w:val="center"/>
              <w:rPr>
                <w:color w:val="auto"/>
                <w:szCs w:val="21"/>
              </w:rPr>
            </w:pPr>
            <w:r>
              <w:rPr>
                <w:color w:val="auto"/>
                <w:spacing w:val="5"/>
                <w:szCs w:val="21"/>
              </w:rPr>
              <w:t>80</w:t>
            </w:r>
          </w:p>
        </w:tc>
        <w:tc>
          <w:tcPr>
            <w:tcW w:w="1643" w:type="dxa"/>
            <w:vAlign w:val="center"/>
          </w:tcPr>
          <w:p>
            <w:pPr>
              <w:pStyle w:val="161"/>
              <w:kinsoku w:val="0"/>
              <w:overflowPunct w:val="0"/>
              <w:adjustRightInd w:val="0"/>
              <w:snapToGrid w:val="0"/>
              <w:jc w:val="center"/>
              <w:rPr>
                <w:color w:val="auto"/>
                <w:szCs w:val="21"/>
              </w:rPr>
            </w:pPr>
            <w:r>
              <w:rPr>
                <w:color w:val="auto"/>
                <w:spacing w:val="11"/>
                <w:szCs w:val="21"/>
              </w:rPr>
              <w:t>100</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140</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240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exact"/>
          <w:jc w:val="center"/>
        </w:trPr>
        <w:tc>
          <w:tcPr>
            <w:tcW w:w="844" w:type="dxa"/>
            <w:vMerge w:val="continue"/>
            <w:vAlign w:val="center"/>
          </w:tcPr>
          <w:p>
            <w:pPr>
              <w:pStyle w:val="161"/>
              <w:kinsoku w:val="0"/>
              <w:overflowPunct w:val="0"/>
              <w:adjustRightInd w:val="0"/>
              <w:snapToGrid w:val="0"/>
              <w:jc w:val="center"/>
              <w:rPr>
                <w:color w:val="auto"/>
                <w:szCs w:val="21"/>
              </w:rPr>
            </w:pPr>
          </w:p>
        </w:tc>
        <w:tc>
          <w:tcPr>
            <w:tcW w:w="693" w:type="dxa"/>
            <w:vMerge w:val="continue"/>
            <w:vAlign w:val="center"/>
          </w:tcPr>
          <w:p>
            <w:pPr>
              <w:pStyle w:val="161"/>
              <w:kinsoku w:val="0"/>
              <w:overflowPunct w:val="0"/>
              <w:adjustRightInd w:val="0"/>
              <w:snapToGrid w:val="0"/>
              <w:jc w:val="center"/>
              <w:rPr>
                <w:color w:val="auto"/>
                <w:szCs w:val="21"/>
              </w:rPr>
            </w:pP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其他</w:t>
            </w:r>
          </w:p>
        </w:tc>
        <w:tc>
          <w:tcPr>
            <w:tcW w:w="1526" w:type="dxa"/>
            <w:vAlign w:val="center"/>
          </w:tcPr>
          <w:p>
            <w:pPr>
              <w:pStyle w:val="161"/>
              <w:kinsoku w:val="0"/>
              <w:overflowPunct w:val="0"/>
              <w:adjustRightInd w:val="0"/>
              <w:snapToGrid w:val="0"/>
              <w:ind w:right="10"/>
              <w:jc w:val="center"/>
              <w:rPr>
                <w:color w:val="auto"/>
                <w:szCs w:val="21"/>
              </w:rPr>
            </w:pPr>
            <w:r>
              <w:rPr>
                <w:color w:val="auto"/>
                <w:spacing w:val="5"/>
                <w:szCs w:val="21"/>
              </w:rPr>
              <w:t>70</w:t>
            </w:r>
          </w:p>
        </w:tc>
        <w:tc>
          <w:tcPr>
            <w:tcW w:w="1643" w:type="dxa"/>
            <w:vAlign w:val="center"/>
          </w:tcPr>
          <w:p>
            <w:pPr>
              <w:pStyle w:val="161"/>
              <w:kinsoku w:val="0"/>
              <w:overflowPunct w:val="0"/>
              <w:adjustRightInd w:val="0"/>
              <w:snapToGrid w:val="0"/>
              <w:ind w:right="12"/>
              <w:jc w:val="center"/>
              <w:rPr>
                <w:color w:val="auto"/>
                <w:szCs w:val="21"/>
              </w:rPr>
            </w:pPr>
            <w:r>
              <w:rPr>
                <w:color w:val="auto"/>
                <w:spacing w:val="5"/>
                <w:szCs w:val="21"/>
              </w:rPr>
              <w:t>90</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120</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170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2" w:hRule="exact"/>
          <w:jc w:val="center"/>
        </w:trPr>
        <w:tc>
          <w:tcPr>
            <w:tcW w:w="844" w:type="dxa"/>
            <w:vMerge w:val="restart"/>
            <w:vAlign w:val="center"/>
          </w:tcPr>
          <w:p>
            <w:pPr>
              <w:pStyle w:val="161"/>
              <w:kinsoku w:val="0"/>
              <w:overflowPunct w:val="0"/>
              <w:adjustRightInd w:val="0"/>
              <w:snapToGrid w:val="0"/>
              <w:ind w:right="17"/>
              <w:jc w:val="center"/>
              <w:rPr>
                <w:color w:val="auto"/>
                <w:szCs w:val="21"/>
              </w:rPr>
            </w:pPr>
            <w:r>
              <w:rPr>
                <w:color w:val="auto"/>
                <w:szCs w:val="21"/>
              </w:rPr>
              <w:t>5</w:t>
            </w:r>
          </w:p>
        </w:tc>
        <w:tc>
          <w:tcPr>
            <w:tcW w:w="693" w:type="dxa"/>
            <w:vMerge w:val="restart"/>
            <w:vAlign w:val="center"/>
          </w:tcPr>
          <w:p>
            <w:pPr>
              <w:pStyle w:val="161"/>
              <w:kinsoku w:val="0"/>
              <w:overflowPunct w:val="0"/>
              <w:adjustRightInd w:val="0"/>
              <w:snapToGrid w:val="0"/>
              <w:jc w:val="center"/>
              <w:rPr>
                <w:color w:val="auto"/>
                <w:szCs w:val="21"/>
              </w:rPr>
            </w:pPr>
            <w:r>
              <w:rPr>
                <w:color w:val="auto"/>
                <w:szCs w:val="21"/>
              </w:rPr>
              <w:t>铬</w:t>
            </w: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水田</w:t>
            </w:r>
          </w:p>
        </w:tc>
        <w:tc>
          <w:tcPr>
            <w:tcW w:w="1526" w:type="dxa"/>
            <w:vAlign w:val="center"/>
          </w:tcPr>
          <w:p>
            <w:pPr>
              <w:pStyle w:val="161"/>
              <w:kinsoku w:val="0"/>
              <w:overflowPunct w:val="0"/>
              <w:adjustRightInd w:val="0"/>
              <w:snapToGrid w:val="0"/>
              <w:ind w:left="2"/>
              <w:jc w:val="center"/>
              <w:rPr>
                <w:color w:val="auto"/>
                <w:szCs w:val="21"/>
              </w:rPr>
            </w:pPr>
            <w:r>
              <w:rPr>
                <w:color w:val="auto"/>
                <w:spacing w:val="11"/>
                <w:szCs w:val="21"/>
              </w:rPr>
              <w:t>250</w:t>
            </w:r>
          </w:p>
        </w:tc>
        <w:tc>
          <w:tcPr>
            <w:tcW w:w="1643" w:type="dxa"/>
            <w:vAlign w:val="center"/>
          </w:tcPr>
          <w:p>
            <w:pPr>
              <w:pStyle w:val="161"/>
              <w:kinsoku w:val="0"/>
              <w:overflowPunct w:val="0"/>
              <w:adjustRightInd w:val="0"/>
              <w:snapToGrid w:val="0"/>
              <w:jc w:val="center"/>
              <w:rPr>
                <w:color w:val="auto"/>
                <w:szCs w:val="21"/>
              </w:rPr>
            </w:pPr>
            <w:r>
              <w:rPr>
                <w:color w:val="auto"/>
                <w:spacing w:val="11"/>
                <w:szCs w:val="21"/>
              </w:rPr>
              <w:t>250</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300</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350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exact"/>
          <w:jc w:val="center"/>
        </w:trPr>
        <w:tc>
          <w:tcPr>
            <w:tcW w:w="844" w:type="dxa"/>
            <w:vMerge w:val="continue"/>
            <w:vAlign w:val="center"/>
          </w:tcPr>
          <w:p>
            <w:pPr>
              <w:pStyle w:val="161"/>
              <w:kinsoku w:val="0"/>
              <w:overflowPunct w:val="0"/>
              <w:adjustRightInd w:val="0"/>
              <w:snapToGrid w:val="0"/>
              <w:jc w:val="center"/>
              <w:rPr>
                <w:color w:val="auto"/>
                <w:szCs w:val="21"/>
              </w:rPr>
            </w:pPr>
          </w:p>
        </w:tc>
        <w:tc>
          <w:tcPr>
            <w:tcW w:w="693" w:type="dxa"/>
            <w:vMerge w:val="continue"/>
            <w:vAlign w:val="center"/>
          </w:tcPr>
          <w:p>
            <w:pPr>
              <w:pStyle w:val="161"/>
              <w:kinsoku w:val="0"/>
              <w:overflowPunct w:val="0"/>
              <w:adjustRightInd w:val="0"/>
              <w:snapToGrid w:val="0"/>
              <w:jc w:val="center"/>
              <w:rPr>
                <w:color w:val="auto"/>
                <w:szCs w:val="21"/>
              </w:rPr>
            </w:pP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其他</w:t>
            </w:r>
          </w:p>
        </w:tc>
        <w:tc>
          <w:tcPr>
            <w:tcW w:w="1526" w:type="dxa"/>
            <w:vAlign w:val="center"/>
          </w:tcPr>
          <w:p>
            <w:pPr>
              <w:pStyle w:val="161"/>
              <w:kinsoku w:val="0"/>
              <w:overflowPunct w:val="0"/>
              <w:adjustRightInd w:val="0"/>
              <w:snapToGrid w:val="0"/>
              <w:ind w:left="2"/>
              <w:jc w:val="center"/>
              <w:rPr>
                <w:color w:val="auto"/>
                <w:szCs w:val="21"/>
              </w:rPr>
            </w:pPr>
            <w:r>
              <w:rPr>
                <w:color w:val="auto"/>
                <w:spacing w:val="11"/>
                <w:szCs w:val="21"/>
              </w:rPr>
              <w:t>150</w:t>
            </w:r>
          </w:p>
        </w:tc>
        <w:tc>
          <w:tcPr>
            <w:tcW w:w="1643" w:type="dxa"/>
            <w:vAlign w:val="center"/>
          </w:tcPr>
          <w:p>
            <w:pPr>
              <w:pStyle w:val="161"/>
              <w:kinsoku w:val="0"/>
              <w:overflowPunct w:val="0"/>
              <w:adjustRightInd w:val="0"/>
              <w:snapToGrid w:val="0"/>
              <w:jc w:val="center"/>
              <w:rPr>
                <w:color w:val="auto"/>
                <w:szCs w:val="21"/>
              </w:rPr>
            </w:pPr>
            <w:r>
              <w:rPr>
                <w:color w:val="auto"/>
                <w:spacing w:val="11"/>
                <w:szCs w:val="21"/>
              </w:rPr>
              <w:t>150</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200</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250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2" w:hRule="exact"/>
          <w:jc w:val="center"/>
        </w:trPr>
        <w:tc>
          <w:tcPr>
            <w:tcW w:w="844" w:type="dxa"/>
            <w:vMerge w:val="restart"/>
            <w:vAlign w:val="center"/>
          </w:tcPr>
          <w:p>
            <w:pPr>
              <w:pStyle w:val="161"/>
              <w:kinsoku w:val="0"/>
              <w:overflowPunct w:val="0"/>
              <w:adjustRightInd w:val="0"/>
              <w:snapToGrid w:val="0"/>
              <w:ind w:right="17"/>
              <w:jc w:val="center"/>
              <w:rPr>
                <w:color w:val="auto"/>
                <w:szCs w:val="21"/>
              </w:rPr>
            </w:pPr>
            <w:r>
              <w:rPr>
                <w:color w:val="auto"/>
                <w:szCs w:val="21"/>
              </w:rPr>
              <w:t>6</w:t>
            </w:r>
          </w:p>
        </w:tc>
        <w:tc>
          <w:tcPr>
            <w:tcW w:w="693" w:type="dxa"/>
            <w:vMerge w:val="restart"/>
            <w:vAlign w:val="center"/>
          </w:tcPr>
          <w:p>
            <w:pPr>
              <w:pStyle w:val="161"/>
              <w:kinsoku w:val="0"/>
              <w:overflowPunct w:val="0"/>
              <w:adjustRightInd w:val="0"/>
              <w:snapToGrid w:val="0"/>
              <w:jc w:val="center"/>
              <w:rPr>
                <w:color w:val="auto"/>
                <w:szCs w:val="21"/>
              </w:rPr>
            </w:pPr>
            <w:r>
              <w:rPr>
                <w:color w:val="auto"/>
                <w:szCs w:val="21"/>
              </w:rPr>
              <w:t>铜</w:t>
            </w: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果园</w:t>
            </w:r>
          </w:p>
        </w:tc>
        <w:tc>
          <w:tcPr>
            <w:tcW w:w="1526" w:type="dxa"/>
            <w:vAlign w:val="center"/>
          </w:tcPr>
          <w:p>
            <w:pPr>
              <w:pStyle w:val="161"/>
              <w:kinsoku w:val="0"/>
              <w:overflowPunct w:val="0"/>
              <w:adjustRightInd w:val="0"/>
              <w:snapToGrid w:val="0"/>
              <w:ind w:left="2"/>
              <w:jc w:val="center"/>
              <w:rPr>
                <w:color w:val="auto"/>
                <w:szCs w:val="21"/>
              </w:rPr>
            </w:pPr>
            <w:r>
              <w:rPr>
                <w:color w:val="auto"/>
                <w:spacing w:val="11"/>
                <w:szCs w:val="21"/>
              </w:rPr>
              <w:t>150</w:t>
            </w:r>
          </w:p>
        </w:tc>
        <w:tc>
          <w:tcPr>
            <w:tcW w:w="1643" w:type="dxa"/>
            <w:vAlign w:val="center"/>
          </w:tcPr>
          <w:p>
            <w:pPr>
              <w:pStyle w:val="161"/>
              <w:kinsoku w:val="0"/>
              <w:overflowPunct w:val="0"/>
              <w:adjustRightInd w:val="0"/>
              <w:snapToGrid w:val="0"/>
              <w:jc w:val="center"/>
              <w:rPr>
                <w:color w:val="auto"/>
                <w:szCs w:val="21"/>
              </w:rPr>
            </w:pPr>
            <w:r>
              <w:rPr>
                <w:color w:val="auto"/>
                <w:spacing w:val="11"/>
                <w:szCs w:val="21"/>
              </w:rPr>
              <w:t>150</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200</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200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exact"/>
          <w:jc w:val="center"/>
        </w:trPr>
        <w:tc>
          <w:tcPr>
            <w:tcW w:w="844" w:type="dxa"/>
            <w:vMerge w:val="continue"/>
            <w:vAlign w:val="center"/>
          </w:tcPr>
          <w:p>
            <w:pPr>
              <w:pStyle w:val="161"/>
              <w:kinsoku w:val="0"/>
              <w:overflowPunct w:val="0"/>
              <w:adjustRightInd w:val="0"/>
              <w:snapToGrid w:val="0"/>
              <w:jc w:val="center"/>
              <w:rPr>
                <w:color w:val="auto"/>
                <w:szCs w:val="21"/>
              </w:rPr>
            </w:pPr>
          </w:p>
        </w:tc>
        <w:tc>
          <w:tcPr>
            <w:tcW w:w="693" w:type="dxa"/>
            <w:vMerge w:val="continue"/>
            <w:vAlign w:val="center"/>
          </w:tcPr>
          <w:p>
            <w:pPr>
              <w:pStyle w:val="161"/>
              <w:kinsoku w:val="0"/>
              <w:overflowPunct w:val="0"/>
              <w:adjustRightInd w:val="0"/>
              <w:snapToGrid w:val="0"/>
              <w:jc w:val="center"/>
              <w:rPr>
                <w:color w:val="auto"/>
                <w:szCs w:val="21"/>
              </w:rPr>
            </w:pPr>
          </w:p>
        </w:tc>
        <w:tc>
          <w:tcPr>
            <w:tcW w:w="1248" w:type="dxa"/>
            <w:vAlign w:val="center"/>
          </w:tcPr>
          <w:p>
            <w:pPr>
              <w:pStyle w:val="161"/>
              <w:kinsoku w:val="0"/>
              <w:overflowPunct w:val="0"/>
              <w:adjustRightInd w:val="0"/>
              <w:snapToGrid w:val="0"/>
              <w:jc w:val="center"/>
              <w:rPr>
                <w:color w:val="auto"/>
                <w:szCs w:val="21"/>
              </w:rPr>
            </w:pPr>
            <w:r>
              <w:rPr>
                <w:color w:val="auto"/>
                <w:spacing w:val="11"/>
                <w:szCs w:val="21"/>
              </w:rPr>
              <w:t>其他</w:t>
            </w:r>
          </w:p>
        </w:tc>
        <w:tc>
          <w:tcPr>
            <w:tcW w:w="1526" w:type="dxa"/>
            <w:vAlign w:val="center"/>
          </w:tcPr>
          <w:p>
            <w:pPr>
              <w:pStyle w:val="161"/>
              <w:kinsoku w:val="0"/>
              <w:overflowPunct w:val="0"/>
              <w:adjustRightInd w:val="0"/>
              <w:snapToGrid w:val="0"/>
              <w:ind w:right="10"/>
              <w:jc w:val="center"/>
              <w:rPr>
                <w:color w:val="auto"/>
                <w:szCs w:val="21"/>
              </w:rPr>
            </w:pPr>
            <w:r>
              <w:rPr>
                <w:color w:val="auto"/>
                <w:spacing w:val="5"/>
                <w:szCs w:val="21"/>
              </w:rPr>
              <w:t>50</w:t>
            </w:r>
          </w:p>
        </w:tc>
        <w:tc>
          <w:tcPr>
            <w:tcW w:w="1643" w:type="dxa"/>
            <w:vAlign w:val="center"/>
          </w:tcPr>
          <w:p>
            <w:pPr>
              <w:pStyle w:val="161"/>
              <w:kinsoku w:val="0"/>
              <w:overflowPunct w:val="0"/>
              <w:adjustRightInd w:val="0"/>
              <w:snapToGrid w:val="0"/>
              <w:ind w:right="12"/>
              <w:jc w:val="center"/>
              <w:rPr>
                <w:color w:val="auto"/>
                <w:szCs w:val="21"/>
              </w:rPr>
            </w:pPr>
            <w:r>
              <w:rPr>
                <w:color w:val="auto"/>
                <w:spacing w:val="5"/>
                <w:szCs w:val="21"/>
              </w:rPr>
              <w:t>50</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100</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2" w:hRule="exact"/>
          <w:jc w:val="center"/>
        </w:trPr>
        <w:tc>
          <w:tcPr>
            <w:tcW w:w="844" w:type="dxa"/>
            <w:vAlign w:val="center"/>
          </w:tcPr>
          <w:p>
            <w:pPr>
              <w:pStyle w:val="161"/>
              <w:kinsoku w:val="0"/>
              <w:overflowPunct w:val="0"/>
              <w:adjustRightInd w:val="0"/>
              <w:snapToGrid w:val="0"/>
              <w:ind w:right="17"/>
              <w:jc w:val="center"/>
              <w:rPr>
                <w:color w:val="auto"/>
                <w:szCs w:val="21"/>
              </w:rPr>
            </w:pPr>
            <w:r>
              <w:rPr>
                <w:color w:val="auto"/>
                <w:szCs w:val="21"/>
              </w:rPr>
              <w:t>7</w:t>
            </w:r>
          </w:p>
        </w:tc>
        <w:tc>
          <w:tcPr>
            <w:tcW w:w="1941" w:type="dxa"/>
            <w:gridSpan w:val="2"/>
            <w:vAlign w:val="center"/>
          </w:tcPr>
          <w:p>
            <w:pPr>
              <w:pStyle w:val="161"/>
              <w:kinsoku w:val="0"/>
              <w:overflowPunct w:val="0"/>
              <w:adjustRightInd w:val="0"/>
              <w:snapToGrid w:val="0"/>
              <w:ind w:right="22"/>
              <w:jc w:val="center"/>
              <w:rPr>
                <w:color w:val="auto"/>
                <w:szCs w:val="21"/>
              </w:rPr>
            </w:pPr>
            <w:r>
              <w:rPr>
                <w:color w:val="auto"/>
                <w:szCs w:val="21"/>
              </w:rPr>
              <w:t>镍</w:t>
            </w:r>
          </w:p>
        </w:tc>
        <w:tc>
          <w:tcPr>
            <w:tcW w:w="1526" w:type="dxa"/>
            <w:vAlign w:val="center"/>
          </w:tcPr>
          <w:p>
            <w:pPr>
              <w:pStyle w:val="161"/>
              <w:kinsoku w:val="0"/>
              <w:overflowPunct w:val="0"/>
              <w:adjustRightInd w:val="0"/>
              <w:snapToGrid w:val="0"/>
              <w:ind w:right="10"/>
              <w:jc w:val="center"/>
              <w:rPr>
                <w:color w:val="auto"/>
                <w:szCs w:val="21"/>
              </w:rPr>
            </w:pPr>
            <w:r>
              <w:rPr>
                <w:color w:val="auto"/>
                <w:spacing w:val="5"/>
                <w:szCs w:val="21"/>
              </w:rPr>
              <w:t>60</w:t>
            </w:r>
          </w:p>
        </w:tc>
        <w:tc>
          <w:tcPr>
            <w:tcW w:w="1643" w:type="dxa"/>
            <w:vAlign w:val="center"/>
          </w:tcPr>
          <w:p>
            <w:pPr>
              <w:pStyle w:val="161"/>
              <w:kinsoku w:val="0"/>
              <w:overflowPunct w:val="0"/>
              <w:adjustRightInd w:val="0"/>
              <w:snapToGrid w:val="0"/>
              <w:ind w:right="12"/>
              <w:jc w:val="center"/>
              <w:rPr>
                <w:color w:val="auto"/>
                <w:szCs w:val="21"/>
              </w:rPr>
            </w:pPr>
            <w:r>
              <w:rPr>
                <w:color w:val="auto"/>
                <w:spacing w:val="5"/>
                <w:szCs w:val="21"/>
              </w:rPr>
              <w:t>70</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100</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190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exact"/>
          <w:jc w:val="center"/>
        </w:trPr>
        <w:tc>
          <w:tcPr>
            <w:tcW w:w="844" w:type="dxa"/>
            <w:vAlign w:val="center"/>
          </w:tcPr>
          <w:p>
            <w:pPr>
              <w:pStyle w:val="161"/>
              <w:kinsoku w:val="0"/>
              <w:overflowPunct w:val="0"/>
              <w:adjustRightInd w:val="0"/>
              <w:snapToGrid w:val="0"/>
              <w:ind w:right="17"/>
              <w:jc w:val="center"/>
              <w:rPr>
                <w:color w:val="auto"/>
                <w:szCs w:val="21"/>
              </w:rPr>
            </w:pPr>
            <w:r>
              <w:rPr>
                <w:color w:val="auto"/>
                <w:szCs w:val="21"/>
              </w:rPr>
              <w:t>8</w:t>
            </w:r>
          </w:p>
        </w:tc>
        <w:tc>
          <w:tcPr>
            <w:tcW w:w="1941" w:type="dxa"/>
            <w:gridSpan w:val="2"/>
            <w:vAlign w:val="center"/>
          </w:tcPr>
          <w:p>
            <w:pPr>
              <w:pStyle w:val="161"/>
              <w:kinsoku w:val="0"/>
              <w:overflowPunct w:val="0"/>
              <w:adjustRightInd w:val="0"/>
              <w:snapToGrid w:val="0"/>
              <w:ind w:right="22"/>
              <w:jc w:val="center"/>
              <w:rPr>
                <w:color w:val="auto"/>
                <w:szCs w:val="21"/>
              </w:rPr>
            </w:pPr>
            <w:r>
              <w:rPr>
                <w:color w:val="auto"/>
                <w:szCs w:val="21"/>
              </w:rPr>
              <w:t>锌</w:t>
            </w:r>
          </w:p>
        </w:tc>
        <w:tc>
          <w:tcPr>
            <w:tcW w:w="1526" w:type="dxa"/>
            <w:vAlign w:val="center"/>
          </w:tcPr>
          <w:p>
            <w:pPr>
              <w:pStyle w:val="161"/>
              <w:kinsoku w:val="0"/>
              <w:overflowPunct w:val="0"/>
              <w:adjustRightInd w:val="0"/>
              <w:snapToGrid w:val="0"/>
              <w:ind w:left="2"/>
              <w:jc w:val="center"/>
              <w:rPr>
                <w:color w:val="auto"/>
                <w:szCs w:val="21"/>
              </w:rPr>
            </w:pPr>
            <w:r>
              <w:rPr>
                <w:color w:val="auto"/>
                <w:spacing w:val="11"/>
                <w:szCs w:val="21"/>
              </w:rPr>
              <w:t>200</w:t>
            </w:r>
          </w:p>
        </w:tc>
        <w:tc>
          <w:tcPr>
            <w:tcW w:w="1643" w:type="dxa"/>
            <w:vAlign w:val="center"/>
          </w:tcPr>
          <w:p>
            <w:pPr>
              <w:pStyle w:val="161"/>
              <w:kinsoku w:val="0"/>
              <w:overflowPunct w:val="0"/>
              <w:adjustRightInd w:val="0"/>
              <w:snapToGrid w:val="0"/>
              <w:jc w:val="center"/>
              <w:rPr>
                <w:color w:val="auto"/>
                <w:szCs w:val="21"/>
              </w:rPr>
            </w:pPr>
            <w:r>
              <w:rPr>
                <w:color w:val="auto"/>
                <w:spacing w:val="11"/>
                <w:szCs w:val="21"/>
              </w:rPr>
              <w:t>200</w:t>
            </w:r>
          </w:p>
        </w:tc>
        <w:tc>
          <w:tcPr>
            <w:tcW w:w="1551" w:type="dxa"/>
            <w:vAlign w:val="center"/>
          </w:tcPr>
          <w:p>
            <w:pPr>
              <w:pStyle w:val="161"/>
              <w:kinsoku w:val="0"/>
              <w:overflowPunct w:val="0"/>
              <w:adjustRightInd w:val="0"/>
              <w:snapToGrid w:val="0"/>
              <w:ind w:left="2"/>
              <w:jc w:val="center"/>
              <w:rPr>
                <w:color w:val="auto"/>
                <w:szCs w:val="21"/>
              </w:rPr>
            </w:pPr>
            <w:r>
              <w:rPr>
                <w:color w:val="auto"/>
                <w:spacing w:val="11"/>
                <w:szCs w:val="21"/>
              </w:rPr>
              <w:t>250</w:t>
            </w:r>
          </w:p>
        </w:tc>
        <w:tc>
          <w:tcPr>
            <w:tcW w:w="1246" w:type="dxa"/>
            <w:vAlign w:val="center"/>
          </w:tcPr>
          <w:p>
            <w:pPr>
              <w:pStyle w:val="161"/>
              <w:kinsoku w:val="0"/>
              <w:overflowPunct w:val="0"/>
              <w:adjustRightInd w:val="0"/>
              <w:snapToGrid w:val="0"/>
              <w:jc w:val="center"/>
              <w:rPr>
                <w:color w:val="auto"/>
                <w:szCs w:val="21"/>
              </w:rPr>
            </w:pPr>
            <w:r>
              <w:rPr>
                <w:color w:val="auto"/>
                <w:spacing w:val="11"/>
                <w:szCs w:val="21"/>
              </w:rPr>
              <w:t>300</w:t>
            </w:r>
          </w:p>
        </w:tc>
      </w:tr>
    </w:tbl>
    <w:p>
      <w:pPr>
        <w:pStyle w:val="5"/>
        <w:numPr>
          <w:ilvl w:val="2"/>
          <w:numId w:val="0"/>
        </w:numPr>
        <w:spacing w:before="120" w:beforeLines="50"/>
        <w:ind w:left="-720" w:leftChars="-343" w:firstLine="723" w:firstLineChars="300"/>
        <w:rPr>
          <w:color w:val="auto"/>
        </w:rPr>
      </w:pPr>
      <w:bookmarkStart w:id="120" w:name="_Toc109398548"/>
      <w:bookmarkStart w:id="121" w:name="_Toc11595183"/>
      <w:r>
        <w:rPr>
          <w:color w:val="auto"/>
        </w:rPr>
        <w:t>1.4.2污染物排放标准</w:t>
      </w:r>
      <w:bookmarkEnd w:id="120"/>
      <w:bookmarkEnd w:id="121"/>
    </w:p>
    <w:p>
      <w:pPr>
        <w:pStyle w:val="6"/>
        <w:numPr>
          <w:ilvl w:val="3"/>
          <w:numId w:val="0"/>
        </w:numPr>
        <w:rPr>
          <w:color w:val="auto"/>
        </w:rPr>
      </w:pPr>
      <w:bookmarkStart w:id="122" w:name="_Toc11595184"/>
      <w:r>
        <w:rPr>
          <w:color w:val="auto"/>
        </w:rPr>
        <w:t>1.4.2.1废气排放标准</w:t>
      </w:r>
      <w:bookmarkEnd w:id="122"/>
    </w:p>
    <w:p>
      <w:pPr>
        <w:pStyle w:val="130"/>
        <w:ind w:firstLine="480"/>
        <w:rPr>
          <w:color w:val="auto"/>
        </w:rPr>
      </w:pPr>
      <w:bookmarkStart w:id="123" w:name="_Toc11595185"/>
      <w:r>
        <w:rPr>
          <w:color w:val="auto"/>
          <w:lang w:bidi="en-GB"/>
        </w:rPr>
        <w:t>根据</w:t>
      </w:r>
      <w:r>
        <w:rPr>
          <w:color w:val="auto"/>
        </w:rPr>
        <w:t>《医疗废物处理处置污染控制标准》（GB39707-2020）</w:t>
      </w:r>
      <w:r>
        <w:rPr>
          <w:rFonts w:hint="eastAsia"/>
          <w:color w:val="auto"/>
        </w:rPr>
        <w:t>中</w:t>
      </w:r>
      <w:r>
        <w:rPr>
          <w:color w:val="auto"/>
        </w:rPr>
        <w:t>的</w:t>
      </w:r>
      <w:r>
        <w:rPr>
          <w:rFonts w:hint="eastAsia"/>
          <w:color w:val="auto"/>
        </w:rPr>
        <w:t>污染物排放控制</w:t>
      </w:r>
      <w:r>
        <w:rPr>
          <w:color w:val="auto"/>
        </w:rPr>
        <w:t>要求</w:t>
      </w:r>
      <w:r>
        <w:rPr>
          <w:rFonts w:hint="eastAsia"/>
          <w:color w:val="auto"/>
        </w:rPr>
        <w:t>。</w:t>
      </w:r>
      <w:r>
        <w:rPr>
          <w:color w:val="auto"/>
        </w:rPr>
        <w:t>本项目高温蒸汽灭菌</w:t>
      </w:r>
      <w:r>
        <w:rPr>
          <w:rFonts w:hint="eastAsia"/>
          <w:color w:val="auto"/>
        </w:rPr>
        <w:t>系统</w:t>
      </w:r>
      <w:r>
        <w:rPr>
          <w:color w:val="auto"/>
        </w:rPr>
        <w:t>有组织非甲烷总烃排放执行《医疗废物处理处置污染控制标准》（GB39707-2020）中表3消毒处理设施排放废气污染物浓度限值，厂界处非甲烷总烃执行</w:t>
      </w:r>
      <w:bookmarkStart w:id="124" w:name="_Hlk105425469"/>
      <w:r>
        <w:rPr>
          <w:color w:val="auto"/>
        </w:rPr>
        <w:t>《大气污染物综合排放标准》（GB16297-1996）表2周界外无组织排放监控浓度限值</w:t>
      </w:r>
      <w:bookmarkEnd w:id="124"/>
      <w:r>
        <w:rPr>
          <w:color w:val="auto"/>
        </w:rPr>
        <w:t>；颗粒物执行《大气污染物综合排放标准》（GB16297-1996）表2的二级标准；氨、硫化氢、臭气浓度（无量纲）执行《恶臭污染物排放标准》（GB14554-93）表1</w:t>
      </w:r>
      <w:r>
        <w:rPr>
          <w:rFonts w:hint="eastAsia"/>
          <w:color w:val="auto"/>
        </w:rPr>
        <w:t>恶臭污染物厂界标准值中的</w:t>
      </w:r>
      <w:r>
        <w:rPr>
          <w:color w:val="auto"/>
        </w:rPr>
        <w:t>二级标准及表2</w:t>
      </w:r>
      <w:r>
        <w:rPr>
          <w:rFonts w:hint="eastAsia"/>
          <w:color w:val="auto"/>
        </w:rPr>
        <w:t>恶臭污染物</w:t>
      </w:r>
      <w:r>
        <w:rPr>
          <w:color w:val="auto"/>
        </w:rPr>
        <w:t>排放标准值。具体标准值详见表1.4-7~1.4-9。</w:t>
      </w:r>
    </w:p>
    <w:p>
      <w:pPr>
        <w:pStyle w:val="114"/>
        <w:spacing w:before="0" w:beforeLines="0"/>
        <w:rPr>
          <w:color w:val="auto"/>
        </w:rPr>
      </w:pPr>
      <w:r>
        <w:rPr>
          <w:color w:val="auto"/>
        </w:rPr>
        <w:t>表1.4-7 《医疗废物处理处置污染控制标准》（GB39707-2020）表3消毒处理设施排放废气污染物浓度限值</w:t>
      </w:r>
    </w:p>
    <w:tbl>
      <w:tblPr>
        <w:tblStyle w:val="512"/>
        <w:tblW w:w="851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37"/>
        <w:gridCol w:w="3255"/>
        <w:gridCol w:w="31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1" w:hRule="atLeast"/>
          <w:jc w:val="center"/>
        </w:trPr>
        <w:tc>
          <w:tcPr>
            <w:tcW w:w="2137" w:type="dxa"/>
            <w:vAlign w:val="center"/>
          </w:tcPr>
          <w:p>
            <w:pPr>
              <w:pStyle w:val="164"/>
              <w:rPr>
                <w:rFonts w:ascii="Times New Roman" w:hAnsi="Times New Roman"/>
                <w:color w:val="auto"/>
              </w:rPr>
            </w:pPr>
            <w:r>
              <w:rPr>
                <w:rFonts w:ascii="Times New Roman" w:hAnsi="Times New Roman"/>
                <w:color w:val="auto"/>
              </w:rPr>
              <w:t>序号</w:t>
            </w:r>
          </w:p>
        </w:tc>
        <w:tc>
          <w:tcPr>
            <w:tcW w:w="3255" w:type="dxa"/>
            <w:vAlign w:val="center"/>
          </w:tcPr>
          <w:p>
            <w:pPr>
              <w:pStyle w:val="164"/>
              <w:rPr>
                <w:rFonts w:ascii="Times New Roman" w:hAnsi="Times New Roman"/>
                <w:color w:val="auto"/>
              </w:rPr>
            </w:pPr>
            <w:r>
              <w:rPr>
                <w:rFonts w:ascii="Times New Roman" w:hAnsi="Times New Roman"/>
                <w:color w:val="auto"/>
              </w:rPr>
              <w:t>污染物项目</w:t>
            </w:r>
          </w:p>
        </w:tc>
        <w:tc>
          <w:tcPr>
            <w:tcW w:w="3126" w:type="dxa"/>
            <w:vAlign w:val="center"/>
          </w:tcPr>
          <w:p>
            <w:pPr>
              <w:pStyle w:val="164"/>
              <w:rPr>
                <w:rFonts w:ascii="Times New Roman" w:hAnsi="Times New Roman"/>
                <w:color w:val="auto"/>
              </w:rPr>
            </w:pPr>
            <w:r>
              <w:rPr>
                <w:rFonts w:ascii="Times New Roman" w:hAnsi="Times New Roman"/>
                <w:color w:val="auto"/>
              </w:rPr>
              <w:t>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38" w:hRule="atLeast"/>
          <w:jc w:val="center"/>
        </w:trPr>
        <w:tc>
          <w:tcPr>
            <w:tcW w:w="2137" w:type="dxa"/>
            <w:vAlign w:val="center"/>
          </w:tcPr>
          <w:p>
            <w:pPr>
              <w:pStyle w:val="164"/>
              <w:rPr>
                <w:rFonts w:ascii="Times New Roman" w:hAnsi="Times New Roman"/>
                <w:color w:val="auto"/>
              </w:rPr>
            </w:pPr>
            <w:r>
              <w:rPr>
                <w:rFonts w:ascii="Times New Roman" w:hAnsi="Times New Roman"/>
                <w:color w:val="auto"/>
              </w:rPr>
              <w:t>1</w:t>
            </w:r>
          </w:p>
        </w:tc>
        <w:tc>
          <w:tcPr>
            <w:tcW w:w="3255" w:type="dxa"/>
            <w:vAlign w:val="center"/>
          </w:tcPr>
          <w:p>
            <w:pPr>
              <w:pStyle w:val="164"/>
              <w:rPr>
                <w:rFonts w:ascii="Times New Roman" w:hAnsi="Times New Roman"/>
                <w:color w:val="auto"/>
              </w:rPr>
            </w:pPr>
            <w:r>
              <w:rPr>
                <w:rFonts w:ascii="Times New Roman" w:hAnsi="Times New Roman"/>
                <w:color w:val="auto"/>
              </w:rPr>
              <w:t>非甲烷总烃</w:t>
            </w:r>
          </w:p>
        </w:tc>
        <w:tc>
          <w:tcPr>
            <w:tcW w:w="3126" w:type="dxa"/>
            <w:vAlign w:val="center"/>
          </w:tcPr>
          <w:p>
            <w:pPr>
              <w:pStyle w:val="164"/>
              <w:rPr>
                <w:rFonts w:ascii="Times New Roman" w:hAnsi="Times New Roman"/>
                <w:color w:val="auto"/>
              </w:rPr>
            </w:pPr>
            <w:r>
              <w:rPr>
                <w:rFonts w:ascii="Times New Roman" w:hAnsi="Times New Roman"/>
                <w:color w:val="auto"/>
              </w:rPr>
              <w:t>20mg/m</w:t>
            </w:r>
            <w:r>
              <w:rPr>
                <w:rFonts w:ascii="Times New Roman" w:hAnsi="Times New Roman"/>
                <w:color w:val="auto"/>
                <w:vertAlign w:val="superscript"/>
              </w:rPr>
              <w:t>3</w:t>
            </w:r>
          </w:p>
        </w:tc>
      </w:tr>
    </w:tbl>
    <w:p>
      <w:pPr>
        <w:pStyle w:val="114"/>
        <w:spacing w:before="0" w:beforeLines="0" w:line="500" w:lineRule="exact"/>
        <w:rPr>
          <w:color w:val="auto"/>
        </w:rPr>
      </w:pPr>
      <w:r>
        <w:rPr>
          <w:color w:val="auto"/>
        </w:rPr>
        <w:t>表1.4-8  《大气污染物综合排放标准》（GB16297-1996）表2二级标准</w:t>
      </w:r>
    </w:p>
    <w:tbl>
      <w:tblPr>
        <w:tblStyle w:val="512"/>
        <w:tblW w:w="852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1133"/>
        <w:gridCol w:w="1862"/>
        <w:gridCol w:w="993"/>
        <w:gridCol w:w="1275"/>
        <w:gridCol w:w="17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26" w:type="dxa"/>
            <w:vMerge w:val="restart"/>
            <w:vAlign w:val="center"/>
          </w:tcPr>
          <w:p>
            <w:pPr>
              <w:pStyle w:val="164"/>
              <w:rPr>
                <w:rFonts w:ascii="Times New Roman" w:hAnsi="Times New Roman"/>
                <w:color w:val="auto"/>
              </w:rPr>
            </w:pPr>
            <w:r>
              <w:rPr>
                <w:rFonts w:ascii="Times New Roman" w:hAnsi="Times New Roman"/>
                <w:color w:val="auto"/>
              </w:rPr>
              <w:t>污染物</w:t>
            </w:r>
          </w:p>
        </w:tc>
        <w:tc>
          <w:tcPr>
            <w:tcW w:w="1133" w:type="dxa"/>
            <w:vMerge w:val="restart"/>
            <w:vAlign w:val="center"/>
          </w:tcPr>
          <w:p>
            <w:pPr>
              <w:pStyle w:val="164"/>
              <w:rPr>
                <w:rFonts w:ascii="Times New Roman" w:hAnsi="Times New Roman"/>
                <w:color w:val="auto"/>
              </w:rPr>
            </w:pPr>
            <w:r>
              <w:rPr>
                <w:rFonts w:ascii="Times New Roman" w:hAnsi="Times New Roman"/>
                <w:color w:val="auto"/>
              </w:rPr>
              <w:t>最高允许排放浓度</w:t>
            </w:r>
          </w:p>
        </w:tc>
        <w:tc>
          <w:tcPr>
            <w:tcW w:w="2855" w:type="dxa"/>
            <w:gridSpan w:val="2"/>
            <w:vAlign w:val="center"/>
          </w:tcPr>
          <w:p>
            <w:pPr>
              <w:pStyle w:val="164"/>
              <w:rPr>
                <w:rFonts w:ascii="Times New Roman" w:hAnsi="Times New Roman"/>
                <w:color w:val="auto"/>
              </w:rPr>
            </w:pPr>
            <w:r>
              <w:rPr>
                <w:rFonts w:ascii="Times New Roman" w:hAnsi="Times New Roman"/>
                <w:color w:val="auto"/>
              </w:rPr>
              <w:t>最高允许排放速率（kg/h）</w:t>
            </w:r>
          </w:p>
        </w:tc>
        <w:tc>
          <w:tcPr>
            <w:tcW w:w="3012" w:type="dxa"/>
            <w:gridSpan w:val="2"/>
            <w:vAlign w:val="center"/>
          </w:tcPr>
          <w:p>
            <w:pPr>
              <w:pStyle w:val="164"/>
              <w:rPr>
                <w:rFonts w:ascii="Times New Roman" w:hAnsi="Times New Roman"/>
                <w:color w:val="auto"/>
              </w:rPr>
            </w:pPr>
            <w:r>
              <w:rPr>
                <w:rFonts w:ascii="Times New Roman" w:hAnsi="Times New Roman"/>
                <w:color w:val="auto"/>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26" w:type="dxa"/>
            <w:vMerge w:val="continue"/>
            <w:vAlign w:val="center"/>
          </w:tcPr>
          <w:p>
            <w:pPr>
              <w:pStyle w:val="164"/>
              <w:rPr>
                <w:rFonts w:ascii="Times New Roman" w:hAnsi="Times New Roman"/>
                <w:color w:val="auto"/>
              </w:rPr>
            </w:pPr>
          </w:p>
        </w:tc>
        <w:tc>
          <w:tcPr>
            <w:tcW w:w="1133" w:type="dxa"/>
            <w:vMerge w:val="continue"/>
            <w:vAlign w:val="center"/>
          </w:tcPr>
          <w:p>
            <w:pPr>
              <w:pStyle w:val="164"/>
              <w:rPr>
                <w:rFonts w:ascii="Times New Roman" w:hAnsi="Times New Roman"/>
                <w:color w:val="auto"/>
              </w:rPr>
            </w:pPr>
          </w:p>
        </w:tc>
        <w:tc>
          <w:tcPr>
            <w:tcW w:w="1862" w:type="dxa"/>
            <w:vAlign w:val="center"/>
          </w:tcPr>
          <w:p>
            <w:pPr>
              <w:pStyle w:val="164"/>
              <w:rPr>
                <w:rFonts w:ascii="Times New Roman" w:hAnsi="Times New Roman"/>
                <w:color w:val="auto"/>
              </w:rPr>
            </w:pPr>
            <w:r>
              <w:rPr>
                <w:rFonts w:ascii="Times New Roman" w:hAnsi="Times New Roman"/>
                <w:color w:val="auto"/>
              </w:rPr>
              <w:t>排气筒高</w:t>
            </w:r>
            <w:r>
              <w:rPr>
                <w:rFonts w:hint="eastAsia" w:ascii="Times New Roman" w:hAnsi="Times New Roman"/>
                <w:color w:val="auto"/>
              </w:rPr>
              <w:t>度</w:t>
            </w:r>
            <w:r>
              <w:rPr>
                <w:rFonts w:ascii="Times New Roman" w:hAnsi="Times New Roman"/>
                <w:color w:val="auto"/>
              </w:rPr>
              <w:t>（m）</w:t>
            </w:r>
          </w:p>
        </w:tc>
        <w:tc>
          <w:tcPr>
            <w:tcW w:w="993" w:type="dxa"/>
            <w:vAlign w:val="center"/>
          </w:tcPr>
          <w:p>
            <w:pPr>
              <w:pStyle w:val="164"/>
              <w:rPr>
                <w:rFonts w:ascii="Times New Roman" w:hAnsi="Times New Roman"/>
                <w:color w:val="auto"/>
              </w:rPr>
            </w:pPr>
            <w:r>
              <w:rPr>
                <w:rFonts w:ascii="Times New Roman" w:hAnsi="Times New Roman"/>
                <w:color w:val="auto"/>
              </w:rPr>
              <w:t>二级</w:t>
            </w:r>
          </w:p>
        </w:tc>
        <w:tc>
          <w:tcPr>
            <w:tcW w:w="1275" w:type="dxa"/>
            <w:vAlign w:val="center"/>
          </w:tcPr>
          <w:p>
            <w:pPr>
              <w:pStyle w:val="164"/>
              <w:rPr>
                <w:rFonts w:ascii="Times New Roman" w:hAnsi="Times New Roman"/>
                <w:color w:val="auto"/>
              </w:rPr>
            </w:pPr>
            <w:r>
              <w:rPr>
                <w:rFonts w:ascii="Times New Roman" w:hAnsi="Times New Roman"/>
                <w:color w:val="auto"/>
              </w:rPr>
              <w:t>监控点</w:t>
            </w:r>
          </w:p>
        </w:tc>
        <w:tc>
          <w:tcPr>
            <w:tcW w:w="1737" w:type="dxa"/>
            <w:vAlign w:val="center"/>
          </w:tcPr>
          <w:p>
            <w:pPr>
              <w:pStyle w:val="164"/>
              <w:rPr>
                <w:rFonts w:ascii="Times New Roman" w:hAnsi="Times New Roman"/>
                <w:color w:val="auto"/>
              </w:rPr>
            </w:pPr>
            <w:r>
              <w:rPr>
                <w:rFonts w:ascii="Times New Roman" w:hAnsi="Times New Roman"/>
                <w:color w:val="auto"/>
              </w:rPr>
              <w:t>浓度（mg/m</w:t>
            </w:r>
            <w:r>
              <w:rPr>
                <w:rFonts w:ascii="Times New Roman" w:hAnsi="Times New Roman"/>
                <w:color w:val="auto"/>
                <w:vertAlign w:val="superscript"/>
              </w:rPr>
              <w:t>3</w:t>
            </w:r>
            <w:r>
              <w:rPr>
                <w:rFonts w:ascii="Times New Roman" w:hAnsi="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jc w:val="center"/>
        </w:trPr>
        <w:tc>
          <w:tcPr>
            <w:tcW w:w="1526" w:type="dxa"/>
            <w:vAlign w:val="center"/>
          </w:tcPr>
          <w:p>
            <w:pPr>
              <w:pStyle w:val="164"/>
              <w:rPr>
                <w:rFonts w:ascii="Times New Roman" w:hAnsi="Times New Roman"/>
                <w:color w:val="auto"/>
              </w:rPr>
            </w:pPr>
            <w:r>
              <w:rPr>
                <w:rFonts w:ascii="Times New Roman" w:hAnsi="Times New Roman"/>
                <w:color w:val="auto"/>
              </w:rPr>
              <w:t>颗粒物</w:t>
            </w:r>
          </w:p>
        </w:tc>
        <w:tc>
          <w:tcPr>
            <w:tcW w:w="1133" w:type="dxa"/>
            <w:vAlign w:val="center"/>
          </w:tcPr>
          <w:p>
            <w:pPr>
              <w:pStyle w:val="164"/>
              <w:rPr>
                <w:rFonts w:ascii="Times New Roman" w:hAnsi="Times New Roman"/>
                <w:color w:val="auto"/>
              </w:rPr>
            </w:pPr>
            <w:r>
              <w:rPr>
                <w:rFonts w:ascii="Times New Roman" w:hAnsi="Times New Roman"/>
                <w:color w:val="auto"/>
              </w:rPr>
              <w:tab/>
            </w:r>
            <w:r>
              <w:rPr>
                <w:rFonts w:ascii="Times New Roman" w:hAnsi="Times New Roman"/>
                <w:color w:val="auto"/>
              </w:rPr>
              <w:t>120</w:t>
            </w:r>
          </w:p>
        </w:tc>
        <w:tc>
          <w:tcPr>
            <w:tcW w:w="1862" w:type="dxa"/>
            <w:vAlign w:val="center"/>
          </w:tcPr>
          <w:p>
            <w:pPr>
              <w:pStyle w:val="164"/>
              <w:rPr>
                <w:rFonts w:ascii="Times New Roman" w:hAnsi="Times New Roman"/>
                <w:color w:val="auto"/>
              </w:rPr>
            </w:pPr>
            <w:r>
              <w:rPr>
                <w:rFonts w:ascii="Times New Roman" w:hAnsi="Times New Roman"/>
                <w:color w:val="auto"/>
              </w:rPr>
              <w:t>15</w:t>
            </w:r>
          </w:p>
        </w:tc>
        <w:tc>
          <w:tcPr>
            <w:tcW w:w="993" w:type="dxa"/>
            <w:vAlign w:val="center"/>
          </w:tcPr>
          <w:p>
            <w:pPr>
              <w:pStyle w:val="164"/>
              <w:rPr>
                <w:rFonts w:ascii="Times New Roman" w:hAnsi="Times New Roman"/>
                <w:color w:val="auto"/>
              </w:rPr>
            </w:pPr>
            <w:r>
              <w:rPr>
                <w:rFonts w:ascii="Times New Roman" w:hAnsi="Times New Roman"/>
                <w:color w:val="auto"/>
              </w:rPr>
              <w:t>3.5</w:t>
            </w:r>
          </w:p>
        </w:tc>
        <w:tc>
          <w:tcPr>
            <w:tcW w:w="1275" w:type="dxa"/>
            <w:vMerge w:val="restart"/>
            <w:vAlign w:val="center"/>
          </w:tcPr>
          <w:p>
            <w:pPr>
              <w:pStyle w:val="164"/>
              <w:rPr>
                <w:rFonts w:ascii="Times New Roman" w:hAnsi="Times New Roman"/>
                <w:color w:val="auto"/>
              </w:rPr>
            </w:pPr>
            <w:r>
              <w:rPr>
                <w:rFonts w:ascii="Times New Roman" w:hAnsi="Times New Roman"/>
                <w:color w:val="auto"/>
              </w:rPr>
              <w:t>周界外浓度最高点</w:t>
            </w:r>
          </w:p>
        </w:tc>
        <w:tc>
          <w:tcPr>
            <w:tcW w:w="1737" w:type="dxa"/>
            <w:vAlign w:val="center"/>
          </w:tcPr>
          <w:p>
            <w:pPr>
              <w:pStyle w:val="164"/>
              <w:rPr>
                <w:rFonts w:ascii="Times New Roman" w:hAnsi="Times New Roman"/>
                <w:color w:val="auto"/>
              </w:rPr>
            </w:pPr>
            <w:r>
              <w:rPr>
                <w:rFonts w:ascii="Times New Roman" w:hAnsi="Times New Roman"/>
                <w:color w:val="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40" w:hRule="atLeast"/>
          <w:jc w:val="center"/>
        </w:trPr>
        <w:tc>
          <w:tcPr>
            <w:tcW w:w="1526" w:type="dxa"/>
            <w:vAlign w:val="center"/>
          </w:tcPr>
          <w:p>
            <w:pPr>
              <w:pStyle w:val="164"/>
              <w:rPr>
                <w:rFonts w:ascii="Times New Roman" w:hAnsi="Times New Roman"/>
                <w:color w:val="auto"/>
              </w:rPr>
            </w:pPr>
            <w:r>
              <w:rPr>
                <w:rFonts w:ascii="Times New Roman" w:hAnsi="Times New Roman"/>
                <w:color w:val="auto"/>
              </w:rPr>
              <w:t>非甲烷总烃</w:t>
            </w:r>
          </w:p>
        </w:tc>
        <w:tc>
          <w:tcPr>
            <w:tcW w:w="3988" w:type="dxa"/>
            <w:gridSpan w:val="3"/>
            <w:vAlign w:val="center"/>
          </w:tcPr>
          <w:p>
            <w:pPr>
              <w:pStyle w:val="164"/>
              <w:rPr>
                <w:rFonts w:ascii="Times New Roman" w:hAnsi="Times New Roman"/>
                <w:color w:val="auto"/>
              </w:rPr>
            </w:pPr>
            <w:r>
              <w:rPr>
                <w:rFonts w:ascii="Times New Roman" w:hAnsi="Times New Roman"/>
                <w:color w:val="auto"/>
              </w:rPr>
              <w:t>/</w:t>
            </w:r>
          </w:p>
        </w:tc>
        <w:tc>
          <w:tcPr>
            <w:tcW w:w="1275" w:type="dxa"/>
            <w:vMerge w:val="continue"/>
            <w:vAlign w:val="center"/>
          </w:tcPr>
          <w:p>
            <w:pPr>
              <w:pStyle w:val="164"/>
              <w:rPr>
                <w:rFonts w:ascii="Times New Roman" w:hAnsi="Times New Roman"/>
                <w:color w:val="auto"/>
              </w:rPr>
            </w:pPr>
          </w:p>
        </w:tc>
        <w:tc>
          <w:tcPr>
            <w:tcW w:w="1737" w:type="dxa"/>
            <w:vAlign w:val="center"/>
          </w:tcPr>
          <w:p>
            <w:pPr>
              <w:pStyle w:val="164"/>
              <w:rPr>
                <w:rFonts w:ascii="Times New Roman" w:hAnsi="Times New Roman"/>
                <w:color w:val="auto"/>
              </w:rPr>
            </w:pPr>
            <w:r>
              <w:rPr>
                <w:rFonts w:ascii="Times New Roman" w:hAnsi="Times New Roman"/>
                <w:color w:val="auto"/>
              </w:rPr>
              <w:t>4.0</w:t>
            </w:r>
          </w:p>
        </w:tc>
      </w:tr>
    </w:tbl>
    <w:p>
      <w:pPr>
        <w:spacing w:line="500" w:lineRule="exact"/>
        <w:jc w:val="center"/>
        <w:rPr>
          <w:rFonts w:eastAsiaTheme="minorEastAsia"/>
          <w:b/>
          <w:color w:val="auto"/>
          <w:sz w:val="24"/>
          <w:szCs w:val="24"/>
        </w:rPr>
      </w:pPr>
      <w:r>
        <w:rPr>
          <w:rFonts w:eastAsiaTheme="minorEastAsia"/>
          <w:b/>
          <w:color w:val="auto"/>
          <w:sz w:val="24"/>
          <w:szCs w:val="24"/>
        </w:rPr>
        <w:t>表1.4-9  《恶臭污染物排放标准》（GB14554-93）表1二级标准、表2</w:t>
      </w:r>
    </w:p>
    <w:tbl>
      <w:tblPr>
        <w:tblStyle w:val="512"/>
        <w:tblW w:w="8720"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444"/>
        <w:gridCol w:w="1985"/>
        <w:gridCol w:w="2253"/>
        <w:gridCol w:w="303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14" w:hRule="atLeast"/>
          <w:jc w:val="center"/>
        </w:trPr>
        <w:tc>
          <w:tcPr>
            <w:tcW w:w="1444" w:type="dxa"/>
            <w:vAlign w:val="center"/>
          </w:tcPr>
          <w:p>
            <w:pPr>
              <w:pStyle w:val="164"/>
              <w:spacing w:line="240" w:lineRule="auto"/>
              <w:rPr>
                <w:rFonts w:ascii="Times New Roman" w:hAnsi="Times New Roman"/>
                <w:color w:val="auto"/>
              </w:rPr>
            </w:pPr>
            <w:r>
              <w:rPr>
                <w:rFonts w:ascii="Times New Roman" w:hAnsi="Times New Roman"/>
                <w:color w:val="auto"/>
              </w:rPr>
              <w:t>控制项目</w:t>
            </w:r>
          </w:p>
        </w:tc>
        <w:tc>
          <w:tcPr>
            <w:tcW w:w="1985" w:type="dxa"/>
            <w:vAlign w:val="center"/>
          </w:tcPr>
          <w:p>
            <w:pPr>
              <w:pStyle w:val="164"/>
              <w:spacing w:line="240" w:lineRule="auto"/>
              <w:rPr>
                <w:rFonts w:ascii="Times New Roman" w:hAnsi="Times New Roman"/>
                <w:color w:val="auto"/>
              </w:rPr>
            </w:pPr>
            <w:r>
              <w:rPr>
                <w:rFonts w:ascii="Times New Roman" w:hAnsi="Times New Roman"/>
                <w:color w:val="auto"/>
              </w:rPr>
              <w:t>排气筒高度（m）</w:t>
            </w:r>
          </w:p>
        </w:tc>
        <w:tc>
          <w:tcPr>
            <w:tcW w:w="2253" w:type="dxa"/>
            <w:vAlign w:val="center"/>
          </w:tcPr>
          <w:p>
            <w:pPr>
              <w:pStyle w:val="164"/>
              <w:spacing w:line="240" w:lineRule="auto"/>
              <w:rPr>
                <w:rFonts w:ascii="Times New Roman" w:hAnsi="Times New Roman"/>
                <w:color w:val="auto"/>
              </w:rPr>
            </w:pPr>
            <w:r>
              <w:rPr>
                <w:rFonts w:ascii="Times New Roman" w:hAnsi="Times New Roman"/>
                <w:color w:val="auto"/>
              </w:rPr>
              <w:t>排放量（kg/h）</w:t>
            </w:r>
          </w:p>
        </w:tc>
        <w:tc>
          <w:tcPr>
            <w:tcW w:w="3038" w:type="dxa"/>
            <w:vAlign w:val="center"/>
          </w:tcPr>
          <w:p>
            <w:pPr>
              <w:pStyle w:val="164"/>
              <w:spacing w:line="240" w:lineRule="auto"/>
              <w:rPr>
                <w:rFonts w:ascii="Times New Roman" w:hAnsi="Times New Roman"/>
                <w:color w:val="auto"/>
              </w:rPr>
            </w:pPr>
            <w:r>
              <w:rPr>
                <w:rFonts w:ascii="Times New Roman" w:hAnsi="Times New Roman"/>
                <w:color w:val="auto"/>
              </w:rPr>
              <w:t>厂界标准值（二级新改扩建）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57" w:hRule="atLeast"/>
          <w:jc w:val="center"/>
        </w:trPr>
        <w:tc>
          <w:tcPr>
            <w:tcW w:w="1444" w:type="dxa"/>
            <w:vAlign w:val="center"/>
          </w:tcPr>
          <w:p>
            <w:pPr>
              <w:pStyle w:val="164"/>
              <w:rPr>
                <w:rFonts w:ascii="Times New Roman" w:hAnsi="Times New Roman"/>
                <w:color w:val="auto"/>
              </w:rPr>
            </w:pPr>
            <w:r>
              <w:rPr>
                <w:rFonts w:ascii="Times New Roman" w:hAnsi="Times New Roman"/>
                <w:color w:val="auto"/>
              </w:rPr>
              <w:t>氨</w:t>
            </w:r>
          </w:p>
        </w:tc>
        <w:tc>
          <w:tcPr>
            <w:tcW w:w="1985" w:type="dxa"/>
            <w:vMerge w:val="restart"/>
            <w:vAlign w:val="center"/>
          </w:tcPr>
          <w:p>
            <w:pPr>
              <w:pStyle w:val="164"/>
              <w:rPr>
                <w:rFonts w:ascii="Times New Roman" w:hAnsi="Times New Roman"/>
                <w:color w:val="auto"/>
              </w:rPr>
            </w:pPr>
            <w:r>
              <w:rPr>
                <w:rFonts w:ascii="Times New Roman" w:hAnsi="Times New Roman"/>
                <w:color w:val="auto"/>
              </w:rPr>
              <w:t>15</w:t>
            </w:r>
          </w:p>
        </w:tc>
        <w:tc>
          <w:tcPr>
            <w:tcW w:w="2253" w:type="dxa"/>
            <w:vAlign w:val="center"/>
          </w:tcPr>
          <w:p>
            <w:pPr>
              <w:pStyle w:val="164"/>
              <w:rPr>
                <w:rFonts w:ascii="Times New Roman" w:hAnsi="Times New Roman"/>
                <w:color w:val="auto"/>
              </w:rPr>
            </w:pPr>
            <w:r>
              <w:rPr>
                <w:rFonts w:ascii="Times New Roman" w:hAnsi="Times New Roman"/>
                <w:color w:val="auto"/>
              </w:rPr>
              <w:t>4.9</w:t>
            </w:r>
          </w:p>
        </w:tc>
        <w:tc>
          <w:tcPr>
            <w:tcW w:w="3038" w:type="dxa"/>
            <w:vAlign w:val="center"/>
          </w:tcPr>
          <w:p>
            <w:pPr>
              <w:pStyle w:val="164"/>
              <w:rPr>
                <w:rFonts w:ascii="Times New Roman" w:hAnsi="Times New Roman"/>
                <w:color w:val="auto"/>
              </w:rPr>
            </w:pPr>
            <w:r>
              <w:rPr>
                <w:rFonts w:ascii="Times New Roman" w:hAnsi="Times New Roman"/>
                <w:color w:val="auto"/>
              </w:rPr>
              <w:t>1.5 mg/m</w:t>
            </w:r>
            <w:r>
              <w:rPr>
                <w:rFonts w:ascii="Times New Roman" w:hAnsi="Times New Roman"/>
                <w:color w:val="auto"/>
                <w:vertAlign w:val="superscript"/>
              </w:rPr>
              <w:t>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57" w:hRule="atLeast"/>
          <w:jc w:val="center"/>
        </w:trPr>
        <w:tc>
          <w:tcPr>
            <w:tcW w:w="1444" w:type="dxa"/>
            <w:vAlign w:val="center"/>
          </w:tcPr>
          <w:p>
            <w:pPr>
              <w:pStyle w:val="164"/>
              <w:rPr>
                <w:rFonts w:ascii="Times New Roman" w:hAnsi="Times New Roman"/>
                <w:color w:val="auto"/>
              </w:rPr>
            </w:pPr>
            <w:r>
              <w:rPr>
                <w:rFonts w:ascii="Times New Roman" w:hAnsi="Times New Roman"/>
                <w:color w:val="auto"/>
              </w:rPr>
              <w:t>硫化氢</w:t>
            </w:r>
          </w:p>
        </w:tc>
        <w:tc>
          <w:tcPr>
            <w:tcW w:w="1985" w:type="dxa"/>
            <w:vMerge w:val="continue"/>
            <w:vAlign w:val="center"/>
          </w:tcPr>
          <w:p>
            <w:pPr>
              <w:pStyle w:val="164"/>
              <w:rPr>
                <w:rFonts w:ascii="Times New Roman" w:hAnsi="Times New Roman"/>
                <w:color w:val="auto"/>
              </w:rPr>
            </w:pPr>
          </w:p>
        </w:tc>
        <w:tc>
          <w:tcPr>
            <w:tcW w:w="2253" w:type="dxa"/>
            <w:vAlign w:val="center"/>
          </w:tcPr>
          <w:p>
            <w:pPr>
              <w:pStyle w:val="164"/>
              <w:rPr>
                <w:rFonts w:ascii="Times New Roman" w:hAnsi="Times New Roman"/>
                <w:color w:val="auto"/>
              </w:rPr>
            </w:pPr>
            <w:r>
              <w:rPr>
                <w:rFonts w:ascii="Times New Roman" w:hAnsi="Times New Roman"/>
                <w:color w:val="auto"/>
              </w:rPr>
              <w:t>0.33</w:t>
            </w:r>
          </w:p>
        </w:tc>
        <w:tc>
          <w:tcPr>
            <w:tcW w:w="3038" w:type="dxa"/>
            <w:vAlign w:val="center"/>
          </w:tcPr>
          <w:p>
            <w:pPr>
              <w:pStyle w:val="164"/>
              <w:rPr>
                <w:rFonts w:ascii="Times New Roman" w:hAnsi="Times New Roman"/>
                <w:color w:val="auto"/>
              </w:rPr>
            </w:pPr>
            <w:r>
              <w:rPr>
                <w:rFonts w:ascii="Times New Roman" w:hAnsi="Times New Roman"/>
                <w:color w:val="auto"/>
              </w:rPr>
              <w:t>0.06 mg/m</w:t>
            </w:r>
            <w:r>
              <w:rPr>
                <w:rFonts w:ascii="Times New Roman" w:hAnsi="Times New Roman"/>
                <w:color w:val="auto"/>
                <w:vertAlign w:val="superscript"/>
              </w:rPr>
              <w:t>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34" w:hRule="atLeast"/>
          <w:jc w:val="center"/>
        </w:trPr>
        <w:tc>
          <w:tcPr>
            <w:tcW w:w="1444" w:type="dxa"/>
            <w:vAlign w:val="center"/>
          </w:tcPr>
          <w:p>
            <w:pPr>
              <w:pStyle w:val="164"/>
              <w:rPr>
                <w:rFonts w:ascii="Times New Roman" w:hAnsi="Times New Roman"/>
                <w:color w:val="auto"/>
              </w:rPr>
            </w:pPr>
            <w:r>
              <w:rPr>
                <w:rFonts w:ascii="Times New Roman" w:hAnsi="Times New Roman"/>
                <w:color w:val="auto"/>
              </w:rPr>
              <w:t>臭气浓度</w:t>
            </w:r>
          </w:p>
        </w:tc>
        <w:tc>
          <w:tcPr>
            <w:tcW w:w="1985" w:type="dxa"/>
            <w:vMerge w:val="continue"/>
            <w:vAlign w:val="center"/>
          </w:tcPr>
          <w:p>
            <w:pPr>
              <w:pStyle w:val="164"/>
              <w:rPr>
                <w:rFonts w:ascii="Times New Roman" w:hAnsi="Times New Roman"/>
                <w:color w:val="auto"/>
              </w:rPr>
            </w:pPr>
          </w:p>
        </w:tc>
        <w:tc>
          <w:tcPr>
            <w:tcW w:w="2253" w:type="dxa"/>
            <w:vAlign w:val="center"/>
          </w:tcPr>
          <w:p>
            <w:pPr>
              <w:pStyle w:val="164"/>
              <w:rPr>
                <w:rFonts w:ascii="Times New Roman" w:hAnsi="Times New Roman"/>
                <w:color w:val="auto"/>
              </w:rPr>
            </w:pPr>
            <w:r>
              <w:rPr>
                <w:rFonts w:ascii="Times New Roman" w:hAnsi="Times New Roman"/>
                <w:color w:val="auto"/>
              </w:rPr>
              <w:t>2000（无量纲）</w:t>
            </w:r>
          </w:p>
        </w:tc>
        <w:tc>
          <w:tcPr>
            <w:tcW w:w="3038" w:type="dxa"/>
            <w:vAlign w:val="center"/>
          </w:tcPr>
          <w:p>
            <w:pPr>
              <w:pStyle w:val="164"/>
              <w:rPr>
                <w:rFonts w:ascii="Times New Roman" w:hAnsi="Times New Roman"/>
                <w:color w:val="auto"/>
              </w:rPr>
            </w:pPr>
            <w:r>
              <w:rPr>
                <w:rFonts w:ascii="Times New Roman" w:hAnsi="Times New Roman"/>
                <w:color w:val="auto"/>
              </w:rPr>
              <w:t>20（无量纲）</w:t>
            </w:r>
          </w:p>
        </w:tc>
      </w:tr>
    </w:tbl>
    <w:p>
      <w:pPr>
        <w:pStyle w:val="6"/>
        <w:numPr>
          <w:ilvl w:val="3"/>
          <w:numId w:val="0"/>
        </w:numPr>
        <w:rPr>
          <w:color w:val="auto"/>
        </w:rPr>
      </w:pPr>
      <w:r>
        <w:rPr>
          <w:color w:val="auto"/>
        </w:rPr>
        <w:t>1.4.2.2废水排放标准</w:t>
      </w:r>
      <w:bookmarkEnd w:id="123"/>
    </w:p>
    <w:p>
      <w:pPr>
        <w:pStyle w:val="130"/>
        <w:ind w:firstLine="480"/>
        <w:rPr>
          <w:color w:val="auto"/>
        </w:rPr>
      </w:pPr>
      <w:r>
        <w:rPr>
          <w:color w:val="auto"/>
          <w:lang w:bidi="en-GB"/>
        </w:rPr>
        <w:t>根据</w:t>
      </w:r>
      <w:r>
        <w:rPr>
          <w:color w:val="auto"/>
        </w:rPr>
        <w:t>《医疗废物处理处置污染控制标准》（GB39707-2020）</w:t>
      </w:r>
      <w:r>
        <w:rPr>
          <w:rFonts w:hint="eastAsia"/>
          <w:color w:val="auto"/>
        </w:rPr>
        <w:t>中</w:t>
      </w:r>
      <w:r>
        <w:rPr>
          <w:color w:val="auto"/>
        </w:rPr>
        <w:t>的</w:t>
      </w:r>
      <w:r>
        <w:rPr>
          <w:rFonts w:hint="eastAsia"/>
          <w:color w:val="auto"/>
        </w:rPr>
        <w:t>污染物排放控制</w:t>
      </w:r>
      <w:r>
        <w:rPr>
          <w:color w:val="auto"/>
        </w:rPr>
        <w:t>要求，</w:t>
      </w:r>
      <w:r>
        <w:rPr>
          <w:color w:val="auto"/>
          <w:lang w:bidi="en-GB"/>
        </w:rPr>
        <w:t>本</w:t>
      </w:r>
      <w:r>
        <w:rPr>
          <w:color w:val="auto"/>
        </w:rPr>
        <w:t>项目厂区综合废水经污水处理站处理后应达到《医疗机构水污染物排放标准》（GB18466-2005）综合医疗机构和其他医疗机构水污染物排放限值的要求。项目</w:t>
      </w:r>
      <w:r>
        <w:rPr>
          <w:color w:val="auto"/>
          <w:lang w:bidi="en-GB"/>
        </w:rPr>
        <w:t>废水经处理后回用于中卫市生活垃圾填埋场道路抑尘，</w:t>
      </w:r>
      <w:r>
        <w:rPr>
          <w:color w:val="auto"/>
        </w:rPr>
        <w:t>不外排，同时需满足</w:t>
      </w:r>
      <w:r>
        <w:rPr>
          <w:color w:val="auto"/>
          <w:lang w:bidi="en-GB"/>
        </w:rPr>
        <w:t>《城市污水再生利用 城市杂用水水质》（GB/T18920-2020）中</w:t>
      </w:r>
      <w:bookmarkStart w:id="125" w:name="_Hlk109031082"/>
      <w:r>
        <w:rPr>
          <w:color w:val="auto"/>
          <w:lang w:bidi="en-GB"/>
        </w:rPr>
        <w:t>城市绿化、道路清扫、消防、建筑施工</w:t>
      </w:r>
      <w:bookmarkEnd w:id="125"/>
      <w:r>
        <w:rPr>
          <w:color w:val="auto"/>
          <w:lang w:bidi="en-GB"/>
        </w:rPr>
        <w:t>用水的相关要求，</w:t>
      </w:r>
      <w:r>
        <w:rPr>
          <w:color w:val="auto"/>
        </w:rPr>
        <w:t>本项目废水水质执行标准见表1.4-10。</w:t>
      </w:r>
    </w:p>
    <w:p>
      <w:pPr>
        <w:pStyle w:val="114"/>
        <w:adjustRightInd w:val="0"/>
        <w:snapToGrid w:val="0"/>
        <w:spacing w:before="0" w:beforeLines="0"/>
        <w:rPr>
          <w:color w:val="auto"/>
        </w:rPr>
      </w:pPr>
      <w:r>
        <w:rPr>
          <w:color w:val="auto"/>
        </w:rPr>
        <w:t>表 1.4-10  本项目废水水质执行标准</w:t>
      </w:r>
    </w:p>
    <w:tbl>
      <w:tblPr>
        <w:tblStyle w:val="513"/>
        <w:tblW w:w="8534"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432"/>
        <w:gridCol w:w="1266"/>
        <w:gridCol w:w="857"/>
        <w:gridCol w:w="2427"/>
        <w:gridCol w:w="2427"/>
        <w:gridCol w:w="112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1241" w:hRule="atLeast"/>
        </w:trPr>
        <w:tc>
          <w:tcPr>
            <w:tcW w:w="432" w:type="dxa"/>
            <w:vAlign w:val="center"/>
          </w:tcPr>
          <w:p>
            <w:pPr>
              <w:pStyle w:val="161"/>
              <w:jc w:val="center"/>
              <w:rPr>
                <w:rFonts w:ascii="Times New Roman" w:hAnsi="Times New Roman"/>
                <w:bCs/>
                <w:color w:val="auto"/>
                <w:lang w:eastAsia="en-US"/>
              </w:rPr>
            </w:pPr>
            <w:r>
              <w:rPr>
                <w:rFonts w:ascii="Times New Roman" w:hAnsi="Times New Roman"/>
                <w:bCs/>
                <w:color w:val="auto"/>
                <w:sz w:val="22"/>
                <w:lang w:eastAsia="en-US"/>
              </w:rPr>
              <w:t>序号</w:t>
            </w:r>
          </w:p>
        </w:tc>
        <w:tc>
          <w:tcPr>
            <w:tcW w:w="1266" w:type="dxa"/>
            <w:vAlign w:val="center"/>
          </w:tcPr>
          <w:p>
            <w:pPr>
              <w:pStyle w:val="161"/>
              <w:jc w:val="center"/>
              <w:rPr>
                <w:rFonts w:ascii="Times New Roman" w:hAnsi="Times New Roman"/>
                <w:bCs/>
                <w:color w:val="auto"/>
                <w:lang w:eastAsia="en-US"/>
              </w:rPr>
            </w:pPr>
            <w:r>
              <w:rPr>
                <w:rFonts w:ascii="Times New Roman" w:hAnsi="Times New Roman"/>
                <w:bCs/>
                <w:color w:val="auto"/>
                <w:sz w:val="22"/>
                <w:lang w:eastAsia="en-US"/>
              </w:rPr>
              <w:t>控制项目</w:t>
            </w:r>
          </w:p>
        </w:tc>
        <w:tc>
          <w:tcPr>
            <w:tcW w:w="857" w:type="dxa"/>
            <w:vAlign w:val="center"/>
          </w:tcPr>
          <w:p>
            <w:pPr>
              <w:pStyle w:val="161"/>
              <w:jc w:val="center"/>
              <w:rPr>
                <w:rFonts w:ascii="Times New Roman" w:hAnsi="Times New Roman"/>
                <w:bCs/>
                <w:color w:val="auto"/>
                <w:lang w:eastAsia="en-US"/>
              </w:rPr>
            </w:pPr>
            <w:r>
              <w:rPr>
                <w:rFonts w:ascii="Times New Roman" w:hAnsi="Times New Roman"/>
                <w:bCs/>
                <w:color w:val="auto"/>
                <w:sz w:val="22"/>
                <w:lang w:eastAsia="en-US"/>
              </w:rPr>
              <w:t>单位</w:t>
            </w:r>
          </w:p>
        </w:tc>
        <w:tc>
          <w:tcPr>
            <w:tcW w:w="2427" w:type="dxa"/>
            <w:vAlign w:val="center"/>
          </w:tcPr>
          <w:p>
            <w:pPr>
              <w:pStyle w:val="161"/>
              <w:jc w:val="center"/>
              <w:rPr>
                <w:rFonts w:ascii="Times New Roman" w:hAnsi="Times New Roman"/>
                <w:bCs/>
                <w:color w:val="auto"/>
                <w:lang w:eastAsia="zh-CN"/>
              </w:rPr>
            </w:pPr>
            <w:r>
              <w:rPr>
                <w:rFonts w:ascii="Times New Roman" w:hAnsi="Times New Roman"/>
                <w:bCs/>
                <w:color w:val="auto"/>
                <w:lang w:eastAsia="zh-CN"/>
              </w:rPr>
              <w:t>医疗机构水污染物排放标准》（GB18466-2005）综合医疗机构和其他医疗机构水污染物排放限值</w:t>
            </w:r>
          </w:p>
        </w:tc>
        <w:tc>
          <w:tcPr>
            <w:tcW w:w="2427" w:type="dxa"/>
            <w:vAlign w:val="center"/>
          </w:tcPr>
          <w:p>
            <w:pPr>
              <w:pStyle w:val="161"/>
              <w:jc w:val="center"/>
              <w:rPr>
                <w:rFonts w:ascii="Times New Roman" w:hAnsi="Times New Roman"/>
                <w:bCs/>
                <w:color w:val="auto"/>
                <w:lang w:eastAsia="zh-CN"/>
              </w:rPr>
            </w:pPr>
            <w:r>
              <w:rPr>
                <w:rFonts w:ascii="Times New Roman" w:hAnsi="Times New Roman"/>
                <w:bCs/>
                <w:color w:val="auto"/>
                <w:lang w:eastAsia="zh-CN" w:bidi="en-GB"/>
              </w:rPr>
              <w:t>《城市污水再生利用 城市杂用水水质》（GB/T18920-2020）</w:t>
            </w:r>
            <w:r>
              <w:rPr>
                <w:rFonts w:ascii="Times New Roman" w:hAnsi="Times New Roman"/>
                <w:bCs/>
                <w:color w:val="auto"/>
                <w:sz w:val="22"/>
                <w:lang w:eastAsia="zh-CN"/>
              </w:rPr>
              <w:t>城市绿化、道路清扫、消防、建筑施工用水</w:t>
            </w:r>
          </w:p>
        </w:tc>
        <w:tc>
          <w:tcPr>
            <w:tcW w:w="1125" w:type="dxa"/>
            <w:vAlign w:val="center"/>
          </w:tcPr>
          <w:p>
            <w:pPr>
              <w:pStyle w:val="161"/>
              <w:jc w:val="center"/>
              <w:rPr>
                <w:rFonts w:ascii="Times New Roman" w:hAnsi="Times New Roman"/>
                <w:bCs/>
                <w:color w:val="auto"/>
                <w:sz w:val="22"/>
                <w:lang w:eastAsia="en-US"/>
              </w:rPr>
            </w:pPr>
            <w:r>
              <w:rPr>
                <w:rFonts w:ascii="Times New Roman" w:hAnsi="Times New Roman"/>
                <w:bCs/>
                <w:color w:val="auto"/>
                <w:sz w:val="22"/>
                <w:lang w:eastAsia="en-US"/>
              </w:rPr>
              <w:t>本项目</w:t>
            </w:r>
          </w:p>
          <w:p>
            <w:pPr>
              <w:pStyle w:val="161"/>
              <w:jc w:val="center"/>
              <w:rPr>
                <w:rFonts w:ascii="Times New Roman" w:hAnsi="Times New Roman"/>
                <w:bCs/>
                <w:color w:val="auto"/>
                <w:lang w:eastAsia="en-US"/>
              </w:rPr>
            </w:pPr>
            <w:r>
              <w:rPr>
                <w:rFonts w:ascii="Times New Roman" w:hAnsi="Times New Roman"/>
                <w:bCs/>
                <w:color w:val="auto"/>
                <w:sz w:val="22"/>
                <w:lang w:eastAsia="en-US"/>
              </w:rPr>
              <w:t>执行标准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432"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1</w:t>
            </w:r>
          </w:p>
        </w:tc>
        <w:tc>
          <w:tcPr>
            <w:tcW w:w="1266"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pH</w:t>
            </w:r>
          </w:p>
        </w:tc>
        <w:tc>
          <w:tcPr>
            <w:tcW w:w="85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w:t>
            </w:r>
          </w:p>
        </w:tc>
        <w:tc>
          <w:tcPr>
            <w:tcW w:w="242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6~9</w:t>
            </w:r>
          </w:p>
        </w:tc>
        <w:tc>
          <w:tcPr>
            <w:tcW w:w="242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6~9</w:t>
            </w:r>
          </w:p>
        </w:tc>
        <w:tc>
          <w:tcPr>
            <w:tcW w:w="1125"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6~9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432"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2</w:t>
            </w:r>
          </w:p>
        </w:tc>
        <w:tc>
          <w:tcPr>
            <w:tcW w:w="1266"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悬浮物</w:t>
            </w:r>
          </w:p>
        </w:tc>
        <w:tc>
          <w:tcPr>
            <w:tcW w:w="85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mg/L</w:t>
            </w:r>
          </w:p>
        </w:tc>
        <w:tc>
          <w:tcPr>
            <w:tcW w:w="2427"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w:t>
            </w:r>
            <w:r>
              <w:rPr>
                <w:rFonts w:ascii="Times New Roman" w:hAnsi="Times New Roman"/>
                <w:color w:val="auto"/>
                <w:sz w:val="22"/>
                <w:lang w:eastAsia="en-US"/>
              </w:rPr>
              <w:t>20</w:t>
            </w:r>
          </w:p>
        </w:tc>
        <w:tc>
          <w:tcPr>
            <w:tcW w:w="242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w:t>
            </w:r>
          </w:p>
        </w:tc>
        <w:tc>
          <w:tcPr>
            <w:tcW w:w="1125"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≤20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432"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3</w:t>
            </w:r>
          </w:p>
        </w:tc>
        <w:tc>
          <w:tcPr>
            <w:tcW w:w="1266" w:type="dxa"/>
            <w:vAlign w:val="center"/>
          </w:tcPr>
          <w:p>
            <w:pPr>
              <w:pStyle w:val="161"/>
              <w:jc w:val="center"/>
              <w:rPr>
                <w:rFonts w:ascii="Times New Roman" w:hAnsi="Times New Roman"/>
                <w:color w:val="auto"/>
                <w:sz w:val="14"/>
                <w:lang w:eastAsia="en-US"/>
              </w:rPr>
            </w:pPr>
            <w:r>
              <w:rPr>
                <w:rFonts w:ascii="Times New Roman" w:hAnsi="Times New Roman"/>
                <w:color w:val="auto"/>
                <w:position w:val="2"/>
                <w:sz w:val="22"/>
                <w:lang w:eastAsia="en-US"/>
              </w:rPr>
              <w:t>BOD</w:t>
            </w:r>
            <w:r>
              <w:rPr>
                <w:rFonts w:ascii="Times New Roman" w:hAnsi="Times New Roman"/>
                <w:color w:val="auto"/>
                <w:sz w:val="14"/>
                <w:lang w:eastAsia="en-US"/>
              </w:rPr>
              <w:t>5</w:t>
            </w:r>
          </w:p>
        </w:tc>
        <w:tc>
          <w:tcPr>
            <w:tcW w:w="85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mg/L</w:t>
            </w:r>
          </w:p>
        </w:tc>
        <w:tc>
          <w:tcPr>
            <w:tcW w:w="2427"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w:t>
            </w:r>
            <w:r>
              <w:rPr>
                <w:rFonts w:ascii="Times New Roman" w:hAnsi="Times New Roman"/>
                <w:color w:val="auto"/>
                <w:sz w:val="22"/>
                <w:lang w:eastAsia="en-US"/>
              </w:rPr>
              <w:t>20</w:t>
            </w:r>
          </w:p>
        </w:tc>
        <w:tc>
          <w:tcPr>
            <w:tcW w:w="2427"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w:t>
            </w:r>
            <w:r>
              <w:rPr>
                <w:rFonts w:ascii="Times New Roman" w:hAnsi="Times New Roman"/>
                <w:color w:val="auto"/>
                <w:sz w:val="22"/>
                <w:lang w:eastAsia="en-US"/>
              </w:rPr>
              <w:t>10</w:t>
            </w:r>
          </w:p>
        </w:tc>
        <w:tc>
          <w:tcPr>
            <w:tcW w:w="1125"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432"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4</w:t>
            </w:r>
          </w:p>
        </w:tc>
        <w:tc>
          <w:tcPr>
            <w:tcW w:w="1266"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COD</w:t>
            </w:r>
          </w:p>
        </w:tc>
        <w:tc>
          <w:tcPr>
            <w:tcW w:w="85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mg/L</w:t>
            </w:r>
          </w:p>
        </w:tc>
        <w:tc>
          <w:tcPr>
            <w:tcW w:w="2427"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w:t>
            </w:r>
            <w:r>
              <w:rPr>
                <w:rFonts w:ascii="Times New Roman" w:hAnsi="Times New Roman"/>
                <w:color w:val="auto"/>
                <w:sz w:val="22"/>
                <w:lang w:eastAsia="en-US"/>
              </w:rPr>
              <w:t>60</w:t>
            </w:r>
          </w:p>
        </w:tc>
        <w:tc>
          <w:tcPr>
            <w:tcW w:w="242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w:t>
            </w:r>
          </w:p>
        </w:tc>
        <w:tc>
          <w:tcPr>
            <w:tcW w:w="1125"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432"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5</w:t>
            </w:r>
          </w:p>
        </w:tc>
        <w:tc>
          <w:tcPr>
            <w:tcW w:w="1266"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氨氮</w:t>
            </w:r>
          </w:p>
        </w:tc>
        <w:tc>
          <w:tcPr>
            <w:tcW w:w="85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mg/L</w:t>
            </w:r>
          </w:p>
        </w:tc>
        <w:tc>
          <w:tcPr>
            <w:tcW w:w="2427"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w:t>
            </w:r>
            <w:r>
              <w:rPr>
                <w:rFonts w:ascii="Times New Roman" w:hAnsi="Times New Roman"/>
                <w:color w:val="auto"/>
                <w:sz w:val="22"/>
                <w:lang w:eastAsia="en-US"/>
              </w:rPr>
              <w:t>15</w:t>
            </w:r>
          </w:p>
        </w:tc>
        <w:tc>
          <w:tcPr>
            <w:tcW w:w="2427"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w:t>
            </w:r>
            <w:r>
              <w:rPr>
                <w:rFonts w:ascii="Times New Roman" w:hAnsi="Times New Roman"/>
                <w:color w:val="auto"/>
                <w:sz w:val="22"/>
                <w:lang w:eastAsia="en-US"/>
              </w:rPr>
              <w:t>8</w:t>
            </w:r>
          </w:p>
        </w:tc>
        <w:tc>
          <w:tcPr>
            <w:tcW w:w="1125"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432"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6</w:t>
            </w:r>
          </w:p>
        </w:tc>
        <w:tc>
          <w:tcPr>
            <w:tcW w:w="1266"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总余氯</w:t>
            </w:r>
          </w:p>
        </w:tc>
        <w:tc>
          <w:tcPr>
            <w:tcW w:w="85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mg/L</w:t>
            </w:r>
          </w:p>
        </w:tc>
        <w:tc>
          <w:tcPr>
            <w:tcW w:w="2427"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≤0.5</w:t>
            </w:r>
          </w:p>
        </w:tc>
        <w:tc>
          <w:tcPr>
            <w:tcW w:w="2427"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≤2.5</w:t>
            </w:r>
          </w:p>
        </w:tc>
        <w:tc>
          <w:tcPr>
            <w:tcW w:w="1125"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432"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7</w:t>
            </w:r>
          </w:p>
        </w:tc>
        <w:tc>
          <w:tcPr>
            <w:tcW w:w="1266"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粪大肠杆菌</w:t>
            </w:r>
          </w:p>
        </w:tc>
        <w:tc>
          <w:tcPr>
            <w:tcW w:w="857" w:type="dxa"/>
            <w:vAlign w:val="center"/>
          </w:tcPr>
          <w:p>
            <w:pPr>
              <w:pStyle w:val="161"/>
              <w:jc w:val="center"/>
              <w:rPr>
                <w:rFonts w:ascii="Times New Roman" w:hAnsi="Times New Roman" w:eastAsia="Times New Roman"/>
                <w:color w:val="auto"/>
                <w:lang w:eastAsia="en-US"/>
              </w:rPr>
            </w:pPr>
            <w:r>
              <w:rPr>
                <w:rFonts w:ascii="Times New Roman" w:hAnsi="Times New Roman"/>
                <w:bCs/>
                <w:color w:val="auto"/>
                <w:szCs w:val="21"/>
                <w:lang w:eastAsia="en-US"/>
              </w:rPr>
              <w:t>MPN/L</w:t>
            </w:r>
          </w:p>
        </w:tc>
        <w:tc>
          <w:tcPr>
            <w:tcW w:w="2427" w:type="dxa"/>
            <w:vAlign w:val="center"/>
          </w:tcPr>
          <w:p>
            <w:pPr>
              <w:pStyle w:val="161"/>
              <w:jc w:val="center"/>
              <w:rPr>
                <w:rFonts w:ascii="Times New Roman" w:hAnsi="Times New Roman"/>
                <w:color w:val="auto"/>
                <w:lang w:eastAsia="en-US"/>
              </w:rPr>
            </w:pPr>
            <w:r>
              <w:rPr>
                <w:rFonts w:ascii="Times New Roman" w:hAnsi="Times New Roman"/>
                <w:bCs/>
                <w:color w:val="auto"/>
                <w:szCs w:val="21"/>
                <w:lang w:eastAsia="en-US"/>
              </w:rPr>
              <w:t>≤</w:t>
            </w:r>
            <w:r>
              <w:rPr>
                <w:rFonts w:ascii="Times New Roman" w:hAnsi="Times New Roman"/>
                <w:color w:val="auto"/>
                <w:sz w:val="22"/>
                <w:lang w:eastAsia="en-US"/>
              </w:rPr>
              <w:t>500</w:t>
            </w:r>
          </w:p>
        </w:tc>
        <w:tc>
          <w:tcPr>
            <w:tcW w:w="2427"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w:t>
            </w:r>
          </w:p>
        </w:tc>
        <w:tc>
          <w:tcPr>
            <w:tcW w:w="1125" w:type="dxa"/>
            <w:vAlign w:val="center"/>
          </w:tcPr>
          <w:p>
            <w:pPr>
              <w:pStyle w:val="161"/>
              <w:jc w:val="center"/>
              <w:rPr>
                <w:rFonts w:ascii="Times New Roman" w:hAnsi="Times New Roman"/>
                <w:color w:val="auto"/>
                <w:lang w:eastAsia="en-US"/>
              </w:rPr>
            </w:pPr>
            <w:r>
              <w:rPr>
                <w:rFonts w:ascii="Times New Roman" w:hAnsi="Times New Roman"/>
                <w:color w:val="auto"/>
                <w:sz w:val="22"/>
                <w:lang w:eastAsia="en-US"/>
              </w:rPr>
              <w:t>≤500</w:t>
            </w:r>
          </w:p>
        </w:tc>
      </w:tr>
    </w:tbl>
    <w:p>
      <w:pPr>
        <w:pStyle w:val="6"/>
        <w:numPr>
          <w:ilvl w:val="3"/>
          <w:numId w:val="0"/>
        </w:numPr>
        <w:rPr>
          <w:color w:val="auto"/>
        </w:rPr>
      </w:pPr>
      <w:bookmarkStart w:id="126" w:name="_Toc11595186"/>
      <w:r>
        <w:rPr>
          <w:color w:val="auto"/>
        </w:rPr>
        <w:t>1.4.2.3噪声排放标准</w:t>
      </w:r>
      <w:bookmarkEnd w:id="126"/>
    </w:p>
    <w:p>
      <w:pPr>
        <w:pStyle w:val="130"/>
        <w:ind w:firstLine="480"/>
        <w:rPr>
          <w:color w:val="auto"/>
        </w:rPr>
      </w:pPr>
      <w:r>
        <w:rPr>
          <w:color w:val="auto"/>
        </w:rPr>
        <w:t>运营期厂界噪声排放执行《工业企业厂界环境噪声排放标准》（GB12348-2008）2类标准，环境噪声排放标准详见表1.4-11。</w:t>
      </w:r>
    </w:p>
    <w:p>
      <w:pPr>
        <w:jc w:val="center"/>
        <w:rPr>
          <w:rFonts w:eastAsiaTheme="minorEastAsia"/>
          <w:b/>
          <w:color w:val="auto"/>
          <w:sz w:val="24"/>
          <w:szCs w:val="24"/>
        </w:rPr>
      </w:pPr>
      <w:r>
        <w:rPr>
          <w:rFonts w:eastAsiaTheme="minorEastAsia"/>
          <w:b/>
          <w:color w:val="auto"/>
          <w:sz w:val="24"/>
          <w:szCs w:val="24"/>
        </w:rPr>
        <w:t>表1.4-11 工业企业厂界环境噪声排放标准</w:t>
      </w:r>
    </w:p>
    <w:tbl>
      <w:tblPr>
        <w:tblStyle w:val="74"/>
        <w:tblW w:w="857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7"/>
        <w:gridCol w:w="3501"/>
        <w:gridCol w:w="1462"/>
        <w:gridCol w:w="1309"/>
        <w:gridCol w:w="11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8" w:hRule="atLeast"/>
          <w:jc w:val="center"/>
        </w:trPr>
        <w:tc>
          <w:tcPr>
            <w:tcW w:w="1107" w:type="dxa"/>
            <w:vMerge w:val="restart"/>
            <w:tcBorders>
              <w:tl2br w:val="nil"/>
              <w:tr2bl w:val="nil"/>
            </w:tcBorders>
            <w:vAlign w:val="center"/>
          </w:tcPr>
          <w:p>
            <w:pPr>
              <w:pStyle w:val="164"/>
              <w:rPr>
                <w:color w:val="auto"/>
              </w:rPr>
            </w:pPr>
            <w:r>
              <w:rPr>
                <w:color w:val="auto"/>
              </w:rPr>
              <w:t>污染类别</w:t>
            </w:r>
          </w:p>
        </w:tc>
        <w:tc>
          <w:tcPr>
            <w:tcW w:w="3501" w:type="dxa"/>
            <w:vMerge w:val="restart"/>
            <w:tcBorders>
              <w:tl2br w:val="nil"/>
              <w:tr2bl w:val="nil"/>
            </w:tcBorders>
            <w:vAlign w:val="center"/>
          </w:tcPr>
          <w:p>
            <w:pPr>
              <w:pStyle w:val="164"/>
              <w:rPr>
                <w:color w:val="auto"/>
              </w:rPr>
            </w:pPr>
            <w:r>
              <w:rPr>
                <w:color w:val="auto"/>
              </w:rPr>
              <w:t>执行标准</w:t>
            </w:r>
          </w:p>
        </w:tc>
        <w:tc>
          <w:tcPr>
            <w:tcW w:w="1462" w:type="dxa"/>
            <w:vMerge w:val="restart"/>
            <w:tcBorders>
              <w:tl2br w:val="nil"/>
              <w:tr2bl w:val="nil"/>
            </w:tcBorders>
            <w:vAlign w:val="center"/>
          </w:tcPr>
          <w:p>
            <w:pPr>
              <w:pStyle w:val="164"/>
              <w:rPr>
                <w:color w:val="auto"/>
              </w:rPr>
            </w:pPr>
            <w:r>
              <w:rPr>
                <w:color w:val="auto"/>
              </w:rPr>
              <w:t>级（类）别</w:t>
            </w:r>
          </w:p>
        </w:tc>
        <w:tc>
          <w:tcPr>
            <w:tcW w:w="2507" w:type="dxa"/>
            <w:gridSpan w:val="2"/>
            <w:tcBorders>
              <w:tl2br w:val="nil"/>
              <w:tr2bl w:val="nil"/>
            </w:tcBorders>
            <w:vAlign w:val="center"/>
          </w:tcPr>
          <w:p>
            <w:pPr>
              <w:pStyle w:val="164"/>
              <w:rPr>
                <w:color w:val="auto"/>
              </w:rPr>
            </w:pPr>
            <w:r>
              <w:rPr>
                <w:color w:val="auto"/>
              </w:rPr>
              <w:t>标准值dB(A)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07" w:type="dxa"/>
            <w:vMerge w:val="continue"/>
            <w:tcBorders>
              <w:tl2br w:val="nil"/>
              <w:tr2bl w:val="nil"/>
            </w:tcBorders>
            <w:vAlign w:val="center"/>
          </w:tcPr>
          <w:p>
            <w:pPr>
              <w:pStyle w:val="164"/>
              <w:rPr>
                <w:color w:val="auto"/>
              </w:rPr>
            </w:pPr>
          </w:p>
        </w:tc>
        <w:tc>
          <w:tcPr>
            <w:tcW w:w="3501" w:type="dxa"/>
            <w:vMerge w:val="continue"/>
            <w:tcBorders>
              <w:tl2br w:val="nil"/>
              <w:tr2bl w:val="nil"/>
            </w:tcBorders>
            <w:vAlign w:val="center"/>
          </w:tcPr>
          <w:p>
            <w:pPr>
              <w:pStyle w:val="164"/>
              <w:rPr>
                <w:color w:val="auto"/>
              </w:rPr>
            </w:pPr>
          </w:p>
        </w:tc>
        <w:tc>
          <w:tcPr>
            <w:tcW w:w="1462" w:type="dxa"/>
            <w:vMerge w:val="continue"/>
            <w:tcBorders>
              <w:tl2br w:val="nil"/>
              <w:tr2bl w:val="nil"/>
            </w:tcBorders>
            <w:vAlign w:val="center"/>
          </w:tcPr>
          <w:p>
            <w:pPr>
              <w:pStyle w:val="164"/>
              <w:rPr>
                <w:color w:val="auto"/>
              </w:rPr>
            </w:pPr>
          </w:p>
        </w:tc>
        <w:tc>
          <w:tcPr>
            <w:tcW w:w="1309" w:type="dxa"/>
            <w:tcBorders>
              <w:tl2br w:val="nil"/>
              <w:tr2bl w:val="nil"/>
            </w:tcBorders>
            <w:vAlign w:val="center"/>
          </w:tcPr>
          <w:p>
            <w:pPr>
              <w:pStyle w:val="164"/>
              <w:rPr>
                <w:color w:val="auto"/>
              </w:rPr>
            </w:pPr>
            <w:r>
              <w:rPr>
                <w:color w:val="auto"/>
              </w:rPr>
              <w:t>昼间</w:t>
            </w:r>
          </w:p>
        </w:tc>
        <w:tc>
          <w:tcPr>
            <w:tcW w:w="1198" w:type="dxa"/>
            <w:tcBorders>
              <w:tl2br w:val="nil"/>
              <w:tr2bl w:val="nil"/>
            </w:tcBorders>
            <w:vAlign w:val="center"/>
          </w:tcPr>
          <w:p>
            <w:pPr>
              <w:pStyle w:val="164"/>
              <w:rPr>
                <w:color w:val="auto"/>
              </w:rPr>
            </w:pPr>
            <w:r>
              <w:rPr>
                <w:color w:val="auto"/>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9" w:hRule="atLeast"/>
          <w:jc w:val="center"/>
        </w:trPr>
        <w:tc>
          <w:tcPr>
            <w:tcW w:w="1107" w:type="dxa"/>
            <w:tcBorders>
              <w:tl2br w:val="nil"/>
              <w:tr2bl w:val="nil"/>
            </w:tcBorders>
            <w:vAlign w:val="center"/>
          </w:tcPr>
          <w:p>
            <w:pPr>
              <w:pStyle w:val="164"/>
              <w:rPr>
                <w:color w:val="auto"/>
              </w:rPr>
            </w:pPr>
            <w:r>
              <w:rPr>
                <w:color w:val="auto"/>
              </w:rPr>
              <w:t>噪声</w:t>
            </w:r>
          </w:p>
        </w:tc>
        <w:tc>
          <w:tcPr>
            <w:tcW w:w="3501" w:type="dxa"/>
            <w:tcBorders>
              <w:tl2br w:val="nil"/>
              <w:tr2bl w:val="nil"/>
            </w:tcBorders>
            <w:vAlign w:val="center"/>
          </w:tcPr>
          <w:p>
            <w:pPr>
              <w:pStyle w:val="164"/>
              <w:rPr>
                <w:color w:val="auto"/>
              </w:rPr>
            </w:pPr>
            <w:r>
              <w:rPr>
                <w:color w:val="auto"/>
              </w:rPr>
              <w:t>《工业企业厂界环境噪声排放标准》GB12348-2008</w:t>
            </w:r>
          </w:p>
        </w:tc>
        <w:tc>
          <w:tcPr>
            <w:tcW w:w="1462" w:type="dxa"/>
            <w:tcBorders>
              <w:tl2br w:val="nil"/>
              <w:tr2bl w:val="nil"/>
            </w:tcBorders>
            <w:vAlign w:val="center"/>
          </w:tcPr>
          <w:p>
            <w:pPr>
              <w:pStyle w:val="164"/>
              <w:rPr>
                <w:color w:val="auto"/>
              </w:rPr>
            </w:pPr>
            <w:r>
              <w:rPr>
                <w:color w:val="auto"/>
              </w:rPr>
              <w:t>2类</w:t>
            </w:r>
          </w:p>
        </w:tc>
        <w:tc>
          <w:tcPr>
            <w:tcW w:w="1309" w:type="dxa"/>
            <w:tcBorders>
              <w:tl2br w:val="nil"/>
              <w:tr2bl w:val="nil"/>
            </w:tcBorders>
            <w:vAlign w:val="center"/>
          </w:tcPr>
          <w:p>
            <w:pPr>
              <w:pStyle w:val="164"/>
              <w:rPr>
                <w:color w:val="auto"/>
              </w:rPr>
            </w:pPr>
            <w:r>
              <w:rPr>
                <w:color w:val="auto"/>
              </w:rPr>
              <w:t>60</w:t>
            </w:r>
          </w:p>
        </w:tc>
        <w:tc>
          <w:tcPr>
            <w:tcW w:w="1198" w:type="dxa"/>
            <w:tcBorders>
              <w:tl2br w:val="nil"/>
              <w:tr2bl w:val="nil"/>
            </w:tcBorders>
            <w:vAlign w:val="center"/>
          </w:tcPr>
          <w:p>
            <w:pPr>
              <w:pStyle w:val="164"/>
              <w:rPr>
                <w:color w:val="auto"/>
              </w:rPr>
            </w:pPr>
            <w:r>
              <w:rPr>
                <w:color w:val="auto"/>
              </w:rPr>
              <w:t>50</w:t>
            </w:r>
          </w:p>
        </w:tc>
      </w:tr>
    </w:tbl>
    <w:p>
      <w:pPr>
        <w:pStyle w:val="6"/>
        <w:numPr>
          <w:ilvl w:val="3"/>
          <w:numId w:val="0"/>
        </w:numPr>
        <w:rPr>
          <w:color w:val="auto"/>
        </w:rPr>
      </w:pPr>
      <w:bookmarkStart w:id="127" w:name="_Toc11595187"/>
      <w:r>
        <w:rPr>
          <w:color w:val="auto"/>
        </w:rPr>
        <w:t>1.4.2.4固体废物处置标准</w:t>
      </w:r>
      <w:bookmarkEnd w:id="127"/>
    </w:p>
    <w:p>
      <w:pPr>
        <w:pStyle w:val="130"/>
        <w:ind w:firstLine="480"/>
        <w:rPr>
          <w:color w:val="auto"/>
        </w:rPr>
      </w:pPr>
      <w:r>
        <w:rPr>
          <w:color w:val="auto"/>
        </w:rPr>
        <w:t>本项目运营期一般工业固体废物临时贮存执行《一般工业固体废物贮存和填埋污染控制标准》（GB18559-2020）；危险废物执行《危险废物贮存污染控制标准》（GB18597-2001）及2013修改单；污水处理站污泥执行《医疗机构水污染物排放标准》（GB18466-2005）表4医疗机构污泥控制标准，标准详见表1.4-12。</w:t>
      </w:r>
    </w:p>
    <w:p>
      <w:pPr>
        <w:pStyle w:val="114"/>
        <w:spacing w:before="0" w:beforeLines="0"/>
        <w:rPr>
          <w:color w:val="auto"/>
        </w:rPr>
      </w:pPr>
      <w:r>
        <w:rPr>
          <w:color w:val="auto"/>
        </w:rPr>
        <w:t>表1.4-12  《医疗机构水污染物排放标准》（GB18466-2005）污泥控制标准</w:t>
      </w:r>
    </w:p>
    <w:tbl>
      <w:tblPr>
        <w:tblStyle w:val="75"/>
        <w:tblW w:w="843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34"/>
        <w:gridCol w:w="1604"/>
        <w:gridCol w:w="1312"/>
        <w:gridCol w:w="1167"/>
        <w:gridCol w:w="1143"/>
        <w:gridCol w:w="14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734" w:type="dxa"/>
            <w:vAlign w:val="center"/>
          </w:tcPr>
          <w:p>
            <w:pPr>
              <w:pStyle w:val="164"/>
              <w:rPr>
                <w:color w:val="auto"/>
              </w:rPr>
            </w:pPr>
            <w:r>
              <w:rPr>
                <w:color w:val="auto"/>
              </w:rPr>
              <w:t>医疗机构类别</w:t>
            </w:r>
          </w:p>
        </w:tc>
        <w:tc>
          <w:tcPr>
            <w:tcW w:w="1604" w:type="dxa"/>
            <w:vAlign w:val="center"/>
          </w:tcPr>
          <w:p>
            <w:pPr>
              <w:pStyle w:val="164"/>
              <w:rPr>
                <w:color w:val="auto"/>
              </w:rPr>
            </w:pPr>
            <w:r>
              <w:rPr>
                <w:color w:val="auto"/>
              </w:rPr>
              <w:t>粪大肠菌群数/(MPN/g)</w:t>
            </w:r>
          </w:p>
        </w:tc>
        <w:tc>
          <w:tcPr>
            <w:tcW w:w="1312" w:type="dxa"/>
            <w:vAlign w:val="center"/>
          </w:tcPr>
          <w:p>
            <w:pPr>
              <w:pStyle w:val="164"/>
              <w:rPr>
                <w:color w:val="auto"/>
              </w:rPr>
            </w:pPr>
            <w:r>
              <w:rPr>
                <w:color w:val="auto"/>
              </w:rPr>
              <w:t>肠道致病菌</w:t>
            </w:r>
          </w:p>
        </w:tc>
        <w:tc>
          <w:tcPr>
            <w:tcW w:w="1167" w:type="dxa"/>
            <w:vAlign w:val="center"/>
          </w:tcPr>
          <w:p>
            <w:pPr>
              <w:pStyle w:val="164"/>
              <w:rPr>
                <w:color w:val="auto"/>
              </w:rPr>
            </w:pPr>
            <w:r>
              <w:rPr>
                <w:color w:val="auto"/>
              </w:rPr>
              <w:t>肠道病毒</w:t>
            </w:r>
          </w:p>
        </w:tc>
        <w:tc>
          <w:tcPr>
            <w:tcW w:w="1143" w:type="dxa"/>
            <w:vAlign w:val="center"/>
          </w:tcPr>
          <w:p>
            <w:pPr>
              <w:pStyle w:val="164"/>
              <w:rPr>
                <w:color w:val="auto"/>
              </w:rPr>
            </w:pPr>
            <w:r>
              <w:rPr>
                <w:color w:val="auto"/>
              </w:rPr>
              <w:t>结核杆菌</w:t>
            </w:r>
          </w:p>
        </w:tc>
        <w:tc>
          <w:tcPr>
            <w:tcW w:w="1474" w:type="dxa"/>
            <w:vAlign w:val="center"/>
          </w:tcPr>
          <w:p>
            <w:pPr>
              <w:pStyle w:val="164"/>
              <w:rPr>
                <w:color w:val="auto"/>
              </w:rPr>
            </w:pPr>
            <w:r>
              <w:rPr>
                <w:color w:val="auto"/>
              </w:rPr>
              <w:t>蛔虫卵死亡率/％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734" w:type="dxa"/>
            <w:vAlign w:val="center"/>
          </w:tcPr>
          <w:p>
            <w:pPr>
              <w:pStyle w:val="164"/>
              <w:rPr>
                <w:color w:val="auto"/>
              </w:rPr>
            </w:pPr>
            <w:r>
              <w:rPr>
                <w:color w:val="auto"/>
              </w:rPr>
              <w:t>综合医疗机构和其他医疗机构</w:t>
            </w:r>
          </w:p>
        </w:tc>
        <w:tc>
          <w:tcPr>
            <w:tcW w:w="1604" w:type="dxa"/>
            <w:vAlign w:val="center"/>
          </w:tcPr>
          <w:p>
            <w:pPr>
              <w:pStyle w:val="164"/>
              <w:rPr>
                <w:color w:val="auto"/>
              </w:rPr>
            </w:pPr>
            <w:r>
              <w:rPr>
                <w:color w:val="auto"/>
              </w:rPr>
              <w:t>≤100</w:t>
            </w:r>
          </w:p>
        </w:tc>
        <w:tc>
          <w:tcPr>
            <w:tcW w:w="1312" w:type="dxa"/>
            <w:vAlign w:val="center"/>
          </w:tcPr>
          <w:p>
            <w:pPr>
              <w:pStyle w:val="164"/>
              <w:rPr>
                <w:color w:val="auto"/>
              </w:rPr>
            </w:pPr>
            <w:r>
              <w:rPr>
                <w:color w:val="auto"/>
              </w:rPr>
              <w:t>/</w:t>
            </w:r>
          </w:p>
        </w:tc>
        <w:tc>
          <w:tcPr>
            <w:tcW w:w="1167" w:type="dxa"/>
            <w:vAlign w:val="center"/>
          </w:tcPr>
          <w:p>
            <w:pPr>
              <w:pStyle w:val="164"/>
              <w:rPr>
                <w:color w:val="auto"/>
              </w:rPr>
            </w:pPr>
            <w:r>
              <w:rPr>
                <w:color w:val="auto"/>
              </w:rPr>
              <w:t>/</w:t>
            </w:r>
          </w:p>
        </w:tc>
        <w:tc>
          <w:tcPr>
            <w:tcW w:w="1143" w:type="dxa"/>
            <w:vAlign w:val="center"/>
          </w:tcPr>
          <w:p>
            <w:pPr>
              <w:pStyle w:val="164"/>
              <w:rPr>
                <w:color w:val="auto"/>
              </w:rPr>
            </w:pPr>
            <w:r>
              <w:rPr>
                <w:color w:val="auto"/>
              </w:rPr>
              <w:t>/</w:t>
            </w:r>
          </w:p>
        </w:tc>
        <w:tc>
          <w:tcPr>
            <w:tcW w:w="1474" w:type="dxa"/>
            <w:vAlign w:val="center"/>
          </w:tcPr>
          <w:p>
            <w:pPr>
              <w:pStyle w:val="164"/>
              <w:rPr>
                <w:color w:val="auto"/>
              </w:rPr>
            </w:pPr>
            <w:r>
              <w:rPr>
                <w:color w:val="auto"/>
              </w:rPr>
              <w:t>＞95</w:t>
            </w:r>
          </w:p>
        </w:tc>
      </w:tr>
    </w:tbl>
    <w:p>
      <w:pPr>
        <w:pStyle w:val="4"/>
        <w:numPr>
          <w:ilvl w:val="1"/>
          <w:numId w:val="0"/>
        </w:numPr>
        <w:spacing w:before="120"/>
        <w:rPr>
          <w:color w:val="auto"/>
        </w:rPr>
      </w:pPr>
      <w:bookmarkStart w:id="128" w:name="_Toc11595188"/>
      <w:bookmarkStart w:id="129" w:name="_Toc109398549"/>
      <w:r>
        <w:rPr>
          <w:color w:val="auto"/>
        </w:rPr>
        <w:t>1.5评价工作等级及评价范围</w:t>
      </w:r>
      <w:bookmarkEnd w:id="128"/>
      <w:bookmarkEnd w:id="129"/>
    </w:p>
    <w:p>
      <w:pPr>
        <w:pStyle w:val="5"/>
        <w:numPr>
          <w:ilvl w:val="2"/>
          <w:numId w:val="0"/>
        </w:numPr>
        <w:ind w:left="-720" w:leftChars="-343" w:firstLine="723" w:firstLineChars="300"/>
        <w:rPr>
          <w:color w:val="auto"/>
        </w:rPr>
      </w:pPr>
      <w:bookmarkStart w:id="130" w:name="_Toc109398550"/>
      <w:bookmarkStart w:id="131" w:name="_Toc11595189"/>
      <w:r>
        <w:rPr>
          <w:color w:val="auto"/>
        </w:rPr>
        <w:t>1.5.1环境空气</w:t>
      </w:r>
      <w:bookmarkEnd w:id="130"/>
      <w:bookmarkEnd w:id="131"/>
    </w:p>
    <w:p>
      <w:pPr>
        <w:pStyle w:val="6"/>
        <w:numPr>
          <w:ilvl w:val="3"/>
          <w:numId w:val="0"/>
        </w:numPr>
        <w:rPr>
          <w:color w:val="auto"/>
        </w:rPr>
      </w:pPr>
      <w:bookmarkStart w:id="132" w:name="_Toc11595190"/>
      <w:r>
        <w:rPr>
          <w:color w:val="auto"/>
        </w:rPr>
        <w:t>1.5.1.1环境影响识别与评级因子筛选</w:t>
      </w:r>
      <w:bookmarkEnd w:id="132"/>
    </w:p>
    <w:p>
      <w:pPr>
        <w:pStyle w:val="130"/>
        <w:ind w:firstLine="480"/>
        <w:rPr>
          <w:color w:val="auto"/>
        </w:rPr>
      </w:pPr>
      <w:r>
        <w:rPr>
          <w:color w:val="auto"/>
        </w:rPr>
        <w:t>根据《建设项目环境影响评价技术导则·总纲》（HJ2.1-2016）的要求及根据工程分析，本项目</w:t>
      </w:r>
      <w:r>
        <w:rPr>
          <w:rFonts w:hint="eastAsia"/>
          <w:color w:val="auto"/>
        </w:rPr>
        <w:t>建成后全厂</w:t>
      </w:r>
      <w:r>
        <w:rPr>
          <w:color w:val="auto"/>
        </w:rPr>
        <w:t>的预测因子为H</w:t>
      </w:r>
      <w:r>
        <w:rPr>
          <w:color w:val="auto"/>
          <w:vertAlign w:val="subscript"/>
        </w:rPr>
        <w:t>2</w:t>
      </w:r>
      <w:r>
        <w:rPr>
          <w:color w:val="auto"/>
        </w:rPr>
        <w:t>S、NH</w:t>
      </w:r>
      <w:r>
        <w:rPr>
          <w:color w:val="auto"/>
          <w:vertAlign w:val="subscript"/>
        </w:rPr>
        <w:t>3</w:t>
      </w:r>
      <w:r>
        <w:rPr>
          <w:color w:val="auto"/>
        </w:rPr>
        <w:t>、VOCs、PM</w:t>
      </w:r>
      <w:r>
        <w:rPr>
          <w:color w:val="auto"/>
          <w:vertAlign w:val="subscript"/>
        </w:rPr>
        <w:t>10</w:t>
      </w:r>
      <w:r>
        <w:rPr>
          <w:color w:val="auto"/>
        </w:rPr>
        <w:t>。</w:t>
      </w:r>
    </w:p>
    <w:p>
      <w:pPr>
        <w:pStyle w:val="6"/>
        <w:numPr>
          <w:ilvl w:val="3"/>
          <w:numId w:val="0"/>
        </w:numPr>
        <w:rPr>
          <w:color w:val="auto"/>
        </w:rPr>
      </w:pPr>
      <w:bookmarkStart w:id="133" w:name="_Toc11595191"/>
      <w:r>
        <w:rPr>
          <w:color w:val="auto"/>
        </w:rPr>
        <w:t>1.5.1.2评价工作等级</w:t>
      </w:r>
      <w:bookmarkEnd w:id="133"/>
    </w:p>
    <w:p>
      <w:pPr>
        <w:pStyle w:val="130"/>
        <w:ind w:firstLine="480"/>
        <w:rPr>
          <w:color w:val="auto"/>
        </w:rPr>
      </w:pPr>
      <w:r>
        <w:rPr>
          <w:color w:val="auto"/>
        </w:rPr>
        <w:t>（1）评价工作等级确认方法</w:t>
      </w:r>
    </w:p>
    <w:p>
      <w:pPr>
        <w:pStyle w:val="130"/>
        <w:ind w:firstLine="480"/>
        <w:rPr>
          <w:color w:val="auto"/>
        </w:rPr>
      </w:pPr>
      <w:r>
        <w:rPr>
          <w:color w:val="auto"/>
        </w:rPr>
        <w:t>评价工作等级按照《环境影响评价技术导则·大气环境》（HJ2.2-2018）中表1的分级判据进行划分，具体划分要求见表1.5-1。</w:t>
      </w:r>
    </w:p>
    <w:p>
      <w:pPr>
        <w:pStyle w:val="114"/>
        <w:spacing w:before="0" w:beforeLines="0"/>
        <w:rPr>
          <w:color w:val="auto"/>
        </w:rPr>
      </w:pPr>
      <w:r>
        <w:rPr>
          <w:color w:val="auto"/>
        </w:rPr>
        <w:t>表1.5-1 评价工作等级划分依据</w:t>
      </w:r>
    </w:p>
    <w:tbl>
      <w:tblPr>
        <w:tblStyle w:val="74"/>
        <w:tblW w:w="8575"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64"/>
        <w:gridCol w:w="3273"/>
        <w:gridCol w:w="26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2664" w:type="dxa"/>
            <w:vAlign w:val="center"/>
          </w:tcPr>
          <w:p>
            <w:pPr>
              <w:pStyle w:val="164"/>
              <w:rPr>
                <w:color w:val="auto"/>
              </w:rPr>
            </w:pPr>
            <w:r>
              <w:rPr>
                <w:color w:val="auto"/>
              </w:rPr>
              <w:t>评价工作等级</w:t>
            </w:r>
          </w:p>
        </w:tc>
        <w:tc>
          <w:tcPr>
            <w:tcW w:w="3273" w:type="dxa"/>
            <w:vAlign w:val="center"/>
          </w:tcPr>
          <w:p>
            <w:pPr>
              <w:pStyle w:val="164"/>
              <w:rPr>
                <w:color w:val="auto"/>
              </w:rPr>
            </w:pPr>
            <w:r>
              <w:rPr>
                <w:color w:val="auto"/>
              </w:rPr>
              <w:t>评价工作分级判据</w:t>
            </w:r>
          </w:p>
        </w:tc>
        <w:tc>
          <w:tcPr>
            <w:tcW w:w="2638" w:type="dxa"/>
            <w:vAlign w:val="center"/>
          </w:tcPr>
          <w:p>
            <w:pPr>
              <w:pStyle w:val="164"/>
              <w:rPr>
                <w:color w:val="auto"/>
              </w:rPr>
            </w:pPr>
            <w:r>
              <w:rPr>
                <w:color w:val="auto"/>
              </w:rPr>
              <w:t>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2664" w:type="dxa"/>
            <w:vAlign w:val="center"/>
          </w:tcPr>
          <w:p>
            <w:pPr>
              <w:pStyle w:val="164"/>
              <w:rPr>
                <w:color w:val="auto"/>
              </w:rPr>
            </w:pPr>
            <w:r>
              <w:rPr>
                <w:color w:val="auto"/>
              </w:rPr>
              <w:t>一级</w:t>
            </w:r>
          </w:p>
        </w:tc>
        <w:tc>
          <w:tcPr>
            <w:tcW w:w="3273" w:type="dxa"/>
            <w:vAlign w:val="center"/>
          </w:tcPr>
          <w:p>
            <w:pPr>
              <w:pStyle w:val="164"/>
              <w:rPr>
                <w:color w:val="auto"/>
              </w:rPr>
            </w:pPr>
            <w:r>
              <w:rPr>
                <w:color w:val="auto"/>
              </w:rPr>
              <w:t>P</w:t>
            </w:r>
            <w:r>
              <w:rPr>
                <w:color w:val="auto"/>
                <w:vertAlign w:val="subscript"/>
              </w:rPr>
              <w:t>max</w:t>
            </w:r>
            <w:r>
              <w:rPr>
                <w:color w:val="auto"/>
              </w:rPr>
              <w:t>≥10%</w:t>
            </w:r>
          </w:p>
        </w:tc>
        <w:tc>
          <w:tcPr>
            <w:tcW w:w="2638" w:type="dxa"/>
            <w:vMerge w:val="restart"/>
            <w:vAlign w:val="center"/>
          </w:tcPr>
          <w:p>
            <w:pPr>
              <w:pStyle w:val="164"/>
              <w:rPr>
                <w:color w:val="auto"/>
              </w:rPr>
            </w:pPr>
            <w:r>
              <w:rPr>
                <w:color w:val="auto"/>
              </w:rPr>
              <w:t>HJ2.2-2018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2664" w:type="dxa"/>
            <w:vAlign w:val="center"/>
          </w:tcPr>
          <w:p>
            <w:pPr>
              <w:pStyle w:val="164"/>
              <w:rPr>
                <w:color w:val="auto"/>
              </w:rPr>
            </w:pPr>
            <w:r>
              <w:rPr>
                <w:color w:val="auto"/>
              </w:rPr>
              <w:t>二级</w:t>
            </w:r>
          </w:p>
        </w:tc>
        <w:tc>
          <w:tcPr>
            <w:tcW w:w="3273" w:type="dxa"/>
            <w:vAlign w:val="center"/>
          </w:tcPr>
          <w:p>
            <w:pPr>
              <w:pStyle w:val="164"/>
              <w:rPr>
                <w:color w:val="auto"/>
              </w:rPr>
            </w:pPr>
            <w:r>
              <w:rPr>
                <w:color w:val="auto"/>
              </w:rPr>
              <w:t>1%＜P</w:t>
            </w:r>
            <w:r>
              <w:rPr>
                <w:color w:val="auto"/>
                <w:vertAlign w:val="subscript"/>
              </w:rPr>
              <w:t>max</w:t>
            </w:r>
            <w:r>
              <w:rPr>
                <w:color w:val="auto"/>
              </w:rPr>
              <w:t>＜10%</w:t>
            </w:r>
          </w:p>
        </w:tc>
        <w:tc>
          <w:tcPr>
            <w:tcW w:w="2638" w:type="dxa"/>
            <w:vMerge w:val="continue"/>
            <w:vAlign w:val="center"/>
          </w:tcPr>
          <w:p>
            <w:pPr>
              <w:pStyle w:val="164"/>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2664" w:type="dxa"/>
            <w:vAlign w:val="center"/>
          </w:tcPr>
          <w:p>
            <w:pPr>
              <w:pStyle w:val="164"/>
              <w:rPr>
                <w:color w:val="auto"/>
              </w:rPr>
            </w:pPr>
            <w:r>
              <w:rPr>
                <w:color w:val="auto"/>
              </w:rPr>
              <w:t>三级</w:t>
            </w:r>
          </w:p>
        </w:tc>
        <w:tc>
          <w:tcPr>
            <w:tcW w:w="3273" w:type="dxa"/>
            <w:vAlign w:val="center"/>
          </w:tcPr>
          <w:p>
            <w:pPr>
              <w:pStyle w:val="164"/>
              <w:rPr>
                <w:color w:val="auto"/>
              </w:rPr>
            </w:pPr>
            <w:r>
              <w:rPr>
                <w:color w:val="auto"/>
              </w:rPr>
              <w:t>P</w:t>
            </w:r>
            <w:r>
              <w:rPr>
                <w:color w:val="auto"/>
                <w:vertAlign w:val="subscript"/>
              </w:rPr>
              <w:t>max</w:t>
            </w:r>
            <w:r>
              <w:rPr>
                <w:color w:val="auto"/>
              </w:rPr>
              <w:t>＜1%</w:t>
            </w:r>
          </w:p>
        </w:tc>
        <w:tc>
          <w:tcPr>
            <w:tcW w:w="2638" w:type="dxa"/>
            <w:vMerge w:val="continue"/>
            <w:vAlign w:val="center"/>
          </w:tcPr>
          <w:p>
            <w:pPr>
              <w:pStyle w:val="164"/>
              <w:rPr>
                <w:color w:val="auto"/>
              </w:rPr>
            </w:pPr>
          </w:p>
        </w:tc>
      </w:tr>
    </w:tbl>
    <w:p>
      <w:pPr>
        <w:pStyle w:val="130"/>
        <w:ind w:firstLine="480"/>
        <w:rPr>
          <w:color w:val="auto"/>
        </w:rPr>
      </w:pPr>
      <w:r>
        <w:rPr>
          <w:color w:val="auto"/>
        </w:rPr>
        <w:t>根据本项目工程分析结果，分别计算每一种污染物的最大地面浓度占标率Pi（第i个污染物），其中Pi定义为：</w:t>
      </w:r>
    </w:p>
    <w:p>
      <w:pPr>
        <w:pStyle w:val="130"/>
        <w:ind w:firstLine="480"/>
        <w:jc w:val="center"/>
        <w:rPr>
          <w:snapToGrid w:val="0"/>
          <w:color w:val="auto"/>
        </w:rPr>
      </w:pPr>
      <w:r>
        <w:rPr>
          <w:color w:val="auto"/>
        </w:rPr>
        <w:drawing>
          <wp:inline distT="0" distB="0" distL="0" distR="0">
            <wp:extent cx="971550" cy="352425"/>
            <wp:effectExtent l="0" t="0" r="0" b="0"/>
            <wp:docPr id="97" name="图片 97" descr="790640535154440745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79064053515444074508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971550" cy="352425"/>
                    </a:xfrm>
                    <a:prstGeom prst="rect">
                      <a:avLst/>
                    </a:prstGeom>
                    <a:noFill/>
                    <a:ln>
                      <a:noFill/>
                    </a:ln>
                  </pic:spPr>
                </pic:pic>
              </a:graphicData>
            </a:graphic>
          </wp:inline>
        </w:drawing>
      </w:r>
    </w:p>
    <w:p>
      <w:pPr>
        <w:pStyle w:val="130"/>
        <w:ind w:firstLine="480"/>
        <w:rPr>
          <w:snapToGrid w:val="0"/>
          <w:color w:val="auto"/>
        </w:rPr>
      </w:pPr>
      <w:r>
        <w:rPr>
          <w:snapToGrid w:val="0"/>
          <w:color w:val="auto"/>
        </w:rPr>
        <w:t>式中：Pi----第i个污染物的最大地面浓度占标率，%；</w:t>
      </w:r>
    </w:p>
    <w:p>
      <w:pPr>
        <w:pStyle w:val="130"/>
        <w:ind w:firstLine="480"/>
        <w:rPr>
          <w:snapToGrid w:val="0"/>
          <w:color w:val="auto"/>
        </w:rPr>
      </w:pPr>
      <w:r>
        <w:rPr>
          <w:snapToGrid w:val="0"/>
          <w:color w:val="auto"/>
        </w:rPr>
        <w:t>Ci----采用估算模式计算出的第i个污染物的最大地面浓度，mg/m³；</w:t>
      </w:r>
    </w:p>
    <w:p>
      <w:pPr>
        <w:pStyle w:val="130"/>
        <w:ind w:firstLine="480"/>
        <w:rPr>
          <w:snapToGrid w:val="0"/>
          <w:color w:val="auto"/>
        </w:rPr>
      </w:pPr>
      <w:r>
        <w:rPr>
          <w:snapToGrid w:val="0"/>
          <w:color w:val="auto"/>
        </w:rPr>
        <w:t>C0i----第i个污染物的环境空气质量标准，mg/m³。</w:t>
      </w:r>
    </w:p>
    <w:p>
      <w:pPr>
        <w:pStyle w:val="130"/>
        <w:ind w:firstLine="480"/>
        <w:rPr>
          <w:snapToGrid w:val="0"/>
          <w:color w:val="auto"/>
        </w:rPr>
      </w:pPr>
      <w:r>
        <w:rPr>
          <w:snapToGrid w:val="0"/>
          <w:color w:val="auto"/>
        </w:rPr>
        <w:t>C0i一般选取《环境空气质量标准》（GB3095-2012）及2018年修改单中1小时平均取样时间的二级标准的浓度限值，如项目位于一类环境空气功能区，应选择相应的一级浓度限值；对该标准中未包含的污染物，使用《环境影响评价技术导则大气环境》（HJ2.2-2018）5.2确定的各评价因子1h平均质量浓度限值。对仅有日平均质量浓度限值或年平均质量浓度限值的，可分别按3倍、6倍折算为1h平均质量浓度限值。</w:t>
      </w:r>
    </w:p>
    <w:p>
      <w:pPr>
        <w:pStyle w:val="130"/>
        <w:ind w:firstLine="480"/>
        <w:rPr>
          <w:snapToGrid w:val="0"/>
          <w:color w:val="auto"/>
        </w:rPr>
      </w:pPr>
      <w:r>
        <w:rPr>
          <w:snapToGrid w:val="0"/>
          <w:color w:val="auto"/>
        </w:rPr>
        <w:t>（2）估算模式选取参数</w:t>
      </w:r>
    </w:p>
    <w:p>
      <w:pPr>
        <w:pStyle w:val="130"/>
        <w:ind w:firstLine="480"/>
        <w:rPr>
          <w:color w:val="auto"/>
        </w:rPr>
      </w:pPr>
      <w:r>
        <w:rPr>
          <w:color w:val="auto"/>
        </w:rPr>
        <w:t>本</w:t>
      </w:r>
      <w:r>
        <w:rPr>
          <w:rFonts w:hint="eastAsia"/>
          <w:color w:val="auto"/>
        </w:rPr>
        <w:t>次</w:t>
      </w:r>
      <w:r>
        <w:rPr>
          <w:color w:val="auto"/>
        </w:rPr>
        <w:t>估算模式预测所采用的模型参数见表1.5-2。</w:t>
      </w:r>
    </w:p>
    <w:p>
      <w:pPr>
        <w:pStyle w:val="114"/>
        <w:spacing w:before="0" w:beforeLines="0"/>
        <w:rPr>
          <w:color w:val="auto"/>
        </w:rPr>
      </w:pPr>
      <w:r>
        <w:rPr>
          <w:color w:val="auto"/>
        </w:rPr>
        <w:t>表 1.5-2 估算模型参数表</w:t>
      </w:r>
    </w:p>
    <w:tbl>
      <w:tblPr>
        <w:tblStyle w:val="74"/>
        <w:tblW w:w="8549" w:type="dxa"/>
        <w:jc w:val="center"/>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1377"/>
        <w:gridCol w:w="2131"/>
        <w:gridCol w:w="1591"/>
        <w:gridCol w:w="3450"/>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PrEx>
        <w:trPr>
          <w:trHeight w:val="322" w:hRule="atLeast"/>
          <w:jc w:val="center"/>
        </w:trPr>
        <w:tc>
          <w:tcPr>
            <w:tcW w:w="3508" w:type="dxa"/>
            <w:gridSpan w:val="2"/>
            <w:vAlign w:val="center"/>
          </w:tcPr>
          <w:p>
            <w:pPr>
              <w:pStyle w:val="161"/>
              <w:adjustRightInd w:val="0"/>
              <w:snapToGrid w:val="0"/>
              <w:jc w:val="center"/>
              <w:rPr>
                <w:b/>
                <w:snapToGrid w:val="0"/>
                <w:color w:val="auto"/>
                <w:kern w:val="0"/>
                <w:szCs w:val="21"/>
                <w:lang w:eastAsia="en-US"/>
              </w:rPr>
            </w:pPr>
            <w:r>
              <w:rPr>
                <w:b/>
                <w:snapToGrid w:val="0"/>
                <w:color w:val="auto"/>
                <w:kern w:val="0"/>
                <w:szCs w:val="21"/>
              </w:rPr>
              <w:t>参数</w:t>
            </w:r>
          </w:p>
        </w:tc>
        <w:tc>
          <w:tcPr>
            <w:tcW w:w="1591" w:type="dxa"/>
            <w:vAlign w:val="center"/>
          </w:tcPr>
          <w:p>
            <w:pPr>
              <w:pStyle w:val="161"/>
              <w:adjustRightInd w:val="0"/>
              <w:snapToGrid w:val="0"/>
              <w:jc w:val="center"/>
              <w:rPr>
                <w:b/>
                <w:snapToGrid w:val="0"/>
                <w:color w:val="auto"/>
                <w:kern w:val="0"/>
                <w:szCs w:val="21"/>
                <w:lang w:eastAsia="en-US"/>
              </w:rPr>
            </w:pPr>
            <w:r>
              <w:rPr>
                <w:b/>
                <w:snapToGrid w:val="0"/>
                <w:color w:val="auto"/>
                <w:kern w:val="0"/>
                <w:szCs w:val="21"/>
              </w:rPr>
              <w:t>取值</w:t>
            </w:r>
          </w:p>
        </w:tc>
        <w:tc>
          <w:tcPr>
            <w:tcW w:w="3450" w:type="dxa"/>
            <w:vAlign w:val="center"/>
          </w:tcPr>
          <w:p>
            <w:pPr>
              <w:pStyle w:val="161"/>
              <w:adjustRightInd w:val="0"/>
              <w:snapToGrid w:val="0"/>
              <w:jc w:val="center"/>
              <w:rPr>
                <w:b/>
                <w:snapToGrid w:val="0"/>
                <w:color w:val="auto"/>
                <w:kern w:val="0"/>
                <w:szCs w:val="21"/>
              </w:rPr>
            </w:pPr>
            <w:r>
              <w:rPr>
                <w:b/>
                <w:bCs/>
                <w:color w:val="auto"/>
                <w:kern w:val="0"/>
                <w:szCs w:val="21"/>
                <w:lang w:bidi="ar"/>
              </w:rPr>
              <w:t>依据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1377" w:type="dxa"/>
            <w:vMerge w:val="restart"/>
            <w:vAlign w:val="center"/>
          </w:tcPr>
          <w:p>
            <w:pPr>
              <w:pStyle w:val="161"/>
              <w:adjustRightInd w:val="0"/>
              <w:snapToGrid w:val="0"/>
              <w:jc w:val="center"/>
              <w:rPr>
                <w:snapToGrid w:val="0"/>
                <w:color w:val="auto"/>
                <w:kern w:val="0"/>
                <w:szCs w:val="21"/>
                <w:lang w:eastAsia="en-US"/>
              </w:rPr>
            </w:pPr>
            <w:r>
              <w:rPr>
                <w:snapToGrid w:val="0"/>
                <w:color w:val="auto"/>
                <w:kern w:val="0"/>
                <w:szCs w:val="21"/>
              </w:rPr>
              <w:t>城市/农村选项</w:t>
            </w:r>
          </w:p>
        </w:tc>
        <w:tc>
          <w:tcPr>
            <w:tcW w:w="213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城市/农村</w:t>
            </w:r>
          </w:p>
        </w:tc>
        <w:tc>
          <w:tcPr>
            <w:tcW w:w="159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农村</w:t>
            </w:r>
          </w:p>
        </w:tc>
        <w:tc>
          <w:tcPr>
            <w:tcW w:w="3450" w:type="dxa"/>
            <w:vAlign w:val="center"/>
          </w:tcPr>
          <w:p>
            <w:pPr>
              <w:pStyle w:val="161"/>
              <w:adjustRightInd w:val="0"/>
              <w:snapToGrid w:val="0"/>
              <w:jc w:val="center"/>
              <w:rPr>
                <w:snapToGrid w:val="0"/>
                <w:color w:val="auto"/>
                <w:kern w:val="0"/>
                <w:szCs w:val="21"/>
              </w:rPr>
            </w:pPr>
            <w:r>
              <w:rPr>
                <w:color w:val="auto"/>
                <w:kern w:val="0"/>
                <w:szCs w:val="21"/>
                <w:lang w:bidi="ar"/>
              </w:rPr>
              <w:t>位于</w:t>
            </w:r>
            <w:r>
              <w:rPr>
                <w:color w:val="auto"/>
              </w:rPr>
              <w:t>中卫市永康镇阳沟村中卫市生活垃圾填埋场西侧</w:t>
            </w:r>
            <w:r>
              <w:rPr>
                <w:color w:val="auto"/>
                <w:kern w:val="0"/>
                <w:szCs w:val="21"/>
                <w:lang w:bidi="ar"/>
              </w:rPr>
              <w:t>，属于农村地区</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1377" w:type="dxa"/>
            <w:vMerge w:val="continue"/>
            <w:vAlign w:val="center"/>
          </w:tcPr>
          <w:p>
            <w:pPr>
              <w:widowControl/>
              <w:adjustRightInd w:val="0"/>
              <w:snapToGrid w:val="0"/>
              <w:jc w:val="center"/>
              <w:rPr>
                <w:snapToGrid w:val="0"/>
                <w:color w:val="auto"/>
                <w:szCs w:val="21"/>
              </w:rPr>
            </w:pPr>
          </w:p>
        </w:tc>
        <w:tc>
          <w:tcPr>
            <w:tcW w:w="2131" w:type="dxa"/>
            <w:vAlign w:val="center"/>
          </w:tcPr>
          <w:p>
            <w:pPr>
              <w:pStyle w:val="161"/>
              <w:adjustRightInd w:val="0"/>
              <w:snapToGrid w:val="0"/>
              <w:jc w:val="center"/>
              <w:rPr>
                <w:snapToGrid w:val="0"/>
                <w:color w:val="auto"/>
                <w:kern w:val="0"/>
                <w:szCs w:val="21"/>
              </w:rPr>
            </w:pPr>
            <w:r>
              <w:rPr>
                <w:snapToGrid w:val="0"/>
                <w:color w:val="auto"/>
                <w:kern w:val="0"/>
                <w:szCs w:val="21"/>
              </w:rPr>
              <w:t>人口数（城市选项时）</w:t>
            </w:r>
          </w:p>
        </w:tc>
        <w:tc>
          <w:tcPr>
            <w:tcW w:w="159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w:t>
            </w:r>
          </w:p>
        </w:tc>
        <w:tc>
          <w:tcPr>
            <w:tcW w:w="3450" w:type="dxa"/>
            <w:vAlign w:val="center"/>
          </w:tcPr>
          <w:p>
            <w:pPr>
              <w:pStyle w:val="161"/>
              <w:adjustRightInd w:val="0"/>
              <w:snapToGrid w:val="0"/>
              <w:jc w:val="center"/>
              <w:rPr>
                <w:snapToGrid w:val="0"/>
                <w:color w:val="auto"/>
                <w:kern w:val="0"/>
                <w:szCs w:val="21"/>
              </w:rPr>
            </w:pPr>
            <w:r>
              <w:rPr>
                <w:snapToGrid w:val="0"/>
                <w:color w:val="auto"/>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3508" w:type="dxa"/>
            <w:gridSpan w:val="2"/>
            <w:vAlign w:val="center"/>
          </w:tcPr>
          <w:p>
            <w:pPr>
              <w:pStyle w:val="161"/>
              <w:adjustRightInd w:val="0"/>
              <w:snapToGrid w:val="0"/>
              <w:jc w:val="center"/>
              <w:rPr>
                <w:snapToGrid w:val="0"/>
                <w:color w:val="auto"/>
                <w:kern w:val="0"/>
                <w:szCs w:val="21"/>
                <w:lang w:eastAsia="en-US"/>
              </w:rPr>
            </w:pPr>
            <w:r>
              <w:rPr>
                <w:snapToGrid w:val="0"/>
                <w:color w:val="auto"/>
                <w:kern w:val="0"/>
                <w:szCs w:val="21"/>
              </w:rPr>
              <w:t>最高环境温度/℃</w:t>
            </w:r>
          </w:p>
        </w:tc>
        <w:tc>
          <w:tcPr>
            <w:tcW w:w="159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38.9</w:t>
            </w:r>
          </w:p>
        </w:tc>
        <w:tc>
          <w:tcPr>
            <w:tcW w:w="3450" w:type="dxa"/>
            <w:vMerge w:val="restart"/>
            <w:vAlign w:val="center"/>
          </w:tcPr>
          <w:p>
            <w:pPr>
              <w:pStyle w:val="161"/>
              <w:adjustRightInd w:val="0"/>
              <w:snapToGrid w:val="0"/>
              <w:jc w:val="center"/>
              <w:rPr>
                <w:snapToGrid w:val="0"/>
                <w:color w:val="auto"/>
                <w:kern w:val="0"/>
                <w:szCs w:val="21"/>
              </w:rPr>
            </w:pPr>
            <w:r>
              <w:rPr>
                <w:color w:val="auto"/>
                <w:kern w:val="0"/>
                <w:szCs w:val="21"/>
              </w:rPr>
              <w:t>根据中卫气象站（</w:t>
            </w:r>
            <w:r>
              <w:rPr>
                <w:rFonts w:eastAsia="TimesNewRomanPSMT"/>
                <w:color w:val="auto"/>
                <w:kern w:val="0"/>
                <w:szCs w:val="21"/>
              </w:rPr>
              <w:t>1999</w:t>
            </w:r>
            <w:r>
              <w:rPr>
                <w:color w:val="auto"/>
                <w:kern w:val="0"/>
                <w:szCs w:val="21"/>
              </w:rPr>
              <w:t>年～</w:t>
            </w:r>
            <w:r>
              <w:rPr>
                <w:rFonts w:eastAsia="TimesNewRomanPSMT"/>
                <w:color w:val="auto"/>
                <w:kern w:val="0"/>
                <w:szCs w:val="21"/>
              </w:rPr>
              <w:t>2018</w:t>
            </w:r>
            <w:r>
              <w:rPr>
                <w:color w:val="auto"/>
                <w:kern w:val="0"/>
                <w:szCs w:val="21"/>
              </w:rPr>
              <w:t>年）气象统计数据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3508" w:type="dxa"/>
            <w:gridSpan w:val="2"/>
            <w:vAlign w:val="center"/>
          </w:tcPr>
          <w:p>
            <w:pPr>
              <w:pStyle w:val="161"/>
              <w:adjustRightInd w:val="0"/>
              <w:snapToGrid w:val="0"/>
              <w:jc w:val="center"/>
              <w:rPr>
                <w:snapToGrid w:val="0"/>
                <w:color w:val="auto"/>
                <w:kern w:val="0"/>
                <w:szCs w:val="21"/>
                <w:lang w:eastAsia="en-US"/>
              </w:rPr>
            </w:pPr>
            <w:r>
              <w:rPr>
                <w:snapToGrid w:val="0"/>
                <w:color w:val="auto"/>
                <w:kern w:val="0"/>
                <w:szCs w:val="21"/>
              </w:rPr>
              <w:t>最低环境温度/℃</w:t>
            </w:r>
          </w:p>
        </w:tc>
        <w:tc>
          <w:tcPr>
            <w:tcW w:w="159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-27.1</w:t>
            </w:r>
          </w:p>
        </w:tc>
        <w:tc>
          <w:tcPr>
            <w:tcW w:w="3450" w:type="dxa"/>
            <w:vMerge w:val="continue"/>
            <w:vAlign w:val="center"/>
          </w:tcPr>
          <w:p>
            <w:pPr>
              <w:pStyle w:val="161"/>
              <w:adjustRightInd w:val="0"/>
              <w:snapToGrid w:val="0"/>
              <w:jc w:val="center"/>
              <w:rPr>
                <w:snapToGrid w:val="0"/>
                <w:color w:val="auto"/>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3508" w:type="dxa"/>
            <w:gridSpan w:val="2"/>
            <w:vAlign w:val="center"/>
          </w:tcPr>
          <w:p>
            <w:pPr>
              <w:pStyle w:val="161"/>
              <w:adjustRightInd w:val="0"/>
              <w:snapToGrid w:val="0"/>
              <w:jc w:val="center"/>
              <w:rPr>
                <w:snapToGrid w:val="0"/>
                <w:color w:val="auto"/>
                <w:kern w:val="0"/>
                <w:szCs w:val="21"/>
                <w:lang w:eastAsia="en-US"/>
              </w:rPr>
            </w:pPr>
            <w:r>
              <w:rPr>
                <w:snapToGrid w:val="0"/>
                <w:color w:val="auto"/>
                <w:kern w:val="0"/>
                <w:szCs w:val="21"/>
              </w:rPr>
              <w:t>土地利用类型</w:t>
            </w:r>
          </w:p>
        </w:tc>
        <w:tc>
          <w:tcPr>
            <w:tcW w:w="1591" w:type="dxa"/>
            <w:vAlign w:val="center"/>
          </w:tcPr>
          <w:p>
            <w:pPr>
              <w:pStyle w:val="161"/>
              <w:adjustRightInd w:val="0"/>
              <w:snapToGrid w:val="0"/>
              <w:jc w:val="center"/>
              <w:rPr>
                <w:snapToGrid w:val="0"/>
                <w:color w:val="auto"/>
                <w:kern w:val="0"/>
                <w:szCs w:val="21"/>
              </w:rPr>
            </w:pPr>
            <w:r>
              <w:rPr>
                <w:snapToGrid w:val="0"/>
                <w:color w:val="auto"/>
                <w:kern w:val="0"/>
                <w:szCs w:val="21"/>
              </w:rPr>
              <w:t>农用地</w:t>
            </w:r>
          </w:p>
        </w:tc>
        <w:tc>
          <w:tcPr>
            <w:tcW w:w="3450" w:type="dxa"/>
            <w:vAlign w:val="center"/>
          </w:tcPr>
          <w:p>
            <w:pPr>
              <w:pStyle w:val="161"/>
              <w:adjustRightInd w:val="0"/>
              <w:snapToGrid w:val="0"/>
              <w:jc w:val="center"/>
              <w:rPr>
                <w:snapToGrid w:val="0"/>
                <w:color w:val="auto"/>
                <w:kern w:val="0"/>
                <w:szCs w:val="21"/>
              </w:rPr>
            </w:pPr>
            <w:r>
              <w:rPr>
                <w:snapToGrid w:val="0"/>
                <w:color w:val="auto"/>
                <w:kern w:val="0"/>
                <w:szCs w:val="21"/>
              </w:rPr>
              <w:t>根据项目区周边特点，周边3km范围内占地面积最大的土地利用类型按照农用地考虑</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3508" w:type="dxa"/>
            <w:gridSpan w:val="2"/>
            <w:vAlign w:val="center"/>
          </w:tcPr>
          <w:p>
            <w:pPr>
              <w:pStyle w:val="161"/>
              <w:adjustRightInd w:val="0"/>
              <w:snapToGrid w:val="0"/>
              <w:jc w:val="center"/>
              <w:rPr>
                <w:snapToGrid w:val="0"/>
                <w:color w:val="auto"/>
                <w:kern w:val="0"/>
                <w:szCs w:val="21"/>
                <w:lang w:eastAsia="en-US"/>
              </w:rPr>
            </w:pPr>
            <w:r>
              <w:rPr>
                <w:snapToGrid w:val="0"/>
                <w:color w:val="auto"/>
                <w:kern w:val="0"/>
                <w:szCs w:val="21"/>
              </w:rPr>
              <w:t>区域湿度条件</w:t>
            </w:r>
          </w:p>
        </w:tc>
        <w:tc>
          <w:tcPr>
            <w:tcW w:w="159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干燥</w:t>
            </w:r>
          </w:p>
        </w:tc>
        <w:tc>
          <w:tcPr>
            <w:tcW w:w="3450" w:type="dxa"/>
            <w:vAlign w:val="center"/>
          </w:tcPr>
          <w:p>
            <w:pPr>
              <w:pStyle w:val="161"/>
              <w:adjustRightInd w:val="0"/>
              <w:snapToGrid w:val="0"/>
              <w:jc w:val="center"/>
              <w:rPr>
                <w:snapToGrid w:val="0"/>
                <w:color w:val="auto"/>
                <w:kern w:val="0"/>
                <w:szCs w:val="21"/>
              </w:rPr>
            </w:pPr>
            <w:r>
              <w:rPr>
                <w:color w:val="auto"/>
                <w:kern w:val="0"/>
                <w:szCs w:val="21"/>
                <w:lang w:bidi="ar"/>
              </w:rPr>
              <w:t>参照中国干湿状况分布图，项目所在区为半干旱区，区域湿度条件为干燥</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1377" w:type="dxa"/>
            <w:vMerge w:val="restart"/>
            <w:vAlign w:val="center"/>
          </w:tcPr>
          <w:p>
            <w:pPr>
              <w:adjustRightInd w:val="0"/>
              <w:snapToGrid w:val="0"/>
              <w:jc w:val="center"/>
              <w:rPr>
                <w:snapToGrid w:val="0"/>
                <w:color w:val="auto"/>
                <w:szCs w:val="21"/>
              </w:rPr>
            </w:pPr>
            <w:r>
              <w:rPr>
                <w:snapToGrid w:val="0"/>
                <w:color w:val="auto"/>
                <w:szCs w:val="21"/>
              </w:rPr>
              <w:t>是否考虑地形</w:t>
            </w:r>
          </w:p>
        </w:tc>
        <w:tc>
          <w:tcPr>
            <w:tcW w:w="213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考虑地形</w:t>
            </w:r>
          </w:p>
        </w:tc>
        <w:tc>
          <w:tcPr>
            <w:tcW w:w="159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是</w:t>
            </w:r>
          </w:p>
        </w:tc>
        <w:tc>
          <w:tcPr>
            <w:tcW w:w="3450" w:type="dxa"/>
            <w:vMerge w:val="restart"/>
            <w:vAlign w:val="center"/>
          </w:tcPr>
          <w:p>
            <w:pPr>
              <w:pStyle w:val="161"/>
              <w:adjustRightInd w:val="0"/>
              <w:snapToGrid w:val="0"/>
              <w:jc w:val="center"/>
              <w:rPr>
                <w:snapToGrid w:val="0"/>
                <w:color w:val="auto"/>
                <w:kern w:val="0"/>
                <w:szCs w:val="21"/>
              </w:rPr>
            </w:pPr>
            <w:r>
              <w:rPr>
                <w:color w:val="auto"/>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1377" w:type="dxa"/>
            <w:vMerge w:val="continue"/>
            <w:vAlign w:val="center"/>
          </w:tcPr>
          <w:p>
            <w:pPr>
              <w:adjustRightInd w:val="0"/>
              <w:snapToGrid w:val="0"/>
              <w:jc w:val="center"/>
              <w:rPr>
                <w:snapToGrid w:val="0"/>
                <w:color w:val="auto"/>
                <w:szCs w:val="21"/>
              </w:rPr>
            </w:pPr>
          </w:p>
        </w:tc>
        <w:tc>
          <w:tcPr>
            <w:tcW w:w="2131" w:type="dxa"/>
            <w:vAlign w:val="center"/>
          </w:tcPr>
          <w:p>
            <w:pPr>
              <w:pStyle w:val="161"/>
              <w:adjustRightInd w:val="0"/>
              <w:snapToGrid w:val="0"/>
              <w:jc w:val="center"/>
              <w:rPr>
                <w:snapToGrid w:val="0"/>
                <w:color w:val="auto"/>
                <w:kern w:val="0"/>
                <w:szCs w:val="21"/>
              </w:rPr>
            </w:pPr>
            <w:r>
              <w:rPr>
                <w:snapToGrid w:val="0"/>
                <w:color w:val="auto"/>
                <w:kern w:val="0"/>
                <w:szCs w:val="21"/>
              </w:rPr>
              <w:t>地形数据分辨率</w:t>
            </w:r>
          </w:p>
        </w:tc>
        <w:tc>
          <w:tcPr>
            <w:tcW w:w="1591" w:type="dxa"/>
            <w:vAlign w:val="center"/>
          </w:tcPr>
          <w:p>
            <w:pPr>
              <w:pStyle w:val="161"/>
              <w:adjustRightInd w:val="0"/>
              <w:snapToGrid w:val="0"/>
              <w:jc w:val="center"/>
              <w:rPr>
                <w:snapToGrid w:val="0"/>
                <w:color w:val="auto"/>
                <w:kern w:val="0"/>
                <w:szCs w:val="21"/>
              </w:rPr>
            </w:pPr>
            <w:r>
              <w:rPr>
                <w:snapToGrid w:val="0"/>
                <w:color w:val="auto"/>
                <w:kern w:val="0"/>
                <w:szCs w:val="21"/>
              </w:rPr>
              <w:t>90m</w:t>
            </w:r>
          </w:p>
        </w:tc>
        <w:tc>
          <w:tcPr>
            <w:tcW w:w="3450" w:type="dxa"/>
            <w:vMerge w:val="continue"/>
            <w:vAlign w:val="center"/>
          </w:tcPr>
          <w:p>
            <w:pPr>
              <w:pStyle w:val="161"/>
              <w:adjustRightInd w:val="0"/>
              <w:snapToGrid w:val="0"/>
              <w:jc w:val="center"/>
              <w:rPr>
                <w:snapToGrid w:val="0"/>
                <w:color w:val="auto"/>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1377" w:type="dxa"/>
            <w:vMerge w:val="restart"/>
            <w:vAlign w:val="center"/>
          </w:tcPr>
          <w:p>
            <w:pPr>
              <w:pStyle w:val="161"/>
              <w:adjustRightInd w:val="0"/>
              <w:snapToGrid w:val="0"/>
              <w:jc w:val="center"/>
              <w:rPr>
                <w:snapToGrid w:val="0"/>
                <w:color w:val="auto"/>
                <w:kern w:val="0"/>
                <w:szCs w:val="21"/>
                <w:lang w:eastAsia="en-US"/>
              </w:rPr>
            </w:pPr>
            <w:r>
              <w:rPr>
                <w:snapToGrid w:val="0"/>
                <w:color w:val="auto"/>
                <w:kern w:val="0"/>
                <w:szCs w:val="21"/>
              </w:rPr>
              <w:t>是否考虑海岸线熏烟</w:t>
            </w:r>
          </w:p>
        </w:tc>
        <w:tc>
          <w:tcPr>
            <w:tcW w:w="213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考虑海岸线熏烟</w:t>
            </w:r>
          </w:p>
        </w:tc>
        <w:tc>
          <w:tcPr>
            <w:tcW w:w="159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否</w:t>
            </w:r>
          </w:p>
        </w:tc>
        <w:tc>
          <w:tcPr>
            <w:tcW w:w="3450" w:type="dxa"/>
            <w:vAlign w:val="center"/>
          </w:tcPr>
          <w:p>
            <w:pPr>
              <w:pStyle w:val="161"/>
              <w:adjustRightInd w:val="0"/>
              <w:snapToGrid w:val="0"/>
              <w:jc w:val="center"/>
              <w:rPr>
                <w:snapToGrid w:val="0"/>
                <w:color w:val="auto"/>
                <w:kern w:val="0"/>
                <w:szCs w:val="21"/>
              </w:rPr>
            </w:pPr>
            <w:r>
              <w:rPr>
                <w:snapToGrid w:val="0"/>
                <w:color w:val="auto"/>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1377" w:type="dxa"/>
            <w:vMerge w:val="continue"/>
            <w:vAlign w:val="center"/>
          </w:tcPr>
          <w:p>
            <w:pPr>
              <w:widowControl/>
              <w:adjustRightInd w:val="0"/>
              <w:snapToGrid w:val="0"/>
              <w:jc w:val="center"/>
              <w:rPr>
                <w:snapToGrid w:val="0"/>
                <w:color w:val="auto"/>
                <w:szCs w:val="21"/>
                <w:lang w:eastAsia="en-US"/>
              </w:rPr>
            </w:pPr>
          </w:p>
        </w:tc>
        <w:tc>
          <w:tcPr>
            <w:tcW w:w="213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海岸线距离/m</w:t>
            </w:r>
          </w:p>
        </w:tc>
        <w:tc>
          <w:tcPr>
            <w:tcW w:w="159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w:t>
            </w:r>
          </w:p>
        </w:tc>
        <w:tc>
          <w:tcPr>
            <w:tcW w:w="3450" w:type="dxa"/>
            <w:vAlign w:val="center"/>
          </w:tcPr>
          <w:p>
            <w:pPr>
              <w:pStyle w:val="161"/>
              <w:adjustRightInd w:val="0"/>
              <w:snapToGrid w:val="0"/>
              <w:jc w:val="center"/>
              <w:rPr>
                <w:snapToGrid w:val="0"/>
                <w:color w:val="auto"/>
                <w:kern w:val="0"/>
                <w:szCs w:val="21"/>
              </w:rPr>
            </w:pPr>
            <w:r>
              <w:rPr>
                <w:snapToGrid w:val="0"/>
                <w:color w:val="auto"/>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22" w:hRule="atLeast"/>
          <w:jc w:val="center"/>
        </w:trPr>
        <w:tc>
          <w:tcPr>
            <w:tcW w:w="1377" w:type="dxa"/>
            <w:vMerge w:val="continue"/>
            <w:vAlign w:val="center"/>
          </w:tcPr>
          <w:p>
            <w:pPr>
              <w:widowControl/>
              <w:adjustRightInd w:val="0"/>
              <w:snapToGrid w:val="0"/>
              <w:jc w:val="center"/>
              <w:rPr>
                <w:snapToGrid w:val="0"/>
                <w:color w:val="auto"/>
                <w:szCs w:val="21"/>
                <w:lang w:eastAsia="en-US"/>
              </w:rPr>
            </w:pPr>
          </w:p>
        </w:tc>
        <w:tc>
          <w:tcPr>
            <w:tcW w:w="213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海岸线方向/°</w:t>
            </w:r>
          </w:p>
        </w:tc>
        <w:tc>
          <w:tcPr>
            <w:tcW w:w="159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w:t>
            </w:r>
          </w:p>
        </w:tc>
        <w:tc>
          <w:tcPr>
            <w:tcW w:w="3450" w:type="dxa"/>
            <w:vAlign w:val="center"/>
          </w:tcPr>
          <w:p>
            <w:pPr>
              <w:pStyle w:val="161"/>
              <w:adjustRightInd w:val="0"/>
              <w:snapToGrid w:val="0"/>
              <w:jc w:val="center"/>
              <w:rPr>
                <w:snapToGrid w:val="0"/>
                <w:color w:val="auto"/>
                <w:kern w:val="0"/>
                <w:szCs w:val="21"/>
              </w:rPr>
            </w:pPr>
            <w:r>
              <w:rPr>
                <w:snapToGrid w:val="0"/>
                <w:color w:val="auto"/>
                <w:kern w:val="0"/>
                <w:szCs w:val="21"/>
              </w:rPr>
              <w:t>/</w:t>
            </w:r>
          </w:p>
        </w:tc>
      </w:tr>
    </w:tbl>
    <w:p>
      <w:pPr>
        <w:pStyle w:val="130"/>
        <w:ind w:firstLine="480"/>
        <w:rPr>
          <w:color w:val="auto"/>
        </w:rPr>
      </w:pPr>
      <w:r>
        <w:rPr>
          <w:color w:val="auto"/>
        </w:rPr>
        <w:t>当污染源3km半径范围内一半以上面积属于城市建成区或规划区时，选择城市，否则选择农村。根据调查，本项目3km范围内城市建成区面积少于一半，本项目选择农村。</w:t>
      </w:r>
    </w:p>
    <w:p>
      <w:pPr>
        <w:pStyle w:val="130"/>
        <w:ind w:firstLine="480"/>
        <w:rPr>
          <w:color w:val="auto"/>
        </w:rPr>
      </w:pPr>
      <w:r>
        <w:rPr>
          <w:color w:val="auto"/>
        </w:rPr>
        <w:t>本项目</w:t>
      </w:r>
      <w:r>
        <w:rPr>
          <w:rFonts w:hint="eastAsia"/>
          <w:color w:val="auto"/>
        </w:rPr>
        <w:t>建成后全厂大气</w:t>
      </w:r>
      <w:r>
        <w:rPr>
          <w:color w:val="auto"/>
        </w:rPr>
        <w:t>评价工作等级判定见表1.5-3。</w:t>
      </w:r>
    </w:p>
    <w:p>
      <w:pPr>
        <w:jc w:val="center"/>
        <w:rPr>
          <w:rFonts w:eastAsiaTheme="minorEastAsia"/>
          <w:b/>
          <w:snapToGrid w:val="0"/>
          <w:color w:val="auto"/>
          <w:sz w:val="24"/>
        </w:rPr>
      </w:pPr>
      <w:r>
        <w:rPr>
          <w:rFonts w:eastAsiaTheme="minorEastAsia"/>
          <w:b/>
          <w:snapToGrid w:val="0"/>
          <w:color w:val="auto"/>
          <w:sz w:val="24"/>
        </w:rPr>
        <w:t>表1.5-3  本项目</w:t>
      </w:r>
      <w:r>
        <w:rPr>
          <w:rFonts w:hint="eastAsia" w:eastAsiaTheme="minorEastAsia"/>
          <w:b/>
          <w:snapToGrid w:val="0"/>
          <w:color w:val="auto"/>
          <w:sz w:val="24"/>
        </w:rPr>
        <w:t>建成后全厂</w:t>
      </w:r>
      <w:r>
        <w:rPr>
          <w:rFonts w:eastAsiaTheme="minorEastAsia"/>
          <w:b/>
          <w:snapToGrid w:val="0"/>
          <w:color w:val="auto"/>
          <w:sz w:val="24"/>
        </w:rPr>
        <w:t>大气评价工作等级判定结果表</w:t>
      </w:r>
    </w:p>
    <w:tbl>
      <w:tblPr>
        <w:tblStyle w:val="74"/>
        <w:tblW w:w="8737"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05"/>
        <w:gridCol w:w="1027"/>
        <w:gridCol w:w="1899"/>
        <w:gridCol w:w="2777"/>
        <w:gridCol w:w="202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67" w:hRule="atLeast"/>
          <w:jc w:val="center"/>
        </w:trPr>
        <w:tc>
          <w:tcPr>
            <w:tcW w:w="2032" w:type="dxa"/>
            <w:gridSpan w:val="2"/>
            <w:vAlign w:val="center"/>
          </w:tcPr>
          <w:p>
            <w:pPr>
              <w:pStyle w:val="164"/>
              <w:rPr>
                <w:color w:val="auto"/>
                <w:szCs w:val="21"/>
              </w:rPr>
            </w:pPr>
            <w:bookmarkStart w:id="134" w:name="_Toc11595192"/>
            <w:r>
              <w:rPr>
                <w:color w:val="auto"/>
                <w:szCs w:val="21"/>
              </w:rPr>
              <w:t>污染物</w:t>
            </w:r>
          </w:p>
        </w:tc>
        <w:tc>
          <w:tcPr>
            <w:tcW w:w="1899" w:type="dxa"/>
            <w:vAlign w:val="center"/>
          </w:tcPr>
          <w:p>
            <w:pPr>
              <w:pStyle w:val="164"/>
              <w:rPr>
                <w:color w:val="auto"/>
                <w:szCs w:val="21"/>
              </w:rPr>
            </w:pPr>
            <w:r>
              <w:rPr>
                <w:color w:val="auto"/>
                <w:szCs w:val="21"/>
              </w:rPr>
              <w:t>下风向最大质量浓度</w:t>
            </w:r>
            <w:r>
              <w:rPr>
                <w:color w:val="auto"/>
                <w:kern w:val="0"/>
                <w:szCs w:val="21"/>
              </w:rPr>
              <w:t>（</w:t>
            </w:r>
            <w:r>
              <w:rPr>
                <w:color w:val="auto"/>
                <w:szCs w:val="21"/>
              </w:rPr>
              <w:t>mg/m³</w:t>
            </w:r>
            <w:r>
              <w:rPr>
                <w:color w:val="auto"/>
                <w:kern w:val="0"/>
                <w:szCs w:val="21"/>
              </w:rPr>
              <w:t>）</w:t>
            </w:r>
          </w:p>
        </w:tc>
        <w:tc>
          <w:tcPr>
            <w:tcW w:w="2777" w:type="dxa"/>
            <w:vAlign w:val="center"/>
          </w:tcPr>
          <w:p>
            <w:pPr>
              <w:pStyle w:val="164"/>
              <w:rPr>
                <w:color w:val="auto"/>
                <w:szCs w:val="21"/>
              </w:rPr>
            </w:pPr>
            <w:r>
              <w:rPr>
                <w:color w:val="auto"/>
                <w:szCs w:val="21"/>
              </w:rPr>
              <w:t>下风向最大质量浓度占标率</w:t>
            </w:r>
            <w:r>
              <w:rPr>
                <w:color w:val="auto"/>
                <w:kern w:val="0"/>
                <w:szCs w:val="21"/>
              </w:rPr>
              <w:t>（%）</w:t>
            </w:r>
          </w:p>
        </w:tc>
        <w:tc>
          <w:tcPr>
            <w:tcW w:w="2029" w:type="dxa"/>
            <w:vAlign w:val="center"/>
          </w:tcPr>
          <w:p>
            <w:pPr>
              <w:pStyle w:val="164"/>
              <w:rPr>
                <w:color w:val="auto"/>
                <w:szCs w:val="21"/>
              </w:rPr>
            </w:pPr>
            <w:r>
              <w:rPr>
                <w:color w:val="auto"/>
                <w:szCs w:val="21"/>
              </w:rPr>
              <w:t>最大浓度出现距离</w:t>
            </w:r>
            <w:r>
              <w:rPr>
                <w:color w:val="auto"/>
                <w:kern w:val="0"/>
                <w:szCs w:val="21"/>
              </w:rPr>
              <w:t>（m）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005" w:type="dxa"/>
            <w:vMerge w:val="restart"/>
            <w:vAlign w:val="center"/>
          </w:tcPr>
          <w:p>
            <w:pPr>
              <w:pStyle w:val="164"/>
              <w:rPr>
                <w:color w:val="auto"/>
                <w:szCs w:val="21"/>
              </w:rPr>
            </w:pPr>
            <w:r>
              <w:rPr>
                <w:color w:val="auto"/>
                <w:szCs w:val="21"/>
              </w:rPr>
              <w:t>车间排气筒有组织点源</w:t>
            </w:r>
          </w:p>
        </w:tc>
        <w:tc>
          <w:tcPr>
            <w:tcW w:w="1027" w:type="dxa"/>
            <w:vAlign w:val="center"/>
          </w:tcPr>
          <w:p>
            <w:pPr>
              <w:pStyle w:val="164"/>
              <w:rPr>
                <w:color w:val="auto"/>
                <w:szCs w:val="21"/>
              </w:rPr>
            </w:pPr>
            <w:r>
              <w:rPr>
                <w:color w:val="auto"/>
                <w:szCs w:val="21"/>
              </w:rPr>
              <w:t>PM</w:t>
            </w:r>
            <w:r>
              <w:rPr>
                <w:color w:val="auto"/>
                <w:szCs w:val="21"/>
                <w:vertAlign w:val="subscript"/>
              </w:rPr>
              <w:t>10</w:t>
            </w:r>
          </w:p>
        </w:tc>
        <w:tc>
          <w:tcPr>
            <w:tcW w:w="1899" w:type="dxa"/>
            <w:vAlign w:val="center"/>
          </w:tcPr>
          <w:p>
            <w:pPr>
              <w:ind w:left="-105" w:leftChars="-50" w:right="-105" w:rightChars="-50"/>
              <w:jc w:val="center"/>
              <w:rPr>
                <w:color w:val="auto"/>
                <w:szCs w:val="21"/>
              </w:rPr>
            </w:pPr>
            <w:r>
              <w:rPr>
                <w:color w:val="auto"/>
                <w:szCs w:val="21"/>
                <w:lang w:bidi="ar"/>
              </w:rPr>
              <w:t>1.7520</w:t>
            </w:r>
          </w:p>
        </w:tc>
        <w:tc>
          <w:tcPr>
            <w:tcW w:w="2777" w:type="dxa"/>
            <w:vAlign w:val="center"/>
          </w:tcPr>
          <w:p>
            <w:pPr>
              <w:ind w:left="-105" w:leftChars="-50" w:right="-105" w:rightChars="-50"/>
              <w:jc w:val="center"/>
              <w:rPr>
                <w:color w:val="auto"/>
                <w:szCs w:val="21"/>
              </w:rPr>
            </w:pPr>
            <w:r>
              <w:rPr>
                <w:color w:val="auto"/>
                <w:szCs w:val="21"/>
                <w:lang w:bidi="ar"/>
              </w:rPr>
              <w:t>0.39</w:t>
            </w:r>
          </w:p>
        </w:tc>
        <w:tc>
          <w:tcPr>
            <w:tcW w:w="2029" w:type="dxa"/>
            <w:vMerge w:val="restart"/>
            <w:vAlign w:val="center"/>
          </w:tcPr>
          <w:p>
            <w:pPr>
              <w:pStyle w:val="164"/>
              <w:rPr>
                <w:color w:val="auto"/>
                <w:szCs w:val="21"/>
              </w:rPr>
            </w:pPr>
            <w:r>
              <w:rPr>
                <w:color w:val="auto"/>
                <w:szCs w:val="21"/>
              </w:rPr>
              <w:t>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005" w:type="dxa"/>
            <w:vMerge w:val="continue"/>
            <w:vAlign w:val="center"/>
          </w:tcPr>
          <w:p>
            <w:pPr>
              <w:pStyle w:val="164"/>
              <w:rPr>
                <w:color w:val="auto"/>
                <w:szCs w:val="21"/>
              </w:rPr>
            </w:pPr>
          </w:p>
        </w:tc>
        <w:tc>
          <w:tcPr>
            <w:tcW w:w="1027" w:type="dxa"/>
            <w:vAlign w:val="center"/>
          </w:tcPr>
          <w:p>
            <w:pPr>
              <w:pStyle w:val="164"/>
              <w:rPr>
                <w:color w:val="auto"/>
                <w:szCs w:val="21"/>
              </w:rPr>
            </w:pPr>
            <w:r>
              <w:rPr>
                <w:color w:val="auto"/>
                <w:szCs w:val="21"/>
              </w:rPr>
              <w:t>H</w:t>
            </w:r>
            <w:r>
              <w:rPr>
                <w:color w:val="auto"/>
                <w:szCs w:val="21"/>
                <w:vertAlign w:val="subscript"/>
              </w:rPr>
              <w:t>2</w:t>
            </w:r>
            <w:r>
              <w:rPr>
                <w:color w:val="auto"/>
                <w:szCs w:val="21"/>
              </w:rPr>
              <w:t>S</w:t>
            </w:r>
          </w:p>
        </w:tc>
        <w:tc>
          <w:tcPr>
            <w:tcW w:w="1899" w:type="dxa"/>
            <w:vAlign w:val="center"/>
          </w:tcPr>
          <w:p>
            <w:pPr>
              <w:ind w:left="-105" w:leftChars="-50" w:right="-105" w:rightChars="-50"/>
              <w:jc w:val="center"/>
              <w:rPr>
                <w:color w:val="auto"/>
                <w:szCs w:val="21"/>
              </w:rPr>
            </w:pPr>
            <w:r>
              <w:rPr>
                <w:color w:val="auto"/>
                <w:szCs w:val="21"/>
                <w:lang w:bidi="ar"/>
              </w:rPr>
              <w:t>0.0110</w:t>
            </w:r>
          </w:p>
        </w:tc>
        <w:tc>
          <w:tcPr>
            <w:tcW w:w="2777" w:type="dxa"/>
            <w:vAlign w:val="center"/>
          </w:tcPr>
          <w:p>
            <w:pPr>
              <w:ind w:left="-105" w:leftChars="-50" w:right="-105" w:rightChars="-50"/>
              <w:jc w:val="center"/>
              <w:rPr>
                <w:color w:val="auto"/>
                <w:szCs w:val="21"/>
              </w:rPr>
            </w:pPr>
            <w:r>
              <w:rPr>
                <w:color w:val="auto"/>
                <w:szCs w:val="21"/>
                <w:lang w:bidi="ar"/>
              </w:rPr>
              <w:t>0.11</w:t>
            </w:r>
          </w:p>
        </w:tc>
        <w:tc>
          <w:tcPr>
            <w:tcW w:w="2029"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005" w:type="dxa"/>
            <w:vMerge w:val="continue"/>
            <w:vAlign w:val="center"/>
          </w:tcPr>
          <w:p>
            <w:pPr>
              <w:pStyle w:val="164"/>
              <w:rPr>
                <w:color w:val="auto"/>
                <w:szCs w:val="21"/>
              </w:rPr>
            </w:pPr>
          </w:p>
        </w:tc>
        <w:tc>
          <w:tcPr>
            <w:tcW w:w="1027" w:type="dxa"/>
            <w:vAlign w:val="center"/>
          </w:tcPr>
          <w:p>
            <w:pPr>
              <w:pStyle w:val="164"/>
              <w:rPr>
                <w:color w:val="auto"/>
                <w:szCs w:val="21"/>
              </w:rPr>
            </w:pPr>
            <w:r>
              <w:rPr>
                <w:color w:val="auto"/>
                <w:szCs w:val="21"/>
              </w:rPr>
              <w:t>NH</w:t>
            </w:r>
            <w:r>
              <w:rPr>
                <w:color w:val="auto"/>
                <w:szCs w:val="21"/>
                <w:vertAlign w:val="subscript"/>
              </w:rPr>
              <w:t>3</w:t>
            </w:r>
          </w:p>
        </w:tc>
        <w:tc>
          <w:tcPr>
            <w:tcW w:w="1899" w:type="dxa"/>
            <w:vAlign w:val="center"/>
          </w:tcPr>
          <w:p>
            <w:pPr>
              <w:ind w:left="-105" w:leftChars="-50" w:right="-105" w:rightChars="-50"/>
              <w:jc w:val="center"/>
              <w:rPr>
                <w:color w:val="auto"/>
                <w:szCs w:val="21"/>
              </w:rPr>
            </w:pPr>
            <w:r>
              <w:rPr>
                <w:color w:val="auto"/>
                <w:szCs w:val="21"/>
                <w:lang w:bidi="ar"/>
              </w:rPr>
              <w:t>2.4092</w:t>
            </w:r>
          </w:p>
        </w:tc>
        <w:tc>
          <w:tcPr>
            <w:tcW w:w="2777" w:type="dxa"/>
            <w:vAlign w:val="center"/>
          </w:tcPr>
          <w:p>
            <w:pPr>
              <w:ind w:left="-105" w:leftChars="-50" w:right="-105" w:rightChars="-50"/>
              <w:jc w:val="center"/>
              <w:rPr>
                <w:color w:val="auto"/>
                <w:szCs w:val="21"/>
              </w:rPr>
            </w:pPr>
            <w:r>
              <w:rPr>
                <w:color w:val="auto"/>
                <w:szCs w:val="21"/>
                <w:lang w:bidi="ar"/>
              </w:rPr>
              <w:t>1.20</w:t>
            </w:r>
          </w:p>
        </w:tc>
        <w:tc>
          <w:tcPr>
            <w:tcW w:w="2029"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005" w:type="dxa"/>
            <w:vMerge w:val="continue"/>
            <w:vAlign w:val="center"/>
          </w:tcPr>
          <w:p>
            <w:pPr>
              <w:pStyle w:val="164"/>
              <w:rPr>
                <w:color w:val="auto"/>
                <w:szCs w:val="21"/>
              </w:rPr>
            </w:pPr>
          </w:p>
        </w:tc>
        <w:tc>
          <w:tcPr>
            <w:tcW w:w="1027" w:type="dxa"/>
            <w:vAlign w:val="center"/>
          </w:tcPr>
          <w:p>
            <w:pPr>
              <w:pStyle w:val="164"/>
              <w:rPr>
                <w:color w:val="auto"/>
                <w:szCs w:val="21"/>
              </w:rPr>
            </w:pPr>
            <w:r>
              <w:rPr>
                <w:color w:val="auto"/>
                <w:szCs w:val="21"/>
              </w:rPr>
              <w:t>VOCs</w:t>
            </w:r>
          </w:p>
        </w:tc>
        <w:tc>
          <w:tcPr>
            <w:tcW w:w="1899" w:type="dxa"/>
            <w:vAlign w:val="center"/>
          </w:tcPr>
          <w:p>
            <w:pPr>
              <w:ind w:left="-105" w:leftChars="-50" w:right="-105" w:rightChars="-50"/>
              <w:jc w:val="center"/>
              <w:rPr>
                <w:color w:val="auto"/>
                <w:szCs w:val="21"/>
              </w:rPr>
            </w:pPr>
            <w:r>
              <w:rPr>
                <w:color w:val="auto"/>
                <w:szCs w:val="21"/>
                <w:lang w:bidi="ar"/>
              </w:rPr>
              <w:t>0.4052</w:t>
            </w:r>
          </w:p>
        </w:tc>
        <w:tc>
          <w:tcPr>
            <w:tcW w:w="2777" w:type="dxa"/>
            <w:vAlign w:val="center"/>
          </w:tcPr>
          <w:p>
            <w:pPr>
              <w:ind w:left="-105" w:leftChars="-50" w:right="-105" w:rightChars="-50"/>
              <w:jc w:val="center"/>
              <w:rPr>
                <w:color w:val="auto"/>
                <w:szCs w:val="21"/>
              </w:rPr>
            </w:pPr>
            <w:r>
              <w:rPr>
                <w:color w:val="auto"/>
                <w:szCs w:val="21"/>
                <w:lang w:bidi="ar"/>
              </w:rPr>
              <w:t>0.02</w:t>
            </w:r>
          </w:p>
        </w:tc>
        <w:tc>
          <w:tcPr>
            <w:tcW w:w="2029"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005" w:type="dxa"/>
            <w:vMerge w:val="restart"/>
            <w:vAlign w:val="center"/>
          </w:tcPr>
          <w:p>
            <w:pPr>
              <w:pStyle w:val="164"/>
              <w:rPr>
                <w:color w:val="auto"/>
                <w:szCs w:val="21"/>
              </w:rPr>
            </w:pPr>
            <w:r>
              <w:rPr>
                <w:color w:val="auto"/>
                <w:szCs w:val="21"/>
              </w:rPr>
              <w:t>蒸煮车间无组织面源</w:t>
            </w:r>
          </w:p>
        </w:tc>
        <w:tc>
          <w:tcPr>
            <w:tcW w:w="1027" w:type="dxa"/>
            <w:vAlign w:val="center"/>
          </w:tcPr>
          <w:p>
            <w:pPr>
              <w:pStyle w:val="164"/>
              <w:rPr>
                <w:color w:val="auto"/>
                <w:szCs w:val="21"/>
              </w:rPr>
            </w:pPr>
            <w:r>
              <w:rPr>
                <w:color w:val="auto"/>
                <w:szCs w:val="21"/>
              </w:rPr>
              <w:t>NH</w:t>
            </w:r>
            <w:r>
              <w:rPr>
                <w:color w:val="auto"/>
                <w:szCs w:val="21"/>
                <w:vertAlign w:val="subscript"/>
              </w:rPr>
              <w:t>3</w:t>
            </w:r>
          </w:p>
        </w:tc>
        <w:tc>
          <w:tcPr>
            <w:tcW w:w="1899" w:type="dxa"/>
            <w:vAlign w:val="center"/>
          </w:tcPr>
          <w:p>
            <w:pPr>
              <w:jc w:val="center"/>
              <w:rPr>
                <w:color w:val="auto"/>
                <w:szCs w:val="21"/>
              </w:rPr>
            </w:pPr>
            <w:r>
              <w:rPr>
                <w:color w:val="auto"/>
              </w:rPr>
              <w:t>3.9446</w:t>
            </w:r>
          </w:p>
        </w:tc>
        <w:tc>
          <w:tcPr>
            <w:tcW w:w="2777" w:type="dxa"/>
            <w:vAlign w:val="center"/>
          </w:tcPr>
          <w:p>
            <w:pPr>
              <w:jc w:val="center"/>
              <w:rPr>
                <w:color w:val="auto"/>
                <w:szCs w:val="21"/>
              </w:rPr>
            </w:pPr>
            <w:r>
              <w:rPr>
                <w:color w:val="auto"/>
              </w:rPr>
              <w:t>1.97</w:t>
            </w:r>
          </w:p>
        </w:tc>
        <w:tc>
          <w:tcPr>
            <w:tcW w:w="2029" w:type="dxa"/>
            <w:vMerge w:val="restart"/>
            <w:vAlign w:val="center"/>
          </w:tcPr>
          <w:p>
            <w:pPr>
              <w:pStyle w:val="164"/>
              <w:rPr>
                <w:color w:val="auto"/>
                <w:szCs w:val="21"/>
              </w:rPr>
            </w:pPr>
            <w:r>
              <w:rPr>
                <w:color w:val="auto"/>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005" w:type="dxa"/>
            <w:vMerge w:val="continue"/>
            <w:vAlign w:val="center"/>
          </w:tcPr>
          <w:p>
            <w:pPr>
              <w:pStyle w:val="164"/>
              <w:rPr>
                <w:color w:val="auto"/>
                <w:szCs w:val="21"/>
              </w:rPr>
            </w:pPr>
          </w:p>
        </w:tc>
        <w:tc>
          <w:tcPr>
            <w:tcW w:w="1027" w:type="dxa"/>
            <w:vAlign w:val="center"/>
          </w:tcPr>
          <w:p>
            <w:pPr>
              <w:pStyle w:val="164"/>
              <w:rPr>
                <w:color w:val="auto"/>
                <w:szCs w:val="21"/>
              </w:rPr>
            </w:pPr>
            <w:r>
              <w:rPr>
                <w:color w:val="auto"/>
                <w:szCs w:val="21"/>
              </w:rPr>
              <w:t>H</w:t>
            </w:r>
            <w:r>
              <w:rPr>
                <w:color w:val="auto"/>
                <w:szCs w:val="21"/>
                <w:vertAlign w:val="subscript"/>
              </w:rPr>
              <w:t>2</w:t>
            </w:r>
            <w:r>
              <w:rPr>
                <w:color w:val="auto"/>
                <w:szCs w:val="21"/>
              </w:rPr>
              <w:t>S</w:t>
            </w:r>
          </w:p>
        </w:tc>
        <w:tc>
          <w:tcPr>
            <w:tcW w:w="1899" w:type="dxa"/>
            <w:vAlign w:val="center"/>
          </w:tcPr>
          <w:p>
            <w:pPr>
              <w:jc w:val="center"/>
              <w:rPr>
                <w:color w:val="auto"/>
                <w:szCs w:val="21"/>
              </w:rPr>
            </w:pPr>
            <w:r>
              <w:rPr>
                <w:color w:val="auto"/>
              </w:rPr>
              <w:t>0.0243</w:t>
            </w:r>
          </w:p>
        </w:tc>
        <w:tc>
          <w:tcPr>
            <w:tcW w:w="2777" w:type="dxa"/>
            <w:vAlign w:val="center"/>
          </w:tcPr>
          <w:p>
            <w:pPr>
              <w:jc w:val="center"/>
              <w:rPr>
                <w:color w:val="auto"/>
                <w:szCs w:val="21"/>
              </w:rPr>
            </w:pPr>
            <w:r>
              <w:rPr>
                <w:color w:val="auto"/>
              </w:rPr>
              <w:t>0.24</w:t>
            </w:r>
          </w:p>
        </w:tc>
        <w:tc>
          <w:tcPr>
            <w:tcW w:w="2029"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005" w:type="dxa"/>
            <w:vMerge w:val="continue"/>
            <w:vAlign w:val="center"/>
          </w:tcPr>
          <w:p>
            <w:pPr>
              <w:pStyle w:val="164"/>
              <w:rPr>
                <w:color w:val="auto"/>
                <w:szCs w:val="21"/>
              </w:rPr>
            </w:pPr>
          </w:p>
        </w:tc>
        <w:tc>
          <w:tcPr>
            <w:tcW w:w="1027" w:type="dxa"/>
            <w:vAlign w:val="center"/>
          </w:tcPr>
          <w:p>
            <w:pPr>
              <w:pStyle w:val="164"/>
              <w:rPr>
                <w:color w:val="auto"/>
                <w:szCs w:val="21"/>
              </w:rPr>
            </w:pPr>
            <w:r>
              <w:rPr>
                <w:color w:val="auto"/>
                <w:szCs w:val="21"/>
              </w:rPr>
              <w:t>VOCs</w:t>
            </w:r>
          </w:p>
        </w:tc>
        <w:tc>
          <w:tcPr>
            <w:tcW w:w="1899" w:type="dxa"/>
            <w:vAlign w:val="center"/>
          </w:tcPr>
          <w:p>
            <w:pPr>
              <w:jc w:val="center"/>
              <w:rPr>
                <w:color w:val="auto"/>
                <w:szCs w:val="21"/>
                <w:lang w:bidi="ar"/>
              </w:rPr>
            </w:pPr>
            <w:r>
              <w:rPr>
                <w:color w:val="auto"/>
              </w:rPr>
              <w:t>0.9103</w:t>
            </w:r>
          </w:p>
        </w:tc>
        <w:tc>
          <w:tcPr>
            <w:tcW w:w="2777" w:type="dxa"/>
            <w:vAlign w:val="center"/>
          </w:tcPr>
          <w:p>
            <w:pPr>
              <w:jc w:val="center"/>
              <w:rPr>
                <w:color w:val="auto"/>
                <w:szCs w:val="21"/>
              </w:rPr>
            </w:pPr>
            <w:r>
              <w:rPr>
                <w:color w:val="auto"/>
              </w:rPr>
              <w:t>0.05</w:t>
            </w:r>
          </w:p>
        </w:tc>
        <w:tc>
          <w:tcPr>
            <w:tcW w:w="2029"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005" w:type="dxa"/>
            <w:vMerge w:val="restart"/>
            <w:vAlign w:val="center"/>
          </w:tcPr>
          <w:p>
            <w:pPr>
              <w:pStyle w:val="164"/>
              <w:rPr>
                <w:color w:val="auto"/>
                <w:szCs w:val="21"/>
              </w:rPr>
            </w:pPr>
            <w:r>
              <w:rPr>
                <w:color w:val="auto"/>
                <w:szCs w:val="21"/>
              </w:rPr>
              <w:t>污水站无组织面源</w:t>
            </w:r>
          </w:p>
        </w:tc>
        <w:tc>
          <w:tcPr>
            <w:tcW w:w="1027" w:type="dxa"/>
            <w:vAlign w:val="center"/>
          </w:tcPr>
          <w:p>
            <w:pPr>
              <w:pStyle w:val="164"/>
              <w:rPr>
                <w:color w:val="auto"/>
                <w:szCs w:val="21"/>
              </w:rPr>
            </w:pPr>
            <w:r>
              <w:rPr>
                <w:color w:val="auto"/>
                <w:szCs w:val="21"/>
              </w:rPr>
              <w:t>NH</w:t>
            </w:r>
            <w:r>
              <w:rPr>
                <w:color w:val="auto"/>
                <w:szCs w:val="21"/>
                <w:vertAlign w:val="subscript"/>
              </w:rPr>
              <w:t>3</w:t>
            </w:r>
          </w:p>
        </w:tc>
        <w:tc>
          <w:tcPr>
            <w:tcW w:w="1899" w:type="dxa"/>
            <w:vAlign w:val="center"/>
          </w:tcPr>
          <w:p>
            <w:pPr>
              <w:jc w:val="center"/>
              <w:rPr>
                <w:color w:val="auto"/>
                <w:szCs w:val="21"/>
                <w:lang w:bidi="ar"/>
              </w:rPr>
            </w:pPr>
            <w:r>
              <w:rPr>
                <w:color w:val="auto"/>
              </w:rPr>
              <w:t>1.3372</w:t>
            </w:r>
          </w:p>
        </w:tc>
        <w:tc>
          <w:tcPr>
            <w:tcW w:w="2777" w:type="dxa"/>
            <w:vAlign w:val="center"/>
          </w:tcPr>
          <w:p>
            <w:pPr>
              <w:jc w:val="center"/>
              <w:rPr>
                <w:color w:val="auto"/>
                <w:szCs w:val="21"/>
                <w:lang w:bidi="ar"/>
              </w:rPr>
            </w:pPr>
            <w:r>
              <w:rPr>
                <w:color w:val="auto"/>
              </w:rPr>
              <w:t>0.67</w:t>
            </w:r>
          </w:p>
        </w:tc>
        <w:tc>
          <w:tcPr>
            <w:tcW w:w="2029" w:type="dxa"/>
            <w:vMerge w:val="restart"/>
            <w:vAlign w:val="center"/>
          </w:tcPr>
          <w:p>
            <w:pPr>
              <w:pStyle w:val="164"/>
              <w:rPr>
                <w:color w:val="auto"/>
                <w:szCs w:val="21"/>
              </w:rPr>
            </w:pPr>
            <w:r>
              <w:rPr>
                <w:color w:val="auto"/>
                <w:szCs w:val="21"/>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74" w:hRule="atLeast"/>
          <w:jc w:val="center"/>
        </w:trPr>
        <w:tc>
          <w:tcPr>
            <w:tcW w:w="1005" w:type="dxa"/>
            <w:vMerge w:val="continue"/>
            <w:vAlign w:val="center"/>
          </w:tcPr>
          <w:p>
            <w:pPr>
              <w:pStyle w:val="164"/>
              <w:rPr>
                <w:color w:val="auto"/>
                <w:szCs w:val="21"/>
              </w:rPr>
            </w:pPr>
          </w:p>
        </w:tc>
        <w:tc>
          <w:tcPr>
            <w:tcW w:w="1027" w:type="dxa"/>
            <w:vAlign w:val="center"/>
          </w:tcPr>
          <w:p>
            <w:pPr>
              <w:pStyle w:val="164"/>
              <w:rPr>
                <w:color w:val="auto"/>
                <w:szCs w:val="21"/>
              </w:rPr>
            </w:pPr>
            <w:r>
              <w:rPr>
                <w:color w:val="auto"/>
                <w:szCs w:val="21"/>
              </w:rPr>
              <w:t>H</w:t>
            </w:r>
            <w:r>
              <w:rPr>
                <w:color w:val="auto"/>
                <w:szCs w:val="21"/>
                <w:vertAlign w:val="subscript"/>
              </w:rPr>
              <w:t>2</w:t>
            </w:r>
            <w:r>
              <w:rPr>
                <w:color w:val="auto"/>
                <w:szCs w:val="21"/>
              </w:rPr>
              <w:t>S</w:t>
            </w:r>
          </w:p>
        </w:tc>
        <w:tc>
          <w:tcPr>
            <w:tcW w:w="1899" w:type="dxa"/>
            <w:vAlign w:val="center"/>
          </w:tcPr>
          <w:p>
            <w:pPr>
              <w:jc w:val="center"/>
              <w:rPr>
                <w:color w:val="auto"/>
                <w:szCs w:val="21"/>
                <w:lang w:bidi="ar"/>
              </w:rPr>
            </w:pPr>
            <w:r>
              <w:rPr>
                <w:color w:val="auto"/>
              </w:rPr>
              <w:t>0.0507</w:t>
            </w:r>
          </w:p>
        </w:tc>
        <w:tc>
          <w:tcPr>
            <w:tcW w:w="2777" w:type="dxa"/>
            <w:vAlign w:val="center"/>
          </w:tcPr>
          <w:p>
            <w:pPr>
              <w:jc w:val="center"/>
              <w:rPr>
                <w:color w:val="auto"/>
                <w:szCs w:val="21"/>
                <w:lang w:bidi="ar"/>
              </w:rPr>
            </w:pPr>
            <w:r>
              <w:rPr>
                <w:color w:val="auto"/>
              </w:rPr>
              <w:t>0.51</w:t>
            </w:r>
          </w:p>
        </w:tc>
        <w:tc>
          <w:tcPr>
            <w:tcW w:w="2029" w:type="dxa"/>
            <w:vMerge w:val="continue"/>
            <w:vAlign w:val="center"/>
          </w:tcPr>
          <w:p>
            <w:pPr>
              <w:pStyle w:val="164"/>
              <w:rPr>
                <w:color w:val="auto"/>
                <w:szCs w:val="21"/>
              </w:rPr>
            </w:pPr>
          </w:p>
        </w:tc>
      </w:tr>
    </w:tbl>
    <w:p>
      <w:pPr>
        <w:pStyle w:val="130"/>
        <w:ind w:firstLine="480"/>
        <w:rPr>
          <w:color w:val="auto"/>
          <w:lang w:val="zh-CN"/>
        </w:rPr>
      </w:pPr>
      <w:r>
        <w:rPr>
          <w:color w:val="auto"/>
        </w:rPr>
        <w:t>由估算模式的计算结果可知，本项目</w:t>
      </w:r>
      <w:r>
        <w:rPr>
          <w:rFonts w:hint="eastAsia"/>
          <w:color w:val="auto"/>
        </w:rPr>
        <w:t>建成后全厂</w:t>
      </w:r>
      <w:r>
        <w:rPr>
          <w:color w:val="auto"/>
        </w:rPr>
        <w:t>污染因子中最大质量浓度占标率为1.97%，大于1%，小于10%。根据《环境影响评价技术导则·大气环境》（HJ2.2-2018），大气环境影响评价等级定为二级。</w:t>
      </w:r>
    </w:p>
    <w:p>
      <w:pPr>
        <w:pStyle w:val="6"/>
        <w:numPr>
          <w:ilvl w:val="3"/>
          <w:numId w:val="0"/>
        </w:numPr>
        <w:rPr>
          <w:color w:val="auto"/>
        </w:rPr>
      </w:pPr>
      <w:r>
        <w:rPr>
          <w:color w:val="auto"/>
        </w:rPr>
        <w:t>1.5.1.3评价范围</w:t>
      </w:r>
      <w:bookmarkEnd w:id="134"/>
    </w:p>
    <w:p>
      <w:pPr>
        <w:pStyle w:val="130"/>
        <w:ind w:firstLine="480"/>
        <w:rPr>
          <w:color w:val="auto"/>
        </w:rPr>
      </w:pPr>
      <w:r>
        <w:rPr>
          <w:color w:val="auto"/>
        </w:rPr>
        <w:t>根据《环境影响评价技术导则·大气环境》（HJ2.2-2018）的规定，本项目大气环境评价等级为二级，则本项目环境空气影响评价的范围是以建设项目厂址所在地为中心，边界外延边长为5km矩形范围。</w:t>
      </w:r>
    </w:p>
    <w:p>
      <w:pPr>
        <w:pStyle w:val="5"/>
        <w:numPr>
          <w:ilvl w:val="2"/>
          <w:numId w:val="0"/>
        </w:numPr>
        <w:ind w:left="-720" w:leftChars="-343" w:firstLine="723" w:firstLineChars="300"/>
        <w:rPr>
          <w:color w:val="auto"/>
        </w:rPr>
      </w:pPr>
      <w:bookmarkStart w:id="135" w:name="_Toc11595193"/>
      <w:bookmarkStart w:id="136" w:name="_Toc109398551"/>
      <w:r>
        <w:rPr>
          <w:color w:val="auto"/>
        </w:rPr>
        <w:t>1.5.2地表水</w:t>
      </w:r>
      <w:bookmarkEnd w:id="135"/>
      <w:r>
        <w:rPr>
          <w:color w:val="auto"/>
        </w:rPr>
        <w:t>环境</w:t>
      </w:r>
      <w:bookmarkEnd w:id="136"/>
    </w:p>
    <w:p>
      <w:pPr>
        <w:pStyle w:val="130"/>
        <w:ind w:firstLine="480"/>
        <w:rPr>
          <w:color w:val="auto"/>
        </w:rPr>
      </w:pPr>
      <w:r>
        <w:rPr>
          <w:color w:val="auto"/>
        </w:rPr>
        <w:t>本项目</w:t>
      </w:r>
      <w:r>
        <w:rPr>
          <w:rFonts w:hint="eastAsia"/>
          <w:color w:val="auto"/>
        </w:rPr>
        <w:t>建成后全厂</w:t>
      </w:r>
      <w:r>
        <w:rPr>
          <w:color w:val="auto"/>
        </w:rPr>
        <w:t>废水主要是生活污水和生产废水，生活污水直接排至现有化粪池，化粪池满后用吸污车运送至中卫市生活垃圾填埋场的渗滤液调蓄池；生产废水经厂区污水处理站（A</w:t>
      </w:r>
      <w:r>
        <w:rPr>
          <w:color w:val="auto"/>
          <w:vertAlign w:val="superscript"/>
        </w:rPr>
        <w:t>2</w:t>
      </w:r>
      <w:r>
        <w:rPr>
          <w:color w:val="auto"/>
        </w:rPr>
        <w:t>O+MBR+消毒工艺，处理规模10m</w:t>
      </w:r>
      <w:r>
        <w:rPr>
          <w:color w:val="auto"/>
          <w:vertAlign w:val="superscript"/>
        </w:rPr>
        <w:t>3</w:t>
      </w:r>
      <w:r>
        <w:rPr>
          <w:color w:val="auto"/>
        </w:rPr>
        <w:t>/d）处理达标后，作为中卫市垃圾填埋场道路抑尘用水，不外排。</w:t>
      </w:r>
    </w:p>
    <w:p>
      <w:pPr>
        <w:pStyle w:val="130"/>
        <w:ind w:firstLine="480"/>
        <w:rPr>
          <w:color w:val="auto"/>
        </w:rPr>
      </w:pPr>
      <w:r>
        <w:rPr>
          <w:color w:val="auto"/>
        </w:rPr>
        <w:t>根据《环境影响评价技术导则-地表水环境》（HJ2.3-2018）地面水环境影响评价工作分级的判据，参照“注10：建设项目生产工艺有废水产生，但作为回水利用，不排放到外环境的，按三级B评价”，确定本项目地表水环境评价工作等级为三级B。根据导则要求，水污染影响型三级B评价可不进行水环境影响预测，主要对污水处理措施的环境可行性进行分析评价。</w:t>
      </w:r>
    </w:p>
    <w:p>
      <w:pPr>
        <w:pStyle w:val="114"/>
        <w:spacing w:before="0" w:beforeLines="0"/>
        <w:rPr>
          <w:color w:val="auto"/>
        </w:rPr>
      </w:pPr>
      <w:r>
        <w:rPr>
          <w:color w:val="auto"/>
        </w:rPr>
        <w:t>表1.5-4</w:t>
      </w:r>
      <w:r>
        <w:rPr>
          <w:color w:val="auto"/>
        </w:rPr>
        <w:tab/>
      </w:r>
      <w:r>
        <w:rPr>
          <w:rFonts w:hint="eastAsia"/>
          <w:color w:val="auto"/>
        </w:rPr>
        <w:t xml:space="preserve">  </w:t>
      </w:r>
      <w:r>
        <w:rPr>
          <w:color w:val="auto"/>
        </w:rPr>
        <w:t>水污染影响型建设项目评价等级判定</w:t>
      </w:r>
    </w:p>
    <w:tbl>
      <w:tblPr>
        <w:tblStyle w:val="74"/>
        <w:tblW w:w="8534"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442"/>
        <w:gridCol w:w="1591"/>
        <w:gridCol w:w="550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442" w:type="dxa"/>
            <w:vMerge w:val="restart"/>
            <w:vAlign w:val="center"/>
          </w:tcPr>
          <w:p>
            <w:pPr>
              <w:pStyle w:val="164"/>
              <w:rPr>
                <w:color w:val="auto"/>
                <w:sz w:val="24"/>
              </w:rPr>
            </w:pPr>
            <w:r>
              <w:rPr>
                <w:color w:val="auto"/>
              </w:rPr>
              <w:t>评价等级</w:t>
            </w:r>
          </w:p>
        </w:tc>
        <w:tc>
          <w:tcPr>
            <w:tcW w:w="7092" w:type="dxa"/>
            <w:gridSpan w:val="2"/>
            <w:vAlign w:val="center"/>
          </w:tcPr>
          <w:p>
            <w:pPr>
              <w:pStyle w:val="164"/>
              <w:rPr>
                <w:color w:val="auto"/>
                <w:sz w:val="24"/>
              </w:rPr>
            </w:pPr>
            <w:r>
              <w:rPr>
                <w:color w:val="auto"/>
              </w:rPr>
              <w:t>判定依据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9" w:hRule="atLeast"/>
          <w:jc w:val="center"/>
        </w:trPr>
        <w:tc>
          <w:tcPr>
            <w:tcW w:w="1442" w:type="dxa"/>
            <w:vMerge w:val="continue"/>
            <w:vAlign w:val="center"/>
          </w:tcPr>
          <w:p>
            <w:pPr>
              <w:pStyle w:val="164"/>
              <w:rPr>
                <w:color w:val="auto"/>
                <w:sz w:val="24"/>
              </w:rPr>
            </w:pPr>
          </w:p>
        </w:tc>
        <w:tc>
          <w:tcPr>
            <w:tcW w:w="1591" w:type="dxa"/>
            <w:vAlign w:val="center"/>
          </w:tcPr>
          <w:p>
            <w:pPr>
              <w:pStyle w:val="164"/>
              <w:rPr>
                <w:color w:val="auto"/>
                <w:sz w:val="24"/>
              </w:rPr>
            </w:pPr>
            <w:r>
              <w:rPr>
                <w:color w:val="auto"/>
              </w:rPr>
              <w:t>排放方式</w:t>
            </w:r>
          </w:p>
        </w:tc>
        <w:tc>
          <w:tcPr>
            <w:tcW w:w="5501" w:type="dxa"/>
            <w:vAlign w:val="center"/>
          </w:tcPr>
          <w:p>
            <w:pPr>
              <w:pStyle w:val="164"/>
              <w:rPr>
                <w:color w:val="auto"/>
                <w:sz w:val="24"/>
              </w:rPr>
            </w:pPr>
            <w:r>
              <w:rPr>
                <w:color w:val="auto"/>
              </w:rPr>
              <w:t>废水排放量Q/（m³/d）水污染物当量数W/（无量纲）</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442" w:type="dxa"/>
            <w:vAlign w:val="center"/>
          </w:tcPr>
          <w:p>
            <w:pPr>
              <w:pStyle w:val="164"/>
              <w:rPr>
                <w:color w:val="auto"/>
                <w:sz w:val="24"/>
              </w:rPr>
            </w:pPr>
            <w:r>
              <w:rPr>
                <w:color w:val="auto"/>
              </w:rPr>
              <w:t>一级</w:t>
            </w:r>
          </w:p>
        </w:tc>
        <w:tc>
          <w:tcPr>
            <w:tcW w:w="1591" w:type="dxa"/>
            <w:vAlign w:val="center"/>
          </w:tcPr>
          <w:p>
            <w:pPr>
              <w:pStyle w:val="164"/>
              <w:rPr>
                <w:color w:val="auto"/>
                <w:sz w:val="24"/>
              </w:rPr>
            </w:pPr>
            <w:r>
              <w:rPr>
                <w:color w:val="auto"/>
              </w:rPr>
              <w:t>直接排放</w:t>
            </w:r>
          </w:p>
        </w:tc>
        <w:tc>
          <w:tcPr>
            <w:tcW w:w="5501" w:type="dxa"/>
            <w:vAlign w:val="center"/>
          </w:tcPr>
          <w:p>
            <w:pPr>
              <w:pStyle w:val="164"/>
              <w:rPr>
                <w:color w:val="auto"/>
                <w:sz w:val="24"/>
              </w:rPr>
            </w:pPr>
            <w:r>
              <w:rPr>
                <w:color w:val="auto"/>
              </w:rPr>
              <w:t>Q≥20000或W≥600000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442" w:type="dxa"/>
            <w:vAlign w:val="center"/>
          </w:tcPr>
          <w:p>
            <w:pPr>
              <w:pStyle w:val="164"/>
              <w:rPr>
                <w:color w:val="auto"/>
                <w:sz w:val="24"/>
              </w:rPr>
            </w:pPr>
            <w:r>
              <w:rPr>
                <w:color w:val="auto"/>
              </w:rPr>
              <w:t>二级</w:t>
            </w:r>
          </w:p>
        </w:tc>
        <w:tc>
          <w:tcPr>
            <w:tcW w:w="1591" w:type="dxa"/>
            <w:vAlign w:val="center"/>
          </w:tcPr>
          <w:p>
            <w:pPr>
              <w:pStyle w:val="164"/>
              <w:rPr>
                <w:color w:val="auto"/>
                <w:sz w:val="24"/>
              </w:rPr>
            </w:pPr>
            <w:r>
              <w:rPr>
                <w:color w:val="auto"/>
              </w:rPr>
              <w:t>直接排放</w:t>
            </w:r>
          </w:p>
        </w:tc>
        <w:tc>
          <w:tcPr>
            <w:tcW w:w="5501" w:type="dxa"/>
            <w:vAlign w:val="center"/>
          </w:tcPr>
          <w:p>
            <w:pPr>
              <w:pStyle w:val="164"/>
              <w:rPr>
                <w:color w:val="auto"/>
                <w:sz w:val="24"/>
              </w:rPr>
            </w:pPr>
            <w:r>
              <w:rPr>
                <w:color w:val="auto"/>
              </w:rPr>
              <w:t>其他</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442" w:type="dxa"/>
            <w:vAlign w:val="center"/>
          </w:tcPr>
          <w:p>
            <w:pPr>
              <w:pStyle w:val="164"/>
              <w:rPr>
                <w:color w:val="auto"/>
                <w:sz w:val="24"/>
              </w:rPr>
            </w:pPr>
            <w:r>
              <w:rPr>
                <w:color w:val="auto"/>
              </w:rPr>
              <w:t>三级A</w:t>
            </w:r>
          </w:p>
        </w:tc>
        <w:tc>
          <w:tcPr>
            <w:tcW w:w="1591" w:type="dxa"/>
            <w:vAlign w:val="center"/>
          </w:tcPr>
          <w:p>
            <w:pPr>
              <w:pStyle w:val="164"/>
              <w:rPr>
                <w:color w:val="auto"/>
                <w:sz w:val="24"/>
              </w:rPr>
            </w:pPr>
            <w:r>
              <w:rPr>
                <w:color w:val="auto"/>
              </w:rPr>
              <w:t>直接排放</w:t>
            </w:r>
          </w:p>
        </w:tc>
        <w:tc>
          <w:tcPr>
            <w:tcW w:w="5501" w:type="dxa"/>
            <w:vAlign w:val="center"/>
          </w:tcPr>
          <w:p>
            <w:pPr>
              <w:pStyle w:val="164"/>
              <w:rPr>
                <w:color w:val="auto"/>
                <w:sz w:val="24"/>
              </w:rPr>
            </w:pPr>
            <w:r>
              <w:rPr>
                <w:color w:val="auto"/>
              </w:rPr>
              <w:t>Q＜200</w:t>
            </w:r>
            <w:r>
              <w:rPr>
                <w:rFonts w:hint="eastAsia"/>
                <w:color w:val="auto"/>
              </w:rPr>
              <w:t>且</w:t>
            </w:r>
            <w:r>
              <w:rPr>
                <w:color w:val="auto"/>
              </w:rPr>
              <w:t>W＜6000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442" w:type="dxa"/>
            <w:vAlign w:val="center"/>
          </w:tcPr>
          <w:p>
            <w:pPr>
              <w:pStyle w:val="164"/>
              <w:rPr>
                <w:color w:val="auto"/>
                <w:sz w:val="24"/>
              </w:rPr>
            </w:pPr>
            <w:r>
              <w:rPr>
                <w:color w:val="auto"/>
              </w:rPr>
              <w:t>三级B</w:t>
            </w:r>
          </w:p>
        </w:tc>
        <w:tc>
          <w:tcPr>
            <w:tcW w:w="1591" w:type="dxa"/>
            <w:vAlign w:val="center"/>
          </w:tcPr>
          <w:p>
            <w:pPr>
              <w:pStyle w:val="164"/>
              <w:rPr>
                <w:color w:val="auto"/>
                <w:sz w:val="24"/>
              </w:rPr>
            </w:pPr>
            <w:r>
              <w:rPr>
                <w:color w:val="auto"/>
              </w:rPr>
              <w:t>间接排放</w:t>
            </w:r>
          </w:p>
        </w:tc>
        <w:tc>
          <w:tcPr>
            <w:tcW w:w="5501" w:type="dxa"/>
            <w:vAlign w:val="center"/>
          </w:tcPr>
          <w:p>
            <w:pPr>
              <w:pStyle w:val="164"/>
              <w:rPr>
                <w:color w:val="auto"/>
                <w:sz w:val="24"/>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6395" w:hRule="atLeast"/>
          <w:jc w:val="center"/>
        </w:trPr>
        <w:tc>
          <w:tcPr>
            <w:tcW w:w="8534" w:type="dxa"/>
            <w:gridSpan w:val="3"/>
            <w:vAlign w:val="center"/>
          </w:tcPr>
          <w:p>
            <w:pPr>
              <w:pStyle w:val="164"/>
              <w:jc w:val="both"/>
              <w:rPr>
                <w:color w:val="auto"/>
              </w:rPr>
            </w:pPr>
            <w:r>
              <w:rPr>
                <w:color w:val="auto"/>
              </w:rPr>
              <w:t>注</w:t>
            </w:r>
            <w:r>
              <w:rPr>
                <w:color w:val="auto"/>
                <w:spacing w:val="2"/>
              </w:rPr>
              <w:t>1：水污染物当量数等于该污染物的年排放量除以该污染物的污染当量值（见附录</w:t>
            </w:r>
            <w:r>
              <w:rPr>
                <w:color w:val="auto"/>
              </w:rPr>
              <w:t>A），计算排放污染物的污染物当量数，应区分第一类水污染物和其他类水污染物，统计第一类污要物当量数总和，然后与其他类污染物按照污染物当量数从大到小排序，取最大当量数作为建设项目评价等级确定的依据。</w:t>
            </w:r>
          </w:p>
          <w:p>
            <w:pPr>
              <w:pStyle w:val="164"/>
              <w:jc w:val="both"/>
              <w:rPr>
                <w:color w:val="auto"/>
              </w:rPr>
            </w:pPr>
            <w:r>
              <w:rPr>
                <w:color w:val="auto"/>
              </w:rPr>
              <w:t>注</w:t>
            </w:r>
            <w:r>
              <w:rPr>
                <w:color w:val="auto"/>
                <w:spacing w:val="2"/>
              </w:rPr>
              <w:t>2：废水排放量按行业排放标准中规定的废水种类统计，没有相关行业排放标准要求的通过工</w:t>
            </w:r>
            <w:r>
              <w:rPr>
                <w:color w:val="auto"/>
              </w:rPr>
              <w:t>程分析合理确定，应统计含热量大的冷却水的排放量，可不统计间接冷却水、循环水以及其他含污染物极少的清净下水的排放量。</w:t>
            </w:r>
          </w:p>
          <w:p>
            <w:pPr>
              <w:pStyle w:val="164"/>
              <w:jc w:val="both"/>
              <w:rPr>
                <w:color w:val="auto"/>
              </w:rPr>
            </w:pPr>
            <w:r>
              <w:rPr>
                <w:color w:val="auto"/>
              </w:rPr>
              <w:t>注</w:t>
            </w:r>
            <w:r>
              <w:rPr>
                <w:color w:val="auto"/>
                <w:spacing w:val="2"/>
              </w:rPr>
              <w:t>3：厂区存在堆积物（露天堆放的原料、燃料、废渣等以及垃圾堆放场）、降尘污染的，应将</w:t>
            </w:r>
            <w:r>
              <w:rPr>
                <w:color w:val="auto"/>
              </w:rPr>
              <w:t>初期雨污水纳入废水排放量，相应的主要污染物纳入水污染物当量计算。</w:t>
            </w:r>
          </w:p>
          <w:p>
            <w:pPr>
              <w:pStyle w:val="164"/>
              <w:jc w:val="both"/>
              <w:rPr>
                <w:color w:val="auto"/>
              </w:rPr>
            </w:pPr>
            <w:r>
              <w:rPr>
                <w:color w:val="auto"/>
              </w:rPr>
              <w:t>注</w:t>
            </w:r>
            <w:r>
              <w:rPr>
                <w:color w:val="auto"/>
                <w:spacing w:val="2"/>
              </w:rPr>
              <w:t>4：建设项目直接排放第一类污染物的，其评价等级为一级；建设项目直接排放的污染物为受</w:t>
            </w:r>
            <w:r>
              <w:rPr>
                <w:color w:val="auto"/>
              </w:rPr>
              <w:t>纳水体超标因子的，评价等级不低于二级。</w:t>
            </w:r>
          </w:p>
          <w:p>
            <w:pPr>
              <w:pStyle w:val="164"/>
              <w:jc w:val="both"/>
              <w:rPr>
                <w:color w:val="auto"/>
              </w:rPr>
            </w:pPr>
            <w:r>
              <w:rPr>
                <w:color w:val="auto"/>
              </w:rPr>
              <w:t>注</w:t>
            </w:r>
            <w:r>
              <w:rPr>
                <w:color w:val="auto"/>
                <w:spacing w:val="2"/>
              </w:rPr>
              <w:t>5：直接排放受纳水体影响范围涉及饮用水水源保护区、饮用水取水口，重点保护与珍稀水生</w:t>
            </w:r>
            <w:r>
              <w:rPr>
                <w:color w:val="auto"/>
              </w:rPr>
              <w:t>生物的栖息地、重要水生生物的自然产卵场等保护目标时，评价等级不低于二级。</w:t>
            </w:r>
          </w:p>
          <w:p>
            <w:pPr>
              <w:pStyle w:val="164"/>
              <w:jc w:val="both"/>
              <w:rPr>
                <w:color w:val="auto"/>
              </w:rPr>
            </w:pPr>
            <w:r>
              <w:rPr>
                <w:color w:val="auto"/>
              </w:rPr>
              <w:t>注</w:t>
            </w:r>
            <w:r>
              <w:rPr>
                <w:color w:val="auto"/>
                <w:spacing w:val="2"/>
              </w:rPr>
              <w:t>6：建设项目向河流、湖库排放温排水引起受纳水体水温变化超过水环境质量标准要求，且评</w:t>
            </w:r>
            <w:r>
              <w:rPr>
                <w:color w:val="auto"/>
              </w:rPr>
              <w:t>价范围有水温敏感目标时，评价等级为一级。</w:t>
            </w:r>
          </w:p>
          <w:p>
            <w:pPr>
              <w:pStyle w:val="164"/>
              <w:jc w:val="both"/>
              <w:rPr>
                <w:color w:val="auto"/>
              </w:rPr>
            </w:pPr>
            <w:r>
              <w:rPr>
                <w:color w:val="auto"/>
              </w:rPr>
              <w:t>注7：建设项目利用海水作为调节温度介质，排水量≥500万m</w:t>
            </w:r>
            <w:r>
              <w:rPr>
                <w:color w:val="auto"/>
                <w:vertAlign w:val="superscript"/>
              </w:rPr>
              <w:t>3</w:t>
            </w:r>
            <w:r>
              <w:rPr>
                <w:color w:val="auto"/>
              </w:rPr>
              <w:t>/d，评价等级为一级：排水量&lt;500万m</w:t>
            </w:r>
            <w:r>
              <w:rPr>
                <w:color w:val="auto"/>
                <w:vertAlign w:val="superscript"/>
              </w:rPr>
              <w:t>3</w:t>
            </w:r>
            <w:r>
              <w:rPr>
                <w:color w:val="auto"/>
              </w:rPr>
              <w:t>/d，评价等级为二级。</w:t>
            </w:r>
          </w:p>
          <w:p>
            <w:pPr>
              <w:pStyle w:val="164"/>
              <w:jc w:val="both"/>
              <w:rPr>
                <w:color w:val="auto"/>
              </w:rPr>
            </w:pPr>
            <w:r>
              <w:rPr>
                <w:color w:val="auto"/>
              </w:rPr>
              <w:t>注</w:t>
            </w:r>
            <w:r>
              <w:rPr>
                <w:color w:val="auto"/>
                <w:spacing w:val="2"/>
              </w:rPr>
              <w:t>8：仅涉及清净下水排放的，如其排放水质满足受纳水体水环境质量标准要求的，评价等级为</w:t>
            </w:r>
            <w:r>
              <w:rPr>
                <w:color w:val="auto"/>
              </w:rPr>
              <w:t>三级A。</w:t>
            </w:r>
          </w:p>
          <w:p>
            <w:pPr>
              <w:pStyle w:val="164"/>
              <w:jc w:val="both"/>
              <w:rPr>
                <w:color w:val="auto"/>
              </w:rPr>
            </w:pPr>
            <w:r>
              <w:rPr>
                <w:color w:val="auto"/>
              </w:rPr>
              <w:t>注</w:t>
            </w:r>
            <w:r>
              <w:rPr>
                <w:color w:val="auto"/>
                <w:spacing w:val="2"/>
              </w:rPr>
              <w:t>9：依托原有排放口，且对外环境未新增排放污染物的直接排放建设项口，评价等级参照间接</w:t>
            </w:r>
            <w:r>
              <w:rPr>
                <w:color w:val="auto"/>
              </w:rPr>
              <w:t>排放，定为三级B。</w:t>
            </w:r>
          </w:p>
          <w:p>
            <w:pPr>
              <w:pStyle w:val="164"/>
              <w:jc w:val="both"/>
              <w:rPr>
                <w:color w:val="auto"/>
                <w:sz w:val="24"/>
              </w:rPr>
            </w:pPr>
            <w:r>
              <w:rPr>
                <w:color w:val="auto"/>
              </w:rPr>
              <w:t>注10；建设项目生产工艺中有废水产生，</w:t>
            </w:r>
            <w:r>
              <w:rPr>
                <w:bCs/>
                <w:color w:val="auto"/>
              </w:rPr>
              <w:t>但作为回水利用，</w:t>
            </w:r>
            <w:r>
              <w:rPr>
                <w:color w:val="auto"/>
              </w:rPr>
              <w:t>不排放到外环境的，按三级B评价。</w:t>
            </w:r>
          </w:p>
        </w:tc>
      </w:tr>
    </w:tbl>
    <w:p>
      <w:pPr>
        <w:pStyle w:val="5"/>
        <w:numPr>
          <w:ilvl w:val="2"/>
          <w:numId w:val="0"/>
        </w:numPr>
        <w:spacing w:before="120" w:beforeLines="50"/>
        <w:ind w:left="-720" w:leftChars="-343" w:firstLine="723" w:firstLineChars="300"/>
        <w:rPr>
          <w:color w:val="auto"/>
        </w:rPr>
      </w:pPr>
      <w:bookmarkStart w:id="137" w:name="_Toc11595194"/>
      <w:bookmarkStart w:id="138" w:name="_Toc109398552"/>
      <w:r>
        <w:rPr>
          <w:color w:val="auto"/>
        </w:rPr>
        <w:t>1.5.3地下水</w:t>
      </w:r>
      <w:bookmarkEnd w:id="137"/>
      <w:r>
        <w:rPr>
          <w:color w:val="auto"/>
        </w:rPr>
        <w:t>环境</w:t>
      </w:r>
      <w:bookmarkEnd w:id="138"/>
    </w:p>
    <w:p>
      <w:pPr>
        <w:pStyle w:val="6"/>
        <w:numPr>
          <w:ilvl w:val="3"/>
          <w:numId w:val="0"/>
        </w:numPr>
        <w:rPr>
          <w:color w:val="auto"/>
        </w:rPr>
      </w:pPr>
      <w:bookmarkStart w:id="139" w:name="_Toc11595195"/>
      <w:r>
        <w:rPr>
          <w:color w:val="auto"/>
        </w:rPr>
        <w:t>1.5.3.1评价工作等级</w:t>
      </w:r>
      <w:bookmarkEnd w:id="139"/>
    </w:p>
    <w:p>
      <w:pPr>
        <w:pStyle w:val="130"/>
        <w:ind w:firstLine="480"/>
        <w:rPr>
          <w:color w:val="auto"/>
        </w:rPr>
      </w:pPr>
      <w:r>
        <w:rPr>
          <w:color w:val="auto"/>
        </w:rPr>
        <w:t>（1）地下水环境影响评价行业分类</w:t>
      </w:r>
    </w:p>
    <w:p>
      <w:pPr>
        <w:pStyle w:val="130"/>
        <w:ind w:firstLine="480"/>
        <w:rPr>
          <w:color w:val="auto"/>
        </w:rPr>
      </w:pPr>
      <w:r>
        <w:rPr>
          <w:color w:val="auto"/>
        </w:rPr>
        <w:t>根据《环境影响评价技术导则地下水环境》（HJ610-2016）中地下水环境影响评价行业分类表可知，本项目地下水环境影响评价分类为I类。</w:t>
      </w:r>
    </w:p>
    <w:p>
      <w:pPr>
        <w:pStyle w:val="130"/>
        <w:ind w:firstLine="480"/>
        <w:rPr>
          <w:color w:val="auto"/>
        </w:rPr>
      </w:pPr>
      <w:r>
        <w:rPr>
          <w:color w:val="auto"/>
        </w:rPr>
        <w:t>（2）评价工作等级</w:t>
      </w:r>
    </w:p>
    <w:p>
      <w:pPr>
        <w:pStyle w:val="130"/>
        <w:ind w:firstLine="480"/>
        <w:rPr>
          <w:color w:val="auto"/>
        </w:rPr>
      </w:pPr>
      <w:r>
        <w:rPr>
          <w:color w:val="auto"/>
        </w:rPr>
        <w:t>根据《环境影响评价技术导则地下水环境》（HJ610-2016），建设项目的地下水环境敏感程度可分为敏感、较敏感、不敏感，分级原则见表1.5-5。</w:t>
      </w:r>
    </w:p>
    <w:p>
      <w:pPr>
        <w:jc w:val="center"/>
        <w:rPr>
          <w:rFonts w:eastAsiaTheme="minorEastAsia"/>
          <w:b/>
          <w:color w:val="auto"/>
          <w:sz w:val="24"/>
          <w:szCs w:val="24"/>
        </w:rPr>
      </w:pPr>
      <w:r>
        <w:rPr>
          <w:rFonts w:eastAsiaTheme="minorEastAsia"/>
          <w:b/>
          <w:color w:val="auto"/>
          <w:sz w:val="24"/>
          <w:szCs w:val="24"/>
        </w:rPr>
        <w:t>表1.5-5 建设项目的地下水环境敏感程度分级表</w:t>
      </w:r>
    </w:p>
    <w:tbl>
      <w:tblPr>
        <w:tblStyle w:val="74"/>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4"/>
        <w:gridCol w:w="73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24" w:type="dxa"/>
            <w:vAlign w:val="center"/>
          </w:tcPr>
          <w:p>
            <w:pPr>
              <w:pStyle w:val="164"/>
              <w:rPr>
                <w:color w:val="auto"/>
              </w:rPr>
            </w:pPr>
            <w:r>
              <w:rPr>
                <w:color w:val="auto"/>
              </w:rPr>
              <w:t>敏感程度</w:t>
            </w:r>
          </w:p>
        </w:tc>
        <w:tc>
          <w:tcPr>
            <w:tcW w:w="7396" w:type="dxa"/>
            <w:vAlign w:val="center"/>
          </w:tcPr>
          <w:p>
            <w:pPr>
              <w:pStyle w:val="164"/>
              <w:rPr>
                <w:color w:val="auto"/>
              </w:rPr>
            </w:pPr>
            <w:r>
              <w:rPr>
                <w:color w:val="auto"/>
              </w:rPr>
              <w:t>地下水环境敏感特征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24" w:type="dxa"/>
            <w:vAlign w:val="center"/>
          </w:tcPr>
          <w:p>
            <w:pPr>
              <w:pStyle w:val="164"/>
              <w:rPr>
                <w:color w:val="auto"/>
              </w:rPr>
            </w:pPr>
            <w:r>
              <w:rPr>
                <w:color w:val="auto"/>
              </w:rPr>
              <w:t>敏感</w:t>
            </w:r>
          </w:p>
        </w:tc>
        <w:tc>
          <w:tcPr>
            <w:tcW w:w="7396" w:type="dxa"/>
            <w:vAlign w:val="center"/>
          </w:tcPr>
          <w:p>
            <w:pPr>
              <w:pStyle w:val="164"/>
              <w:rPr>
                <w:color w:val="auto"/>
              </w:rPr>
            </w:pPr>
            <w:r>
              <w:rPr>
                <w:color w:val="auto"/>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24" w:type="dxa"/>
            <w:vAlign w:val="center"/>
          </w:tcPr>
          <w:p>
            <w:pPr>
              <w:pStyle w:val="164"/>
              <w:rPr>
                <w:color w:val="auto"/>
              </w:rPr>
            </w:pPr>
            <w:r>
              <w:rPr>
                <w:color w:val="auto"/>
              </w:rPr>
              <w:t>较敏感</w:t>
            </w:r>
          </w:p>
        </w:tc>
        <w:tc>
          <w:tcPr>
            <w:tcW w:w="7396" w:type="dxa"/>
            <w:vAlign w:val="center"/>
          </w:tcPr>
          <w:p>
            <w:pPr>
              <w:pStyle w:val="164"/>
              <w:rPr>
                <w:color w:val="auto"/>
              </w:rPr>
            </w:pPr>
            <w:r>
              <w:rPr>
                <w:color w:val="auto"/>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324" w:type="dxa"/>
            <w:vAlign w:val="center"/>
          </w:tcPr>
          <w:p>
            <w:pPr>
              <w:pStyle w:val="164"/>
              <w:rPr>
                <w:color w:val="auto"/>
              </w:rPr>
            </w:pPr>
            <w:r>
              <w:rPr>
                <w:color w:val="auto"/>
              </w:rPr>
              <w:t>不敏感</w:t>
            </w:r>
          </w:p>
        </w:tc>
        <w:tc>
          <w:tcPr>
            <w:tcW w:w="7396" w:type="dxa"/>
            <w:vAlign w:val="center"/>
          </w:tcPr>
          <w:p>
            <w:pPr>
              <w:pStyle w:val="164"/>
              <w:rPr>
                <w:color w:val="auto"/>
              </w:rPr>
            </w:pPr>
            <w:r>
              <w:rPr>
                <w:color w:val="auto"/>
              </w:rPr>
              <w:t>上述地区之外的其它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8720" w:type="dxa"/>
            <w:gridSpan w:val="2"/>
            <w:vAlign w:val="center"/>
          </w:tcPr>
          <w:p>
            <w:pPr>
              <w:pStyle w:val="164"/>
              <w:rPr>
                <w:color w:val="auto"/>
              </w:rPr>
            </w:pPr>
            <w:r>
              <w:rPr>
                <w:color w:val="auto"/>
              </w:rPr>
              <w:t>注：a“环境敏感区”是指《建设项目影响评价分类管理名录》中所界定的涉及地下水</w:t>
            </w:r>
          </w:p>
        </w:tc>
      </w:tr>
    </w:tbl>
    <w:p>
      <w:pPr>
        <w:pStyle w:val="130"/>
        <w:ind w:firstLine="480"/>
        <w:rPr>
          <w:color w:val="auto"/>
        </w:rPr>
      </w:pPr>
      <w:r>
        <w:rPr>
          <w:color w:val="auto"/>
        </w:rPr>
        <w:t>建设项目地下水环境影响评价工作等级分级判定表1.5-6。</w:t>
      </w:r>
    </w:p>
    <w:p>
      <w:pPr>
        <w:jc w:val="center"/>
        <w:rPr>
          <w:rFonts w:eastAsiaTheme="minorEastAsia"/>
          <w:b/>
          <w:color w:val="auto"/>
          <w:sz w:val="24"/>
          <w:szCs w:val="24"/>
        </w:rPr>
      </w:pPr>
      <w:r>
        <w:rPr>
          <w:rFonts w:eastAsiaTheme="minorEastAsia"/>
          <w:b/>
          <w:color w:val="auto"/>
          <w:sz w:val="24"/>
          <w:szCs w:val="24"/>
        </w:rPr>
        <w:t>表1.5-6  建设项目评价工作等级分级表</w:t>
      </w:r>
    </w:p>
    <w:tbl>
      <w:tblPr>
        <w:tblStyle w:val="74"/>
        <w:tblW w:w="872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339"/>
        <w:gridCol w:w="1856"/>
        <w:gridCol w:w="1732"/>
        <w:gridCol w:w="17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339" w:type="dxa"/>
            <w:tcBorders>
              <w:top w:val="single" w:color="auto" w:sz="12" w:space="0"/>
              <w:bottom w:val="single" w:color="auto" w:sz="6" w:space="0"/>
              <w:tl2br w:val="single" w:color="auto" w:sz="4" w:space="0"/>
            </w:tcBorders>
            <w:vAlign w:val="center"/>
          </w:tcPr>
          <w:p>
            <w:pPr>
              <w:adjustRightInd w:val="0"/>
              <w:snapToGrid w:val="0"/>
              <w:jc w:val="right"/>
              <w:rPr>
                <w:rFonts w:eastAsiaTheme="minorEastAsia"/>
                <w:color w:val="auto"/>
              </w:rPr>
            </w:pPr>
            <w:r>
              <w:rPr>
                <w:rFonts w:eastAsiaTheme="minorEastAsia"/>
                <w:color w:val="auto"/>
              </w:rPr>
              <w:t>项目类别</w:t>
            </w:r>
          </w:p>
          <w:p>
            <w:pPr>
              <w:adjustRightInd w:val="0"/>
              <w:snapToGrid w:val="0"/>
              <w:rPr>
                <w:rFonts w:eastAsiaTheme="minorEastAsia"/>
                <w:color w:val="auto"/>
              </w:rPr>
            </w:pPr>
            <w:r>
              <w:rPr>
                <w:rFonts w:eastAsiaTheme="minorEastAsia"/>
                <w:color w:val="auto"/>
              </w:rPr>
              <w:t>环境敏感性程度</w:t>
            </w:r>
          </w:p>
        </w:tc>
        <w:tc>
          <w:tcPr>
            <w:tcW w:w="1856" w:type="dxa"/>
            <w:vAlign w:val="center"/>
          </w:tcPr>
          <w:p>
            <w:pPr>
              <w:adjustRightInd w:val="0"/>
              <w:snapToGrid w:val="0"/>
              <w:jc w:val="center"/>
              <w:rPr>
                <w:rFonts w:eastAsiaTheme="minorEastAsia"/>
                <w:color w:val="auto"/>
              </w:rPr>
            </w:pPr>
            <w:r>
              <w:rPr>
                <w:color w:val="auto"/>
              </w:rPr>
              <w:t>Ⅰ</w:t>
            </w:r>
            <w:r>
              <w:rPr>
                <w:rFonts w:eastAsiaTheme="minorEastAsia"/>
                <w:color w:val="auto"/>
              </w:rPr>
              <w:t>类项目</w:t>
            </w:r>
          </w:p>
        </w:tc>
        <w:tc>
          <w:tcPr>
            <w:tcW w:w="1732" w:type="dxa"/>
            <w:vAlign w:val="center"/>
          </w:tcPr>
          <w:p>
            <w:pPr>
              <w:adjustRightInd w:val="0"/>
              <w:snapToGrid w:val="0"/>
              <w:jc w:val="center"/>
              <w:rPr>
                <w:rFonts w:eastAsiaTheme="minorEastAsia"/>
                <w:color w:val="auto"/>
              </w:rPr>
            </w:pPr>
            <w:r>
              <w:rPr>
                <w:color w:val="auto"/>
              </w:rPr>
              <w:t>Ⅱ</w:t>
            </w:r>
            <w:r>
              <w:rPr>
                <w:rFonts w:eastAsiaTheme="minorEastAsia"/>
                <w:color w:val="auto"/>
              </w:rPr>
              <w:t>类项目</w:t>
            </w:r>
          </w:p>
        </w:tc>
        <w:tc>
          <w:tcPr>
            <w:tcW w:w="1793" w:type="dxa"/>
            <w:vAlign w:val="center"/>
          </w:tcPr>
          <w:p>
            <w:pPr>
              <w:adjustRightInd w:val="0"/>
              <w:snapToGrid w:val="0"/>
              <w:jc w:val="center"/>
              <w:rPr>
                <w:rFonts w:eastAsiaTheme="minorEastAsia"/>
                <w:color w:val="auto"/>
              </w:rPr>
            </w:pPr>
            <w:r>
              <w:rPr>
                <w:color w:val="auto"/>
              </w:rPr>
              <w:t>Ⅲ</w:t>
            </w:r>
            <w:r>
              <w:rPr>
                <w:rFonts w:eastAsiaTheme="minorEastAsia"/>
                <w:color w:val="auto"/>
              </w:rPr>
              <w:t>类项目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339" w:type="dxa"/>
            <w:tcBorders>
              <w:top w:val="single" w:color="auto" w:sz="6" w:space="0"/>
            </w:tcBorders>
            <w:vAlign w:val="center"/>
          </w:tcPr>
          <w:p>
            <w:pPr>
              <w:adjustRightInd w:val="0"/>
              <w:snapToGrid w:val="0"/>
              <w:jc w:val="center"/>
              <w:rPr>
                <w:rFonts w:eastAsiaTheme="minorEastAsia"/>
                <w:color w:val="auto"/>
              </w:rPr>
            </w:pPr>
            <w:r>
              <w:rPr>
                <w:rFonts w:eastAsiaTheme="minorEastAsia"/>
                <w:color w:val="auto"/>
              </w:rPr>
              <w:t>敏感</w:t>
            </w:r>
          </w:p>
        </w:tc>
        <w:tc>
          <w:tcPr>
            <w:tcW w:w="1856" w:type="dxa"/>
            <w:vAlign w:val="center"/>
          </w:tcPr>
          <w:p>
            <w:pPr>
              <w:adjustRightInd w:val="0"/>
              <w:snapToGrid w:val="0"/>
              <w:jc w:val="center"/>
              <w:rPr>
                <w:rFonts w:eastAsiaTheme="minorEastAsia"/>
                <w:color w:val="auto"/>
              </w:rPr>
            </w:pPr>
            <w:r>
              <w:rPr>
                <w:rFonts w:eastAsiaTheme="minorEastAsia"/>
                <w:color w:val="auto"/>
              </w:rPr>
              <w:t>一</w:t>
            </w:r>
          </w:p>
        </w:tc>
        <w:tc>
          <w:tcPr>
            <w:tcW w:w="1732" w:type="dxa"/>
            <w:vAlign w:val="center"/>
          </w:tcPr>
          <w:p>
            <w:pPr>
              <w:adjustRightInd w:val="0"/>
              <w:snapToGrid w:val="0"/>
              <w:jc w:val="center"/>
              <w:rPr>
                <w:rFonts w:eastAsiaTheme="minorEastAsia"/>
                <w:color w:val="auto"/>
              </w:rPr>
            </w:pPr>
            <w:r>
              <w:rPr>
                <w:rFonts w:eastAsiaTheme="minorEastAsia"/>
                <w:color w:val="auto"/>
              </w:rPr>
              <w:t>一</w:t>
            </w:r>
          </w:p>
        </w:tc>
        <w:tc>
          <w:tcPr>
            <w:tcW w:w="1793" w:type="dxa"/>
            <w:vAlign w:val="center"/>
          </w:tcPr>
          <w:p>
            <w:pPr>
              <w:adjustRightInd w:val="0"/>
              <w:snapToGrid w:val="0"/>
              <w:jc w:val="center"/>
              <w:rPr>
                <w:rFonts w:eastAsiaTheme="minorEastAsia"/>
                <w:color w:val="auto"/>
              </w:rPr>
            </w:pPr>
            <w:r>
              <w:rPr>
                <w:rFonts w:eastAsiaTheme="minorEastAsia"/>
                <w:color w:val="auto"/>
              </w:rPr>
              <w:t>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339" w:type="dxa"/>
            <w:vAlign w:val="center"/>
          </w:tcPr>
          <w:p>
            <w:pPr>
              <w:adjustRightInd w:val="0"/>
              <w:snapToGrid w:val="0"/>
              <w:jc w:val="center"/>
              <w:rPr>
                <w:rFonts w:eastAsiaTheme="minorEastAsia"/>
                <w:color w:val="auto"/>
              </w:rPr>
            </w:pPr>
            <w:r>
              <w:rPr>
                <w:rFonts w:eastAsiaTheme="minorEastAsia"/>
                <w:color w:val="auto"/>
              </w:rPr>
              <w:t>较敏感</w:t>
            </w:r>
          </w:p>
        </w:tc>
        <w:tc>
          <w:tcPr>
            <w:tcW w:w="1856" w:type="dxa"/>
            <w:vAlign w:val="center"/>
          </w:tcPr>
          <w:p>
            <w:pPr>
              <w:adjustRightInd w:val="0"/>
              <w:snapToGrid w:val="0"/>
              <w:jc w:val="center"/>
              <w:rPr>
                <w:rFonts w:eastAsiaTheme="minorEastAsia"/>
                <w:color w:val="auto"/>
              </w:rPr>
            </w:pPr>
            <w:r>
              <w:rPr>
                <w:rFonts w:eastAsiaTheme="minorEastAsia"/>
                <w:color w:val="auto"/>
              </w:rPr>
              <w:t>一</w:t>
            </w:r>
          </w:p>
        </w:tc>
        <w:tc>
          <w:tcPr>
            <w:tcW w:w="1732" w:type="dxa"/>
            <w:vAlign w:val="center"/>
          </w:tcPr>
          <w:p>
            <w:pPr>
              <w:adjustRightInd w:val="0"/>
              <w:snapToGrid w:val="0"/>
              <w:jc w:val="center"/>
              <w:rPr>
                <w:rFonts w:eastAsiaTheme="minorEastAsia"/>
                <w:color w:val="auto"/>
              </w:rPr>
            </w:pPr>
            <w:r>
              <w:rPr>
                <w:rFonts w:hint="eastAsia" w:eastAsiaTheme="minorEastAsia"/>
                <w:color w:val="auto"/>
              </w:rPr>
              <w:t>二</w:t>
            </w:r>
          </w:p>
        </w:tc>
        <w:tc>
          <w:tcPr>
            <w:tcW w:w="1793" w:type="dxa"/>
            <w:vAlign w:val="center"/>
          </w:tcPr>
          <w:p>
            <w:pPr>
              <w:adjustRightInd w:val="0"/>
              <w:snapToGrid w:val="0"/>
              <w:jc w:val="center"/>
              <w:rPr>
                <w:rFonts w:eastAsiaTheme="minorEastAsia"/>
                <w:color w:val="auto"/>
              </w:rPr>
            </w:pPr>
            <w:r>
              <w:rPr>
                <w:rFonts w:eastAsiaTheme="minorEastAsia"/>
                <w:color w:val="auto"/>
              </w:rPr>
              <w:t>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3339" w:type="dxa"/>
            <w:vAlign w:val="center"/>
          </w:tcPr>
          <w:p>
            <w:pPr>
              <w:adjustRightInd w:val="0"/>
              <w:snapToGrid w:val="0"/>
              <w:jc w:val="center"/>
              <w:rPr>
                <w:rFonts w:eastAsiaTheme="minorEastAsia"/>
                <w:color w:val="auto"/>
              </w:rPr>
            </w:pPr>
            <w:r>
              <w:rPr>
                <w:rFonts w:eastAsiaTheme="minorEastAsia"/>
                <w:color w:val="auto"/>
              </w:rPr>
              <w:t>不敏感</w:t>
            </w:r>
          </w:p>
        </w:tc>
        <w:tc>
          <w:tcPr>
            <w:tcW w:w="1856" w:type="dxa"/>
            <w:vAlign w:val="center"/>
          </w:tcPr>
          <w:p>
            <w:pPr>
              <w:adjustRightInd w:val="0"/>
              <w:snapToGrid w:val="0"/>
              <w:jc w:val="center"/>
              <w:rPr>
                <w:rFonts w:eastAsiaTheme="minorEastAsia"/>
                <w:color w:val="auto"/>
              </w:rPr>
            </w:pPr>
            <w:r>
              <w:rPr>
                <w:rFonts w:eastAsiaTheme="minorEastAsia"/>
                <w:color w:val="auto"/>
              </w:rPr>
              <w:t>二</w:t>
            </w:r>
          </w:p>
        </w:tc>
        <w:tc>
          <w:tcPr>
            <w:tcW w:w="1732" w:type="dxa"/>
            <w:vAlign w:val="center"/>
          </w:tcPr>
          <w:p>
            <w:pPr>
              <w:adjustRightInd w:val="0"/>
              <w:snapToGrid w:val="0"/>
              <w:jc w:val="center"/>
              <w:rPr>
                <w:rFonts w:eastAsiaTheme="minorEastAsia"/>
                <w:color w:val="auto"/>
              </w:rPr>
            </w:pPr>
            <w:r>
              <w:rPr>
                <w:rFonts w:hint="eastAsia" w:eastAsiaTheme="minorEastAsia"/>
                <w:color w:val="auto"/>
              </w:rPr>
              <w:t>三</w:t>
            </w:r>
          </w:p>
        </w:tc>
        <w:tc>
          <w:tcPr>
            <w:tcW w:w="1793" w:type="dxa"/>
            <w:vAlign w:val="center"/>
          </w:tcPr>
          <w:p>
            <w:pPr>
              <w:adjustRightInd w:val="0"/>
              <w:snapToGrid w:val="0"/>
              <w:jc w:val="center"/>
              <w:rPr>
                <w:rFonts w:eastAsiaTheme="minorEastAsia"/>
                <w:color w:val="auto"/>
              </w:rPr>
            </w:pPr>
            <w:r>
              <w:rPr>
                <w:rFonts w:eastAsiaTheme="minorEastAsia"/>
                <w:color w:val="auto"/>
              </w:rPr>
              <w:t>三</w:t>
            </w:r>
          </w:p>
        </w:tc>
      </w:tr>
    </w:tbl>
    <w:p>
      <w:pPr>
        <w:pStyle w:val="130"/>
        <w:ind w:firstLine="480"/>
        <w:rPr>
          <w:color w:val="auto"/>
        </w:rPr>
      </w:pPr>
      <w:r>
        <w:rPr>
          <w:color w:val="auto"/>
        </w:rPr>
        <w:t>本项目建设场地位于中卫市永康镇阳沟村中卫市生活垃圾填埋场西侧，根据《环境影响评价技术导则地下水环境》（HJ610-2016）本项目属于I类项目，根据现场调查，本项目区域无集中式饮用水源地、分散式饮用水源地等敏感及较敏感目标，建设场地属于不敏感区域，因此，本项目地下水影响评价等级为二级。</w:t>
      </w:r>
    </w:p>
    <w:p>
      <w:pPr>
        <w:pStyle w:val="6"/>
        <w:numPr>
          <w:ilvl w:val="3"/>
          <w:numId w:val="0"/>
        </w:numPr>
        <w:rPr>
          <w:color w:val="auto"/>
        </w:rPr>
      </w:pPr>
      <w:bookmarkStart w:id="140" w:name="_Toc11595196"/>
      <w:r>
        <w:rPr>
          <w:color w:val="auto"/>
        </w:rPr>
        <w:t>1.5.3.2评价范围</w:t>
      </w:r>
      <w:bookmarkEnd w:id="140"/>
    </w:p>
    <w:p>
      <w:pPr>
        <w:pStyle w:val="130"/>
        <w:ind w:firstLine="480"/>
        <w:rPr>
          <w:color w:val="auto"/>
        </w:rPr>
      </w:pPr>
      <w:r>
        <w:rPr>
          <w:color w:val="auto"/>
        </w:rPr>
        <w:t>根据《环境影响评价技术导则地下水环境》（HJ610-2016），采用导则中推荐的公式计算项目的地下水评价范围，计算公式如下：</w:t>
      </w:r>
    </w:p>
    <w:p>
      <w:pPr>
        <w:pStyle w:val="130"/>
        <w:ind w:firstLine="480"/>
        <w:rPr>
          <w:color w:val="auto"/>
        </w:rPr>
      </w:pPr>
      <w:bookmarkStart w:id="141" w:name="_Toc11595197"/>
      <w:r>
        <w:rPr>
          <w:color w:val="auto"/>
        </w:rPr>
        <w:t>L=α×K×I×T/ne</w:t>
      </w:r>
      <w:bookmarkEnd w:id="141"/>
    </w:p>
    <w:p>
      <w:pPr>
        <w:pStyle w:val="130"/>
        <w:ind w:firstLine="480"/>
        <w:rPr>
          <w:color w:val="auto"/>
        </w:rPr>
      </w:pPr>
      <w:r>
        <w:rPr>
          <w:color w:val="auto"/>
        </w:rPr>
        <w:t>式中：L—下游迁移距离，m；</w:t>
      </w:r>
    </w:p>
    <w:p>
      <w:pPr>
        <w:pStyle w:val="130"/>
        <w:ind w:firstLine="480"/>
        <w:rPr>
          <w:color w:val="auto"/>
        </w:rPr>
      </w:pPr>
      <w:r>
        <w:rPr>
          <w:color w:val="auto"/>
        </w:rPr>
        <w:t>α—变化系数，α≥1，一般取2；</w:t>
      </w:r>
    </w:p>
    <w:p>
      <w:pPr>
        <w:pStyle w:val="130"/>
        <w:ind w:firstLine="480"/>
        <w:rPr>
          <w:color w:val="auto"/>
        </w:rPr>
      </w:pPr>
      <w:r>
        <w:rPr>
          <w:color w:val="auto"/>
        </w:rPr>
        <w:t>K—渗透系数，m/d，参照《环境影响评价技术导则地下水环境》（HJ610-2016）附录B.1粉砂的渗透系数最大值1.5m/d；</w:t>
      </w:r>
    </w:p>
    <w:p>
      <w:pPr>
        <w:pStyle w:val="130"/>
        <w:ind w:firstLine="480"/>
        <w:rPr>
          <w:color w:val="auto"/>
        </w:rPr>
      </w:pPr>
      <w:r>
        <w:rPr>
          <w:color w:val="auto"/>
        </w:rPr>
        <w:t>I—水力坡度，无量纲，9‰；</w:t>
      </w:r>
    </w:p>
    <w:p>
      <w:pPr>
        <w:pStyle w:val="130"/>
        <w:ind w:firstLine="480"/>
        <w:rPr>
          <w:color w:val="auto"/>
        </w:rPr>
      </w:pPr>
      <w:r>
        <w:rPr>
          <w:color w:val="auto"/>
        </w:rPr>
        <w:t>T—质点迁移天数，取值不小于5000d，本次取值10000d；</w:t>
      </w:r>
    </w:p>
    <w:p>
      <w:pPr>
        <w:pStyle w:val="130"/>
        <w:ind w:firstLine="480"/>
        <w:rPr>
          <w:color w:val="auto"/>
        </w:rPr>
      </w:pPr>
      <w:r>
        <w:rPr>
          <w:color w:val="auto"/>
        </w:rPr>
        <w:t>ne—有效孔隙度，无量纲，0.5。</w:t>
      </w:r>
    </w:p>
    <w:p>
      <w:pPr>
        <w:pStyle w:val="130"/>
        <w:ind w:firstLine="480"/>
        <w:rPr>
          <w:color w:val="auto"/>
        </w:rPr>
      </w:pPr>
      <w:r>
        <w:rPr>
          <w:color w:val="auto"/>
        </w:rPr>
        <w:t>采用公式1确定调查评价范围时，调查范围如图1.5-1所示，计算的范围未包含保护目标时，可适当扩大T，以保证调查范围包含重要的保护目标；若初始资料不足，可采用查表法确定调查及评价范围。当计算或查表范围超出所处水文地质单元边界时，以所处水文地质单元边界为宜。</w:t>
      </w:r>
    </w:p>
    <w:p>
      <w:pPr>
        <w:jc w:val="center"/>
        <w:rPr>
          <w:rFonts w:eastAsiaTheme="minorEastAsia"/>
          <w:color w:val="auto"/>
          <w:sz w:val="24"/>
          <w:szCs w:val="24"/>
        </w:rPr>
      </w:pPr>
      <w:r>
        <w:rPr>
          <w:rFonts w:eastAsiaTheme="minorEastAsia"/>
          <w:color w:val="auto"/>
          <w:sz w:val="24"/>
          <w:szCs w:val="24"/>
        </w:rPr>
        <w:drawing>
          <wp:inline distT="0" distB="0" distL="114300" distR="114300">
            <wp:extent cx="3816985" cy="2917825"/>
            <wp:effectExtent l="0" t="0" r="0" b="0"/>
            <wp:docPr id="36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 name="图片 29"/>
                    <pic:cNvPicPr>
                      <a:picLocks noChangeAspect="1"/>
                    </pic:cNvPicPr>
                  </pic:nvPicPr>
                  <pic:blipFill>
                    <a:blip r:embed="rId19" cstate="print"/>
                    <a:srcRect t="2267" b="2267"/>
                    <a:stretch>
                      <a:fillRect/>
                    </a:stretch>
                  </pic:blipFill>
                  <pic:spPr>
                    <a:xfrm>
                      <a:off x="0" y="0"/>
                      <a:ext cx="3835495" cy="2932228"/>
                    </a:xfrm>
                    <a:prstGeom prst="rect">
                      <a:avLst/>
                    </a:prstGeom>
                    <a:noFill/>
                    <a:ln w="9525">
                      <a:noFill/>
                    </a:ln>
                  </pic:spPr>
                </pic:pic>
              </a:graphicData>
            </a:graphic>
          </wp:inline>
        </w:drawing>
      </w:r>
    </w:p>
    <w:p>
      <w:pPr>
        <w:pStyle w:val="114"/>
        <w:spacing w:before="120"/>
        <w:ind w:firstLine="400"/>
        <w:rPr>
          <w:rFonts w:eastAsiaTheme="minorEastAsia"/>
          <w:color w:val="auto"/>
        </w:rPr>
      </w:pPr>
      <w:r>
        <w:rPr>
          <w:rFonts w:eastAsiaTheme="minorEastAsia"/>
          <w:color w:val="auto"/>
        </w:rPr>
        <w:t>图1.5-1    调查评价范围示意图</w:t>
      </w:r>
    </w:p>
    <w:p>
      <w:pPr>
        <w:pStyle w:val="130"/>
        <w:ind w:firstLine="480"/>
        <w:rPr>
          <w:color w:val="auto"/>
        </w:rPr>
      </w:pPr>
      <w:r>
        <w:rPr>
          <w:color w:val="auto"/>
        </w:rPr>
        <w:t>根据本项目场地地质条件计算可知L=540m，结合查表法参照值：地下水二级评价调查评价面积6～20km</w:t>
      </w:r>
      <w:r>
        <w:rPr>
          <w:color w:val="auto"/>
          <w:vertAlign w:val="superscript"/>
        </w:rPr>
        <w:t>2</w:t>
      </w:r>
      <w:r>
        <w:rPr>
          <w:color w:val="auto"/>
        </w:rPr>
        <w:t>，且应包括重要的地下水环境保护目标，必要时适当扩大范围。根据项目所在区域水文地质条件及周边环境特征分析，同时参照宁夏回族自治区水文地质图，项目所在区域地下水大致流向为由南向北，确定项目地下水评价范围为以项目厂区为中心，厂区地下水上游（南侧）1km、下游（北侧）2.5km、两侧（东侧1.5km、西侧1.5km）的矩形范围内，评价区域面积为10.5km</w:t>
      </w:r>
      <w:r>
        <w:rPr>
          <w:color w:val="auto"/>
          <w:vertAlign w:val="superscript"/>
        </w:rPr>
        <w:t>2</w:t>
      </w:r>
      <w:r>
        <w:rPr>
          <w:color w:val="auto"/>
        </w:rPr>
        <w:t>。</w:t>
      </w:r>
    </w:p>
    <w:p>
      <w:pPr>
        <w:pStyle w:val="5"/>
        <w:numPr>
          <w:ilvl w:val="2"/>
          <w:numId w:val="0"/>
        </w:numPr>
        <w:ind w:left="-720" w:leftChars="-343" w:firstLine="723" w:firstLineChars="300"/>
        <w:rPr>
          <w:color w:val="auto"/>
        </w:rPr>
      </w:pPr>
      <w:bookmarkStart w:id="142" w:name="_Toc11595198"/>
      <w:bookmarkStart w:id="143" w:name="_Toc109398553"/>
      <w:r>
        <w:rPr>
          <w:color w:val="auto"/>
        </w:rPr>
        <w:t>1.5.4声环境</w:t>
      </w:r>
      <w:bookmarkEnd w:id="142"/>
      <w:bookmarkEnd w:id="143"/>
    </w:p>
    <w:p>
      <w:pPr>
        <w:pStyle w:val="6"/>
        <w:numPr>
          <w:ilvl w:val="3"/>
          <w:numId w:val="0"/>
        </w:numPr>
        <w:rPr>
          <w:color w:val="auto"/>
        </w:rPr>
      </w:pPr>
      <w:r>
        <w:rPr>
          <w:color w:val="auto"/>
        </w:rPr>
        <w:t>1.5.4.1评价等级</w:t>
      </w:r>
    </w:p>
    <w:p>
      <w:pPr>
        <w:pStyle w:val="130"/>
        <w:ind w:firstLine="480"/>
        <w:rPr>
          <w:color w:val="auto"/>
        </w:rPr>
      </w:pPr>
      <w:r>
        <w:rPr>
          <w:color w:val="auto"/>
        </w:rPr>
        <w:t>根据《环境影响评价技术导则 声环境》（HJ2.4-2021）中规定的评价工作等级划分依据，将声环境影响评价工作分为一、二、三级，划分依据见表1.5-7。</w:t>
      </w:r>
    </w:p>
    <w:p>
      <w:pPr>
        <w:jc w:val="center"/>
        <w:rPr>
          <w:rFonts w:eastAsiaTheme="minorEastAsia"/>
          <w:b/>
          <w:color w:val="auto"/>
          <w:sz w:val="24"/>
          <w:szCs w:val="24"/>
        </w:rPr>
      </w:pPr>
      <w:r>
        <w:rPr>
          <w:rFonts w:eastAsiaTheme="minorEastAsia"/>
          <w:b/>
          <w:color w:val="auto"/>
          <w:sz w:val="24"/>
          <w:szCs w:val="24"/>
        </w:rPr>
        <w:t>表1.5-7  声环境影响评价工作级别划分依据一览表表</w:t>
      </w:r>
    </w:p>
    <w:tbl>
      <w:tblPr>
        <w:tblStyle w:val="74"/>
        <w:tblW w:w="8751"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97"/>
        <w:gridCol w:w="725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97" w:type="dxa"/>
            <w:vAlign w:val="center"/>
          </w:tcPr>
          <w:p>
            <w:pPr>
              <w:pStyle w:val="164"/>
              <w:rPr>
                <w:color w:val="auto"/>
              </w:rPr>
            </w:pPr>
            <w:r>
              <w:rPr>
                <w:color w:val="auto"/>
              </w:rPr>
              <w:t>评价工作等级</w:t>
            </w:r>
          </w:p>
        </w:tc>
        <w:tc>
          <w:tcPr>
            <w:tcW w:w="7254" w:type="dxa"/>
            <w:vAlign w:val="center"/>
          </w:tcPr>
          <w:p>
            <w:pPr>
              <w:pStyle w:val="164"/>
              <w:rPr>
                <w:color w:val="auto"/>
              </w:rPr>
            </w:pPr>
            <w:r>
              <w:rPr>
                <w:color w:val="auto"/>
              </w:rPr>
              <w:t>评价工作分级判据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97" w:type="dxa"/>
            <w:vAlign w:val="center"/>
          </w:tcPr>
          <w:p>
            <w:pPr>
              <w:pStyle w:val="164"/>
              <w:rPr>
                <w:color w:val="auto"/>
              </w:rPr>
            </w:pPr>
            <w:r>
              <w:rPr>
                <w:color w:val="auto"/>
              </w:rPr>
              <w:t>一级</w:t>
            </w:r>
          </w:p>
        </w:tc>
        <w:tc>
          <w:tcPr>
            <w:tcW w:w="7254" w:type="dxa"/>
            <w:vAlign w:val="center"/>
          </w:tcPr>
          <w:p>
            <w:pPr>
              <w:pStyle w:val="164"/>
              <w:rPr>
                <w:color w:val="auto"/>
              </w:rPr>
            </w:pPr>
            <w:r>
              <w:rPr>
                <w:color w:val="auto"/>
              </w:rPr>
              <w:t>评价范围内有适用于GB3096规定的0类声环境功能区域，或建设项目建设前后评价范围内声环境保护目标噪声级增量达5dB(A)以上（不含5dB(A)），或受影响人口数量显著增加时，按一级评价。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97" w:type="dxa"/>
            <w:vAlign w:val="center"/>
          </w:tcPr>
          <w:p>
            <w:pPr>
              <w:pStyle w:val="164"/>
              <w:rPr>
                <w:color w:val="auto"/>
              </w:rPr>
            </w:pPr>
            <w:r>
              <w:rPr>
                <w:color w:val="auto"/>
              </w:rPr>
              <w:t>二级</w:t>
            </w:r>
          </w:p>
        </w:tc>
        <w:tc>
          <w:tcPr>
            <w:tcW w:w="7254" w:type="dxa"/>
            <w:vAlign w:val="center"/>
          </w:tcPr>
          <w:p>
            <w:pPr>
              <w:pStyle w:val="164"/>
              <w:rPr>
                <w:color w:val="auto"/>
              </w:rPr>
            </w:pPr>
            <w:r>
              <w:rPr>
                <w:color w:val="auto"/>
              </w:rPr>
              <w:t>建设项目所处的声环境功能区为GB3096规定的1类、2类地区，或建设项目建设前后评价范围内声环境保护目标噪声级增量达3dB(A)～5dB(A)，或受噪声影响人口数量增加较多时，按二级评价。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97" w:type="dxa"/>
            <w:vAlign w:val="center"/>
          </w:tcPr>
          <w:p>
            <w:pPr>
              <w:pStyle w:val="164"/>
              <w:rPr>
                <w:color w:val="auto"/>
              </w:rPr>
            </w:pPr>
            <w:r>
              <w:rPr>
                <w:color w:val="auto"/>
              </w:rPr>
              <w:t>三级</w:t>
            </w:r>
          </w:p>
        </w:tc>
        <w:tc>
          <w:tcPr>
            <w:tcW w:w="7254" w:type="dxa"/>
            <w:vAlign w:val="center"/>
          </w:tcPr>
          <w:p>
            <w:pPr>
              <w:pStyle w:val="164"/>
              <w:rPr>
                <w:color w:val="auto"/>
              </w:rPr>
            </w:pPr>
            <w:r>
              <w:rPr>
                <w:color w:val="auto"/>
              </w:rPr>
              <w:t>建设项目所处的声环境功能区为GB3096 规定的3类、4类地区，或建设项目建设前后评价范围内声环境保护目标噪声级增量在3dB(A)以下（不含3dB(A)），且受影响人口数量变化不大时，按三级评价。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97" w:type="dxa"/>
            <w:vAlign w:val="center"/>
          </w:tcPr>
          <w:p>
            <w:pPr>
              <w:pStyle w:val="164"/>
              <w:rPr>
                <w:color w:val="auto"/>
              </w:rPr>
            </w:pPr>
            <w:r>
              <w:rPr>
                <w:color w:val="auto"/>
              </w:rPr>
              <w:t>本项目</w:t>
            </w:r>
          </w:p>
        </w:tc>
        <w:tc>
          <w:tcPr>
            <w:tcW w:w="7254" w:type="dxa"/>
            <w:vAlign w:val="center"/>
          </w:tcPr>
          <w:p>
            <w:pPr>
              <w:pStyle w:val="164"/>
              <w:rPr>
                <w:color w:val="auto"/>
              </w:rPr>
            </w:pPr>
            <w:r>
              <w:rPr>
                <w:color w:val="auto"/>
              </w:rPr>
              <w:t>本项目位于2类区域，评价等级为二级</w:t>
            </w:r>
          </w:p>
        </w:tc>
      </w:tr>
    </w:tbl>
    <w:p>
      <w:pPr>
        <w:pStyle w:val="130"/>
        <w:ind w:firstLine="480"/>
        <w:rPr>
          <w:color w:val="auto"/>
        </w:rPr>
      </w:pPr>
      <w:r>
        <w:rPr>
          <w:color w:val="auto"/>
        </w:rPr>
        <w:t>本项目厂址所在区域适用于《声环境质量标准》（GB3096-2008）规定的2类区，项目建设前后噪声级增加较小，根据评价工作级别划分依据，本次声环境影响评价工作等级确定为二级。</w:t>
      </w:r>
    </w:p>
    <w:p>
      <w:pPr>
        <w:pStyle w:val="6"/>
        <w:numPr>
          <w:ilvl w:val="3"/>
          <w:numId w:val="0"/>
        </w:numPr>
        <w:rPr>
          <w:color w:val="auto"/>
        </w:rPr>
      </w:pPr>
      <w:r>
        <w:rPr>
          <w:color w:val="auto"/>
        </w:rPr>
        <w:t>1.5.4.2评价范围</w:t>
      </w:r>
    </w:p>
    <w:p>
      <w:pPr>
        <w:pStyle w:val="130"/>
        <w:ind w:firstLine="480"/>
        <w:rPr>
          <w:color w:val="auto"/>
        </w:rPr>
      </w:pPr>
      <w:r>
        <w:rPr>
          <w:color w:val="auto"/>
        </w:rPr>
        <w:t>根据《环境影响评价技术导则 声环境》（HJ2.4-2021），声环境评价范围</w:t>
      </w:r>
      <w:r>
        <w:rPr>
          <w:rFonts w:hint="eastAsia"/>
          <w:color w:val="auto"/>
        </w:rPr>
        <w:t>确定</w:t>
      </w:r>
      <w:r>
        <w:rPr>
          <w:color w:val="auto"/>
        </w:rPr>
        <w:t>为项目厂界外200m。</w:t>
      </w:r>
    </w:p>
    <w:p>
      <w:pPr>
        <w:pStyle w:val="5"/>
        <w:numPr>
          <w:ilvl w:val="2"/>
          <w:numId w:val="0"/>
        </w:numPr>
        <w:ind w:left="-720" w:leftChars="-343" w:firstLine="723" w:firstLineChars="300"/>
        <w:rPr>
          <w:color w:val="auto"/>
        </w:rPr>
      </w:pPr>
      <w:bookmarkStart w:id="144" w:name="_Toc109398554"/>
      <w:r>
        <w:rPr>
          <w:color w:val="auto"/>
        </w:rPr>
        <w:t>1.5.5土壤环境</w:t>
      </w:r>
      <w:bookmarkEnd w:id="144"/>
    </w:p>
    <w:p>
      <w:pPr>
        <w:pStyle w:val="6"/>
        <w:numPr>
          <w:ilvl w:val="3"/>
          <w:numId w:val="0"/>
        </w:numPr>
        <w:rPr>
          <w:color w:val="auto"/>
        </w:rPr>
      </w:pPr>
      <w:r>
        <w:rPr>
          <w:color w:val="auto"/>
        </w:rPr>
        <w:t>1.5.5.1评价等级</w:t>
      </w:r>
    </w:p>
    <w:p>
      <w:pPr>
        <w:pStyle w:val="130"/>
        <w:ind w:firstLine="480"/>
        <w:rPr>
          <w:color w:val="auto"/>
        </w:rPr>
      </w:pPr>
      <w:r>
        <w:rPr>
          <w:color w:val="auto"/>
          <w:lang w:bidi="zh-CN"/>
        </w:rPr>
        <w:t>根据《环境影响评价技术导则土壤环境（试行）》（HJ964-2018）中评价等级确定要求，本项目属于污染影响型项目，需根据土壤环境影响评价项目类别、占地规模与敏感程度划分评价工作等级。</w:t>
      </w:r>
    </w:p>
    <w:p>
      <w:pPr>
        <w:pStyle w:val="130"/>
        <w:ind w:firstLine="480"/>
        <w:rPr>
          <w:color w:val="auto"/>
        </w:rPr>
      </w:pPr>
      <w:r>
        <w:rPr>
          <w:color w:val="auto"/>
        </w:rPr>
        <w:t>①项目类别判定</w:t>
      </w:r>
    </w:p>
    <w:p>
      <w:pPr>
        <w:pStyle w:val="130"/>
        <w:ind w:firstLine="480"/>
        <w:rPr>
          <w:color w:val="auto"/>
          <w:lang w:bidi="zh-CN"/>
        </w:rPr>
      </w:pPr>
      <w:r>
        <w:rPr>
          <w:color w:val="auto"/>
          <w:lang w:bidi="zh-CN"/>
        </w:rPr>
        <w:t>根据《环境影响评价技术导则土壤环境（试行）》（HJ964-2018）中附录A中表A.1土壤环境影响评价项目类别，本项目属于环境和公共设施管理-危险废物利用及处理类，属于Ⅰ类建设项目。</w:t>
      </w:r>
    </w:p>
    <w:p>
      <w:pPr>
        <w:pStyle w:val="130"/>
        <w:ind w:firstLine="480"/>
        <w:rPr>
          <w:color w:val="auto"/>
          <w:lang w:bidi="zh-CN"/>
        </w:rPr>
      </w:pPr>
      <w:r>
        <w:rPr>
          <w:color w:val="auto"/>
        </w:rPr>
        <w:t>②</w:t>
      </w:r>
      <w:r>
        <w:rPr>
          <w:color w:val="auto"/>
          <w:lang w:bidi="zh-CN"/>
        </w:rPr>
        <w:t>占地规模判定</w:t>
      </w:r>
    </w:p>
    <w:p>
      <w:pPr>
        <w:pStyle w:val="130"/>
        <w:ind w:firstLine="480"/>
        <w:rPr>
          <w:color w:val="auto"/>
          <w:lang w:bidi="zh-CN"/>
        </w:rPr>
      </w:pPr>
      <w:r>
        <w:rPr>
          <w:color w:val="auto"/>
        </w:rPr>
        <w:t>根据《环境影响评价技术导则土壤环境（试行）》（HJ964-2018）：将建设项目占地规模分为大型（≥50hm</w:t>
      </w:r>
      <w:r>
        <w:rPr>
          <w:color w:val="auto"/>
          <w:vertAlign w:val="superscript"/>
        </w:rPr>
        <w:t>2</w:t>
      </w:r>
      <w:r>
        <w:rPr>
          <w:color w:val="auto"/>
        </w:rPr>
        <w:t>）、中型（5～50hm</w:t>
      </w:r>
      <w:r>
        <w:rPr>
          <w:color w:val="auto"/>
          <w:vertAlign w:val="superscript"/>
        </w:rPr>
        <w:t>2</w:t>
      </w:r>
      <w:r>
        <w:rPr>
          <w:color w:val="auto"/>
        </w:rPr>
        <w:t>）、小型（≤5hm</w:t>
      </w:r>
      <w:r>
        <w:rPr>
          <w:color w:val="auto"/>
          <w:vertAlign w:val="superscript"/>
        </w:rPr>
        <w:t>2</w:t>
      </w:r>
      <w:r>
        <w:rPr>
          <w:color w:val="auto"/>
        </w:rPr>
        <w:t>），建设占地主要为永久占地。本项目不新增占地，永久占地为0.55hm</w:t>
      </w:r>
      <w:r>
        <w:rPr>
          <w:color w:val="auto"/>
          <w:vertAlign w:val="superscript"/>
        </w:rPr>
        <w:t>2</w:t>
      </w:r>
      <w:r>
        <w:rPr>
          <w:color w:val="auto"/>
        </w:rPr>
        <w:t>，占地规模为小型。</w:t>
      </w:r>
    </w:p>
    <w:p>
      <w:pPr>
        <w:pStyle w:val="130"/>
        <w:ind w:firstLine="480"/>
        <w:rPr>
          <w:color w:val="auto"/>
          <w:lang w:bidi="zh-CN"/>
        </w:rPr>
      </w:pPr>
      <w:r>
        <w:rPr>
          <w:color w:val="auto"/>
        </w:rPr>
        <w:t>③</w:t>
      </w:r>
      <w:r>
        <w:rPr>
          <w:color w:val="auto"/>
          <w:lang w:bidi="zh-CN"/>
        </w:rPr>
        <w:t>敏感程度判断</w:t>
      </w:r>
    </w:p>
    <w:p>
      <w:pPr>
        <w:pStyle w:val="130"/>
        <w:ind w:firstLine="480"/>
        <w:rPr>
          <w:color w:val="auto"/>
        </w:rPr>
      </w:pPr>
      <w:r>
        <w:rPr>
          <w:color w:val="auto"/>
        </w:rPr>
        <w:t>建设项目所在地周边的土壤环境敏感程度分为敏感、较敏感、不敏感，判别依据见表1.5-8。</w:t>
      </w:r>
    </w:p>
    <w:p>
      <w:pPr>
        <w:pStyle w:val="114"/>
        <w:spacing w:before="0" w:beforeLines="0"/>
        <w:rPr>
          <w:color w:val="auto"/>
        </w:rPr>
      </w:pPr>
      <w:r>
        <w:rPr>
          <w:color w:val="auto"/>
        </w:rPr>
        <w:t>表1.5-8    污染影响型敏感程度分级表</w:t>
      </w:r>
    </w:p>
    <w:tbl>
      <w:tblPr>
        <w:tblStyle w:val="74"/>
        <w:tblW w:w="8534"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270"/>
        <w:gridCol w:w="726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270" w:type="dxa"/>
            <w:vAlign w:val="center"/>
          </w:tcPr>
          <w:p>
            <w:pPr>
              <w:pStyle w:val="161"/>
              <w:kinsoku w:val="0"/>
              <w:overflowPunct w:val="0"/>
              <w:adjustRightInd w:val="0"/>
              <w:snapToGrid w:val="0"/>
              <w:jc w:val="center"/>
              <w:rPr>
                <w:color w:val="auto"/>
                <w:kern w:val="0"/>
                <w:szCs w:val="21"/>
              </w:rPr>
            </w:pPr>
            <w:r>
              <w:rPr>
                <w:color w:val="auto"/>
                <w:kern w:val="0"/>
                <w:szCs w:val="21"/>
              </w:rPr>
              <w:t>敏感程度</w:t>
            </w:r>
          </w:p>
        </w:tc>
        <w:tc>
          <w:tcPr>
            <w:tcW w:w="7264" w:type="dxa"/>
            <w:vAlign w:val="center"/>
          </w:tcPr>
          <w:p>
            <w:pPr>
              <w:pStyle w:val="161"/>
              <w:kinsoku w:val="0"/>
              <w:overflowPunct w:val="0"/>
              <w:adjustRightInd w:val="0"/>
              <w:snapToGrid w:val="0"/>
              <w:ind w:right="24"/>
              <w:jc w:val="center"/>
              <w:rPr>
                <w:color w:val="auto"/>
                <w:kern w:val="0"/>
                <w:szCs w:val="21"/>
              </w:rPr>
            </w:pPr>
            <w:r>
              <w:rPr>
                <w:color w:val="auto"/>
                <w:kern w:val="0"/>
                <w:szCs w:val="21"/>
              </w:rPr>
              <w:t>判别依据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270" w:type="dxa"/>
            <w:vAlign w:val="center"/>
          </w:tcPr>
          <w:p>
            <w:pPr>
              <w:pStyle w:val="161"/>
              <w:kinsoku w:val="0"/>
              <w:overflowPunct w:val="0"/>
              <w:adjustRightInd w:val="0"/>
              <w:snapToGrid w:val="0"/>
              <w:jc w:val="center"/>
              <w:rPr>
                <w:color w:val="auto"/>
                <w:kern w:val="0"/>
                <w:szCs w:val="21"/>
              </w:rPr>
            </w:pPr>
            <w:r>
              <w:rPr>
                <w:color w:val="auto"/>
                <w:kern w:val="0"/>
                <w:szCs w:val="21"/>
              </w:rPr>
              <w:t>敏感</w:t>
            </w:r>
          </w:p>
        </w:tc>
        <w:tc>
          <w:tcPr>
            <w:tcW w:w="7264" w:type="dxa"/>
            <w:vAlign w:val="center"/>
          </w:tcPr>
          <w:p>
            <w:pPr>
              <w:pStyle w:val="161"/>
              <w:kinsoku w:val="0"/>
              <w:overflowPunct w:val="0"/>
              <w:adjustRightInd w:val="0"/>
              <w:snapToGrid w:val="0"/>
              <w:ind w:left="100"/>
              <w:jc w:val="center"/>
              <w:rPr>
                <w:color w:val="auto"/>
                <w:kern w:val="0"/>
                <w:szCs w:val="21"/>
              </w:rPr>
            </w:pPr>
            <w:r>
              <w:rPr>
                <w:color w:val="auto"/>
                <w:kern w:val="0"/>
                <w:szCs w:val="21"/>
              </w:rPr>
              <w:t>建设项目周边存在耕地、园地、牧草地、饮用水水源地或居民区、学校、医院、疗养院、养老院等土壤环境敏感目标的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270" w:type="dxa"/>
            <w:vAlign w:val="center"/>
          </w:tcPr>
          <w:p>
            <w:pPr>
              <w:pStyle w:val="161"/>
              <w:kinsoku w:val="0"/>
              <w:overflowPunct w:val="0"/>
              <w:adjustRightInd w:val="0"/>
              <w:snapToGrid w:val="0"/>
              <w:jc w:val="center"/>
              <w:rPr>
                <w:color w:val="auto"/>
                <w:kern w:val="0"/>
                <w:szCs w:val="21"/>
              </w:rPr>
            </w:pPr>
            <w:r>
              <w:rPr>
                <w:color w:val="auto"/>
                <w:kern w:val="0"/>
                <w:szCs w:val="21"/>
              </w:rPr>
              <w:t>较敏感</w:t>
            </w:r>
          </w:p>
        </w:tc>
        <w:tc>
          <w:tcPr>
            <w:tcW w:w="7264" w:type="dxa"/>
            <w:vAlign w:val="center"/>
          </w:tcPr>
          <w:p>
            <w:pPr>
              <w:pStyle w:val="161"/>
              <w:kinsoku w:val="0"/>
              <w:overflowPunct w:val="0"/>
              <w:adjustRightInd w:val="0"/>
              <w:snapToGrid w:val="0"/>
              <w:ind w:left="100"/>
              <w:jc w:val="center"/>
              <w:rPr>
                <w:color w:val="auto"/>
                <w:kern w:val="0"/>
                <w:szCs w:val="21"/>
              </w:rPr>
            </w:pPr>
            <w:r>
              <w:rPr>
                <w:color w:val="auto"/>
                <w:kern w:val="0"/>
                <w:szCs w:val="21"/>
              </w:rPr>
              <w:t>建设项目周边存在其他土壤环境敏感目标的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270" w:type="dxa"/>
            <w:vAlign w:val="center"/>
          </w:tcPr>
          <w:p>
            <w:pPr>
              <w:pStyle w:val="161"/>
              <w:kinsoku w:val="0"/>
              <w:overflowPunct w:val="0"/>
              <w:adjustRightInd w:val="0"/>
              <w:snapToGrid w:val="0"/>
              <w:jc w:val="center"/>
              <w:rPr>
                <w:color w:val="auto"/>
                <w:kern w:val="0"/>
                <w:szCs w:val="21"/>
              </w:rPr>
            </w:pPr>
            <w:r>
              <w:rPr>
                <w:color w:val="auto"/>
                <w:kern w:val="0"/>
                <w:szCs w:val="21"/>
              </w:rPr>
              <w:t>不敏感</w:t>
            </w:r>
          </w:p>
        </w:tc>
        <w:tc>
          <w:tcPr>
            <w:tcW w:w="7264" w:type="dxa"/>
            <w:vAlign w:val="center"/>
          </w:tcPr>
          <w:p>
            <w:pPr>
              <w:pStyle w:val="161"/>
              <w:kinsoku w:val="0"/>
              <w:overflowPunct w:val="0"/>
              <w:adjustRightInd w:val="0"/>
              <w:snapToGrid w:val="0"/>
              <w:ind w:left="100"/>
              <w:jc w:val="center"/>
              <w:rPr>
                <w:color w:val="auto"/>
                <w:kern w:val="0"/>
                <w:szCs w:val="21"/>
              </w:rPr>
            </w:pPr>
            <w:r>
              <w:rPr>
                <w:color w:val="auto"/>
                <w:kern w:val="0"/>
                <w:szCs w:val="21"/>
              </w:rPr>
              <w:t>其他情况</w:t>
            </w:r>
          </w:p>
        </w:tc>
      </w:tr>
    </w:tbl>
    <w:p>
      <w:pPr>
        <w:pStyle w:val="130"/>
        <w:ind w:firstLine="480"/>
        <w:rPr>
          <w:color w:val="auto"/>
        </w:rPr>
      </w:pPr>
      <w:r>
        <w:rPr>
          <w:color w:val="auto"/>
        </w:rPr>
        <w:t>本项目西侧162m为中卫市永康镇阳沟村希望小学，周边存在敏感目标，敏感程度为敏感。</w:t>
      </w:r>
    </w:p>
    <w:p>
      <w:pPr>
        <w:pStyle w:val="130"/>
        <w:ind w:firstLine="480"/>
        <w:rPr>
          <w:color w:val="auto"/>
        </w:rPr>
      </w:pPr>
      <w:r>
        <w:rPr>
          <w:color w:val="auto"/>
        </w:rPr>
        <w:t>④评价等级判定</w:t>
      </w:r>
    </w:p>
    <w:p>
      <w:pPr>
        <w:pStyle w:val="130"/>
        <w:ind w:firstLine="480"/>
        <w:rPr>
          <w:color w:val="auto"/>
        </w:rPr>
      </w:pPr>
      <w:r>
        <w:rPr>
          <w:color w:val="auto"/>
          <w:lang w:bidi="zh-CN"/>
        </w:rPr>
        <w:t>根据《环境影响评价技术导则土壤环境（试行）》（HJ964-2018）的要求，</w:t>
      </w:r>
      <w:r>
        <w:rPr>
          <w:color w:val="auto"/>
        </w:rPr>
        <w:t>污染影响型评价工作等级划分见表1.5-9。</w:t>
      </w:r>
    </w:p>
    <w:p>
      <w:pPr>
        <w:pStyle w:val="114"/>
        <w:spacing w:before="0" w:beforeLines="0"/>
        <w:rPr>
          <w:color w:val="auto"/>
        </w:rPr>
      </w:pPr>
      <w:r>
        <w:rPr>
          <w:color w:val="auto"/>
        </w:rPr>
        <w:t>表1.5-9     污染影响型评价工作等级划分表</w:t>
      </w:r>
    </w:p>
    <w:tbl>
      <w:tblPr>
        <w:tblStyle w:val="74"/>
        <w:tblW w:w="8534"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52"/>
        <w:gridCol w:w="853"/>
        <w:gridCol w:w="852"/>
        <w:gridCol w:w="853"/>
        <w:gridCol w:w="853"/>
        <w:gridCol w:w="853"/>
        <w:gridCol w:w="855"/>
        <w:gridCol w:w="853"/>
        <w:gridCol w:w="854"/>
        <w:gridCol w:w="85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852" w:type="dxa"/>
            <w:vMerge w:val="restart"/>
            <w:vAlign w:val="center"/>
          </w:tcPr>
          <w:p>
            <w:pPr>
              <w:pStyle w:val="161"/>
              <w:kinsoku w:val="0"/>
              <w:overflowPunct w:val="0"/>
              <w:adjustRightInd w:val="0"/>
              <w:snapToGrid w:val="0"/>
              <w:jc w:val="center"/>
              <w:rPr>
                <w:color w:val="auto"/>
                <w:kern w:val="0"/>
                <w:szCs w:val="21"/>
              </w:rPr>
            </w:pPr>
            <w:r>
              <w:rPr>
                <w:color w:val="auto"/>
                <w:kern w:val="0"/>
                <w:szCs w:val="21"/>
              </w:rPr>
              <w:t>类别</w:t>
            </w:r>
          </w:p>
        </w:tc>
        <w:tc>
          <w:tcPr>
            <w:tcW w:w="2558" w:type="dxa"/>
            <w:gridSpan w:val="3"/>
            <w:vAlign w:val="center"/>
          </w:tcPr>
          <w:p>
            <w:pPr>
              <w:pStyle w:val="161"/>
              <w:kinsoku w:val="0"/>
              <w:overflowPunct w:val="0"/>
              <w:adjustRightInd w:val="0"/>
              <w:snapToGrid w:val="0"/>
              <w:ind w:right="20"/>
              <w:jc w:val="center"/>
              <w:rPr>
                <w:color w:val="auto"/>
                <w:kern w:val="0"/>
                <w:szCs w:val="21"/>
              </w:rPr>
            </w:pPr>
            <w:r>
              <w:rPr>
                <w:color w:val="auto"/>
                <w:kern w:val="0"/>
                <w:szCs w:val="21"/>
              </w:rPr>
              <w:t>Ⅰ类</w:t>
            </w:r>
          </w:p>
        </w:tc>
        <w:tc>
          <w:tcPr>
            <w:tcW w:w="2561" w:type="dxa"/>
            <w:gridSpan w:val="3"/>
            <w:vAlign w:val="center"/>
          </w:tcPr>
          <w:p>
            <w:pPr>
              <w:pStyle w:val="161"/>
              <w:kinsoku w:val="0"/>
              <w:overflowPunct w:val="0"/>
              <w:adjustRightInd w:val="0"/>
              <w:snapToGrid w:val="0"/>
              <w:ind w:right="25"/>
              <w:jc w:val="center"/>
              <w:rPr>
                <w:color w:val="auto"/>
                <w:kern w:val="0"/>
                <w:szCs w:val="21"/>
              </w:rPr>
            </w:pPr>
            <w:r>
              <w:rPr>
                <w:color w:val="auto"/>
                <w:kern w:val="0"/>
                <w:szCs w:val="21"/>
              </w:rPr>
              <w:t>Ⅱ类</w:t>
            </w:r>
          </w:p>
        </w:tc>
        <w:tc>
          <w:tcPr>
            <w:tcW w:w="2563" w:type="dxa"/>
            <w:gridSpan w:val="3"/>
            <w:vAlign w:val="center"/>
          </w:tcPr>
          <w:p>
            <w:pPr>
              <w:pStyle w:val="161"/>
              <w:kinsoku w:val="0"/>
              <w:overflowPunct w:val="0"/>
              <w:adjustRightInd w:val="0"/>
              <w:snapToGrid w:val="0"/>
              <w:ind w:right="24"/>
              <w:jc w:val="center"/>
              <w:rPr>
                <w:color w:val="auto"/>
                <w:kern w:val="0"/>
                <w:szCs w:val="21"/>
              </w:rPr>
            </w:pPr>
            <w:r>
              <w:rPr>
                <w:color w:val="auto"/>
                <w:kern w:val="0"/>
                <w:szCs w:val="21"/>
              </w:rPr>
              <w:t>Ⅲ类</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852" w:type="dxa"/>
            <w:vMerge w:val="continue"/>
            <w:vAlign w:val="center"/>
          </w:tcPr>
          <w:p>
            <w:pPr>
              <w:pStyle w:val="161"/>
              <w:kinsoku w:val="0"/>
              <w:overflowPunct w:val="0"/>
              <w:adjustRightInd w:val="0"/>
              <w:snapToGrid w:val="0"/>
              <w:ind w:right="24"/>
              <w:jc w:val="center"/>
              <w:rPr>
                <w:color w:val="auto"/>
                <w:kern w:val="0"/>
                <w:szCs w:val="21"/>
              </w:rPr>
            </w:pPr>
          </w:p>
        </w:tc>
        <w:tc>
          <w:tcPr>
            <w:tcW w:w="853" w:type="dxa"/>
            <w:vAlign w:val="center"/>
          </w:tcPr>
          <w:p>
            <w:pPr>
              <w:pStyle w:val="161"/>
              <w:kinsoku w:val="0"/>
              <w:overflowPunct w:val="0"/>
              <w:adjustRightInd w:val="0"/>
              <w:snapToGrid w:val="0"/>
              <w:ind w:right="23"/>
              <w:jc w:val="center"/>
              <w:rPr>
                <w:color w:val="auto"/>
                <w:kern w:val="0"/>
                <w:szCs w:val="21"/>
              </w:rPr>
            </w:pPr>
            <w:r>
              <w:rPr>
                <w:color w:val="auto"/>
                <w:kern w:val="0"/>
                <w:szCs w:val="21"/>
              </w:rPr>
              <w:t>大</w:t>
            </w:r>
          </w:p>
        </w:tc>
        <w:tc>
          <w:tcPr>
            <w:tcW w:w="852" w:type="dxa"/>
            <w:vAlign w:val="center"/>
          </w:tcPr>
          <w:p>
            <w:pPr>
              <w:pStyle w:val="161"/>
              <w:kinsoku w:val="0"/>
              <w:overflowPunct w:val="0"/>
              <w:adjustRightInd w:val="0"/>
              <w:snapToGrid w:val="0"/>
              <w:ind w:right="23"/>
              <w:jc w:val="center"/>
              <w:rPr>
                <w:color w:val="auto"/>
                <w:kern w:val="0"/>
                <w:szCs w:val="21"/>
              </w:rPr>
            </w:pPr>
            <w:r>
              <w:rPr>
                <w:color w:val="auto"/>
                <w:kern w:val="0"/>
                <w:szCs w:val="21"/>
              </w:rPr>
              <w:t>中</w:t>
            </w:r>
          </w:p>
        </w:tc>
        <w:tc>
          <w:tcPr>
            <w:tcW w:w="853" w:type="dxa"/>
            <w:vAlign w:val="center"/>
          </w:tcPr>
          <w:p>
            <w:pPr>
              <w:pStyle w:val="161"/>
              <w:kinsoku w:val="0"/>
              <w:overflowPunct w:val="0"/>
              <w:adjustRightInd w:val="0"/>
              <w:snapToGrid w:val="0"/>
              <w:ind w:right="23"/>
              <w:jc w:val="center"/>
              <w:rPr>
                <w:color w:val="auto"/>
                <w:kern w:val="0"/>
                <w:szCs w:val="21"/>
              </w:rPr>
            </w:pPr>
            <w:r>
              <w:rPr>
                <w:color w:val="auto"/>
                <w:kern w:val="0"/>
                <w:szCs w:val="21"/>
              </w:rPr>
              <w:t>小</w:t>
            </w:r>
          </w:p>
        </w:tc>
        <w:tc>
          <w:tcPr>
            <w:tcW w:w="853" w:type="dxa"/>
            <w:vAlign w:val="center"/>
          </w:tcPr>
          <w:p>
            <w:pPr>
              <w:pStyle w:val="161"/>
              <w:kinsoku w:val="0"/>
              <w:overflowPunct w:val="0"/>
              <w:adjustRightInd w:val="0"/>
              <w:snapToGrid w:val="0"/>
              <w:ind w:right="27"/>
              <w:jc w:val="center"/>
              <w:rPr>
                <w:color w:val="auto"/>
                <w:kern w:val="0"/>
                <w:szCs w:val="21"/>
              </w:rPr>
            </w:pPr>
            <w:r>
              <w:rPr>
                <w:color w:val="auto"/>
                <w:kern w:val="0"/>
                <w:szCs w:val="21"/>
              </w:rPr>
              <w:t>大</w:t>
            </w:r>
          </w:p>
        </w:tc>
        <w:tc>
          <w:tcPr>
            <w:tcW w:w="853" w:type="dxa"/>
            <w:vAlign w:val="center"/>
          </w:tcPr>
          <w:p>
            <w:pPr>
              <w:pStyle w:val="161"/>
              <w:kinsoku w:val="0"/>
              <w:overflowPunct w:val="0"/>
              <w:adjustRightInd w:val="0"/>
              <w:snapToGrid w:val="0"/>
              <w:ind w:right="23"/>
              <w:jc w:val="center"/>
              <w:rPr>
                <w:color w:val="auto"/>
                <w:kern w:val="0"/>
                <w:szCs w:val="21"/>
              </w:rPr>
            </w:pPr>
            <w:r>
              <w:rPr>
                <w:color w:val="auto"/>
                <w:kern w:val="0"/>
                <w:szCs w:val="21"/>
              </w:rPr>
              <w:t>中</w:t>
            </w:r>
          </w:p>
        </w:tc>
        <w:tc>
          <w:tcPr>
            <w:tcW w:w="855" w:type="dxa"/>
            <w:vAlign w:val="center"/>
          </w:tcPr>
          <w:p>
            <w:pPr>
              <w:pStyle w:val="161"/>
              <w:kinsoku w:val="0"/>
              <w:overflowPunct w:val="0"/>
              <w:adjustRightInd w:val="0"/>
              <w:snapToGrid w:val="0"/>
              <w:ind w:right="24"/>
              <w:jc w:val="center"/>
              <w:rPr>
                <w:color w:val="auto"/>
                <w:kern w:val="0"/>
                <w:szCs w:val="21"/>
              </w:rPr>
            </w:pPr>
            <w:r>
              <w:rPr>
                <w:color w:val="auto"/>
                <w:kern w:val="0"/>
                <w:szCs w:val="21"/>
              </w:rPr>
              <w:t>小</w:t>
            </w:r>
          </w:p>
        </w:tc>
        <w:tc>
          <w:tcPr>
            <w:tcW w:w="853" w:type="dxa"/>
            <w:vAlign w:val="center"/>
          </w:tcPr>
          <w:p>
            <w:pPr>
              <w:pStyle w:val="161"/>
              <w:kinsoku w:val="0"/>
              <w:overflowPunct w:val="0"/>
              <w:adjustRightInd w:val="0"/>
              <w:snapToGrid w:val="0"/>
              <w:ind w:right="26"/>
              <w:jc w:val="center"/>
              <w:rPr>
                <w:color w:val="auto"/>
                <w:kern w:val="0"/>
                <w:szCs w:val="21"/>
              </w:rPr>
            </w:pPr>
            <w:r>
              <w:rPr>
                <w:color w:val="auto"/>
                <w:kern w:val="0"/>
                <w:szCs w:val="21"/>
              </w:rPr>
              <w:t>大</w:t>
            </w:r>
          </w:p>
        </w:tc>
        <w:tc>
          <w:tcPr>
            <w:tcW w:w="854" w:type="dxa"/>
            <w:vAlign w:val="center"/>
          </w:tcPr>
          <w:p>
            <w:pPr>
              <w:pStyle w:val="161"/>
              <w:kinsoku w:val="0"/>
              <w:overflowPunct w:val="0"/>
              <w:adjustRightInd w:val="0"/>
              <w:snapToGrid w:val="0"/>
              <w:ind w:right="23"/>
              <w:jc w:val="center"/>
              <w:rPr>
                <w:color w:val="auto"/>
                <w:kern w:val="0"/>
                <w:szCs w:val="21"/>
              </w:rPr>
            </w:pPr>
            <w:r>
              <w:rPr>
                <w:color w:val="auto"/>
                <w:kern w:val="0"/>
                <w:szCs w:val="21"/>
              </w:rPr>
              <w:t>中</w:t>
            </w:r>
          </w:p>
        </w:tc>
        <w:tc>
          <w:tcPr>
            <w:tcW w:w="856" w:type="dxa"/>
            <w:vAlign w:val="center"/>
          </w:tcPr>
          <w:p>
            <w:pPr>
              <w:pStyle w:val="161"/>
              <w:kinsoku w:val="0"/>
              <w:overflowPunct w:val="0"/>
              <w:adjustRightInd w:val="0"/>
              <w:snapToGrid w:val="0"/>
              <w:ind w:right="24"/>
              <w:jc w:val="center"/>
              <w:rPr>
                <w:color w:val="auto"/>
                <w:kern w:val="0"/>
                <w:szCs w:val="21"/>
              </w:rPr>
            </w:pPr>
            <w:r>
              <w:rPr>
                <w:color w:val="auto"/>
                <w:kern w:val="0"/>
                <w:szCs w:val="21"/>
              </w:rPr>
              <w:t>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852" w:type="dxa"/>
            <w:vAlign w:val="center"/>
          </w:tcPr>
          <w:p>
            <w:pPr>
              <w:pStyle w:val="161"/>
              <w:kinsoku w:val="0"/>
              <w:overflowPunct w:val="0"/>
              <w:adjustRightInd w:val="0"/>
              <w:snapToGrid w:val="0"/>
              <w:jc w:val="center"/>
              <w:rPr>
                <w:color w:val="auto"/>
                <w:kern w:val="0"/>
                <w:szCs w:val="21"/>
              </w:rPr>
            </w:pPr>
            <w:r>
              <w:rPr>
                <w:color w:val="auto"/>
                <w:kern w:val="0"/>
                <w:szCs w:val="21"/>
              </w:rPr>
              <w:t>敏感</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一级</w:t>
            </w:r>
          </w:p>
        </w:tc>
        <w:tc>
          <w:tcPr>
            <w:tcW w:w="852" w:type="dxa"/>
            <w:vAlign w:val="center"/>
          </w:tcPr>
          <w:p>
            <w:pPr>
              <w:pStyle w:val="161"/>
              <w:kinsoku w:val="0"/>
              <w:overflowPunct w:val="0"/>
              <w:adjustRightInd w:val="0"/>
              <w:snapToGrid w:val="0"/>
              <w:jc w:val="center"/>
              <w:rPr>
                <w:color w:val="auto"/>
                <w:kern w:val="0"/>
                <w:szCs w:val="21"/>
              </w:rPr>
            </w:pPr>
            <w:r>
              <w:rPr>
                <w:color w:val="auto"/>
                <w:kern w:val="0"/>
                <w:szCs w:val="21"/>
              </w:rPr>
              <w:t>一级</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一级</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二级</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二级</w:t>
            </w:r>
          </w:p>
        </w:tc>
        <w:tc>
          <w:tcPr>
            <w:tcW w:w="855" w:type="dxa"/>
            <w:vAlign w:val="center"/>
          </w:tcPr>
          <w:p>
            <w:pPr>
              <w:pStyle w:val="161"/>
              <w:kinsoku w:val="0"/>
              <w:overflowPunct w:val="0"/>
              <w:adjustRightInd w:val="0"/>
              <w:snapToGrid w:val="0"/>
              <w:jc w:val="center"/>
              <w:rPr>
                <w:color w:val="auto"/>
                <w:kern w:val="0"/>
                <w:szCs w:val="21"/>
              </w:rPr>
            </w:pPr>
            <w:r>
              <w:rPr>
                <w:color w:val="auto"/>
                <w:kern w:val="0"/>
                <w:szCs w:val="21"/>
              </w:rPr>
              <w:t>二级</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三级</w:t>
            </w:r>
          </w:p>
        </w:tc>
        <w:tc>
          <w:tcPr>
            <w:tcW w:w="854" w:type="dxa"/>
            <w:vAlign w:val="center"/>
          </w:tcPr>
          <w:p>
            <w:pPr>
              <w:pStyle w:val="161"/>
              <w:kinsoku w:val="0"/>
              <w:overflowPunct w:val="0"/>
              <w:adjustRightInd w:val="0"/>
              <w:snapToGrid w:val="0"/>
              <w:jc w:val="center"/>
              <w:rPr>
                <w:color w:val="auto"/>
                <w:kern w:val="0"/>
                <w:szCs w:val="21"/>
              </w:rPr>
            </w:pPr>
            <w:r>
              <w:rPr>
                <w:color w:val="auto"/>
                <w:kern w:val="0"/>
                <w:szCs w:val="21"/>
              </w:rPr>
              <w:t>三级</w:t>
            </w:r>
          </w:p>
        </w:tc>
        <w:tc>
          <w:tcPr>
            <w:tcW w:w="856" w:type="dxa"/>
            <w:vAlign w:val="center"/>
          </w:tcPr>
          <w:p>
            <w:pPr>
              <w:pStyle w:val="161"/>
              <w:kinsoku w:val="0"/>
              <w:overflowPunct w:val="0"/>
              <w:adjustRightInd w:val="0"/>
              <w:snapToGrid w:val="0"/>
              <w:jc w:val="center"/>
              <w:rPr>
                <w:color w:val="auto"/>
                <w:kern w:val="0"/>
                <w:szCs w:val="21"/>
              </w:rPr>
            </w:pPr>
            <w:r>
              <w:rPr>
                <w:color w:val="auto"/>
                <w:kern w:val="0"/>
                <w:szCs w:val="21"/>
              </w:rPr>
              <w:t>三级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852" w:type="dxa"/>
            <w:vAlign w:val="center"/>
          </w:tcPr>
          <w:p>
            <w:pPr>
              <w:pStyle w:val="161"/>
              <w:kinsoku w:val="0"/>
              <w:overflowPunct w:val="0"/>
              <w:adjustRightInd w:val="0"/>
              <w:snapToGrid w:val="0"/>
              <w:jc w:val="center"/>
              <w:rPr>
                <w:color w:val="auto"/>
                <w:kern w:val="0"/>
                <w:szCs w:val="21"/>
              </w:rPr>
            </w:pPr>
            <w:r>
              <w:rPr>
                <w:color w:val="auto"/>
                <w:kern w:val="0"/>
                <w:szCs w:val="21"/>
              </w:rPr>
              <w:t>较敏感</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一级</w:t>
            </w:r>
          </w:p>
        </w:tc>
        <w:tc>
          <w:tcPr>
            <w:tcW w:w="852" w:type="dxa"/>
            <w:vAlign w:val="center"/>
          </w:tcPr>
          <w:p>
            <w:pPr>
              <w:pStyle w:val="161"/>
              <w:kinsoku w:val="0"/>
              <w:overflowPunct w:val="0"/>
              <w:adjustRightInd w:val="0"/>
              <w:snapToGrid w:val="0"/>
              <w:jc w:val="center"/>
              <w:rPr>
                <w:color w:val="auto"/>
                <w:kern w:val="0"/>
                <w:szCs w:val="21"/>
              </w:rPr>
            </w:pPr>
            <w:r>
              <w:rPr>
                <w:color w:val="auto"/>
                <w:kern w:val="0"/>
                <w:szCs w:val="21"/>
              </w:rPr>
              <w:t>一级</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二级</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二级</w:t>
            </w:r>
          </w:p>
        </w:tc>
        <w:tc>
          <w:tcPr>
            <w:tcW w:w="853" w:type="dxa"/>
            <w:vAlign w:val="center"/>
          </w:tcPr>
          <w:p>
            <w:pPr>
              <w:pStyle w:val="161"/>
              <w:kinsoku w:val="0"/>
              <w:overflowPunct w:val="0"/>
              <w:adjustRightInd w:val="0"/>
              <w:snapToGrid w:val="0"/>
              <w:jc w:val="center"/>
              <w:rPr>
                <w:color w:val="auto"/>
              </w:rPr>
            </w:pPr>
            <w:r>
              <w:rPr>
                <w:color w:val="auto"/>
                <w:spacing w:val="11"/>
                <w:szCs w:val="21"/>
              </w:rPr>
              <w:t>二级</w:t>
            </w:r>
          </w:p>
        </w:tc>
        <w:tc>
          <w:tcPr>
            <w:tcW w:w="855" w:type="dxa"/>
            <w:vAlign w:val="center"/>
          </w:tcPr>
          <w:p>
            <w:pPr>
              <w:pStyle w:val="161"/>
              <w:kinsoku w:val="0"/>
              <w:overflowPunct w:val="0"/>
              <w:adjustRightInd w:val="0"/>
              <w:snapToGrid w:val="0"/>
              <w:jc w:val="center"/>
              <w:rPr>
                <w:color w:val="auto"/>
              </w:rPr>
            </w:pPr>
            <w:r>
              <w:rPr>
                <w:color w:val="auto"/>
                <w:spacing w:val="11"/>
                <w:szCs w:val="21"/>
              </w:rPr>
              <w:t>三级</w:t>
            </w:r>
          </w:p>
        </w:tc>
        <w:tc>
          <w:tcPr>
            <w:tcW w:w="853" w:type="dxa"/>
            <w:vAlign w:val="center"/>
          </w:tcPr>
          <w:p>
            <w:pPr>
              <w:pStyle w:val="161"/>
              <w:kinsoku w:val="0"/>
              <w:overflowPunct w:val="0"/>
              <w:adjustRightInd w:val="0"/>
              <w:snapToGrid w:val="0"/>
              <w:jc w:val="center"/>
              <w:rPr>
                <w:color w:val="auto"/>
              </w:rPr>
            </w:pPr>
            <w:r>
              <w:rPr>
                <w:color w:val="auto"/>
                <w:spacing w:val="11"/>
                <w:szCs w:val="21"/>
              </w:rPr>
              <w:t>三级</w:t>
            </w:r>
          </w:p>
        </w:tc>
        <w:tc>
          <w:tcPr>
            <w:tcW w:w="854" w:type="dxa"/>
            <w:vAlign w:val="center"/>
          </w:tcPr>
          <w:p>
            <w:pPr>
              <w:pStyle w:val="161"/>
              <w:kinsoku w:val="0"/>
              <w:overflowPunct w:val="0"/>
              <w:adjustRightInd w:val="0"/>
              <w:snapToGrid w:val="0"/>
              <w:jc w:val="center"/>
              <w:rPr>
                <w:color w:val="auto"/>
              </w:rPr>
            </w:pPr>
            <w:r>
              <w:rPr>
                <w:color w:val="auto"/>
                <w:spacing w:val="11"/>
                <w:szCs w:val="21"/>
              </w:rPr>
              <w:t>三级</w:t>
            </w:r>
          </w:p>
        </w:tc>
        <w:tc>
          <w:tcPr>
            <w:tcW w:w="856" w:type="dxa"/>
            <w:vAlign w:val="center"/>
          </w:tcPr>
          <w:p>
            <w:pPr>
              <w:pStyle w:val="161"/>
              <w:kinsoku w:val="0"/>
              <w:overflowPunct w:val="0"/>
              <w:adjustRightInd w:val="0"/>
              <w:snapToGrid w:val="0"/>
              <w:jc w:val="center"/>
              <w:rPr>
                <w:color w:val="auto"/>
              </w:rPr>
            </w:pPr>
            <w:r>
              <w:rPr>
                <w:color w:val="auto"/>
                <w:spacing w:val="1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852" w:type="dxa"/>
            <w:vAlign w:val="center"/>
          </w:tcPr>
          <w:p>
            <w:pPr>
              <w:pStyle w:val="161"/>
              <w:kinsoku w:val="0"/>
              <w:overflowPunct w:val="0"/>
              <w:adjustRightInd w:val="0"/>
              <w:snapToGrid w:val="0"/>
              <w:jc w:val="center"/>
              <w:rPr>
                <w:color w:val="auto"/>
                <w:kern w:val="0"/>
                <w:szCs w:val="21"/>
              </w:rPr>
            </w:pPr>
            <w:r>
              <w:rPr>
                <w:color w:val="auto"/>
                <w:kern w:val="0"/>
                <w:szCs w:val="21"/>
              </w:rPr>
              <w:t>不敏感</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一级</w:t>
            </w:r>
          </w:p>
        </w:tc>
        <w:tc>
          <w:tcPr>
            <w:tcW w:w="852" w:type="dxa"/>
            <w:vAlign w:val="center"/>
          </w:tcPr>
          <w:p>
            <w:pPr>
              <w:pStyle w:val="161"/>
              <w:kinsoku w:val="0"/>
              <w:overflowPunct w:val="0"/>
              <w:adjustRightInd w:val="0"/>
              <w:snapToGrid w:val="0"/>
              <w:jc w:val="center"/>
              <w:rPr>
                <w:color w:val="auto"/>
                <w:kern w:val="0"/>
                <w:szCs w:val="21"/>
              </w:rPr>
            </w:pPr>
            <w:r>
              <w:rPr>
                <w:color w:val="auto"/>
                <w:kern w:val="0"/>
                <w:szCs w:val="21"/>
              </w:rPr>
              <w:t>二级</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二级</w:t>
            </w:r>
          </w:p>
        </w:tc>
        <w:tc>
          <w:tcPr>
            <w:tcW w:w="853" w:type="dxa"/>
            <w:vAlign w:val="center"/>
          </w:tcPr>
          <w:p>
            <w:pPr>
              <w:pStyle w:val="161"/>
              <w:kinsoku w:val="0"/>
              <w:overflowPunct w:val="0"/>
              <w:adjustRightInd w:val="0"/>
              <w:snapToGrid w:val="0"/>
              <w:jc w:val="center"/>
              <w:rPr>
                <w:color w:val="auto"/>
                <w:kern w:val="0"/>
                <w:szCs w:val="21"/>
              </w:rPr>
            </w:pPr>
            <w:r>
              <w:rPr>
                <w:color w:val="auto"/>
                <w:kern w:val="0"/>
                <w:szCs w:val="21"/>
              </w:rPr>
              <w:t>二级</w:t>
            </w:r>
          </w:p>
        </w:tc>
        <w:tc>
          <w:tcPr>
            <w:tcW w:w="853" w:type="dxa"/>
            <w:vAlign w:val="center"/>
          </w:tcPr>
          <w:p>
            <w:pPr>
              <w:pStyle w:val="161"/>
              <w:kinsoku w:val="0"/>
              <w:overflowPunct w:val="0"/>
              <w:adjustRightInd w:val="0"/>
              <w:snapToGrid w:val="0"/>
              <w:jc w:val="center"/>
              <w:rPr>
                <w:color w:val="auto"/>
              </w:rPr>
            </w:pPr>
            <w:r>
              <w:rPr>
                <w:color w:val="auto"/>
                <w:spacing w:val="11"/>
                <w:szCs w:val="21"/>
              </w:rPr>
              <w:t>三级</w:t>
            </w:r>
          </w:p>
        </w:tc>
        <w:tc>
          <w:tcPr>
            <w:tcW w:w="855" w:type="dxa"/>
            <w:vAlign w:val="center"/>
          </w:tcPr>
          <w:p>
            <w:pPr>
              <w:pStyle w:val="161"/>
              <w:kinsoku w:val="0"/>
              <w:overflowPunct w:val="0"/>
              <w:adjustRightInd w:val="0"/>
              <w:snapToGrid w:val="0"/>
              <w:jc w:val="center"/>
              <w:rPr>
                <w:color w:val="auto"/>
              </w:rPr>
            </w:pPr>
            <w:r>
              <w:rPr>
                <w:color w:val="auto"/>
                <w:spacing w:val="11"/>
                <w:szCs w:val="21"/>
              </w:rPr>
              <w:t>三级</w:t>
            </w:r>
          </w:p>
        </w:tc>
        <w:tc>
          <w:tcPr>
            <w:tcW w:w="853" w:type="dxa"/>
            <w:vAlign w:val="center"/>
          </w:tcPr>
          <w:p>
            <w:pPr>
              <w:pStyle w:val="161"/>
              <w:kinsoku w:val="0"/>
              <w:overflowPunct w:val="0"/>
              <w:adjustRightInd w:val="0"/>
              <w:snapToGrid w:val="0"/>
              <w:jc w:val="center"/>
              <w:rPr>
                <w:color w:val="auto"/>
              </w:rPr>
            </w:pPr>
            <w:r>
              <w:rPr>
                <w:color w:val="auto"/>
                <w:spacing w:val="11"/>
                <w:szCs w:val="21"/>
              </w:rPr>
              <w:t>三级</w:t>
            </w:r>
          </w:p>
        </w:tc>
        <w:tc>
          <w:tcPr>
            <w:tcW w:w="854" w:type="dxa"/>
            <w:vAlign w:val="center"/>
          </w:tcPr>
          <w:p>
            <w:pPr>
              <w:pStyle w:val="161"/>
              <w:kinsoku w:val="0"/>
              <w:overflowPunct w:val="0"/>
              <w:adjustRightInd w:val="0"/>
              <w:snapToGrid w:val="0"/>
              <w:jc w:val="center"/>
              <w:rPr>
                <w:color w:val="auto"/>
              </w:rPr>
            </w:pPr>
            <w:r>
              <w:rPr>
                <w:color w:val="auto"/>
                <w:spacing w:val="11"/>
                <w:szCs w:val="21"/>
              </w:rPr>
              <w:t>——</w:t>
            </w:r>
          </w:p>
        </w:tc>
        <w:tc>
          <w:tcPr>
            <w:tcW w:w="856" w:type="dxa"/>
            <w:vAlign w:val="center"/>
          </w:tcPr>
          <w:p>
            <w:pPr>
              <w:pStyle w:val="161"/>
              <w:kinsoku w:val="0"/>
              <w:overflowPunct w:val="0"/>
              <w:adjustRightInd w:val="0"/>
              <w:snapToGrid w:val="0"/>
              <w:jc w:val="center"/>
              <w:rPr>
                <w:color w:val="auto"/>
              </w:rPr>
            </w:pPr>
            <w:r>
              <w:rPr>
                <w:color w:val="auto"/>
                <w:spacing w:val="1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8534" w:type="dxa"/>
            <w:gridSpan w:val="10"/>
            <w:vAlign w:val="center"/>
          </w:tcPr>
          <w:p>
            <w:pPr>
              <w:pStyle w:val="161"/>
              <w:kinsoku w:val="0"/>
              <w:overflowPunct w:val="0"/>
              <w:adjustRightInd w:val="0"/>
              <w:snapToGrid w:val="0"/>
              <w:rPr>
                <w:color w:val="auto"/>
                <w:kern w:val="0"/>
                <w:szCs w:val="21"/>
              </w:rPr>
            </w:pPr>
            <w:r>
              <w:rPr>
                <w:color w:val="auto"/>
                <w:kern w:val="0"/>
                <w:szCs w:val="21"/>
              </w:rPr>
              <w:t>注：“——” 表示可不开展土壤环境影响评价工作。</w:t>
            </w:r>
          </w:p>
        </w:tc>
      </w:tr>
    </w:tbl>
    <w:p>
      <w:pPr>
        <w:pStyle w:val="130"/>
        <w:ind w:firstLine="480"/>
        <w:rPr>
          <w:color w:val="auto"/>
        </w:rPr>
      </w:pPr>
      <w:r>
        <w:rPr>
          <w:color w:val="auto"/>
        </w:rPr>
        <w:t>本项目属于</w:t>
      </w:r>
      <w:r>
        <w:rPr>
          <w:color w:val="auto"/>
          <w:szCs w:val="21"/>
        </w:rPr>
        <w:t>Ⅰ类</w:t>
      </w:r>
      <w:r>
        <w:rPr>
          <w:color w:val="auto"/>
        </w:rPr>
        <w:t>污染影响类项目，永久占地0.55hm</w:t>
      </w:r>
      <w:r>
        <w:rPr>
          <w:color w:val="auto"/>
          <w:vertAlign w:val="superscript"/>
        </w:rPr>
        <w:t>2</w:t>
      </w:r>
      <w:r>
        <w:rPr>
          <w:color w:val="auto"/>
        </w:rPr>
        <w:t>，占地规模为小型，</w:t>
      </w:r>
      <w:r>
        <w:rPr>
          <w:color w:val="auto"/>
          <w:lang w:bidi="zh-CN"/>
        </w:rPr>
        <w:t>所在区域敏感</w:t>
      </w:r>
      <w:r>
        <w:rPr>
          <w:color w:val="auto"/>
        </w:rPr>
        <w:t>，土壤评价等级为一级。</w:t>
      </w:r>
    </w:p>
    <w:p>
      <w:pPr>
        <w:pStyle w:val="6"/>
        <w:numPr>
          <w:ilvl w:val="3"/>
          <w:numId w:val="0"/>
        </w:numPr>
        <w:rPr>
          <w:color w:val="auto"/>
        </w:rPr>
      </w:pPr>
      <w:r>
        <w:rPr>
          <w:color w:val="auto"/>
        </w:rPr>
        <w:t>1.5.5.2评价范围</w:t>
      </w:r>
    </w:p>
    <w:p>
      <w:pPr>
        <w:pStyle w:val="130"/>
        <w:ind w:firstLine="480"/>
        <w:rPr>
          <w:color w:val="auto"/>
        </w:rPr>
      </w:pPr>
      <w:r>
        <w:rPr>
          <w:color w:val="auto"/>
        </w:rPr>
        <w:t>根据《环境影响评价技术导则土壤环境（试行）》（HJ964-2018），</w:t>
      </w:r>
      <w:bookmarkStart w:id="145" w:name="_Toc11595200"/>
      <w:r>
        <w:rPr>
          <w:color w:val="auto"/>
        </w:rPr>
        <w:t>土壤评价范围确定为</w:t>
      </w:r>
      <w:r>
        <w:rPr>
          <w:color w:val="auto"/>
          <w:lang w:bidi="zh-CN"/>
        </w:rPr>
        <w:t>占地范围内及厂址边界外</w:t>
      </w:r>
      <w:r>
        <w:rPr>
          <w:color w:val="auto"/>
        </w:rPr>
        <w:t>1000m。</w:t>
      </w:r>
    </w:p>
    <w:p>
      <w:pPr>
        <w:pStyle w:val="5"/>
        <w:numPr>
          <w:ilvl w:val="2"/>
          <w:numId w:val="0"/>
        </w:numPr>
        <w:ind w:left="-720" w:leftChars="-343" w:firstLine="723" w:firstLineChars="300"/>
        <w:rPr>
          <w:color w:val="auto"/>
        </w:rPr>
      </w:pPr>
      <w:bookmarkStart w:id="146" w:name="_Toc109398555"/>
      <w:r>
        <w:rPr>
          <w:color w:val="auto"/>
        </w:rPr>
        <w:t>1.5.6风险评价</w:t>
      </w:r>
      <w:bookmarkEnd w:id="145"/>
      <w:bookmarkEnd w:id="146"/>
    </w:p>
    <w:p>
      <w:pPr>
        <w:pStyle w:val="6"/>
        <w:numPr>
          <w:ilvl w:val="3"/>
          <w:numId w:val="0"/>
        </w:numPr>
        <w:rPr>
          <w:color w:val="auto"/>
        </w:rPr>
      </w:pPr>
      <w:r>
        <w:rPr>
          <w:color w:val="auto"/>
        </w:rPr>
        <w:t>1.5.6.1评价等级</w:t>
      </w:r>
    </w:p>
    <w:p>
      <w:pPr>
        <w:spacing w:line="360" w:lineRule="auto"/>
        <w:ind w:firstLine="480" w:firstLineChars="200"/>
        <w:rPr>
          <w:color w:val="auto"/>
          <w:sz w:val="24"/>
          <w:szCs w:val="24"/>
        </w:rPr>
      </w:pPr>
      <w:r>
        <w:rPr>
          <w:color w:val="auto"/>
          <w:sz w:val="24"/>
          <w:szCs w:val="24"/>
        </w:rPr>
        <w:t>本项目</w:t>
      </w:r>
      <w:r>
        <w:rPr>
          <w:rFonts w:hint="eastAsia"/>
          <w:color w:val="auto"/>
          <w:sz w:val="24"/>
          <w:szCs w:val="24"/>
        </w:rPr>
        <w:t>建成后全厂</w:t>
      </w:r>
      <w:r>
        <w:rPr>
          <w:color w:val="auto"/>
          <w:sz w:val="24"/>
          <w:szCs w:val="24"/>
        </w:rPr>
        <w:t>涉及的风险物质主要有氢氧化钠、次氯酸钠和未高温蒸汽处理的医疗废物。本次根据《建设项目环境风险评价技术导则》（HJ169-2018）判定风险评价工作等级。</w:t>
      </w:r>
    </w:p>
    <w:p>
      <w:pPr>
        <w:adjustRightInd w:val="0"/>
        <w:snapToGrid w:val="0"/>
        <w:jc w:val="center"/>
        <w:rPr>
          <w:b/>
          <w:bCs/>
          <w:color w:val="auto"/>
          <w:kern w:val="1"/>
          <w:sz w:val="24"/>
          <w:szCs w:val="24"/>
        </w:rPr>
      </w:pPr>
      <w:r>
        <w:rPr>
          <w:b/>
          <w:bCs/>
          <w:color w:val="auto"/>
          <w:kern w:val="1"/>
          <w:sz w:val="24"/>
          <w:szCs w:val="24"/>
        </w:rPr>
        <w:t>表1.5-10   评价工作等级划分表</w:t>
      </w:r>
    </w:p>
    <w:tbl>
      <w:tblPr>
        <w:tblStyle w:val="74"/>
        <w:tblW w:w="8677"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40"/>
        <w:gridCol w:w="1732"/>
        <w:gridCol w:w="1728"/>
        <w:gridCol w:w="1528"/>
        <w:gridCol w:w="15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2" w:hRule="exact"/>
          <w:jc w:val="center"/>
        </w:trPr>
        <w:tc>
          <w:tcPr>
            <w:tcW w:w="2140" w:type="dxa"/>
            <w:vAlign w:val="center"/>
          </w:tcPr>
          <w:p>
            <w:pPr>
              <w:jc w:val="center"/>
              <w:rPr>
                <w:b/>
                <w:color w:val="auto"/>
                <w:szCs w:val="21"/>
              </w:rPr>
            </w:pPr>
            <w:r>
              <w:rPr>
                <w:b/>
                <w:color w:val="auto"/>
                <w:szCs w:val="21"/>
              </w:rPr>
              <w:t>风险潜势</w:t>
            </w:r>
          </w:p>
        </w:tc>
        <w:tc>
          <w:tcPr>
            <w:tcW w:w="1732" w:type="dxa"/>
            <w:vAlign w:val="center"/>
          </w:tcPr>
          <w:p>
            <w:pPr>
              <w:jc w:val="center"/>
              <w:rPr>
                <w:b/>
                <w:color w:val="auto"/>
                <w:szCs w:val="21"/>
              </w:rPr>
            </w:pPr>
            <w:r>
              <w:rPr>
                <w:b/>
                <w:color w:val="auto"/>
                <w:szCs w:val="21"/>
              </w:rPr>
              <w:t>Ⅳ、Ⅳ</w:t>
            </w:r>
            <w:r>
              <w:rPr>
                <w:b/>
                <w:color w:val="auto"/>
                <w:szCs w:val="21"/>
                <w:vertAlign w:val="superscript"/>
              </w:rPr>
              <w:t>+</w:t>
            </w:r>
          </w:p>
        </w:tc>
        <w:tc>
          <w:tcPr>
            <w:tcW w:w="1728" w:type="dxa"/>
            <w:vAlign w:val="center"/>
          </w:tcPr>
          <w:p>
            <w:pPr>
              <w:jc w:val="center"/>
              <w:rPr>
                <w:b/>
                <w:color w:val="auto"/>
                <w:szCs w:val="21"/>
              </w:rPr>
            </w:pPr>
            <w:r>
              <w:rPr>
                <w:b/>
                <w:color w:val="auto"/>
                <w:szCs w:val="21"/>
              </w:rPr>
              <w:t>Ⅲ</w:t>
            </w:r>
          </w:p>
        </w:tc>
        <w:tc>
          <w:tcPr>
            <w:tcW w:w="1528" w:type="dxa"/>
            <w:vAlign w:val="center"/>
          </w:tcPr>
          <w:p>
            <w:pPr>
              <w:jc w:val="center"/>
              <w:rPr>
                <w:b/>
                <w:color w:val="auto"/>
                <w:szCs w:val="21"/>
              </w:rPr>
            </w:pPr>
            <w:r>
              <w:rPr>
                <w:b/>
                <w:color w:val="auto"/>
                <w:szCs w:val="21"/>
              </w:rPr>
              <w:t>Ⅱ</w:t>
            </w:r>
          </w:p>
        </w:tc>
        <w:tc>
          <w:tcPr>
            <w:tcW w:w="1549" w:type="dxa"/>
            <w:vAlign w:val="center"/>
          </w:tcPr>
          <w:p>
            <w:pPr>
              <w:jc w:val="center"/>
              <w:rPr>
                <w:b/>
                <w:color w:val="auto"/>
                <w:szCs w:val="21"/>
              </w:rPr>
            </w:pPr>
            <w:r>
              <w:rPr>
                <w:b/>
                <w:color w:val="auto"/>
                <w:szCs w:val="21"/>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30" w:hRule="exact"/>
          <w:jc w:val="center"/>
        </w:trPr>
        <w:tc>
          <w:tcPr>
            <w:tcW w:w="2140" w:type="dxa"/>
            <w:vAlign w:val="center"/>
          </w:tcPr>
          <w:p>
            <w:pPr>
              <w:jc w:val="center"/>
              <w:rPr>
                <w:b/>
                <w:color w:val="auto"/>
                <w:szCs w:val="21"/>
              </w:rPr>
            </w:pPr>
            <w:r>
              <w:rPr>
                <w:b/>
                <w:color w:val="auto"/>
                <w:szCs w:val="21"/>
              </w:rPr>
              <w:t>评价工作等级</w:t>
            </w:r>
          </w:p>
        </w:tc>
        <w:tc>
          <w:tcPr>
            <w:tcW w:w="1732" w:type="dxa"/>
            <w:vAlign w:val="center"/>
          </w:tcPr>
          <w:p>
            <w:pPr>
              <w:jc w:val="center"/>
              <w:rPr>
                <w:color w:val="auto"/>
                <w:szCs w:val="21"/>
              </w:rPr>
            </w:pPr>
            <w:r>
              <w:rPr>
                <w:color w:val="auto"/>
                <w:szCs w:val="21"/>
              </w:rPr>
              <w:t>一</w:t>
            </w:r>
          </w:p>
        </w:tc>
        <w:tc>
          <w:tcPr>
            <w:tcW w:w="1728" w:type="dxa"/>
            <w:vAlign w:val="center"/>
          </w:tcPr>
          <w:p>
            <w:pPr>
              <w:jc w:val="center"/>
              <w:rPr>
                <w:color w:val="auto"/>
                <w:szCs w:val="21"/>
              </w:rPr>
            </w:pPr>
            <w:r>
              <w:rPr>
                <w:color w:val="auto"/>
                <w:szCs w:val="21"/>
              </w:rPr>
              <w:t>二</w:t>
            </w:r>
          </w:p>
        </w:tc>
        <w:tc>
          <w:tcPr>
            <w:tcW w:w="1528" w:type="dxa"/>
            <w:vAlign w:val="center"/>
          </w:tcPr>
          <w:p>
            <w:pPr>
              <w:jc w:val="center"/>
              <w:rPr>
                <w:color w:val="auto"/>
                <w:szCs w:val="21"/>
              </w:rPr>
            </w:pPr>
            <w:r>
              <w:rPr>
                <w:color w:val="auto"/>
                <w:szCs w:val="21"/>
              </w:rPr>
              <w:t>三</w:t>
            </w:r>
          </w:p>
        </w:tc>
        <w:tc>
          <w:tcPr>
            <w:tcW w:w="1549" w:type="dxa"/>
            <w:vAlign w:val="center"/>
          </w:tcPr>
          <w:p>
            <w:pPr>
              <w:jc w:val="center"/>
              <w:rPr>
                <w:color w:val="auto"/>
                <w:szCs w:val="21"/>
              </w:rPr>
            </w:pPr>
            <w:r>
              <w:rPr>
                <w:color w:val="auto"/>
                <w:szCs w:val="21"/>
              </w:rPr>
              <w:t>简单分析</w:t>
            </w:r>
          </w:p>
        </w:tc>
      </w:tr>
    </w:tbl>
    <w:p>
      <w:pPr>
        <w:spacing w:line="460" w:lineRule="exact"/>
        <w:ind w:firstLine="480" w:firstLineChars="200"/>
        <w:rPr>
          <w:color w:val="auto"/>
          <w:sz w:val="24"/>
          <w:szCs w:val="24"/>
        </w:rPr>
      </w:pPr>
      <w:r>
        <w:rPr>
          <w:color w:val="auto"/>
          <w:sz w:val="24"/>
          <w:szCs w:val="24"/>
        </w:rPr>
        <w:t>1、危险物质及工艺系统危险性（P）的确定</w:t>
      </w:r>
    </w:p>
    <w:p>
      <w:pPr>
        <w:spacing w:line="460" w:lineRule="exact"/>
        <w:ind w:firstLine="480" w:firstLineChars="200"/>
        <w:rPr>
          <w:color w:val="auto"/>
          <w:sz w:val="24"/>
          <w:szCs w:val="24"/>
        </w:rPr>
      </w:pPr>
      <w:r>
        <w:rPr>
          <w:color w:val="auto"/>
          <w:sz w:val="24"/>
          <w:szCs w:val="24"/>
        </w:rPr>
        <w:t>危险物质及工艺系统危险性（P）的分级，由危险物质数量与临界量比值（Q），与行业及生产工艺（M）确定。</w:t>
      </w:r>
    </w:p>
    <w:p>
      <w:pPr>
        <w:spacing w:line="460" w:lineRule="exact"/>
        <w:ind w:firstLine="480" w:firstLineChars="200"/>
        <w:rPr>
          <w:color w:val="auto"/>
          <w:sz w:val="24"/>
          <w:szCs w:val="24"/>
        </w:rPr>
      </w:pPr>
      <w:r>
        <w:rPr>
          <w:color w:val="auto"/>
          <w:sz w:val="24"/>
          <w:szCs w:val="24"/>
        </w:rPr>
        <w:t>（1）危险物质数量与临界量比值（Q）</w:t>
      </w:r>
    </w:p>
    <w:p>
      <w:pPr>
        <w:spacing w:line="460" w:lineRule="exact"/>
        <w:ind w:firstLine="480" w:firstLineChars="200"/>
        <w:rPr>
          <w:color w:val="auto"/>
          <w:sz w:val="24"/>
          <w:szCs w:val="24"/>
        </w:rPr>
      </w:pPr>
      <w:r>
        <w:rPr>
          <w:color w:val="auto"/>
          <w:sz w:val="24"/>
          <w:szCs w:val="24"/>
        </w:rPr>
        <w:t>Q为项目所涉及的每种危险物质在厂界内的最大存在总量与其在附录B中对应临界量的比值。当存在多种危险物质时，按照下式进行计算：</w:t>
      </w:r>
    </w:p>
    <w:p>
      <w:pPr>
        <w:tabs>
          <w:tab w:val="left" w:pos="3320"/>
        </w:tabs>
        <w:overflowPunct w:val="0"/>
        <w:spacing w:line="460" w:lineRule="exact"/>
        <w:ind w:firstLine="480" w:firstLineChars="200"/>
        <w:jc w:val="center"/>
        <w:rPr>
          <w:rFonts w:eastAsia="仿宋_GB2312"/>
          <w:snapToGrid w:val="0"/>
          <w:color w:val="auto"/>
          <w:kern w:val="0"/>
          <w:sz w:val="24"/>
          <w:szCs w:val="24"/>
        </w:rPr>
      </w:pPr>
      <w:r>
        <w:rPr>
          <w:rFonts w:eastAsia="仿宋_GB2312"/>
          <w:snapToGrid w:val="0"/>
          <w:color w:val="auto"/>
          <w:kern w:val="0"/>
          <w:sz w:val="24"/>
          <w:szCs w:val="24"/>
        </w:rPr>
        <w:t>Q=q</w:t>
      </w:r>
      <w:r>
        <w:rPr>
          <w:rFonts w:eastAsia="仿宋_GB2312"/>
          <w:snapToGrid w:val="0"/>
          <w:color w:val="auto"/>
          <w:kern w:val="0"/>
          <w:sz w:val="24"/>
          <w:szCs w:val="24"/>
          <w:vertAlign w:val="subscript"/>
        </w:rPr>
        <w:t>1</w:t>
      </w:r>
      <w:r>
        <w:rPr>
          <w:rFonts w:eastAsia="仿宋_GB2312"/>
          <w:snapToGrid w:val="0"/>
          <w:color w:val="auto"/>
          <w:kern w:val="0"/>
          <w:sz w:val="24"/>
          <w:szCs w:val="24"/>
        </w:rPr>
        <w:t>/Q</w:t>
      </w:r>
      <w:r>
        <w:rPr>
          <w:rFonts w:eastAsia="仿宋_GB2312"/>
          <w:snapToGrid w:val="0"/>
          <w:color w:val="auto"/>
          <w:kern w:val="0"/>
          <w:sz w:val="24"/>
          <w:szCs w:val="24"/>
          <w:vertAlign w:val="subscript"/>
        </w:rPr>
        <w:t>1</w:t>
      </w:r>
      <w:r>
        <w:rPr>
          <w:rFonts w:eastAsia="仿宋_GB2312"/>
          <w:snapToGrid w:val="0"/>
          <w:color w:val="auto"/>
          <w:kern w:val="0"/>
          <w:sz w:val="24"/>
          <w:szCs w:val="24"/>
        </w:rPr>
        <w:t>+q</w:t>
      </w:r>
      <w:r>
        <w:rPr>
          <w:rFonts w:eastAsia="仿宋_GB2312"/>
          <w:snapToGrid w:val="0"/>
          <w:color w:val="auto"/>
          <w:kern w:val="0"/>
          <w:sz w:val="24"/>
          <w:szCs w:val="24"/>
          <w:vertAlign w:val="subscript"/>
        </w:rPr>
        <w:t>2</w:t>
      </w:r>
      <w:r>
        <w:rPr>
          <w:rFonts w:eastAsia="仿宋_GB2312"/>
          <w:snapToGrid w:val="0"/>
          <w:color w:val="auto"/>
          <w:kern w:val="0"/>
          <w:sz w:val="24"/>
          <w:szCs w:val="24"/>
        </w:rPr>
        <w:t>/Q</w:t>
      </w:r>
      <w:r>
        <w:rPr>
          <w:rFonts w:eastAsia="仿宋_GB2312"/>
          <w:snapToGrid w:val="0"/>
          <w:color w:val="auto"/>
          <w:kern w:val="0"/>
          <w:sz w:val="24"/>
          <w:szCs w:val="24"/>
          <w:vertAlign w:val="subscript"/>
        </w:rPr>
        <w:t>2</w:t>
      </w:r>
      <w:r>
        <w:rPr>
          <w:rFonts w:eastAsia="仿宋_GB2312"/>
          <w:snapToGrid w:val="0"/>
          <w:color w:val="auto"/>
          <w:kern w:val="0"/>
          <w:sz w:val="24"/>
          <w:szCs w:val="24"/>
        </w:rPr>
        <w:t>+…q</w:t>
      </w:r>
      <w:r>
        <w:rPr>
          <w:rFonts w:eastAsia="仿宋_GB2312"/>
          <w:snapToGrid w:val="0"/>
          <w:color w:val="auto"/>
          <w:kern w:val="0"/>
          <w:sz w:val="24"/>
          <w:szCs w:val="24"/>
          <w:vertAlign w:val="subscript"/>
        </w:rPr>
        <w:t>n</w:t>
      </w:r>
      <w:r>
        <w:rPr>
          <w:rFonts w:eastAsia="仿宋_GB2312"/>
          <w:snapToGrid w:val="0"/>
          <w:color w:val="auto"/>
          <w:kern w:val="0"/>
          <w:sz w:val="24"/>
          <w:szCs w:val="24"/>
        </w:rPr>
        <w:t>/Q</w:t>
      </w:r>
      <w:r>
        <w:rPr>
          <w:rFonts w:eastAsia="仿宋_GB2312"/>
          <w:snapToGrid w:val="0"/>
          <w:color w:val="auto"/>
          <w:kern w:val="0"/>
          <w:sz w:val="24"/>
          <w:szCs w:val="24"/>
          <w:vertAlign w:val="subscript"/>
        </w:rPr>
        <w:t>n</w:t>
      </w:r>
    </w:p>
    <w:p>
      <w:pPr>
        <w:spacing w:line="460" w:lineRule="exact"/>
        <w:ind w:firstLine="480" w:firstLineChars="200"/>
        <w:rPr>
          <w:color w:val="auto"/>
          <w:sz w:val="24"/>
          <w:szCs w:val="24"/>
        </w:rPr>
      </w:pPr>
      <w:r>
        <w:rPr>
          <w:color w:val="auto"/>
          <w:sz w:val="24"/>
          <w:szCs w:val="24"/>
        </w:rPr>
        <w:t>式中：q1，q2，…，qn——每种危险物质的最大存在量，t；</w:t>
      </w:r>
    </w:p>
    <w:p>
      <w:pPr>
        <w:spacing w:line="460" w:lineRule="exact"/>
        <w:ind w:firstLine="480" w:firstLineChars="200"/>
        <w:rPr>
          <w:color w:val="auto"/>
          <w:sz w:val="24"/>
          <w:szCs w:val="24"/>
        </w:rPr>
      </w:pPr>
      <w:r>
        <w:rPr>
          <w:color w:val="auto"/>
          <w:sz w:val="24"/>
          <w:szCs w:val="24"/>
        </w:rPr>
        <w:t>Q1，Q1，…，Qn——每种危险物质的临界量，t。</w:t>
      </w:r>
    </w:p>
    <w:p>
      <w:pPr>
        <w:spacing w:line="460" w:lineRule="exact"/>
        <w:ind w:firstLine="480" w:firstLineChars="200"/>
        <w:rPr>
          <w:color w:val="auto"/>
          <w:sz w:val="24"/>
          <w:szCs w:val="24"/>
        </w:rPr>
      </w:pPr>
      <w:r>
        <w:rPr>
          <w:color w:val="auto"/>
          <w:sz w:val="24"/>
          <w:szCs w:val="24"/>
        </w:rPr>
        <w:t>当Q＜1时，该项目环境风险潜势为Ⅰ。</w:t>
      </w:r>
    </w:p>
    <w:p>
      <w:pPr>
        <w:spacing w:line="460" w:lineRule="exact"/>
        <w:ind w:firstLine="480" w:firstLineChars="200"/>
        <w:rPr>
          <w:color w:val="auto"/>
          <w:sz w:val="24"/>
          <w:szCs w:val="24"/>
        </w:rPr>
      </w:pPr>
      <w:r>
        <w:rPr>
          <w:color w:val="auto"/>
          <w:sz w:val="24"/>
          <w:szCs w:val="24"/>
        </w:rPr>
        <w:t>当Q≥1时，将Q值划分为：①1≤Q＜10；②10≤Q＜100；③Q≥100；</w:t>
      </w:r>
    </w:p>
    <w:p>
      <w:pPr>
        <w:snapToGrid w:val="0"/>
        <w:spacing w:line="520" w:lineRule="exact"/>
        <w:ind w:firstLine="475" w:firstLineChars="198"/>
        <w:rPr>
          <w:color w:val="auto"/>
          <w:sz w:val="24"/>
          <w:szCs w:val="24"/>
        </w:rPr>
      </w:pPr>
      <w:r>
        <w:rPr>
          <w:color w:val="auto"/>
          <w:sz w:val="24"/>
          <w:szCs w:val="24"/>
        </w:rPr>
        <w:t>本项目</w:t>
      </w:r>
      <w:r>
        <w:rPr>
          <w:rFonts w:hint="eastAsia"/>
          <w:color w:val="auto"/>
          <w:sz w:val="24"/>
          <w:szCs w:val="24"/>
        </w:rPr>
        <w:t>建成后全厂</w:t>
      </w:r>
      <w:r>
        <w:rPr>
          <w:color w:val="auto"/>
          <w:sz w:val="24"/>
          <w:szCs w:val="24"/>
        </w:rPr>
        <w:t>主要危险物质储存量与临界量比值结果见表1.5-11。</w:t>
      </w:r>
    </w:p>
    <w:p>
      <w:pPr>
        <w:tabs>
          <w:tab w:val="left" w:pos="900"/>
        </w:tabs>
        <w:spacing w:line="460" w:lineRule="exact"/>
        <w:jc w:val="center"/>
        <w:rPr>
          <w:b/>
          <w:color w:val="auto"/>
          <w:sz w:val="24"/>
          <w:szCs w:val="24"/>
        </w:rPr>
      </w:pPr>
      <w:r>
        <w:rPr>
          <w:b/>
          <w:color w:val="auto"/>
          <w:sz w:val="24"/>
          <w:szCs w:val="24"/>
        </w:rPr>
        <w:t xml:space="preserve">表1.5-11   </w:t>
      </w:r>
      <w:r>
        <w:rPr>
          <w:rFonts w:hint="eastAsia"/>
          <w:b/>
          <w:color w:val="auto"/>
          <w:sz w:val="24"/>
          <w:szCs w:val="24"/>
        </w:rPr>
        <w:t>本项目建成后全厂</w:t>
      </w:r>
      <w:r>
        <w:rPr>
          <w:b/>
          <w:color w:val="auto"/>
          <w:sz w:val="24"/>
          <w:szCs w:val="24"/>
        </w:rPr>
        <w:t>主要危险物质储存量与临界量比值结果表</w:t>
      </w:r>
    </w:p>
    <w:tbl>
      <w:tblPr>
        <w:tblStyle w:val="74"/>
        <w:tblW w:w="879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155"/>
        <w:gridCol w:w="1638"/>
        <w:gridCol w:w="1326"/>
        <w:gridCol w:w="1820"/>
        <w:gridCol w:w="1429"/>
        <w:gridCol w:w="14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3" w:hRule="atLeast"/>
          <w:jc w:val="center"/>
        </w:trPr>
        <w:tc>
          <w:tcPr>
            <w:tcW w:w="1155" w:type="dxa"/>
            <w:tcBorders>
              <w:tl2br w:val="nil"/>
              <w:tr2bl w:val="nil"/>
            </w:tcBorders>
            <w:vAlign w:val="center"/>
          </w:tcPr>
          <w:p>
            <w:pPr>
              <w:jc w:val="center"/>
              <w:rPr>
                <w:b/>
                <w:color w:val="auto"/>
                <w:szCs w:val="21"/>
              </w:rPr>
            </w:pPr>
            <w:r>
              <w:rPr>
                <w:b/>
                <w:color w:val="auto"/>
                <w:szCs w:val="21"/>
              </w:rPr>
              <w:t>序号</w:t>
            </w:r>
          </w:p>
        </w:tc>
        <w:tc>
          <w:tcPr>
            <w:tcW w:w="1638" w:type="dxa"/>
            <w:tcBorders>
              <w:tl2br w:val="nil"/>
              <w:tr2bl w:val="nil"/>
            </w:tcBorders>
            <w:vAlign w:val="center"/>
          </w:tcPr>
          <w:p>
            <w:pPr>
              <w:jc w:val="center"/>
              <w:rPr>
                <w:b/>
                <w:color w:val="auto"/>
                <w:szCs w:val="21"/>
              </w:rPr>
            </w:pPr>
            <w:r>
              <w:rPr>
                <w:b/>
                <w:color w:val="auto"/>
                <w:szCs w:val="21"/>
              </w:rPr>
              <w:t>危险物质名称</w:t>
            </w:r>
          </w:p>
        </w:tc>
        <w:tc>
          <w:tcPr>
            <w:tcW w:w="1326" w:type="dxa"/>
            <w:tcBorders>
              <w:tl2br w:val="nil"/>
              <w:tr2bl w:val="nil"/>
            </w:tcBorders>
            <w:vAlign w:val="center"/>
          </w:tcPr>
          <w:p>
            <w:pPr>
              <w:jc w:val="center"/>
              <w:rPr>
                <w:b/>
                <w:color w:val="auto"/>
                <w:szCs w:val="21"/>
              </w:rPr>
            </w:pPr>
            <w:r>
              <w:rPr>
                <w:b/>
                <w:bCs/>
                <w:color w:val="auto"/>
                <w:kern w:val="0"/>
                <w:szCs w:val="21"/>
                <w:lang w:bidi="ar"/>
              </w:rPr>
              <w:t>CAS号</w:t>
            </w:r>
          </w:p>
        </w:tc>
        <w:tc>
          <w:tcPr>
            <w:tcW w:w="1820" w:type="dxa"/>
            <w:tcBorders>
              <w:tl2br w:val="nil"/>
              <w:tr2bl w:val="nil"/>
            </w:tcBorders>
            <w:vAlign w:val="center"/>
          </w:tcPr>
          <w:p>
            <w:pPr>
              <w:jc w:val="center"/>
              <w:rPr>
                <w:b/>
                <w:color w:val="auto"/>
                <w:szCs w:val="21"/>
              </w:rPr>
            </w:pPr>
            <w:r>
              <w:rPr>
                <w:b/>
                <w:color w:val="auto"/>
                <w:szCs w:val="21"/>
              </w:rPr>
              <w:t>最大贮存量qn/t</w:t>
            </w:r>
          </w:p>
        </w:tc>
        <w:tc>
          <w:tcPr>
            <w:tcW w:w="1429" w:type="dxa"/>
            <w:tcBorders>
              <w:tl2br w:val="nil"/>
              <w:tr2bl w:val="nil"/>
            </w:tcBorders>
            <w:vAlign w:val="center"/>
          </w:tcPr>
          <w:p>
            <w:pPr>
              <w:jc w:val="center"/>
              <w:rPr>
                <w:b/>
                <w:color w:val="auto"/>
                <w:szCs w:val="21"/>
              </w:rPr>
            </w:pPr>
            <w:r>
              <w:rPr>
                <w:b/>
                <w:color w:val="auto"/>
                <w:szCs w:val="21"/>
              </w:rPr>
              <w:t>临界量Qn/t</w:t>
            </w:r>
          </w:p>
        </w:tc>
        <w:tc>
          <w:tcPr>
            <w:tcW w:w="1427" w:type="dxa"/>
            <w:tcBorders>
              <w:tl2br w:val="nil"/>
              <w:tr2bl w:val="nil"/>
            </w:tcBorders>
            <w:vAlign w:val="center"/>
          </w:tcPr>
          <w:p>
            <w:pPr>
              <w:jc w:val="center"/>
              <w:rPr>
                <w:b/>
                <w:color w:val="auto"/>
                <w:szCs w:val="21"/>
              </w:rPr>
            </w:pPr>
            <w:r>
              <w:rPr>
                <w:b/>
                <w:color w:val="auto"/>
                <w:szCs w:val="21"/>
              </w:rPr>
              <w:t>危险物质Q值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9" w:hRule="atLeast"/>
          <w:jc w:val="center"/>
        </w:trPr>
        <w:tc>
          <w:tcPr>
            <w:tcW w:w="1155" w:type="dxa"/>
            <w:tcBorders>
              <w:tl2br w:val="nil"/>
              <w:tr2bl w:val="nil"/>
            </w:tcBorders>
            <w:vAlign w:val="center"/>
          </w:tcPr>
          <w:p>
            <w:pPr>
              <w:jc w:val="center"/>
              <w:rPr>
                <w:color w:val="auto"/>
                <w:szCs w:val="21"/>
              </w:rPr>
            </w:pPr>
            <w:r>
              <w:rPr>
                <w:color w:val="auto"/>
                <w:szCs w:val="21"/>
              </w:rPr>
              <w:t>1</w:t>
            </w:r>
          </w:p>
        </w:tc>
        <w:tc>
          <w:tcPr>
            <w:tcW w:w="1638" w:type="dxa"/>
            <w:tcBorders>
              <w:tl2br w:val="nil"/>
              <w:tr2bl w:val="nil"/>
            </w:tcBorders>
            <w:vAlign w:val="center"/>
          </w:tcPr>
          <w:p>
            <w:pPr>
              <w:jc w:val="center"/>
              <w:rPr>
                <w:color w:val="auto"/>
                <w:szCs w:val="21"/>
              </w:rPr>
            </w:pPr>
            <w:r>
              <w:rPr>
                <w:color w:val="auto"/>
                <w:szCs w:val="21"/>
              </w:rPr>
              <w:t>氢氧化钠</w:t>
            </w:r>
          </w:p>
        </w:tc>
        <w:tc>
          <w:tcPr>
            <w:tcW w:w="1326" w:type="dxa"/>
            <w:tcBorders>
              <w:tl2br w:val="nil"/>
              <w:tr2bl w:val="nil"/>
            </w:tcBorders>
            <w:vAlign w:val="center"/>
          </w:tcPr>
          <w:p>
            <w:pPr>
              <w:jc w:val="center"/>
              <w:rPr>
                <w:color w:val="auto"/>
                <w:szCs w:val="21"/>
              </w:rPr>
            </w:pPr>
            <w:r>
              <w:rPr>
                <w:color w:val="auto"/>
                <w:szCs w:val="21"/>
              </w:rPr>
              <w:t>/</w:t>
            </w:r>
          </w:p>
        </w:tc>
        <w:tc>
          <w:tcPr>
            <w:tcW w:w="1820" w:type="dxa"/>
            <w:tcBorders>
              <w:tl2br w:val="nil"/>
              <w:tr2bl w:val="nil"/>
            </w:tcBorders>
            <w:vAlign w:val="center"/>
          </w:tcPr>
          <w:p>
            <w:pPr>
              <w:jc w:val="center"/>
              <w:rPr>
                <w:color w:val="auto"/>
                <w:szCs w:val="21"/>
              </w:rPr>
            </w:pPr>
            <w:r>
              <w:rPr>
                <w:color w:val="auto"/>
                <w:szCs w:val="21"/>
              </w:rPr>
              <w:t>0.2</w:t>
            </w:r>
          </w:p>
        </w:tc>
        <w:tc>
          <w:tcPr>
            <w:tcW w:w="1429" w:type="dxa"/>
            <w:tcBorders>
              <w:tl2br w:val="nil"/>
              <w:tr2bl w:val="nil"/>
            </w:tcBorders>
            <w:vAlign w:val="center"/>
          </w:tcPr>
          <w:p>
            <w:pPr>
              <w:jc w:val="center"/>
              <w:rPr>
                <w:color w:val="auto"/>
                <w:szCs w:val="21"/>
              </w:rPr>
            </w:pPr>
            <w:r>
              <w:rPr>
                <w:color w:val="auto"/>
                <w:szCs w:val="21"/>
              </w:rPr>
              <w:t>50</w:t>
            </w:r>
          </w:p>
        </w:tc>
        <w:tc>
          <w:tcPr>
            <w:tcW w:w="1427" w:type="dxa"/>
            <w:tcBorders>
              <w:tl2br w:val="nil"/>
              <w:tr2bl w:val="nil"/>
            </w:tcBorders>
            <w:vAlign w:val="center"/>
          </w:tcPr>
          <w:p>
            <w:pPr>
              <w:jc w:val="center"/>
              <w:rPr>
                <w:color w:val="auto"/>
                <w:szCs w:val="21"/>
              </w:rPr>
            </w:pPr>
            <w:r>
              <w:rPr>
                <w:color w:val="auto"/>
                <w:szCs w:val="21"/>
              </w:rPr>
              <w:t>0.004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9" w:hRule="atLeast"/>
          <w:jc w:val="center"/>
        </w:trPr>
        <w:tc>
          <w:tcPr>
            <w:tcW w:w="1155" w:type="dxa"/>
            <w:tcBorders>
              <w:tl2br w:val="nil"/>
              <w:tr2bl w:val="nil"/>
            </w:tcBorders>
            <w:vAlign w:val="center"/>
          </w:tcPr>
          <w:p>
            <w:pPr>
              <w:jc w:val="center"/>
              <w:rPr>
                <w:color w:val="auto"/>
                <w:szCs w:val="21"/>
              </w:rPr>
            </w:pPr>
            <w:r>
              <w:rPr>
                <w:color w:val="auto"/>
                <w:szCs w:val="21"/>
              </w:rPr>
              <w:t>2</w:t>
            </w:r>
          </w:p>
        </w:tc>
        <w:tc>
          <w:tcPr>
            <w:tcW w:w="1638" w:type="dxa"/>
            <w:tcBorders>
              <w:tl2br w:val="nil"/>
              <w:tr2bl w:val="nil"/>
            </w:tcBorders>
            <w:vAlign w:val="center"/>
          </w:tcPr>
          <w:p>
            <w:pPr>
              <w:jc w:val="center"/>
              <w:rPr>
                <w:color w:val="auto"/>
                <w:szCs w:val="21"/>
              </w:rPr>
            </w:pPr>
            <w:r>
              <w:rPr>
                <w:color w:val="auto"/>
                <w:szCs w:val="21"/>
              </w:rPr>
              <w:t>次氯酸钠</w:t>
            </w:r>
          </w:p>
        </w:tc>
        <w:tc>
          <w:tcPr>
            <w:tcW w:w="1326" w:type="dxa"/>
            <w:tcBorders>
              <w:tl2br w:val="nil"/>
              <w:tr2bl w:val="nil"/>
            </w:tcBorders>
            <w:vAlign w:val="center"/>
          </w:tcPr>
          <w:p>
            <w:pPr>
              <w:jc w:val="center"/>
              <w:rPr>
                <w:color w:val="auto"/>
                <w:szCs w:val="21"/>
              </w:rPr>
            </w:pPr>
            <w:r>
              <w:rPr>
                <w:color w:val="auto"/>
                <w:szCs w:val="21"/>
              </w:rPr>
              <w:t>7681-52-9</w:t>
            </w:r>
          </w:p>
        </w:tc>
        <w:tc>
          <w:tcPr>
            <w:tcW w:w="1820" w:type="dxa"/>
            <w:tcBorders>
              <w:tl2br w:val="nil"/>
              <w:tr2bl w:val="nil"/>
            </w:tcBorders>
            <w:vAlign w:val="center"/>
          </w:tcPr>
          <w:p>
            <w:pPr>
              <w:jc w:val="center"/>
              <w:rPr>
                <w:color w:val="auto"/>
                <w:szCs w:val="21"/>
              </w:rPr>
            </w:pPr>
            <w:r>
              <w:rPr>
                <w:color w:val="auto"/>
                <w:szCs w:val="21"/>
              </w:rPr>
              <w:t>0.5</w:t>
            </w:r>
          </w:p>
        </w:tc>
        <w:tc>
          <w:tcPr>
            <w:tcW w:w="1429" w:type="dxa"/>
            <w:tcBorders>
              <w:tl2br w:val="nil"/>
              <w:tr2bl w:val="nil"/>
            </w:tcBorders>
            <w:vAlign w:val="center"/>
          </w:tcPr>
          <w:p>
            <w:pPr>
              <w:jc w:val="center"/>
              <w:rPr>
                <w:color w:val="auto"/>
                <w:szCs w:val="21"/>
              </w:rPr>
            </w:pPr>
            <w:r>
              <w:rPr>
                <w:color w:val="auto"/>
                <w:szCs w:val="21"/>
              </w:rPr>
              <w:t>5</w:t>
            </w:r>
          </w:p>
        </w:tc>
        <w:tc>
          <w:tcPr>
            <w:tcW w:w="1427" w:type="dxa"/>
            <w:tcBorders>
              <w:tl2br w:val="nil"/>
              <w:tr2bl w:val="nil"/>
            </w:tcBorders>
            <w:vAlign w:val="center"/>
          </w:tcPr>
          <w:p>
            <w:pPr>
              <w:jc w:val="center"/>
              <w:rPr>
                <w:color w:val="auto"/>
                <w:szCs w:val="21"/>
              </w:rPr>
            </w:pPr>
            <w:r>
              <w:rPr>
                <w:color w:val="auto"/>
                <w:szCs w:val="21"/>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49" w:hRule="atLeast"/>
          <w:jc w:val="center"/>
        </w:trPr>
        <w:tc>
          <w:tcPr>
            <w:tcW w:w="1155" w:type="dxa"/>
            <w:tcBorders>
              <w:tl2br w:val="nil"/>
              <w:tr2bl w:val="nil"/>
            </w:tcBorders>
            <w:vAlign w:val="center"/>
          </w:tcPr>
          <w:p>
            <w:pPr>
              <w:jc w:val="center"/>
              <w:rPr>
                <w:color w:val="auto"/>
                <w:szCs w:val="21"/>
              </w:rPr>
            </w:pPr>
            <w:r>
              <w:rPr>
                <w:color w:val="auto"/>
                <w:szCs w:val="21"/>
              </w:rPr>
              <w:t>3</w:t>
            </w:r>
          </w:p>
        </w:tc>
        <w:tc>
          <w:tcPr>
            <w:tcW w:w="1638" w:type="dxa"/>
            <w:tcBorders>
              <w:tl2br w:val="nil"/>
              <w:tr2bl w:val="nil"/>
            </w:tcBorders>
            <w:vAlign w:val="center"/>
          </w:tcPr>
          <w:p>
            <w:pPr>
              <w:jc w:val="center"/>
              <w:rPr>
                <w:color w:val="auto"/>
                <w:szCs w:val="21"/>
              </w:rPr>
            </w:pPr>
            <w:r>
              <w:rPr>
                <w:color w:val="auto"/>
                <w:szCs w:val="21"/>
              </w:rPr>
              <w:t>医疗废物</w:t>
            </w:r>
          </w:p>
        </w:tc>
        <w:tc>
          <w:tcPr>
            <w:tcW w:w="1326" w:type="dxa"/>
            <w:tcBorders>
              <w:tl2br w:val="nil"/>
              <w:tr2bl w:val="nil"/>
            </w:tcBorders>
            <w:vAlign w:val="center"/>
          </w:tcPr>
          <w:p>
            <w:pPr>
              <w:jc w:val="center"/>
              <w:rPr>
                <w:color w:val="auto"/>
                <w:szCs w:val="21"/>
              </w:rPr>
            </w:pPr>
            <w:r>
              <w:rPr>
                <w:color w:val="auto"/>
                <w:szCs w:val="21"/>
              </w:rPr>
              <w:t>/</w:t>
            </w:r>
          </w:p>
        </w:tc>
        <w:tc>
          <w:tcPr>
            <w:tcW w:w="1820" w:type="dxa"/>
            <w:tcBorders>
              <w:tl2br w:val="nil"/>
              <w:tr2bl w:val="nil"/>
            </w:tcBorders>
            <w:vAlign w:val="center"/>
          </w:tcPr>
          <w:p>
            <w:pPr>
              <w:jc w:val="center"/>
              <w:rPr>
                <w:color w:val="auto"/>
                <w:szCs w:val="21"/>
              </w:rPr>
            </w:pPr>
            <w:r>
              <w:rPr>
                <w:color w:val="auto"/>
                <w:szCs w:val="21"/>
              </w:rPr>
              <w:t>10</w:t>
            </w:r>
          </w:p>
        </w:tc>
        <w:tc>
          <w:tcPr>
            <w:tcW w:w="1429" w:type="dxa"/>
            <w:tcBorders>
              <w:tl2br w:val="nil"/>
              <w:tr2bl w:val="nil"/>
            </w:tcBorders>
            <w:vAlign w:val="center"/>
          </w:tcPr>
          <w:p>
            <w:pPr>
              <w:jc w:val="center"/>
              <w:rPr>
                <w:color w:val="auto"/>
                <w:szCs w:val="21"/>
              </w:rPr>
            </w:pPr>
            <w:r>
              <w:rPr>
                <w:color w:val="auto"/>
                <w:szCs w:val="21"/>
              </w:rPr>
              <w:t>100</w:t>
            </w:r>
          </w:p>
        </w:tc>
        <w:tc>
          <w:tcPr>
            <w:tcW w:w="1427" w:type="dxa"/>
            <w:tcBorders>
              <w:tl2br w:val="nil"/>
              <w:tr2bl w:val="nil"/>
            </w:tcBorders>
            <w:vAlign w:val="center"/>
          </w:tcPr>
          <w:p>
            <w:pPr>
              <w:jc w:val="center"/>
              <w:rPr>
                <w:color w:val="auto"/>
                <w:szCs w:val="21"/>
              </w:rPr>
            </w:pPr>
            <w:r>
              <w:rPr>
                <w:color w:val="auto"/>
                <w:szCs w:val="21"/>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368" w:hRule="atLeast"/>
          <w:jc w:val="center"/>
        </w:trPr>
        <w:tc>
          <w:tcPr>
            <w:tcW w:w="7368" w:type="dxa"/>
            <w:gridSpan w:val="5"/>
            <w:tcBorders>
              <w:tl2br w:val="nil"/>
              <w:tr2bl w:val="nil"/>
            </w:tcBorders>
            <w:vAlign w:val="center"/>
          </w:tcPr>
          <w:p>
            <w:pPr>
              <w:jc w:val="center"/>
              <w:rPr>
                <w:color w:val="auto"/>
                <w:szCs w:val="21"/>
              </w:rPr>
            </w:pPr>
            <w:r>
              <w:rPr>
                <w:color w:val="auto"/>
                <w:szCs w:val="21"/>
              </w:rPr>
              <w:t>Q值</w:t>
            </w:r>
          </w:p>
        </w:tc>
        <w:tc>
          <w:tcPr>
            <w:tcW w:w="1427" w:type="dxa"/>
            <w:tcBorders>
              <w:tl2br w:val="nil"/>
              <w:tr2bl w:val="nil"/>
            </w:tcBorders>
            <w:vAlign w:val="center"/>
          </w:tcPr>
          <w:p>
            <w:pPr>
              <w:jc w:val="center"/>
              <w:rPr>
                <w:color w:val="auto"/>
                <w:szCs w:val="21"/>
              </w:rPr>
            </w:pPr>
            <w:r>
              <w:rPr>
                <w:color w:val="auto"/>
                <w:szCs w:val="21"/>
              </w:rPr>
              <w:t>0.204</w:t>
            </w:r>
          </w:p>
        </w:tc>
      </w:tr>
    </w:tbl>
    <w:p>
      <w:pPr>
        <w:spacing w:line="360" w:lineRule="auto"/>
        <w:ind w:firstLine="480" w:firstLineChars="200"/>
        <w:rPr>
          <w:rFonts w:eastAsia="仿宋_GB2312"/>
          <w:snapToGrid w:val="0"/>
          <w:color w:val="auto"/>
          <w:kern w:val="0"/>
          <w:sz w:val="24"/>
          <w:szCs w:val="24"/>
        </w:rPr>
      </w:pPr>
      <w:r>
        <w:rPr>
          <w:color w:val="auto"/>
          <w:sz w:val="24"/>
          <w:szCs w:val="24"/>
        </w:rPr>
        <w:t>根据表1.5-11，本项目</w:t>
      </w:r>
      <w:r>
        <w:rPr>
          <w:rFonts w:hint="eastAsia"/>
          <w:color w:val="auto"/>
          <w:sz w:val="24"/>
          <w:szCs w:val="24"/>
        </w:rPr>
        <w:t>建成后全厂</w:t>
      </w:r>
      <w:r>
        <w:rPr>
          <w:color w:val="auto"/>
          <w:sz w:val="24"/>
          <w:szCs w:val="24"/>
        </w:rPr>
        <w:t>环境风险物质与临界量的比值Q为0.204，Q＜1，环境风险潜势为Ⅰ，因此，本</w:t>
      </w:r>
      <w:r>
        <w:rPr>
          <w:rFonts w:hint="eastAsia"/>
          <w:color w:val="auto"/>
          <w:sz w:val="24"/>
          <w:szCs w:val="24"/>
        </w:rPr>
        <w:t>次</w:t>
      </w:r>
      <w:r>
        <w:rPr>
          <w:color w:val="auto"/>
          <w:sz w:val="24"/>
          <w:szCs w:val="24"/>
        </w:rPr>
        <w:t>环境风险评价等级为简单分析。</w:t>
      </w:r>
    </w:p>
    <w:p>
      <w:pPr>
        <w:pStyle w:val="6"/>
        <w:numPr>
          <w:ilvl w:val="3"/>
          <w:numId w:val="0"/>
        </w:numPr>
        <w:rPr>
          <w:color w:val="auto"/>
        </w:rPr>
      </w:pPr>
      <w:r>
        <w:rPr>
          <w:color w:val="auto"/>
        </w:rPr>
        <w:t>1.5.6.2评价范围</w:t>
      </w:r>
    </w:p>
    <w:p>
      <w:pPr>
        <w:pStyle w:val="130"/>
        <w:ind w:firstLine="480"/>
        <w:rPr>
          <w:color w:val="auto"/>
        </w:rPr>
      </w:pPr>
      <w:r>
        <w:rPr>
          <w:color w:val="auto"/>
        </w:rPr>
        <w:t>项目环境风险简单分析，根据导则要求，评价范围不做规定，在描述危险物质、环境影响途径、环境危害后果、风险防范措施等方面定性的说明。</w:t>
      </w:r>
    </w:p>
    <w:p>
      <w:pPr>
        <w:pStyle w:val="5"/>
        <w:numPr>
          <w:ilvl w:val="2"/>
          <w:numId w:val="0"/>
        </w:numPr>
        <w:ind w:left="-720" w:leftChars="-343" w:firstLine="723" w:firstLineChars="300"/>
        <w:rPr>
          <w:color w:val="auto"/>
        </w:rPr>
      </w:pPr>
      <w:bookmarkStart w:id="147" w:name="_Toc11595201"/>
      <w:bookmarkStart w:id="148" w:name="_Toc109398556"/>
      <w:r>
        <w:rPr>
          <w:color w:val="auto"/>
        </w:rPr>
        <w:t>1.5.7生态环境</w:t>
      </w:r>
      <w:bookmarkEnd w:id="147"/>
      <w:bookmarkEnd w:id="148"/>
    </w:p>
    <w:p>
      <w:pPr>
        <w:pStyle w:val="130"/>
        <w:ind w:firstLine="480"/>
        <w:rPr>
          <w:color w:val="auto"/>
        </w:rPr>
      </w:pPr>
      <w:r>
        <w:rPr>
          <w:color w:val="auto"/>
        </w:rPr>
        <w:t>本项目位于中卫市永康镇阳沟村中卫市生活垃圾填埋场西侧，本项目占地面积约为5570m</w:t>
      </w:r>
      <w:r>
        <w:rPr>
          <w:color w:val="auto"/>
          <w:vertAlign w:val="superscript"/>
        </w:rPr>
        <w:t>2</w:t>
      </w:r>
      <w:r>
        <w:rPr>
          <w:color w:val="auto"/>
        </w:rPr>
        <w:t>；利用现有工程预留用地进行建设，不新增用地。选址不涉及生态保护红线及生态敏感地区，按照《环境影响评价技术导则 生态影响》（HJ19-2022）中的评价等级判定要求：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故本项目不设生态评价等级，仅做生态环境影响简单分析。</w:t>
      </w:r>
    </w:p>
    <w:p>
      <w:pPr>
        <w:pStyle w:val="4"/>
        <w:numPr>
          <w:ilvl w:val="1"/>
          <w:numId w:val="0"/>
        </w:numPr>
        <w:spacing w:before="120"/>
        <w:rPr>
          <w:color w:val="auto"/>
        </w:rPr>
      </w:pPr>
      <w:bookmarkStart w:id="149" w:name="_Toc11595202"/>
      <w:bookmarkStart w:id="150" w:name="_Toc109398557"/>
      <w:r>
        <w:rPr>
          <w:color w:val="auto"/>
        </w:rPr>
        <w:t>1.6环境保护目标</w:t>
      </w:r>
      <w:bookmarkEnd w:id="149"/>
      <w:bookmarkEnd w:id="150"/>
    </w:p>
    <w:p>
      <w:pPr>
        <w:pStyle w:val="130"/>
        <w:ind w:firstLine="480"/>
        <w:rPr>
          <w:color w:val="auto"/>
        </w:rPr>
      </w:pPr>
      <w:r>
        <w:rPr>
          <w:color w:val="auto"/>
        </w:rPr>
        <w:t>本项目位于宁夏中卫市永康镇阳沟村中卫市生活垃圾填埋场西侧，根据本项目性质，结合当地自然及社会环境条件，确定环境保护目标，详见表1.6-1。</w:t>
      </w:r>
    </w:p>
    <w:p>
      <w:pPr>
        <w:pStyle w:val="114"/>
        <w:spacing w:before="0" w:beforeLines="0"/>
        <w:rPr>
          <w:color w:val="auto"/>
        </w:rPr>
      </w:pPr>
      <w:r>
        <w:rPr>
          <w:color w:val="auto"/>
        </w:rPr>
        <w:t>表1.6-1     环境保护目标一览表</w:t>
      </w:r>
    </w:p>
    <w:tbl>
      <w:tblPr>
        <w:tblStyle w:val="74"/>
        <w:tblpPr w:leftFromText="180" w:rightFromText="180" w:vertAnchor="text" w:tblpXSpec="center" w:tblpY="1"/>
        <w:tblOverlap w:val="never"/>
        <w:tblW w:w="927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6"/>
        <w:gridCol w:w="1476"/>
        <w:gridCol w:w="1464"/>
        <w:gridCol w:w="1128"/>
        <w:gridCol w:w="816"/>
        <w:gridCol w:w="1968"/>
        <w:gridCol w:w="804"/>
        <w:gridCol w:w="9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4" w:hRule="atLeast"/>
          <w:tblHeader/>
        </w:trPr>
        <w:tc>
          <w:tcPr>
            <w:tcW w:w="696" w:type="dxa"/>
            <w:vMerge w:val="restart"/>
            <w:vAlign w:val="center"/>
          </w:tcPr>
          <w:p>
            <w:pPr>
              <w:adjustRightInd w:val="0"/>
              <w:snapToGrid w:val="0"/>
              <w:jc w:val="center"/>
              <w:rPr>
                <w:b/>
                <w:bCs/>
                <w:color w:val="auto"/>
                <w:szCs w:val="21"/>
              </w:rPr>
            </w:pPr>
            <w:r>
              <w:rPr>
                <w:b/>
                <w:bCs/>
                <w:color w:val="auto"/>
                <w:szCs w:val="21"/>
              </w:rPr>
              <w:t>环境</w:t>
            </w:r>
          </w:p>
          <w:p>
            <w:pPr>
              <w:adjustRightInd w:val="0"/>
              <w:snapToGrid w:val="0"/>
              <w:jc w:val="center"/>
              <w:rPr>
                <w:b/>
                <w:bCs/>
                <w:color w:val="auto"/>
                <w:szCs w:val="21"/>
              </w:rPr>
            </w:pPr>
            <w:r>
              <w:rPr>
                <w:b/>
                <w:bCs/>
                <w:color w:val="auto"/>
                <w:szCs w:val="21"/>
              </w:rPr>
              <w:t>要素</w:t>
            </w:r>
          </w:p>
        </w:tc>
        <w:tc>
          <w:tcPr>
            <w:tcW w:w="2940" w:type="dxa"/>
            <w:gridSpan w:val="2"/>
            <w:vAlign w:val="center"/>
          </w:tcPr>
          <w:p>
            <w:pPr>
              <w:adjustRightInd w:val="0"/>
              <w:snapToGrid w:val="0"/>
              <w:jc w:val="center"/>
              <w:rPr>
                <w:b/>
                <w:bCs/>
                <w:color w:val="auto"/>
                <w:szCs w:val="21"/>
              </w:rPr>
            </w:pPr>
            <w:r>
              <w:rPr>
                <w:b/>
                <w:color w:val="auto"/>
              </w:rPr>
              <w:t>经纬度坐标</w:t>
            </w:r>
          </w:p>
        </w:tc>
        <w:tc>
          <w:tcPr>
            <w:tcW w:w="1128" w:type="dxa"/>
            <w:vMerge w:val="restart"/>
            <w:vAlign w:val="center"/>
          </w:tcPr>
          <w:p>
            <w:pPr>
              <w:adjustRightInd w:val="0"/>
              <w:snapToGrid w:val="0"/>
              <w:jc w:val="center"/>
              <w:rPr>
                <w:b/>
                <w:bCs/>
                <w:color w:val="auto"/>
                <w:szCs w:val="21"/>
              </w:rPr>
            </w:pPr>
            <w:r>
              <w:rPr>
                <w:b/>
                <w:bCs/>
                <w:color w:val="auto"/>
                <w:szCs w:val="21"/>
              </w:rPr>
              <w:t>保护对象</w:t>
            </w:r>
          </w:p>
        </w:tc>
        <w:tc>
          <w:tcPr>
            <w:tcW w:w="816" w:type="dxa"/>
            <w:vMerge w:val="restart"/>
            <w:vAlign w:val="center"/>
          </w:tcPr>
          <w:p>
            <w:pPr>
              <w:adjustRightInd w:val="0"/>
              <w:snapToGrid w:val="0"/>
              <w:jc w:val="center"/>
              <w:rPr>
                <w:b/>
                <w:bCs/>
                <w:color w:val="auto"/>
                <w:szCs w:val="21"/>
              </w:rPr>
            </w:pPr>
            <w:r>
              <w:rPr>
                <w:b/>
                <w:bCs/>
                <w:color w:val="auto"/>
                <w:szCs w:val="21"/>
              </w:rPr>
              <w:t>保护</w:t>
            </w:r>
          </w:p>
          <w:p>
            <w:pPr>
              <w:adjustRightInd w:val="0"/>
              <w:snapToGrid w:val="0"/>
              <w:jc w:val="center"/>
              <w:rPr>
                <w:b/>
                <w:bCs/>
                <w:color w:val="auto"/>
                <w:szCs w:val="21"/>
              </w:rPr>
            </w:pPr>
            <w:r>
              <w:rPr>
                <w:b/>
                <w:bCs/>
                <w:color w:val="auto"/>
                <w:szCs w:val="21"/>
              </w:rPr>
              <w:t>内容</w:t>
            </w:r>
          </w:p>
        </w:tc>
        <w:tc>
          <w:tcPr>
            <w:tcW w:w="1968" w:type="dxa"/>
            <w:vMerge w:val="restart"/>
            <w:vAlign w:val="center"/>
          </w:tcPr>
          <w:p>
            <w:pPr>
              <w:adjustRightInd w:val="0"/>
              <w:snapToGrid w:val="0"/>
              <w:jc w:val="center"/>
              <w:rPr>
                <w:b/>
                <w:bCs/>
                <w:color w:val="auto"/>
                <w:szCs w:val="21"/>
              </w:rPr>
            </w:pPr>
            <w:r>
              <w:rPr>
                <w:b/>
                <w:bCs/>
                <w:color w:val="auto"/>
                <w:szCs w:val="21"/>
              </w:rPr>
              <w:t>环境功能区</w:t>
            </w:r>
          </w:p>
        </w:tc>
        <w:tc>
          <w:tcPr>
            <w:tcW w:w="804" w:type="dxa"/>
            <w:vMerge w:val="restart"/>
            <w:vAlign w:val="center"/>
          </w:tcPr>
          <w:p>
            <w:pPr>
              <w:adjustRightInd w:val="0"/>
              <w:snapToGrid w:val="0"/>
              <w:jc w:val="center"/>
              <w:rPr>
                <w:b/>
                <w:bCs/>
                <w:color w:val="auto"/>
                <w:szCs w:val="21"/>
              </w:rPr>
            </w:pPr>
            <w:r>
              <w:rPr>
                <w:b/>
                <w:bCs/>
                <w:color w:val="auto"/>
                <w:szCs w:val="21"/>
              </w:rPr>
              <w:t>相对厂址方位</w:t>
            </w:r>
          </w:p>
        </w:tc>
        <w:tc>
          <w:tcPr>
            <w:tcW w:w="924" w:type="dxa"/>
            <w:vMerge w:val="restart"/>
            <w:vAlign w:val="center"/>
          </w:tcPr>
          <w:p>
            <w:pPr>
              <w:adjustRightInd w:val="0"/>
              <w:snapToGrid w:val="0"/>
              <w:rPr>
                <w:b/>
                <w:bCs/>
                <w:color w:val="auto"/>
                <w:szCs w:val="21"/>
              </w:rPr>
            </w:pPr>
            <w:r>
              <w:rPr>
                <w:b/>
                <w:bCs/>
                <w:color w:val="auto"/>
                <w:szCs w:val="21"/>
              </w:rPr>
              <w:t>相对厂址距离（m）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4" w:hRule="atLeast"/>
        </w:trPr>
        <w:tc>
          <w:tcPr>
            <w:tcW w:w="696" w:type="dxa"/>
            <w:vMerge w:val="continue"/>
            <w:vAlign w:val="center"/>
          </w:tcPr>
          <w:p>
            <w:pPr>
              <w:adjustRightInd w:val="0"/>
              <w:snapToGrid w:val="0"/>
              <w:jc w:val="center"/>
              <w:rPr>
                <w:b/>
                <w:bCs/>
                <w:color w:val="auto"/>
                <w:szCs w:val="21"/>
              </w:rPr>
            </w:pPr>
          </w:p>
        </w:tc>
        <w:tc>
          <w:tcPr>
            <w:tcW w:w="1476" w:type="dxa"/>
            <w:vAlign w:val="center"/>
          </w:tcPr>
          <w:p>
            <w:pPr>
              <w:jc w:val="center"/>
              <w:rPr>
                <w:b/>
                <w:bCs/>
                <w:color w:val="auto"/>
                <w:szCs w:val="21"/>
              </w:rPr>
            </w:pPr>
            <w:r>
              <w:rPr>
                <w:b/>
                <w:bCs/>
                <w:color w:val="auto"/>
                <w:kern w:val="0"/>
              </w:rPr>
              <w:t>E</w:t>
            </w:r>
            <w:r>
              <w:rPr>
                <w:color w:val="auto"/>
                <w:kern w:val="0"/>
              </w:rPr>
              <w:t>°</w:t>
            </w:r>
          </w:p>
        </w:tc>
        <w:tc>
          <w:tcPr>
            <w:tcW w:w="1464" w:type="dxa"/>
            <w:vAlign w:val="center"/>
          </w:tcPr>
          <w:p>
            <w:pPr>
              <w:jc w:val="center"/>
              <w:rPr>
                <w:b/>
                <w:bCs/>
                <w:color w:val="auto"/>
                <w:szCs w:val="21"/>
              </w:rPr>
            </w:pPr>
            <w:r>
              <w:rPr>
                <w:b/>
                <w:bCs/>
                <w:color w:val="auto"/>
                <w:kern w:val="0"/>
              </w:rPr>
              <w:t>N</w:t>
            </w:r>
            <w:r>
              <w:rPr>
                <w:color w:val="auto"/>
                <w:kern w:val="0"/>
              </w:rPr>
              <w:t>°</w:t>
            </w:r>
          </w:p>
        </w:tc>
        <w:tc>
          <w:tcPr>
            <w:tcW w:w="1128" w:type="dxa"/>
            <w:vMerge w:val="continue"/>
            <w:vAlign w:val="center"/>
          </w:tcPr>
          <w:p>
            <w:pPr>
              <w:adjustRightInd w:val="0"/>
              <w:snapToGrid w:val="0"/>
              <w:jc w:val="center"/>
              <w:rPr>
                <w:b/>
                <w:bCs/>
                <w:color w:val="auto"/>
                <w:szCs w:val="21"/>
              </w:rPr>
            </w:pPr>
          </w:p>
        </w:tc>
        <w:tc>
          <w:tcPr>
            <w:tcW w:w="816" w:type="dxa"/>
            <w:vMerge w:val="continue"/>
            <w:vAlign w:val="center"/>
          </w:tcPr>
          <w:p>
            <w:pPr>
              <w:adjustRightInd w:val="0"/>
              <w:snapToGrid w:val="0"/>
              <w:jc w:val="center"/>
              <w:rPr>
                <w:b/>
                <w:bCs/>
                <w:color w:val="auto"/>
                <w:szCs w:val="21"/>
              </w:rPr>
            </w:pPr>
          </w:p>
        </w:tc>
        <w:tc>
          <w:tcPr>
            <w:tcW w:w="1968" w:type="dxa"/>
            <w:vMerge w:val="continue"/>
            <w:vAlign w:val="center"/>
          </w:tcPr>
          <w:p>
            <w:pPr>
              <w:adjustRightInd w:val="0"/>
              <w:snapToGrid w:val="0"/>
              <w:jc w:val="center"/>
              <w:rPr>
                <w:b/>
                <w:bCs/>
                <w:color w:val="auto"/>
                <w:szCs w:val="21"/>
              </w:rPr>
            </w:pPr>
          </w:p>
        </w:tc>
        <w:tc>
          <w:tcPr>
            <w:tcW w:w="804" w:type="dxa"/>
            <w:vMerge w:val="continue"/>
            <w:vAlign w:val="center"/>
          </w:tcPr>
          <w:p>
            <w:pPr>
              <w:adjustRightInd w:val="0"/>
              <w:snapToGrid w:val="0"/>
              <w:jc w:val="center"/>
              <w:rPr>
                <w:b/>
                <w:bCs/>
                <w:color w:val="auto"/>
                <w:szCs w:val="21"/>
              </w:rPr>
            </w:pPr>
          </w:p>
        </w:tc>
        <w:tc>
          <w:tcPr>
            <w:tcW w:w="924" w:type="dxa"/>
            <w:vMerge w:val="continue"/>
            <w:vAlign w:val="center"/>
          </w:tcPr>
          <w:p>
            <w:pPr>
              <w:adjustRightInd w:val="0"/>
              <w:snapToGrid w:val="0"/>
              <w:rPr>
                <w:b/>
                <w:bCs/>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restart"/>
            <w:vAlign w:val="center"/>
          </w:tcPr>
          <w:p>
            <w:pPr>
              <w:adjustRightInd w:val="0"/>
              <w:snapToGrid w:val="0"/>
              <w:jc w:val="center"/>
              <w:rPr>
                <w:color w:val="auto"/>
                <w:szCs w:val="21"/>
              </w:rPr>
            </w:pPr>
            <w:r>
              <w:rPr>
                <w:color w:val="auto"/>
                <w:szCs w:val="21"/>
              </w:rPr>
              <w:t>环境空气</w:t>
            </w:r>
          </w:p>
        </w:tc>
        <w:tc>
          <w:tcPr>
            <w:tcW w:w="1476" w:type="dxa"/>
            <w:vAlign w:val="center"/>
          </w:tcPr>
          <w:p>
            <w:pPr>
              <w:adjustRightInd w:val="0"/>
              <w:snapToGrid w:val="0"/>
              <w:ind w:left="-105" w:leftChars="-50" w:right="-105" w:rightChars="-50"/>
              <w:jc w:val="center"/>
              <w:rPr>
                <w:color w:val="auto"/>
                <w:szCs w:val="21"/>
              </w:rPr>
            </w:pPr>
            <w:r>
              <w:rPr>
                <w:color w:val="auto"/>
                <w:szCs w:val="21"/>
              </w:rPr>
              <w:t>105.151952263</w:t>
            </w:r>
          </w:p>
        </w:tc>
        <w:tc>
          <w:tcPr>
            <w:tcW w:w="1464" w:type="dxa"/>
            <w:vAlign w:val="center"/>
          </w:tcPr>
          <w:p>
            <w:pPr>
              <w:adjustRightInd w:val="0"/>
              <w:snapToGrid w:val="0"/>
              <w:ind w:left="-105" w:leftChars="-50" w:right="-105" w:rightChars="-50"/>
              <w:jc w:val="center"/>
              <w:rPr>
                <w:color w:val="auto"/>
                <w:szCs w:val="21"/>
              </w:rPr>
            </w:pPr>
            <w:r>
              <w:rPr>
                <w:color w:val="auto"/>
                <w:szCs w:val="21"/>
              </w:rPr>
              <w:t>37.263172836</w:t>
            </w:r>
          </w:p>
        </w:tc>
        <w:tc>
          <w:tcPr>
            <w:tcW w:w="1128" w:type="dxa"/>
            <w:vAlign w:val="center"/>
          </w:tcPr>
          <w:p>
            <w:pPr>
              <w:adjustRightInd w:val="0"/>
              <w:snapToGrid w:val="0"/>
              <w:jc w:val="center"/>
              <w:rPr>
                <w:color w:val="auto"/>
                <w:szCs w:val="21"/>
              </w:rPr>
            </w:pPr>
            <w:r>
              <w:rPr>
                <w:color w:val="auto"/>
              </w:rPr>
              <w:t>永康镇阳沟村希望小学</w:t>
            </w:r>
          </w:p>
        </w:tc>
        <w:tc>
          <w:tcPr>
            <w:tcW w:w="816" w:type="dxa"/>
            <w:vMerge w:val="restart"/>
            <w:vAlign w:val="center"/>
          </w:tcPr>
          <w:p>
            <w:pPr>
              <w:adjustRightInd w:val="0"/>
              <w:snapToGrid w:val="0"/>
              <w:jc w:val="center"/>
              <w:rPr>
                <w:color w:val="auto"/>
                <w:szCs w:val="21"/>
              </w:rPr>
            </w:pPr>
            <w:r>
              <w:rPr>
                <w:color w:val="auto"/>
                <w:szCs w:val="21"/>
              </w:rPr>
              <w:t>环境空气</w:t>
            </w:r>
          </w:p>
        </w:tc>
        <w:tc>
          <w:tcPr>
            <w:tcW w:w="1968" w:type="dxa"/>
            <w:vMerge w:val="restart"/>
            <w:vAlign w:val="center"/>
          </w:tcPr>
          <w:p>
            <w:pPr>
              <w:adjustRightInd w:val="0"/>
              <w:snapToGrid w:val="0"/>
              <w:jc w:val="center"/>
              <w:rPr>
                <w:color w:val="auto"/>
                <w:szCs w:val="21"/>
              </w:rPr>
            </w:pPr>
            <w:r>
              <w:rPr>
                <w:color w:val="auto"/>
                <w:szCs w:val="21"/>
              </w:rPr>
              <w:t>《环境空气质量标准》（GB3095-2012及2018修改单）二类区</w:t>
            </w:r>
          </w:p>
        </w:tc>
        <w:tc>
          <w:tcPr>
            <w:tcW w:w="804" w:type="dxa"/>
            <w:vAlign w:val="center"/>
          </w:tcPr>
          <w:p>
            <w:pPr>
              <w:adjustRightInd w:val="0"/>
              <w:snapToGrid w:val="0"/>
              <w:jc w:val="center"/>
              <w:rPr>
                <w:color w:val="auto"/>
                <w:szCs w:val="21"/>
              </w:rPr>
            </w:pPr>
            <w:r>
              <w:rPr>
                <w:color w:val="auto"/>
                <w:szCs w:val="21"/>
              </w:rPr>
              <w:t>W</w:t>
            </w:r>
          </w:p>
        </w:tc>
        <w:tc>
          <w:tcPr>
            <w:tcW w:w="924" w:type="dxa"/>
            <w:vAlign w:val="center"/>
          </w:tcPr>
          <w:p>
            <w:pPr>
              <w:adjustRightInd w:val="0"/>
              <w:snapToGrid w:val="0"/>
              <w:jc w:val="center"/>
              <w:rPr>
                <w:color w:val="auto"/>
                <w:szCs w:val="21"/>
              </w:rPr>
            </w:pPr>
            <w:r>
              <w:rPr>
                <w:color w:val="auto"/>
                <w:szCs w:val="21"/>
              </w:rPr>
              <w:t>162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105.151488777</w:t>
            </w:r>
          </w:p>
        </w:tc>
        <w:tc>
          <w:tcPr>
            <w:tcW w:w="1464" w:type="dxa"/>
            <w:vAlign w:val="center"/>
          </w:tcPr>
          <w:p>
            <w:pPr>
              <w:adjustRightInd w:val="0"/>
              <w:snapToGrid w:val="0"/>
              <w:ind w:left="-105" w:leftChars="-50" w:right="-105" w:rightChars="-50"/>
              <w:jc w:val="center"/>
              <w:rPr>
                <w:color w:val="auto"/>
                <w:szCs w:val="21"/>
              </w:rPr>
            </w:pPr>
            <w:r>
              <w:rPr>
                <w:color w:val="auto"/>
                <w:szCs w:val="21"/>
              </w:rPr>
              <w:t>37.263976212</w:t>
            </w:r>
          </w:p>
        </w:tc>
        <w:tc>
          <w:tcPr>
            <w:tcW w:w="1128" w:type="dxa"/>
            <w:vAlign w:val="center"/>
          </w:tcPr>
          <w:p>
            <w:pPr>
              <w:adjustRightInd w:val="0"/>
              <w:snapToGrid w:val="0"/>
              <w:jc w:val="center"/>
              <w:rPr>
                <w:color w:val="auto"/>
              </w:rPr>
            </w:pPr>
            <w:r>
              <w:rPr>
                <w:color w:val="auto"/>
              </w:rPr>
              <w:t>阳沟村二队</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NW</w:t>
            </w:r>
          </w:p>
        </w:tc>
        <w:tc>
          <w:tcPr>
            <w:tcW w:w="924" w:type="dxa"/>
            <w:vAlign w:val="center"/>
          </w:tcPr>
          <w:p>
            <w:pPr>
              <w:adjustRightInd w:val="0"/>
              <w:snapToGrid w:val="0"/>
              <w:jc w:val="center"/>
              <w:rPr>
                <w:color w:val="auto"/>
                <w:szCs w:val="21"/>
              </w:rPr>
            </w:pPr>
            <w:r>
              <w:rPr>
                <w:color w:val="auto"/>
                <w:szCs w:val="21"/>
              </w:rPr>
              <w:t>220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105.154648205</w:t>
            </w:r>
          </w:p>
        </w:tc>
        <w:tc>
          <w:tcPr>
            <w:tcW w:w="1464" w:type="dxa"/>
            <w:vAlign w:val="center"/>
          </w:tcPr>
          <w:p>
            <w:pPr>
              <w:adjustRightInd w:val="0"/>
              <w:snapToGrid w:val="0"/>
              <w:ind w:left="-105" w:leftChars="-50" w:right="-105" w:rightChars="-50"/>
              <w:jc w:val="center"/>
              <w:rPr>
                <w:color w:val="auto"/>
                <w:szCs w:val="21"/>
              </w:rPr>
            </w:pPr>
            <w:r>
              <w:rPr>
                <w:color w:val="auto"/>
                <w:szCs w:val="21"/>
              </w:rPr>
              <w:t>37.262072059</w:t>
            </w:r>
          </w:p>
        </w:tc>
        <w:tc>
          <w:tcPr>
            <w:tcW w:w="1128" w:type="dxa"/>
            <w:vAlign w:val="center"/>
          </w:tcPr>
          <w:p>
            <w:pPr>
              <w:adjustRightInd w:val="0"/>
              <w:snapToGrid w:val="0"/>
              <w:jc w:val="center"/>
              <w:rPr>
                <w:color w:val="auto"/>
              </w:rPr>
            </w:pPr>
            <w:r>
              <w:rPr>
                <w:color w:val="auto"/>
              </w:rPr>
              <w:t>阳沟村一队</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SE</w:t>
            </w:r>
          </w:p>
        </w:tc>
        <w:tc>
          <w:tcPr>
            <w:tcW w:w="924" w:type="dxa"/>
            <w:vAlign w:val="center"/>
          </w:tcPr>
          <w:p>
            <w:pPr>
              <w:adjustRightInd w:val="0"/>
              <w:snapToGrid w:val="0"/>
              <w:jc w:val="center"/>
              <w:rPr>
                <w:color w:val="auto"/>
                <w:szCs w:val="21"/>
              </w:rPr>
            </w:pPr>
            <w:r>
              <w:rPr>
                <w:color w:val="auto"/>
                <w:szCs w:val="21"/>
              </w:rPr>
              <w:t>438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105.143981735</w:t>
            </w:r>
          </w:p>
        </w:tc>
        <w:tc>
          <w:tcPr>
            <w:tcW w:w="1464" w:type="dxa"/>
            <w:vAlign w:val="center"/>
          </w:tcPr>
          <w:p>
            <w:pPr>
              <w:adjustRightInd w:val="0"/>
              <w:snapToGrid w:val="0"/>
              <w:ind w:left="-105" w:leftChars="-50" w:right="-105" w:rightChars="-50"/>
              <w:jc w:val="center"/>
              <w:rPr>
                <w:color w:val="auto"/>
                <w:szCs w:val="21"/>
              </w:rPr>
            </w:pPr>
            <w:r>
              <w:rPr>
                <w:color w:val="auto"/>
                <w:szCs w:val="21"/>
              </w:rPr>
              <w:t>37.261400003</w:t>
            </w:r>
          </w:p>
        </w:tc>
        <w:tc>
          <w:tcPr>
            <w:tcW w:w="1128" w:type="dxa"/>
            <w:vAlign w:val="center"/>
          </w:tcPr>
          <w:p>
            <w:pPr>
              <w:adjustRightInd w:val="0"/>
              <w:snapToGrid w:val="0"/>
              <w:jc w:val="center"/>
              <w:rPr>
                <w:color w:val="auto"/>
              </w:rPr>
            </w:pPr>
            <w:r>
              <w:rPr>
                <w:color w:val="auto"/>
              </w:rPr>
              <w:t>三窑上点</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SW</w:t>
            </w:r>
          </w:p>
        </w:tc>
        <w:tc>
          <w:tcPr>
            <w:tcW w:w="924" w:type="dxa"/>
            <w:vAlign w:val="center"/>
          </w:tcPr>
          <w:p>
            <w:pPr>
              <w:adjustRightInd w:val="0"/>
              <w:snapToGrid w:val="0"/>
              <w:jc w:val="center"/>
              <w:rPr>
                <w:color w:val="auto"/>
                <w:szCs w:val="21"/>
              </w:rPr>
            </w:pPr>
            <w:r>
              <w:rPr>
                <w:color w:val="auto"/>
                <w:szCs w:val="21"/>
              </w:rPr>
              <w:t>1058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105.143605669</w:t>
            </w:r>
          </w:p>
        </w:tc>
        <w:tc>
          <w:tcPr>
            <w:tcW w:w="1464" w:type="dxa"/>
            <w:vAlign w:val="center"/>
          </w:tcPr>
          <w:p>
            <w:pPr>
              <w:adjustRightInd w:val="0"/>
              <w:snapToGrid w:val="0"/>
              <w:ind w:left="-105" w:leftChars="-50" w:right="-105" w:rightChars="-50"/>
              <w:jc w:val="center"/>
              <w:rPr>
                <w:color w:val="auto"/>
                <w:szCs w:val="21"/>
              </w:rPr>
            </w:pPr>
            <w:r>
              <w:rPr>
                <w:color w:val="auto"/>
                <w:szCs w:val="21"/>
              </w:rPr>
              <w:t>37.254106286</w:t>
            </w:r>
          </w:p>
        </w:tc>
        <w:tc>
          <w:tcPr>
            <w:tcW w:w="1128" w:type="dxa"/>
            <w:vAlign w:val="center"/>
          </w:tcPr>
          <w:p>
            <w:pPr>
              <w:adjustRightInd w:val="0"/>
              <w:snapToGrid w:val="0"/>
              <w:jc w:val="center"/>
              <w:rPr>
                <w:color w:val="auto"/>
              </w:rPr>
            </w:pPr>
            <w:r>
              <w:rPr>
                <w:color w:val="auto"/>
              </w:rPr>
              <w:t>莫渡村</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SW</w:t>
            </w:r>
          </w:p>
        </w:tc>
        <w:tc>
          <w:tcPr>
            <w:tcW w:w="924" w:type="dxa"/>
            <w:vAlign w:val="center"/>
          </w:tcPr>
          <w:p>
            <w:pPr>
              <w:adjustRightInd w:val="0"/>
              <w:snapToGrid w:val="0"/>
              <w:jc w:val="center"/>
              <w:rPr>
                <w:color w:val="auto"/>
                <w:szCs w:val="21"/>
              </w:rPr>
            </w:pPr>
            <w:r>
              <w:rPr>
                <w:color w:val="auto"/>
                <w:szCs w:val="21"/>
              </w:rPr>
              <w:t>1786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105.141741554</w:t>
            </w:r>
          </w:p>
        </w:tc>
        <w:tc>
          <w:tcPr>
            <w:tcW w:w="1464" w:type="dxa"/>
            <w:vAlign w:val="center"/>
          </w:tcPr>
          <w:p>
            <w:pPr>
              <w:adjustRightInd w:val="0"/>
              <w:snapToGrid w:val="0"/>
              <w:ind w:left="-105" w:leftChars="-50" w:right="-105" w:rightChars="-50"/>
              <w:jc w:val="center"/>
              <w:rPr>
                <w:color w:val="auto"/>
                <w:szCs w:val="21"/>
              </w:rPr>
            </w:pPr>
            <w:r>
              <w:rPr>
                <w:color w:val="auto"/>
                <w:szCs w:val="21"/>
              </w:rPr>
              <w:t>37.264428111</w:t>
            </w:r>
          </w:p>
        </w:tc>
        <w:tc>
          <w:tcPr>
            <w:tcW w:w="1128" w:type="dxa"/>
            <w:vAlign w:val="center"/>
          </w:tcPr>
          <w:p>
            <w:pPr>
              <w:adjustRightInd w:val="0"/>
              <w:snapToGrid w:val="0"/>
              <w:jc w:val="center"/>
              <w:rPr>
                <w:color w:val="auto"/>
              </w:rPr>
            </w:pPr>
            <w:r>
              <w:rPr>
                <w:color w:val="auto"/>
              </w:rPr>
              <w:t>景台村</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W</w:t>
            </w:r>
          </w:p>
        </w:tc>
        <w:tc>
          <w:tcPr>
            <w:tcW w:w="924" w:type="dxa"/>
            <w:vAlign w:val="center"/>
          </w:tcPr>
          <w:p>
            <w:pPr>
              <w:adjustRightInd w:val="0"/>
              <w:snapToGrid w:val="0"/>
              <w:jc w:val="center"/>
              <w:rPr>
                <w:color w:val="auto"/>
                <w:szCs w:val="21"/>
              </w:rPr>
            </w:pPr>
            <w:r>
              <w:rPr>
                <w:color w:val="auto"/>
                <w:szCs w:val="21"/>
              </w:rPr>
              <w:t>1625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105.152075860</w:t>
            </w:r>
          </w:p>
        </w:tc>
        <w:tc>
          <w:tcPr>
            <w:tcW w:w="1464" w:type="dxa"/>
            <w:vAlign w:val="center"/>
          </w:tcPr>
          <w:p>
            <w:pPr>
              <w:adjustRightInd w:val="0"/>
              <w:snapToGrid w:val="0"/>
              <w:ind w:left="-105" w:leftChars="-50" w:right="-105" w:rightChars="-50"/>
              <w:jc w:val="center"/>
              <w:rPr>
                <w:color w:val="auto"/>
                <w:szCs w:val="21"/>
              </w:rPr>
            </w:pPr>
            <w:r>
              <w:rPr>
                <w:color w:val="auto"/>
                <w:szCs w:val="21"/>
              </w:rPr>
              <w:t>37.271224474</w:t>
            </w:r>
          </w:p>
        </w:tc>
        <w:tc>
          <w:tcPr>
            <w:tcW w:w="1128" w:type="dxa"/>
            <w:vAlign w:val="center"/>
          </w:tcPr>
          <w:p>
            <w:pPr>
              <w:adjustRightInd w:val="0"/>
              <w:snapToGrid w:val="0"/>
              <w:jc w:val="center"/>
              <w:rPr>
                <w:color w:val="auto"/>
              </w:rPr>
            </w:pPr>
            <w:r>
              <w:rPr>
                <w:color w:val="auto"/>
              </w:rPr>
              <w:t>阳沟台</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N</w:t>
            </w:r>
          </w:p>
        </w:tc>
        <w:tc>
          <w:tcPr>
            <w:tcW w:w="924" w:type="dxa"/>
            <w:vAlign w:val="center"/>
          </w:tcPr>
          <w:p>
            <w:pPr>
              <w:adjustRightInd w:val="0"/>
              <w:snapToGrid w:val="0"/>
              <w:jc w:val="center"/>
              <w:rPr>
                <w:color w:val="auto"/>
                <w:szCs w:val="21"/>
              </w:rPr>
            </w:pPr>
            <w:r>
              <w:rPr>
                <w:color w:val="auto"/>
                <w:szCs w:val="21"/>
              </w:rPr>
              <w:t>1114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105.153994047</w:t>
            </w:r>
          </w:p>
        </w:tc>
        <w:tc>
          <w:tcPr>
            <w:tcW w:w="1464" w:type="dxa"/>
            <w:vAlign w:val="center"/>
          </w:tcPr>
          <w:p>
            <w:pPr>
              <w:adjustRightInd w:val="0"/>
              <w:snapToGrid w:val="0"/>
              <w:ind w:left="-105" w:leftChars="-50" w:right="-105" w:rightChars="-50"/>
              <w:jc w:val="center"/>
              <w:rPr>
                <w:color w:val="auto"/>
                <w:szCs w:val="21"/>
              </w:rPr>
            </w:pPr>
            <w:r>
              <w:rPr>
                <w:color w:val="auto"/>
                <w:szCs w:val="21"/>
              </w:rPr>
              <w:t>37.273137247</w:t>
            </w:r>
          </w:p>
        </w:tc>
        <w:tc>
          <w:tcPr>
            <w:tcW w:w="1128" w:type="dxa"/>
            <w:vAlign w:val="center"/>
          </w:tcPr>
          <w:p>
            <w:pPr>
              <w:adjustRightInd w:val="0"/>
              <w:snapToGrid w:val="0"/>
              <w:jc w:val="center"/>
              <w:rPr>
                <w:color w:val="auto"/>
              </w:rPr>
            </w:pPr>
            <w:r>
              <w:rPr>
                <w:color w:val="auto"/>
              </w:rPr>
              <w:t>阳沟村四队</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N</w:t>
            </w:r>
          </w:p>
        </w:tc>
        <w:tc>
          <w:tcPr>
            <w:tcW w:w="924" w:type="dxa"/>
            <w:vAlign w:val="center"/>
          </w:tcPr>
          <w:p>
            <w:pPr>
              <w:adjustRightInd w:val="0"/>
              <w:snapToGrid w:val="0"/>
              <w:jc w:val="center"/>
              <w:rPr>
                <w:color w:val="auto"/>
                <w:szCs w:val="21"/>
              </w:rPr>
            </w:pPr>
            <w:r>
              <w:rPr>
                <w:color w:val="auto"/>
                <w:szCs w:val="21"/>
              </w:rPr>
              <w:t>1767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105.164289728</w:t>
            </w:r>
          </w:p>
        </w:tc>
        <w:tc>
          <w:tcPr>
            <w:tcW w:w="1464" w:type="dxa"/>
            <w:vAlign w:val="center"/>
          </w:tcPr>
          <w:p>
            <w:pPr>
              <w:adjustRightInd w:val="0"/>
              <w:snapToGrid w:val="0"/>
              <w:ind w:left="-105" w:leftChars="-50" w:right="-105" w:rightChars="-50"/>
              <w:jc w:val="center"/>
              <w:rPr>
                <w:color w:val="auto"/>
                <w:szCs w:val="21"/>
              </w:rPr>
            </w:pPr>
            <w:r>
              <w:rPr>
                <w:color w:val="auto"/>
                <w:szCs w:val="21"/>
              </w:rPr>
              <w:t>37.263196905</w:t>
            </w:r>
          </w:p>
        </w:tc>
        <w:tc>
          <w:tcPr>
            <w:tcW w:w="1128" w:type="dxa"/>
            <w:vAlign w:val="center"/>
          </w:tcPr>
          <w:p>
            <w:pPr>
              <w:adjustRightInd w:val="0"/>
              <w:snapToGrid w:val="0"/>
              <w:jc w:val="center"/>
              <w:rPr>
                <w:color w:val="auto"/>
              </w:rPr>
            </w:pPr>
            <w:r>
              <w:rPr>
                <w:color w:val="auto"/>
              </w:rPr>
              <w:t>丰台上点</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E</w:t>
            </w:r>
          </w:p>
        </w:tc>
        <w:tc>
          <w:tcPr>
            <w:tcW w:w="924" w:type="dxa"/>
            <w:vAlign w:val="center"/>
          </w:tcPr>
          <w:p>
            <w:pPr>
              <w:adjustRightInd w:val="0"/>
              <w:snapToGrid w:val="0"/>
              <w:jc w:val="center"/>
              <w:rPr>
                <w:color w:val="auto"/>
                <w:szCs w:val="21"/>
              </w:rPr>
            </w:pPr>
            <w:r>
              <w:rPr>
                <w:color w:val="auto"/>
                <w:szCs w:val="21"/>
              </w:rPr>
              <w:t>1626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105.170383138</w:t>
            </w:r>
          </w:p>
        </w:tc>
        <w:tc>
          <w:tcPr>
            <w:tcW w:w="1464" w:type="dxa"/>
            <w:vAlign w:val="center"/>
          </w:tcPr>
          <w:p>
            <w:pPr>
              <w:adjustRightInd w:val="0"/>
              <w:snapToGrid w:val="0"/>
              <w:ind w:left="-105" w:leftChars="-50" w:right="-105" w:rightChars="-50"/>
              <w:jc w:val="center"/>
              <w:rPr>
                <w:color w:val="auto"/>
                <w:szCs w:val="21"/>
              </w:rPr>
            </w:pPr>
            <w:r>
              <w:rPr>
                <w:color w:val="auto"/>
                <w:szCs w:val="21"/>
              </w:rPr>
              <w:t>37.261026246</w:t>
            </w:r>
          </w:p>
        </w:tc>
        <w:tc>
          <w:tcPr>
            <w:tcW w:w="1128" w:type="dxa"/>
            <w:vAlign w:val="center"/>
          </w:tcPr>
          <w:p>
            <w:pPr>
              <w:adjustRightInd w:val="0"/>
              <w:snapToGrid w:val="0"/>
              <w:jc w:val="center"/>
              <w:rPr>
                <w:color w:val="auto"/>
              </w:rPr>
            </w:pPr>
            <w:r>
              <w:rPr>
                <w:color w:val="auto"/>
              </w:rPr>
              <w:t>达茂上点</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SE</w:t>
            </w:r>
          </w:p>
        </w:tc>
        <w:tc>
          <w:tcPr>
            <w:tcW w:w="924" w:type="dxa"/>
            <w:vAlign w:val="center"/>
          </w:tcPr>
          <w:p>
            <w:pPr>
              <w:adjustRightInd w:val="0"/>
              <w:snapToGrid w:val="0"/>
              <w:jc w:val="center"/>
              <w:rPr>
                <w:color w:val="auto"/>
                <w:szCs w:val="21"/>
              </w:rPr>
            </w:pPr>
            <w:r>
              <w:rPr>
                <w:color w:val="auto"/>
                <w:szCs w:val="21"/>
              </w:rPr>
              <w:t>2303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105.170336789</w:t>
            </w:r>
          </w:p>
        </w:tc>
        <w:tc>
          <w:tcPr>
            <w:tcW w:w="1464" w:type="dxa"/>
            <w:vAlign w:val="center"/>
          </w:tcPr>
          <w:p>
            <w:pPr>
              <w:adjustRightInd w:val="0"/>
              <w:snapToGrid w:val="0"/>
              <w:ind w:left="-105" w:leftChars="-50" w:right="-105" w:rightChars="-50"/>
              <w:jc w:val="center"/>
              <w:rPr>
                <w:color w:val="auto"/>
                <w:szCs w:val="21"/>
              </w:rPr>
            </w:pPr>
            <w:r>
              <w:rPr>
                <w:color w:val="auto"/>
                <w:szCs w:val="21"/>
              </w:rPr>
              <w:t>37.264286096</w:t>
            </w:r>
          </w:p>
        </w:tc>
        <w:tc>
          <w:tcPr>
            <w:tcW w:w="1128" w:type="dxa"/>
            <w:vAlign w:val="center"/>
          </w:tcPr>
          <w:p>
            <w:pPr>
              <w:adjustRightInd w:val="0"/>
              <w:snapToGrid w:val="0"/>
              <w:jc w:val="center"/>
              <w:rPr>
                <w:color w:val="auto"/>
              </w:rPr>
            </w:pPr>
            <w:r>
              <w:rPr>
                <w:color w:val="auto"/>
              </w:rPr>
              <w:t>永康镇丰台小学</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NE</w:t>
            </w:r>
          </w:p>
        </w:tc>
        <w:tc>
          <w:tcPr>
            <w:tcW w:w="924" w:type="dxa"/>
            <w:vAlign w:val="center"/>
          </w:tcPr>
          <w:p>
            <w:pPr>
              <w:adjustRightInd w:val="0"/>
              <w:snapToGrid w:val="0"/>
              <w:jc w:val="center"/>
              <w:rPr>
                <w:color w:val="auto"/>
                <w:szCs w:val="21"/>
              </w:rPr>
            </w:pPr>
            <w:r>
              <w:rPr>
                <w:color w:val="auto"/>
                <w:szCs w:val="21"/>
              </w:rPr>
              <w:t>2249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105.165826956</w:t>
            </w:r>
          </w:p>
        </w:tc>
        <w:tc>
          <w:tcPr>
            <w:tcW w:w="1464" w:type="dxa"/>
            <w:vAlign w:val="center"/>
          </w:tcPr>
          <w:p>
            <w:pPr>
              <w:adjustRightInd w:val="0"/>
              <w:snapToGrid w:val="0"/>
              <w:ind w:left="-105" w:leftChars="-50" w:right="-105" w:rightChars="-50"/>
              <w:jc w:val="center"/>
              <w:rPr>
                <w:color w:val="auto"/>
                <w:szCs w:val="21"/>
              </w:rPr>
            </w:pPr>
            <w:r>
              <w:rPr>
                <w:color w:val="auto"/>
                <w:szCs w:val="21"/>
              </w:rPr>
              <w:t>37.270217287</w:t>
            </w:r>
          </w:p>
        </w:tc>
        <w:tc>
          <w:tcPr>
            <w:tcW w:w="1128" w:type="dxa"/>
            <w:vAlign w:val="center"/>
          </w:tcPr>
          <w:p>
            <w:pPr>
              <w:adjustRightInd w:val="0"/>
              <w:snapToGrid w:val="0"/>
              <w:jc w:val="center"/>
              <w:rPr>
                <w:color w:val="auto"/>
                <w:szCs w:val="21"/>
              </w:rPr>
            </w:pPr>
            <w:r>
              <w:rPr>
                <w:color w:val="auto"/>
                <w:szCs w:val="21"/>
              </w:rPr>
              <w:t>丰台村</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NE</w:t>
            </w:r>
          </w:p>
        </w:tc>
        <w:tc>
          <w:tcPr>
            <w:tcW w:w="924" w:type="dxa"/>
            <w:vAlign w:val="center"/>
          </w:tcPr>
          <w:p>
            <w:pPr>
              <w:adjustRightInd w:val="0"/>
              <w:snapToGrid w:val="0"/>
              <w:jc w:val="center"/>
              <w:rPr>
                <w:color w:val="auto"/>
                <w:szCs w:val="21"/>
              </w:rPr>
            </w:pPr>
            <w:r>
              <w:rPr>
                <w:color w:val="auto"/>
                <w:szCs w:val="21"/>
              </w:rPr>
              <w:t>2258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Merge w:val="continue"/>
            <w:vAlign w:val="center"/>
          </w:tcPr>
          <w:p>
            <w:pPr>
              <w:adjustRightInd w:val="0"/>
              <w:snapToGrid w:val="0"/>
              <w:jc w:val="center"/>
              <w:rPr>
                <w:color w:val="auto"/>
                <w:szCs w:val="21"/>
              </w:rPr>
            </w:pPr>
          </w:p>
        </w:tc>
        <w:tc>
          <w:tcPr>
            <w:tcW w:w="1476" w:type="dxa"/>
            <w:vAlign w:val="center"/>
          </w:tcPr>
          <w:p>
            <w:pPr>
              <w:adjustRightInd w:val="0"/>
              <w:snapToGrid w:val="0"/>
              <w:ind w:left="-105" w:leftChars="-50" w:right="-105" w:rightChars="-50"/>
              <w:jc w:val="center"/>
              <w:rPr>
                <w:color w:val="auto"/>
                <w:szCs w:val="21"/>
              </w:rPr>
            </w:pPr>
            <w:r>
              <w:rPr>
                <w:color w:val="auto"/>
                <w:szCs w:val="21"/>
              </w:rPr>
              <w:t>105.164884534</w:t>
            </w:r>
          </w:p>
        </w:tc>
        <w:tc>
          <w:tcPr>
            <w:tcW w:w="1464" w:type="dxa"/>
            <w:vAlign w:val="center"/>
          </w:tcPr>
          <w:p>
            <w:pPr>
              <w:adjustRightInd w:val="0"/>
              <w:snapToGrid w:val="0"/>
              <w:ind w:left="-105" w:leftChars="-50" w:right="-105" w:rightChars="-50"/>
              <w:jc w:val="center"/>
              <w:rPr>
                <w:color w:val="auto"/>
                <w:szCs w:val="21"/>
              </w:rPr>
            </w:pPr>
            <w:r>
              <w:rPr>
                <w:color w:val="auto"/>
                <w:szCs w:val="21"/>
              </w:rPr>
              <w:t>37.271607744</w:t>
            </w:r>
          </w:p>
        </w:tc>
        <w:tc>
          <w:tcPr>
            <w:tcW w:w="1128" w:type="dxa"/>
            <w:vAlign w:val="center"/>
          </w:tcPr>
          <w:p>
            <w:pPr>
              <w:adjustRightInd w:val="0"/>
              <w:snapToGrid w:val="0"/>
              <w:jc w:val="center"/>
              <w:rPr>
                <w:color w:val="auto"/>
              </w:rPr>
            </w:pPr>
            <w:r>
              <w:rPr>
                <w:color w:val="auto"/>
              </w:rPr>
              <w:t>丰台西点</w:t>
            </w:r>
          </w:p>
        </w:tc>
        <w:tc>
          <w:tcPr>
            <w:tcW w:w="816" w:type="dxa"/>
            <w:vMerge w:val="continue"/>
            <w:vAlign w:val="center"/>
          </w:tcPr>
          <w:p>
            <w:pPr>
              <w:adjustRightInd w:val="0"/>
              <w:snapToGrid w:val="0"/>
              <w:jc w:val="center"/>
              <w:rPr>
                <w:color w:val="auto"/>
                <w:szCs w:val="21"/>
              </w:rPr>
            </w:pPr>
          </w:p>
        </w:tc>
        <w:tc>
          <w:tcPr>
            <w:tcW w:w="1968" w:type="dxa"/>
            <w:vMerge w:val="continue"/>
            <w:vAlign w:val="center"/>
          </w:tcPr>
          <w:p>
            <w:pPr>
              <w:adjustRightInd w:val="0"/>
              <w:snapToGrid w:val="0"/>
              <w:jc w:val="center"/>
              <w:rPr>
                <w:color w:val="auto"/>
                <w:szCs w:val="21"/>
              </w:rPr>
            </w:pPr>
          </w:p>
        </w:tc>
        <w:tc>
          <w:tcPr>
            <w:tcW w:w="804" w:type="dxa"/>
            <w:vAlign w:val="center"/>
          </w:tcPr>
          <w:p>
            <w:pPr>
              <w:adjustRightInd w:val="0"/>
              <w:snapToGrid w:val="0"/>
              <w:jc w:val="center"/>
              <w:rPr>
                <w:color w:val="auto"/>
                <w:szCs w:val="21"/>
              </w:rPr>
            </w:pPr>
            <w:r>
              <w:rPr>
                <w:color w:val="auto"/>
                <w:szCs w:val="21"/>
              </w:rPr>
              <w:t>NE</w:t>
            </w:r>
          </w:p>
        </w:tc>
        <w:tc>
          <w:tcPr>
            <w:tcW w:w="924" w:type="dxa"/>
            <w:vAlign w:val="center"/>
          </w:tcPr>
          <w:p>
            <w:pPr>
              <w:adjustRightInd w:val="0"/>
              <w:snapToGrid w:val="0"/>
              <w:jc w:val="center"/>
              <w:rPr>
                <w:color w:val="auto"/>
                <w:szCs w:val="21"/>
              </w:rPr>
            </w:pPr>
            <w:r>
              <w:rPr>
                <w:color w:val="auto"/>
                <w:szCs w:val="21"/>
              </w:rPr>
              <w:t>2281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Align w:val="center"/>
          </w:tcPr>
          <w:p>
            <w:pPr>
              <w:adjustRightInd w:val="0"/>
              <w:snapToGrid w:val="0"/>
              <w:jc w:val="center"/>
              <w:rPr>
                <w:color w:val="auto"/>
                <w:szCs w:val="21"/>
              </w:rPr>
            </w:pPr>
            <w:r>
              <w:rPr>
                <w:color w:val="auto"/>
                <w:szCs w:val="21"/>
              </w:rPr>
              <w:t>声环境</w:t>
            </w:r>
          </w:p>
        </w:tc>
        <w:tc>
          <w:tcPr>
            <w:tcW w:w="1476" w:type="dxa"/>
            <w:vAlign w:val="center"/>
          </w:tcPr>
          <w:p>
            <w:pPr>
              <w:adjustRightInd w:val="0"/>
              <w:snapToGrid w:val="0"/>
              <w:ind w:left="-105" w:leftChars="-50" w:right="-105" w:rightChars="-50"/>
              <w:jc w:val="center"/>
              <w:rPr>
                <w:color w:val="auto"/>
                <w:szCs w:val="21"/>
              </w:rPr>
            </w:pPr>
            <w:r>
              <w:rPr>
                <w:color w:val="auto"/>
                <w:szCs w:val="21"/>
              </w:rPr>
              <w:t>105.151952263</w:t>
            </w:r>
          </w:p>
        </w:tc>
        <w:tc>
          <w:tcPr>
            <w:tcW w:w="1464" w:type="dxa"/>
            <w:vAlign w:val="center"/>
          </w:tcPr>
          <w:p>
            <w:pPr>
              <w:adjustRightInd w:val="0"/>
              <w:snapToGrid w:val="0"/>
              <w:ind w:left="-105" w:leftChars="-50" w:right="-105" w:rightChars="-50"/>
              <w:jc w:val="center"/>
              <w:rPr>
                <w:color w:val="auto"/>
                <w:szCs w:val="21"/>
              </w:rPr>
            </w:pPr>
            <w:r>
              <w:rPr>
                <w:color w:val="auto"/>
                <w:szCs w:val="21"/>
              </w:rPr>
              <w:t>37.263172836</w:t>
            </w:r>
          </w:p>
        </w:tc>
        <w:tc>
          <w:tcPr>
            <w:tcW w:w="1128" w:type="dxa"/>
            <w:vAlign w:val="center"/>
          </w:tcPr>
          <w:p>
            <w:pPr>
              <w:adjustRightInd w:val="0"/>
              <w:snapToGrid w:val="0"/>
              <w:jc w:val="center"/>
              <w:rPr>
                <w:color w:val="auto"/>
              </w:rPr>
            </w:pPr>
            <w:r>
              <w:rPr>
                <w:color w:val="auto"/>
              </w:rPr>
              <w:t>永康镇阳沟村希望小学</w:t>
            </w:r>
          </w:p>
        </w:tc>
        <w:tc>
          <w:tcPr>
            <w:tcW w:w="816" w:type="dxa"/>
            <w:vAlign w:val="center"/>
          </w:tcPr>
          <w:p>
            <w:pPr>
              <w:adjustRightInd w:val="0"/>
              <w:snapToGrid w:val="0"/>
              <w:jc w:val="center"/>
              <w:rPr>
                <w:color w:val="auto"/>
                <w:szCs w:val="21"/>
              </w:rPr>
            </w:pPr>
            <w:r>
              <w:rPr>
                <w:color w:val="auto"/>
                <w:szCs w:val="21"/>
              </w:rPr>
              <w:t>声环境</w:t>
            </w:r>
          </w:p>
        </w:tc>
        <w:tc>
          <w:tcPr>
            <w:tcW w:w="1968" w:type="dxa"/>
            <w:vAlign w:val="center"/>
          </w:tcPr>
          <w:p>
            <w:pPr>
              <w:adjustRightInd w:val="0"/>
              <w:snapToGrid w:val="0"/>
              <w:jc w:val="center"/>
              <w:rPr>
                <w:color w:val="auto"/>
                <w:szCs w:val="21"/>
              </w:rPr>
            </w:pPr>
            <w:r>
              <w:rPr>
                <w:color w:val="auto"/>
                <w:szCs w:val="21"/>
              </w:rPr>
              <w:t>《声环境质量标准》（GB3096-2008）1类</w:t>
            </w:r>
          </w:p>
        </w:tc>
        <w:tc>
          <w:tcPr>
            <w:tcW w:w="804" w:type="dxa"/>
            <w:vAlign w:val="center"/>
          </w:tcPr>
          <w:p>
            <w:pPr>
              <w:adjustRightInd w:val="0"/>
              <w:snapToGrid w:val="0"/>
              <w:jc w:val="center"/>
              <w:rPr>
                <w:color w:val="auto"/>
                <w:szCs w:val="21"/>
              </w:rPr>
            </w:pPr>
            <w:r>
              <w:rPr>
                <w:color w:val="auto"/>
                <w:szCs w:val="21"/>
              </w:rPr>
              <w:t>W</w:t>
            </w:r>
          </w:p>
        </w:tc>
        <w:tc>
          <w:tcPr>
            <w:tcW w:w="924" w:type="dxa"/>
            <w:vAlign w:val="center"/>
          </w:tcPr>
          <w:p>
            <w:pPr>
              <w:adjustRightInd w:val="0"/>
              <w:snapToGrid w:val="0"/>
              <w:jc w:val="center"/>
              <w:rPr>
                <w:color w:val="auto"/>
                <w:szCs w:val="21"/>
              </w:rPr>
            </w:pPr>
            <w:r>
              <w:rPr>
                <w:color w:val="auto"/>
                <w:szCs w:val="21"/>
              </w:rPr>
              <w:t>162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Align w:val="center"/>
          </w:tcPr>
          <w:p>
            <w:pPr>
              <w:adjustRightInd w:val="0"/>
              <w:snapToGrid w:val="0"/>
              <w:jc w:val="center"/>
              <w:rPr>
                <w:color w:val="auto"/>
                <w:szCs w:val="21"/>
              </w:rPr>
            </w:pPr>
            <w:r>
              <w:rPr>
                <w:color w:val="auto"/>
                <w:szCs w:val="21"/>
              </w:rPr>
              <w:t>地表水</w:t>
            </w:r>
          </w:p>
        </w:tc>
        <w:tc>
          <w:tcPr>
            <w:tcW w:w="2940" w:type="dxa"/>
            <w:gridSpan w:val="2"/>
            <w:vAlign w:val="center"/>
          </w:tcPr>
          <w:p>
            <w:pPr>
              <w:adjustRightInd w:val="0"/>
              <w:snapToGrid w:val="0"/>
              <w:jc w:val="center"/>
              <w:rPr>
                <w:color w:val="auto"/>
                <w:szCs w:val="21"/>
              </w:rPr>
            </w:pPr>
            <w:r>
              <w:rPr>
                <w:color w:val="auto"/>
                <w:szCs w:val="21"/>
              </w:rPr>
              <w:t>/</w:t>
            </w:r>
          </w:p>
        </w:tc>
        <w:tc>
          <w:tcPr>
            <w:tcW w:w="1128" w:type="dxa"/>
            <w:vAlign w:val="center"/>
          </w:tcPr>
          <w:p>
            <w:pPr>
              <w:adjustRightInd w:val="0"/>
              <w:snapToGrid w:val="0"/>
              <w:jc w:val="center"/>
              <w:rPr>
                <w:color w:val="auto"/>
                <w:szCs w:val="21"/>
              </w:rPr>
            </w:pPr>
            <w:r>
              <w:rPr>
                <w:color w:val="auto"/>
                <w:szCs w:val="21"/>
              </w:rPr>
              <w:t>黄河</w:t>
            </w:r>
          </w:p>
        </w:tc>
        <w:tc>
          <w:tcPr>
            <w:tcW w:w="816" w:type="dxa"/>
            <w:vAlign w:val="center"/>
          </w:tcPr>
          <w:p>
            <w:pPr>
              <w:adjustRightInd w:val="0"/>
              <w:snapToGrid w:val="0"/>
              <w:jc w:val="center"/>
              <w:rPr>
                <w:color w:val="auto"/>
                <w:szCs w:val="21"/>
              </w:rPr>
            </w:pPr>
            <w:r>
              <w:rPr>
                <w:color w:val="auto"/>
                <w:szCs w:val="21"/>
              </w:rPr>
              <w:t>地表水</w:t>
            </w:r>
          </w:p>
        </w:tc>
        <w:tc>
          <w:tcPr>
            <w:tcW w:w="1968" w:type="dxa"/>
            <w:vAlign w:val="center"/>
          </w:tcPr>
          <w:p>
            <w:pPr>
              <w:adjustRightInd w:val="0"/>
              <w:snapToGrid w:val="0"/>
              <w:jc w:val="center"/>
              <w:rPr>
                <w:color w:val="auto"/>
                <w:szCs w:val="21"/>
              </w:rPr>
            </w:pPr>
            <w:r>
              <w:rPr>
                <w:color w:val="auto"/>
                <w:szCs w:val="21"/>
              </w:rPr>
              <w:t>《地表水环境质量标准》（GB3838-2002）Ⅱ类水体</w:t>
            </w:r>
          </w:p>
        </w:tc>
        <w:tc>
          <w:tcPr>
            <w:tcW w:w="804" w:type="dxa"/>
            <w:vAlign w:val="center"/>
          </w:tcPr>
          <w:p>
            <w:pPr>
              <w:adjustRightInd w:val="0"/>
              <w:snapToGrid w:val="0"/>
              <w:jc w:val="center"/>
              <w:rPr>
                <w:color w:val="auto"/>
                <w:szCs w:val="21"/>
              </w:rPr>
            </w:pPr>
            <w:r>
              <w:rPr>
                <w:color w:val="auto"/>
                <w:szCs w:val="21"/>
              </w:rPr>
              <w:t>N</w:t>
            </w:r>
          </w:p>
        </w:tc>
        <w:tc>
          <w:tcPr>
            <w:tcW w:w="924" w:type="dxa"/>
            <w:vAlign w:val="center"/>
          </w:tcPr>
          <w:p>
            <w:pPr>
              <w:adjustRightInd w:val="0"/>
              <w:snapToGrid w:val="0"/>
              <w:jc w:val="center"/>
              <w:rPr>
                <w:color w:val="auto"/>
                <w:szCs w:val="21"/>
              </w:rPr>
            </w:pPr>
            <w:r>
              <w:rPr>
                <w:color w:val="auto"/>
                <w:szCs w:val="21"/>
              </w:rPr>
              <w:t>4400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4" w:hRule="atLeast"/>
        </w:trPr>
        <w:tc>
          <w:tcPr>
            <w:tcW w:w="696" w:type="dxa"/>
            <w:vAlign w:val="center"/>
          </w:tcPr>
          <w:p>
            <w:pPr>
              <w:adjustRightInd w:val="0"/>
              <w:snapToGrid w:val="0"/>
              <w:jc w:val="center"/>
              <w:rPr>
                <w:color w:val="auto"/>
                <w:szCs w:val="21"/>
              </w:rPr>
            </w:pPr>
            <w:r>
              <w:rPr>
                <w:color w:val="auto"/>
                <w:szCs w:val="21"/>
              </w:rPr>
              <w:t>地下水</w:t>
            </w:r>
          </w:p>
        </w:tc>
        <w:tc>
          <w:tcPr>
            <w:tcW w:w="4884" w:type="dxa"/>
            <w:gridSpan w:val="4"/>
            <w:vAlign w:val="center"/>
          </w:tcPr>
          <w:p>
            <w:pPr>
              <w:adjustRightInd w:val="0"/>
              <w:snapToGrid w:val="0"/>
              <w:jc w:val="center"/>
              <w:rPr>
                <w:color w:val="auto"/>
                <w:szCs w:val="21"/>
              </w:rPr>
            </w:pPr>
            <w:r>
              <w:rPr>
                <w:color w:val="auto"/>
                <w:szCs w:val="21"/>
              </w:rPr>
              <w:t>评价范围内的地下水潜水含水层</w:t>
            </w:r>
          </w:p>
        </w:tc>
        <w:tc>
          <w:tcPr>
            <w:tcW w:w="3696" w:type="dxa"/>
            <w:gridSpan w:val="3"/>
            <w:vAlign w:val="center"/>
          </w:tcPr>
          <w:p>
            <w:pPr>
              <w:adjustRightInd w:val="0"/>
              <w:snapToGrid w:val="0"/>
              <w:jc w:val="center"/>
              <w:rPr>
                <w:color w:val="auto"/>
                <w:szCs w:val="21"/>
              </w:rPr>
            </w:pPr>
            <w:r>
              <w:rPr>
                <w:color w:val="auto"/>
                <w:szCs w:val="21"/>
              </w:rPr>
              <w:t>《地下水质量标准》（GB/T14848-2017）Ⅲ类水体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09" w:hRule="atLeast"/>
        </w:trPr>
        <w:tc>
          <w:tcPr>
            <w:tcW w:w="696" w:type="dxa"/>
            <w:vAlign w:val="center"/>
          </w:tcPr>
          <w:p>
            <w:pPr>
              <w:adjustRightInd w:val="0"/>
              <w:snapToGrid w:val="0"/>
              <w:jc w:val="center"/>
              <w:rPr>
                <w:color w:val="auto"/>
                <w:szCs w:val="21"/>
              </w:rPr>
            </w:pPr>
            <w:r>
              <w:rPr>
                <w:color w:val="auto"/>
                <w:szCs w:val="21"/>
              </w:rPr>
              <w:t>土壤</w:t>
            </w:r>
          </w:p>
        </w:tc>
        <w:tc>
          <w:tcPr>
            <w:tcW w:w="4884" w:type="dxa"/>
            <w:gridSpan w:val="4"/>
            <w:vAlign w:val="center"/>
          </w:tcPr>
          <w:p>
            <w:pPr>
              <w:pStyle w:val="164"/>
              <w:rPr>
                <w:color w:val="auto"/>
              </w:rPr>
            </w:pPr>
            <w:r>
              <w:rPr>
                <w:rStyle w:val="593"/>
                <w:rFonts w:hint="default" w:ascii="Times New Roman" w:hAnsi="Times New Roman" w:eastAsia="宋体" w:cs="Times New Roman"/>
                <w:color w:val="auto"/>
                <w:szCs w:val="24"/>
              </w:rPr>
              <w:t>项目占地范围及场地外</w:t>
            </w:r>
            <w:r>
              <w:rPr>
                <w:rStyle w:val="593"/>
                <w:rFonts w:hint="default" w:ascii="Times New Roman" w:hAnsi="Times New Roman" w:cs="Times New Roman"/>
                <w:color w:val="auto"/>
                <w:szCs w:val="24"/>
              </w:rPr>
              <w:t>10</w:t>
            </w:r>
            <w:r>
              <w:rPr>
                <w:rStyle w:val="593"/>
                <w:rFonts w:hint="default" w:ascii="Times New Roman" w:hAnsi="Times New Roman" w:eastAsia="宋体" w:cs="Times New Roman"/>
                <w:color w:val="auto"/>
                <w:szCs w:val="24"/>
              </w:rPr>
              <w:t>00m的范围</w:t>
            </w:r>
          </w:p>
        </w:tc>
        <w:tc>
          <w:tcPr>
            <w:tcW w:w="3696" w:type="dxa"/>
            <w:gridSpan w:val="3"/>
            <w:vAlign w:val="center"/>
          </w:tcPr>
          <w:p>
            <w:pPr>
              <w:adjustRightInd w:val="0"/>
              <w:snapToGrid w:val="0"/>
              <w:jc w:val="center"/>
              <w:rPr>
                <w:color w:val="auto"/>
                <w:szCs w:val="21"/>
              </w:rPr>
            </w:pPr>
            <w:r>
              <w:rPr>
                <w:color w:val="auto"/>
              </w:rPr>
              <w:t>《土壤环境质量 建设用地土壤污染风险管控标准（试行）》（GB36600-2018）</w:t>
            </w:r>
            <w:r>
              <w:rPr>
                <w:color w:val="auto"/>
                <w:szCs w:val="21"/>
              </w:rPr>
              <w:t>标准和</w:t>
            </w:r>
            <w:r>
              <w:rPr>
                <w:color w:val="auto"/>
              </w:rPr>
              <w:t>《土壤环境质量 农用地土壤污染风险管控标准》（试行）（GB15618-2018）标准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trPr>
        <w:tc>
          <w:tcPr>
            <w:tcW w:w="696" w:type="dxa"/>
            <w:vAlign w:val="center"/>
          </w:tcPr>
          <w:p>
            <w:pPr>
              <w:adjustRightInd w:val="0"/>
              <w:snapToGrid w:val="0"/>
              <w:jc w:val="center"/>
              <w:rPr>
                <w:color w:val="auto"/>
                <w:szCs w:val="21"/>
              </w:rPr>
            </w:pPr>
            <w:r>
              <w:rPr>
                <w:color w:val="auto"/>
                <w:szCs w:val="21"/>
              </w:rPr>
              <w:t>生态</w:t>
            </w:r>
          </w:p>
          <w:p>
            <w:pPr>
              <w:adjustRightInd w:val="0"/>
              <w:snapToGrid w:val="0"/>
              <w:jc w:val="center"/>
              <w:rPr>
                <w:color w:val="auto"/>
                <w:szCs w:val="21"/>
              </w:rPr>
            </w:pPr>
            <w:r>
              <w:rPr>
                <w:color w:val="auto"/>
                <w:szCs w:val="21"/>
              </w:rPr>
              <w:t>环境</w:t>
            </w:r>
          </w:p>
        </w:tc>
        <w:tc>
          <w:tcPr>
            <w:tcW w:w="8580" w:type="dxa"/>
            <w:gridSpan w:val="7"/>
            <w:vAlign w:val="center"/>
          </w:tcPr>
          <w:p>
            <w:pPr>
              <w:adjustRightInd w:val="0"/>
              <w:snapToGrid w:val="0"/>
              <w:jc w:val="center"/>
              <w:rPr>
                <w:color w:val="auto"/>
                <w:szCs w:val="21"/>
              </w:rPr>
            </w:pPr>
            <w:r>
              <w:rPr>
                <w:color w:val="auto"/>
                <w:szCs w:val="21"/>
              </w:rPr>
              <w:t>评价区土壤及植被，保护生态环境良性循环</w:t>
            </w:r>
          </w:p>
        </w:tc>
      </w:tr>
    </w:tbl>
    <w:p>
      <w:pPr>
        <w:rPr>
          <w:color w:val="auto"/>
        </w:rPr>
      </w:pPr>
    </w:p>
    <w:p>
      <w:pPr>
        <w:pStyle w:val="130"/>
        <w:ind w:firstLine="480"/>
        <w:rPr>
          <w:snapToGrid w:val="0"/>
          <w:color w:val="auto"/>
        </w:rPr>
        <w:sectPr>
          <w:pgSz w:w="11906" w:h="16838"/>
          <w:pgMar w:top="1701" w:right="1701" w:bottom="1701" w:left="1701" w:header="851" w:footer="851" w:gutter="0"/>
          <w:cols w:space="720" w:num="1"/>
          <w:docGrid w:linePitch="466" w:charSpace="0"/>
        </w:sectPr>
      </w:pPr>
    </w:p>
    <w:p>
      <w:pPr>
        <w:pStyle w:val="3"/>
        <w:numPr>
          <w:ilvl w:val="0"/>
          <w:numId w:val="0"/>
        </w:numPr>
        <w:spacing w:before="120" w:after="120"/>
        <w:jc w:val="center"/>
        <w:rPr>
          <w:rFonts w:ascii="Times New Roman" w:hAnsi="Times New Roman"/>
          <w:color w:val="auto"/>
        </w:rPr>
      </w:pPr>
      <w:bookmarkStart w:id="151" w:name="_Toc11595210"/>
      <w:bookmarkStart w:id="152" w:name="_Toc109398558"/>
      <w:r>
        <w:rPr>
          <w:rFonts w:ascii="Times New Roman" w:hAnsi="Times New Roman"/>
          <w:color w:val="auto"/>
        </w:rPr>
        <w:t>2现有工程概况</w:t>
      </w:r>
      <w:bookmarkEnd w:id="151"/>
      <w:bookmarkEnd w:id="152"/>
    </w:p>
    <w:p>
      <w:pPr>
        <w:pStyle w:val="4"/>
        <w:numPr>
          <w:ilvl w:val="1"/>
          <w:numId w:val="0"/>
        </w:numPr>
        <w:spacing w:before="120"/>
        <w:rPr>
          <w:color w:val="auto"/>
        </w:rPr>
      </w:pPr>
      <w:bookmarkStart w:id="153" w:name="_Toc58849403"/>
      <w:bookmarkStart w:id="154" w:name="_Toc109398559"/>
      <w:bookmarkStart w:id="155" w:name="_Toc11595211"/>
      <w:r>
        <w:rPr>
          <w:color w:val="auto"/>
        </w:rPr>
        <w:t>2.1现有工程项目概况</w:t>
      </w:r>
      <w:bookmarkEnd w:id="153"/>
      <w:bookmarkEnd w:id="154"/>
    </w:p>
    <w:p>
      <w:pPr>
        <w:pStyle w:val="130"/>
        <w:ind w:firstLine="480"/>
        <w:rPr>
          <w:color w:val="auto"/>
        </w:rPr>
      </w:pPr>
      <w:r>
        <w:rPr>
          <w:color w:val="auto"/>
        </w:rPr>
        <w:t>中卫市垃圾处理厂于2006年8月委托宁夏环境科学设计研究院完成《宁夏回族自治区中卫市医疗废物集中处置设施建设项目环境影响报告书》，主要建设医疗废物收集运输设施、医疗废物贮存与预处理设施、医疗废物高温消毒设施、办公及其它配套设施设备，设置高温蒸汽灭菌系统1套，处理能力3t/d。2006年12月13日，宁夏回族自治区环境保护局（现为宁夏回族自治区生态环境厅）以宁环函[2006]285号文对中卫市医疗废物集中处置设施建设项目环境影响报告书予以批复。</w:t>
      </w:r>
    </w:p>
    <w:p>
      <w:pPr>
        <w:pStyle w:val="130"/>
        <w:ind w:firstLine="480"/>
        <w:rPr>
          <w:color w:val="auto"/>
        </w:rPr>
      </w:pPr>
      <w:r>
        <w:rPr>
          <w:color w:val="auto"/>
        </w:rPr>
        <w:t>2010年10月现有工程竣工，处理设施运行正常，具备建设项目竣工环境保护验收条件。根据中卫应理城乡市政产业（集团）有限公司的委托，宁夏环境监测中心站会同项目相关人员对建设项目进行现场勘察，在收集相关技术资料的基础上，编制现有工程竣工环境保护验收监测方案。2011年11月至12月宁夏环境监测中心站对建设项目生产过程产生的废水、废气、厂界噪声开展现场监测，对“三同时”执行情况及环境管理的各个坏节进行了检查，经数据处理及综合分析、评价，验收合格，并取得批复（宁环验[2012]47号），排污许可证正在办理中。</w:t>
      </w:r>
    </w:p>
    <w:p>
      <w:pPr>
        <w:pStyle w:val="5"/>
        <w:numPr>
          <w:ilvl w:val="2"/>
          <w:numId w:val="0"/>
        </w:numPr>
        <w:ind w:left="-720" w:leftChars="-343" w:firstLine="723" w:firstLineChars="300"/>
        <w:rPr>
          <w:color w:val="auto"/>
        </w:rPr>
      </w:pPr>
      <w:bookmarkStart w:id="156" w:name="_Toc109398560"/>
      <w:bookmarkStart w:id="157" w:name="_Toc58849404"/>
      <w:r>
        <w:rPr>
          <w:color w:val="auto"/>
        </w:rPr>
        <w:t>2.1.1现有工程项目基本情况</w:t>
      </w:r>
      <w:bookmarkEnd w:id="156"/>
      <w:bookmarkEnd w:id="157"/>
    </w:p>
    <w:p>
      <w:pPr>
        <w:pStyle w:val="130"/>
        <w:ind w:firstLine="480"/>
        <w:rPr>
          <w:color w:val="auto"/>
          <w:lang w:val="zh-CN"/>
        </w:rPr>
      </w:pPr>
      <w:r>
        <w:rPr>
          <w:color w:val="auto"/>
          <w:lang w:val="zh-CN"/>
        </w:rPr>
        <w:t>项目名称；中卫市医疗废物集中处置设施建设项目</w:t>
      </w:r>
    </w:p>
    <w:p>
      <w:pPr>
        <w:pStyle w:val="130"/>
        <w:ind w:firstLine="480"/>
        <w:rPr>
          <w:color w:val="auto"/>
          <w:lang w:val="zh-CN"/>
        </w:rPr>
      </w:pPr>
      <w:r>
        <w:rPr>
          <w:color w:val="auto"/>
          <w:lang w:val="zh-CN"/>
        </w:rPr>
        <w:t>建设单位：</w:t>
      </w:r>
      <w:r>
        <w:rPr>
          <w:color w:val="auto"/>
        </w:rPr>
        <w:t>中卫市应理城乡市政产业（集团）有限公司</w:t>
      </w:r>
    </w:p>
    <w:p>
      <w:pPr>
        <w:pStyle w:val="130"/>
        <w:ind w:firstLine="480"/>
        <w:rPr>
          <w:color w:val="auto"/>
          <w:lang w:val="zh-CN"/>
        </w:rPr>
      </w:pPr>
      <w:r>
        <w:rPr>
          <w:color w:val="auto"/>
          <w:lang w:val="zh-CN"/>
        </w:rPr>
        <w:t>建设地点：中卫市永康镇阳沟村中卫市生活垃圾</w:t>
      </w:r>
      <w:r>
        <w:rPr>
          <w:color w:val="auto"/>
        </w:rPr>
        <w:t>填埋场</w:t>
      </w:r>
      <w:r>
        <w:rPr>
          <w:color w:val="auto"/>
          <w:lang w:val="zh-CN"/>
        </w:rPr>
        <w:t>西侧</w:t>
      </w:r>
    </w:p>
    <w:p>
      <w:pPr>
        <w:pStyle w:val="130"/>
        <w:ind w:firstLine="480"/>
        <w:rPr>
          <w:color w:val="auto"/>
          <w:vertAlign w:val="superscript"/>
          <w:lang w:val="zh-CN"/>
        </w:rPr>
      </w:pPr>
      <w:r>
        <w:rPr>
          <w:color w:val="auto"/>
          <w:lang w:val="zh-CN"/>
        </w:rPr>
        <w:t>占地面积：占地面积5570m</w:t>
      </w:r>
      <w:r>
        <w:rPr>
          <w:color w:val="auto"/>
          <w:vertAlign w:val="superscript"/>
          <w:lang w:val="zh-CN"/>
        </w:rPr>
        <w:t>2</w:t>
      </w:r>
      <w:r>
        <w:rPr>
          <w:color w:val="auto"/>
        </w:rPr>
        <w:t>。</w:t>
      </w:r>
    </w:p>
    <w:p>
      <w:pPr>
        <w:pStyle w:val="130"/>
        <w:ind w:firstLine="480"/>
        <w:rPr>
          <w:color w:val="auto"/>
        </w:rPr>
      </w:pPr>
      <w:r>
        <w:rPr>
          <w:bCs w:val="0"/>
          <w:color w:val="auto"/>
          <w:lang w:val="zh-CN"/>
        </w:rPr>
        <w:t>劳动定员：</w:t>
      </w:r>
      <w:r>
        <w:rPr>
          <w:color w:val="auto"/>
        </w:rPr>
        <w:t>劳动定员共计22人，其中生产人员11人，运输人员6人，辅助工人2人，技术管理人员</w:t>
      </w:r>
      <w:r>
        <w:rPr>
          <w:color w:val="auto"/>
        </w:rPr>
        <w:tab/>
      </w:r>
      <w:r>
        <w:rPr>
          <w:color w:val="auto"/>
        </w:rPr>
        <w:t>3人。</w:t>
      </w:r>
    </w:p>
    <w:p>
      <w:pPr>
        <w:pStyle w:val="130"/>
        <w:ind w:firstLine="480"/>
        <w:rPr>
          <w:color w:val="auto"/>
          <w:lang w:val="zh-CN"/>
        </w:rPr>
      </w:pPr>
      <w:r>
        <w:rPr>
          <w:color w:val="auto"/>
          <w:lang w:val="zh-CN"/>
        </w:rPr>
        <w:t>工作制度：两班制、每班8小时，全年工作330天，全年工作时间5280小时。</w:t>
      </w:r>
    </w:p>
    <w:p>
      <w:pPr>
        <w:pStyle w:val="130"/>
        <w:ind w:firstLine="480"/>
        <w:rPr>
          <w:color w:val="auto"/>
          <w:lang w:val="zh-CN"/>
        </w:rPr>
      </w:pPr>
      <w:r>
        <w:rPr>
          <w:color w:val="auto"/>
          <w:lang w:val="zh-CN"/>
        </w:rPr>
        <w:t>服务范围：</w:t>
      </w:r>
      <w:r>
        <w:rPr>
          <w:color w:val="auto"/>
        </w:rPr>
        <w:t>中卫市辖区范围内各区县医疗卫生机构产生的感染性及损伤性医疗废物。</w:t>
      </w:r>
    </w:p>
    <w:p>
      <w:pPr>
        <w:pStyle w:val="5"/>
        <w:numPr>
          <w:ilvl w:val="2"/>
          <w:numId w:val="0"/>
        </w:numPr>
        <w:ind w:left="-720" w:leftChars="-343" w:firstLine="723" w:firstLineChars="300"/>
        <w:rPr>
          <w:color w:val="auto"/>
        </w:rPr>
      </w:pPr>
      <w:bookmarkStart w:id="158" w:name="_Toc58849405"/>
      <w:bookmarkStart w:id="159" w:name="_Toc109398561"/>
      <w:r>
        <w:rPr>
          <w:color w:val="auto"/>
        </w:rPr>
        <w:t>2.1.2现有工程项目工程组成</w:t>
      </w:r>
      <w:bookmarkEnd w:id="158"/>
      <w:bookmarkEnd w:id="159"/>
    </w:p>
    <w:p>
      <w:pPr>
        <w:pStyle w:val="130"/>
        <w:ind w:firstLine="480"/>
        <w:rPr>
          <w:color w:val="auto"/>
        </w:rPr>
      </w:pPr>
      <w:r>
        <w:rPr>
          <w:color w:val="auto"/>
        </w:rPr>
        <w:t>现有工程项目医疗废物处理能力为3t/d，占地面积5570m</w:t>
      </w:r>
      <w:r>
        <w:rPr>
          <w:color w:val="auto"/>
          <w:vertAlign w:val="superscript"/>
        </w:rPr>
        <w:t>2</w:t>
      </w:r>
      <w:r>
        <w:rPr>
          <w:color w:val="auto"/>
        </w:rPr>
        <w:t>，建设内容主要为厂区北侧1间锅炉房，4间车库，建筑面积为366.7m</w:t>
      </w:r>
      <w:r>
        <w:rPr>
          <w:color w:val="auto"/>
          <w:vertAlign w:val="superscript"/>
        </w:rPr>
        <w:t>2</w:t>
      </w:r>
      <w:r>
        <w:rPr>
          <w:color w:val="auto"/>
        </w:rPr>
        <w:t>，1栋医疗废物处理车间，总建筑面积727m</w:t>
      </w:r>
      <w:r>
        <w:rPr>
          <w:color w:val="auto"/>
          <w:vertAlign w:val="superscript"/>
        </w:rPr>
        <w:t>2</w:t>
      </w:r>
      <w:r>
        <w:rPr>
          <w:color w:val="auto"/>
        </w:rPr>
        <w:t>。主要建设医疗废物收集运输设施、医疗废物贮存与预处理设施、医疗废物高温消毒设施、办公及其它配套设施设备，现有工程主要建设内容见表2.1-1。</w:t>
      </w:r>
    </w:p>
    <w:p>
      <w:pPr>
        <w:jc w:val="center"/>
        <w:rPr>
          <w:rFonts w:eastAsiaTheme="minorEastAsia"/>
          <w:b/>
          <w:color w:val="auto"/>
          <w:sz w:val="24"/>
          <w:szCs w:val="21"/>
        </w:rPr>
      </w:pPr>
      <w:r>
        <w:rPr>
          <w:rFonts w:eastAsiaTheme="minorEastAsia"/>
          <w:b/>
          <w:color w:val="auto"/>
          <w:sz w:val="24"/>
          <w:szCs w:val="21"/>
        </w:rPr>
        <w:t>表2.1-1  现有工程项目建设内容一栏表</w:t>
      </w:r>
    </w:p>
    <w:tbl>
      <w:tblPr>
        <w:tblStyle w:val="74"/>
        <w:tblW w:w="872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7"/>
        <w:gridCol w:w="973"/>
        <w:gridCol w:w="1696"/>
        <w:gridCol w:w="533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tblHeader/>
          <w:jc w:val="center"/>
        </w:trPr>
        <w:tc>
          <w:tcPr>
            <w:tcW w:w="717" w:type="dxa"/>
            <w:vAlign w:val="center"/>
          </w:tcPr>
          <w:p>
            <w:pPr>
              <w:pStyle w:val="164"/>
              <w:rPr>
                <w:color w:val="auto"/>
              </w:rPr>
            </w:pPr>
            <w:r>
              <w:rPr>
                <w:color w:val="auto"/>
              </w:rPr>
              <w:t>类别</w:t>
            </w:r>
          </w:p>
        </w:tc>
        <w:tc>
          <w:tcPr>
            <w:tcW w:w="2669" w:type="dxa"/>
            <w:gridSpan w:val="2"/>
            <w:vAlign w:val="center"/>
          </w:tcPr>
          <w:p>
            <w:pPr>
              <w:pStyle w:val="164"/>
              <w:rPr>
                <w:color w:val="auto"/>
              </w:rPr>
            </w:pPr>
            <w:r>
              <w:rPr>
                <w:color w:val="auto"/>
              </w:rPr>
              <w:t>建设内容</w:t>
            </w:r>
          </w:p>
        </w:tc>
        <w:tc>
          <w:tcPr>
            <w:tcW w:w="5334" w:type="dxa"/>
            <w:vAlign w:val="center"/>
          </w:tcPr>
          <w:p>
            <w:pPr>
              <w:pStyle w:val="164"/>
              <w:rPr>
                <w:color w:val="auto"/>
              </w:rPr>
            </w:pPr>
            <w:r>
              <w:rPr>
                <w:color w:val="auto"/>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restart"/>
            <w:tcBorders>
              <w:top w:val="single" w:color="auto" w:sz="4" w:space="0"/>
            </w:tcBorders>
            <w:vAlign w:val="center"/>
          </w:tcPr>
          <w:p>
            <w:pPr>
              <w:pStyle w:val="164"/>
              <w:rPr>
                <w:color w:val="auto"/>
              </w:rPr>
            </w:pPr>
            <w:r>
              <w:rPr>
                <w:color w:val="auto"/>
              </w:rPr>
              <w:t>主体</w:t>
            </w:r>
          </w:p>
          <w:p>
            <w:pPr>
              <w:pStyle w:val="164"/>
              <w:rPr>
                <w:color w:val="auto"/>
              </w:rPr>
            </w:pPr>
            <w:r>
              <w:rPr>
                <w:color w:val="auto"/>
              </w:rPr>
              <w:t>工程</w:t>
            </w:r>
          </w:p>
        </w:tc>
        <w:tc>
          <w:tcPr>
            <w:tcW w:w="973" w:type="dxa"/>
            <w:vMerge w:val="restart"/>
            <w:tcBorders>
              <w:right w:val="single" w:color="auto" w:sz="4" w:space="0"/>
            </w:tcBorders>
            <w:vAlign w:val="center"/>
          </w:tcPr>
          <w:p>
            <w:pPr>
              <w:pStyle w:val="164"/>
              <w:rPr>
                <w:color w:val="auto"/>
              </w:rPr>
            </w:pPr>
            <w:r>
              <w:rPr>
                <w:color w:val="auto"/>
              </w:rPr>
              <w:t>高温蒸煮厂房727m</w:t>
            </w:r>
            <w:r>
              <w:rPr>
                <w:color w:val="auto"/>
                <w:vertAlign w:val="superscript"/>
              </w:rPr>
              <w:t>2</w:t>
            </w:r>
            <w:r>
              <w:rPr>
                <w:color w:val="auto"/>
              </w:rPr>
              <w:t>，高度15.7m</w:t>
            </w:r>
          </w:p>
        </w:tc>
        <w:tc>
          <w:tcPr>
            <w:tcW w:w="1696" w:type="dxa"/>
            <w:tcBorders>
              <w:left w:val="single" w:color="auto" w:sz="4" w:space="0"/>
            </w:tcBorders>
            <w:vAlign w:val="center"/>
          </w:tcPr>
          <w:p>
            <w:pPr>
              <w:pStyle w:val="164"/>
              <w:rPr>
                <w:color w:val="auto"/>
              </w:rPr>
            </w:pPr>
            <w:r>
              <w:rPr>
                <w:color w:val="auto"/>
              </w:rPr>
              <w:t>高温蒸煮车间</w:t>
            </w:r>
          </w:p>
        </w:tc>
        <w:tc>
          <w:tcPr>
            <w:tcW w:w="5334" w:type="dxa"/>
            <w:vAlign w:val="center"/>
          </w:tcPr>
          <w:p>
            <w:pPr>
              <w:pStyle w:val="164"/>
              <w:rPr>
                <w:color w:val="auto"/>
              </w:rPr>
            </w:pPr>
            <w:r>
              <w:rPr>
                <w:color w:val="auto"/>
              </w:rPr>
              <w:t>建筑面积为256m</w:t>
            </w:r>
            <w:r>
              <w:rPr>
                <w:color w:val="auto"/>
                <w:vertAlign w:val="superscript"/>
              </w:rPr>
              <w:t>2</w:t>
            </w:r>
            <w:r>
              <w:rPr>
                <w:color w:val="auto"/>
              </w:rPr>
              <w:t>，设置高温蒸汽灭菌系统1套，处理能力3t/d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90" w:hRule="atLeast"/>
          <w:jc w:val="center"/>
        </w:trPr>
        <w:tc>
          <w:tcPr>
            <w:tcW w:w="717" w:type="dxa"/>
            <w:vMerge w:val="continue"/>
            <w:vAlign w:val="center"/>
          </w:tcPr>
          <w:p>
            <w:pPr>
              <w:pStyle w:val="164"/>
              <w:rPr>
                <w:color w:val="auto"/>
              </w:rPr>
            </w:pPr>
          </w:p>
        </w:tc>
        <w:tc>
          <w:tcPr>
            <w:tcW w:w="973" w:type="dxa"/>
            <w:vMerge w:val="continue"/>
            <w:tcBorders>
              <w:right w:val="single" w:color="auto" w:sz="4" w:space="0"/>
            </w:tcBorders>
            <w:vAlign w:val="center"/>
          </w:tcPr>
          <w:p>
            <w:pPr>
              <w:pStyle w:val="164"/>
              <w:rPr>
                <w:color w:val="auto"/>
              </w:rPr>
            </w:pPr>
          </w:p>
        </w:tc>
        <w:tc>
          <w:tcPr>
            <w:tcW w:w="1696" w:type="dxa"/>
            <w:tcBorders>
              <w:left w:val="single" w:color="auto" w:sz="4" w:space="0"/>
            </w:tcBorders>
            <w:vAlign w:val="center"/>
          </w:tcPr>
          <w:p>
            <w:pPr>
              <w:pStyle w:val="164"/>
              <w:rPr>
                <w:color w:val="auto"/>
              </w:rPr>
            </w:pPr>
            <w:r>
              <w:rPr>
                <w:color w:val="auto"/>
              </w:rPr>
              <w:t>卸料区</w:t>
            </w:r>
          </w:p>
        </w:tc>
        <w:tc>
          <w:tcPr>
            <w:tcW w:w="5334" w:type="dxa"/>
            <w:vAlign w:val="center"/>
          </w:tcPr>
          <w:p>
            <w:pPr>
              <w:pStyle w:val="164"/>
              <w:rPr>
                <w:color w:val="auto"/>
              </w:rPr>
            </w:pPr>
            <w:r>
              <w:rPr>
                <w:color w:val="auto"/>
              </w:rPr>
              <w:t>建筑面积342.5m</w:t>
            </w:r>
            <w:r>
              <w:rPr>
                <w:color w:val="auto"/>
                <w:vertAlign w:val="superscript"/>
              </w:rPr>
              <w:t>2</w:t>
            </w:r>
            <w:r>
              <w:rPr>
                <w:color w:val="auto"/>
              </w:rPr>
              <w:t>，兼作暂存间及冷库，用于卸除拉运的医疗废物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63" w:hRule="atLeast"/>
          <w:jc w:val="center"/>
        </w:trPr>
        <w:tc>
          <w:tcPr>
            <w:tcW w:w="717" w:type="dxa"/>
            <w:vMerge w:val="continue"/>
            <w:vAlign w:val="center"/>
          </w:tcPr>
          <w:p>
            <w:pPr>
              <w:pStyle w:val="164"/>
              <w:rPr>
                <w:color w:val="auto"/>
              </w:rPr>
            </w:pPr>
          </w:p>
        </w:tc>
        <w:tc>
          <w:tcPr>
            <w:tcW w:w="973" w:type="dxa"/>
            <w:vMerge w:val="continue"/>
            <w:tcBorders>
              <w:right w:val="single" w:color="auto" w:sz="4" w:space="0"/>
            </w:tcBorders>
            <w:vAlign w:val="center"/>
          </w:tcPr>
          <w:p>
            <w:pPr>
              <w:pStyle w:val="164"/>
              <w:rPr>
                <w:color w:val="auto"/>
              </w:rPr>
            </w:pPr>
          </w:p>
        </w:tc>
        <w:tc>
          <w:tcPr>
            <w:tcW w:w="1696" w:type="dxa"/>
            <w:tcBorders>
              <w:left w:val="single" w:color="auto" w:sz="4" w:space="0"/>
            </w:tcBorders>
            <w:vAlign w:val="center"/>
          </w:tcPr>
          <w:p>
            <w:pPr>
              <w:pStyle w:val="164"/>
              <w:rPr>
                <w:color w:val="auto"/>
              </w:rPr>
            </w:pPr>
            <w:r>
              <w:rPr>
                <w:color w:val="auto"/>
              </w:rPr>
              <w:t>医废冷藏车间</w:t>
            </w:r>
          </w:p>
        </w:tc>
        <w:tc>
          <w:tcPr>
            <w:tcW w:w="5334" w:type="dxa"/>
            <w:vAlign w:val="center"/>
          </w:tcPr>
          <w:p>
            <w:pPr>
              <w:pStyle w:val="164"/>
              <w:rPr>
                <w:color w:val="auto"/>
              </w:rPr>
            </w:pPr>
            <w:r>
              <w:rPr>
                <w:color w:val="auto"/>
              </w:rPr>
              <w:t>建筑面积54m</w:t>
            </w:r>
            <w:r>
              <w:rPr>
                <w:color w:val="auto"/>
                <w:vertAlign w:val="superscript"/>
              </w:rPr>
              <w:t>2</w:t>
            </w:r>
            <w:r>
              <w:rPr>
                <w:color w:val="auto"/>
              </w:rPr>
              <w:t>，用于医疗废物冷藏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973" w:type="dxa"/>
            <w:vMerge w:val="continue"/>
            <w:tcBorders>
              <w:right w:val="single" w:color="auto" w:sz="4" w:space="0"/>
            </w:tcBorders>
            <w:vAlign w:val="center"/>
          </w:tcPr>
          <w:p>
            <w:pPr>
              <w:pStyle w:val="164"/>
              <w:rPr>
                <w:color w:val="auto"/>
              </w:rPr>
            </w:pPr>
          </w:p>
        </w:tc>
        <w:tc>
          <w:tcPr>
            <w:tcW w:w="1696" w:type="dxa"/>
            <w:tcBorders>
              <w:left w:val="single" w:color="auto" w:sz="4" w:space="0"/>
            </w:tcBorders>
            <w:vAlign w:val="center"/>
          </w:tcPr>
          <w:p>
            <w:pPr>
              <w:pStyle w:val="164"/>
              <w:rPr>
                <w:color w:val="auto"/>
                <w:w w:val="110"/>
              </w:rPr>
            </w:pPr>
            <w:r>
              <w:rPr>
                <w:color w:val="auto"/>
              </w:rPr>
              <w:t>给水间</w:t>
            </w:r>
          </w:p>
        </w:tc>
        <w:tc>
          <w:tcPr>
            <w:tcW w:w="5334" w:type="dxa"/>
            <w:vAlign w:val="center"/>
          </w:tcPr>
          <w:p>
            <w:pPr>
              <w:pStyle w:val="164"/>
              <w:rPr>
                <w:color w:val="auto"/>
              </w:rPr>
            </w:pPr>
            <w:r>
              <w:rPr>
                <w:color w:val="auto"/>
              </w:rPr>
              <w:t>建筑面积9m</w:t>
            </w:r>
            <w:r>
              <w:rPr>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973" w:type="dxa"/>
            <w:vMerge w:val="continue"/>
            <w:tcBorders>
              <w:right w:val="single" w:color="auto" w:sz="4" w:space="0"/>
            </w:tcBorders>
            <w:vAlign w:val="center"/>
          </w:tcPr>
          <w:p>
            <w:pPr>
              <w:pStyle w:val="164"/>
              <w:rPr>
                <w:color w:val="auto"/>
              </w:rPr>
            </w:pPr>
          </w:p>
        </w:tc>
        <w:tc>
          <w:tcPr>
            <w:tcW w:w="1696" w:type="dxa"/>
            <w:tcBorders>
              <w:left w:val="single" w:color="auto" w:sz="4" w:space="0"/>
            </w:tcBorders>
            <w:vAlign w:val="center"/>
          </w:tcPr>
          <w:p>
            <w:pPr>
              <w:pStyle w:val="164"/>
              <w:rPr>
                <w:color w:val="auto"/>
              </w:rPr>
            </w:pPr>
            <w:r>
              <w:rPr>
                <w:color w:val="auto"/>
              </w:rPr>
              <w:t>更衣室、卫生间</w:t>
            </w:r>
          </w:p>
        </w:tc>
        <w:tc>
          <w:tcPr>
            <w:tcW w:w="5334" w:type="dxa"/>
            <w:vAlign w:val="center"/>
          </w:tcPr>
          <w:p>
            <w:pPr>
              <w:pStyle w:val="164"/>
              <w:rPr>
                <w:color w:val="auto"/>
              </w:rPr>
            </w:pPr>
            <w:r>
              <w:rPr>
                <w:color w:val="auto"/>
              </w:rPr>
              <w:t>建筑面积41.4m</w:t>
            </w:r>
            <w:r>
              <w:rPr>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973" w:type="dxa"/>
            <w:vMerge w:val="continue"/>
            <w:tcBorders>
              <w:right w:val="single" w:color="auto" w:sz="4" w:space="0"/>
            </w:tcBorders>
            <w:vAlign w:val="center"/>
          </w:tcPr>
          <w:p>
            <w:pPr>
              <w:pStyle w:val="164"/>
              <w:rPr>
                <w:color w:val="auto"/>
              </w:rPr>
            </w:pPr>
          </w:p>
        </w:tc>
        <w:tc>
          <w:tcPr>
            <w:tcW w:w="1696" w:type="dxa"/>
            <w:tcBorders>
              <w:left w:val="single" w:color="auto" w:sz="4" w:space="0"/>
            </w:tcBorders>
            <w:vAlign w:val="center"/>
          </w:tcPr>
          <w:p>
            <w:pPr>
              <w:pStyle w:val="164"/>
              <w:rPr>
                <w:color w:val="auto"/>
              </w:rPr>
            </w:pPr>
            <w:r>
              <w:rPr>
                <w:color w:val="auto"/>
              </w:rPr>
              <w:t>化验室</w:t>
            </w:r>
          </w:p>
        </w:tc>
        <w:tc>
          <w:tcPr>
            <w:tcW w:w="5334" w:type="dxa"/>
            <w:vAlign w:val="center"/>
          </w:tcPr>
          <w:p>
            <w:pPr>
              <w:pStyle w:val="164"/>
              <w:rPr>
                <w:color w:val="auto"/>
              </w:rPr>
            </w:pPr>
            <w:r>
              <w:rPr>
                <w:color w:val="auto"/>
              </w:rPr>
              <w:t>建筑面积18m</w:t>
            </w:r>
            <w:r>
              <w:rPr>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973" w:type="dxa"/>
            <w:vMerge w:val="continue"/>
            <w:tcBorders>
              <w:right w:val="single" w:color="auto" w:sz="4" w:space="0"/>
            </w:tcBorders>
            <w:vAlign w:val="center"/>
          </w:tcPr>
          <w:p>
            <w:pPr>
              <w:pStyle w:val="164"/>
              <w:rPr>
                <w:color w:val="auto"/>
              </w:rPr>
            </w:pPr>
          </w:p>
        </w:tc>
        <w:tc>
          <w:tcPr>
            <w:tcW w:w="1696" w:type="dxa"/>
            <w:tcBorders>
              <w:left w:val="single" w:color="auto" w:sz="4" w:space="0"/>
            </w:tcBorders>
            <w:vAlign w:val="center"/>
          </w:tcPr>
          <w:p>
            <w:pPr>
              <w:pStyle w:val="164"/>
              <w:rPr>
                <w:color w:val="auto"/>
              </w:rPr>
            </w:pPr>
            <w:r>
              <w:rPr>
                <w:color w:val="auto"/>
              </w:rPr>
              <w:t>冷却设备间</w:t>
            </w:r>
          </w:p>
        </w:tc>
        <w:tc>
          <w:tcPr>
            <w:tcW w:w="5334" w:type="dxa"/>
            <w:vAlign w:val="center"/>
          </w:tcPr>
          <w:p>
            <w:pPr>
              <w:pStyle w:val="164"/>
              <w:rPr>
                <w:color w:val="auto"/>
              </w:rPr>
            </w:pPr>
            <w:r>
              <w:rPr>
                <w:color w:val="auto"/>
              </w:rPr>
              <w:t>建筑面积13.5m</w:t>
            </w:r>
            <w:r>
              <w:rPr>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973" w:type="dxa"/>
            <w:vMerge w:val="continue"/>
            <w:tcBorders>
              <w:right w:val="single" w:color="auto" w:sz="4" w:space="0"/>
            </w:tcBorders>
            <w:vAlign w:val="center"/>
          </w:tcPr>
          <w:p>
            <w:pPr>
              <w:pStyle w:val="164"/>
              <w:rPr>
                <w:color w:val="auto"/>
              </w:rPr>
            </w:pPr>
          </w:p>
        </w:tc>
        <w:tc>
          <w:tcPr>
            <w:tcW w:w="1696" w:type="dxa"/>
            <w:tcBorders>
              <w:left w:val="single" w:color="auto" w:sz="4" w:space="0"/>
            </w:tcBorders>
            <w:vAlign w:val="center"/>
          </w:tcPr>
          <w:p>
            <w:pPr>
              <w:pStyle w:val="164"/>
              <w:rPr>
                <w:color w:val="auto"/>
              </w:rPr>
            </w:pPr>
            <w:r>
              <w:rPr>
                <w:color w:val="auto"/>
              </w:rPr>
              <w:t>值班室</w:t>
            </w:r>
          </w:p>
        </w:tc>
        <w:tc>
          <w:tcPr>
            <w:tcW w:w="5334" w:type="dxa"/>
            <w:vAlign w:val="center"/>
          </w:tcPr>
          <w:p>
            <w:pPr>
              <w:pStyle w:val="164"/>
              <w:rPr>
                <w:color w:val="auto"/>
              </w:rPr>
            </w:pPr>
            <w:r>
              <w:rPr>
                <w:color w:val="auto"/>
              </w:rPr>
              <w:t>建筑面积22.5m</w:t>
            </w:r>
            <w:r>
              <w:rPr>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973" w:type="dxa"/>
            <w:vMerge w:val="continue"/>
            <w:tcBorders>
              <w:right w:val="single" w:color="auto" w:sz="4" w:space="0"/>
            </w:tcBorders>
            <w:vAlign w:val="center"/>
          </w:tcPr>
          <w:p>
            <w:pPr>
              <w:pStyle w:val="164"/>
              <w:rPr>
                <w:color w:val="auto"/>
              </w:rPr>
            </w:pPr>
          </w:p>
        </w:tc>
        <w:tc>
          <w:tcPr>
            <w:tcW w:w="1696" w:type="dxa"/>
            <w:tcBorders>
              <w:left w:val="single" w:color="auto" w:sz="4" w:space="0"/>
            </w:tcBorders>
            <w:vAlign w:val="center"/>
          </w:tcPr>
          <w:p>
            <w:pPr>
              <w:pStyle w:val="164"/>
              <w:rPr>
                <w:color w:val="auto"/>
              </w:rPr>
            </w:pPr>
            <w:r>
              <w:rPr>
                <w:color w:val="auto"/>
              </w:rPr>
              <w:t>配电室</w:t>
            </w:r>
          </w:p>
        </w:tc>
        <w:tc>
          <w:tcPr>
            <w:tcW w:w="5334" w:type="dxa"/>
            <w:vAlign w:val="center"/>
          </w:tcPr>
          <w:p>
            <w:pPr>
              <w:pStyle w:val="164"/>
              <w:rPr>
                <w:color w:val="auto"/>
              </w:rPr>
            </w:pPr>
            <w:r>
              <w:rPr>
                <w:color w:val="auto"/>
              </w:rPr>
              <w:t>建筑面积36m</w:t>
            </w:r>
            <w:r>
              <w:rPr>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restart"/>
            <w:vAlign w:val="center"/>
          </w:tcPr>
          <w:p>
            <w:pPr>
              <w:pStyle w:val="164"/>
              <w:rPr>
                <w:color w:val="auto"/>
              </w:rPr>
            </w:pPr>
            <w:r>
              <w:rPr>
                <w:color w:val="auto"/>
              </w:rPr>
              <w:t>辅助工程</w:t>
            </w:r>
          </w:p>
        </w:tc>
        <w:tc>
          <w:tcPr>
            <w:tcW w:w="2669" w:type="dxa"/>
            <w:gridSpan w:val="2"/>
            <w:vAlign w:val="center"/>
          </w:tcPr>
          <w:p>
            <w:pPr>
              <w:pStyle w:val="164"/>
              <w:rPr>
                <w:color w:val="auto"/>
                <w:w w:val="110"/>
              </w:rPr>
            </w:pPr>
            <w:r>
              <w:rPr>
                <w:color w:val="auto"/>
                <w:w w:val="110"/>
              </w:rPr>
              <w:t>车库</w:t>
            </w:r>
          </w:p>
        </w:tc>
        <w:tc>
          <w:tcPr>
            <w:tcW w:w="5334" w:type="dxa"/>
            <w:vAlign w:val="center"/>
          </w:tcPr>
          <w:p>
            <w:pPr>
              <w:pStyle w:val="164"/>
              <w:rPr>
                <w:color w:val="auto"/>
              </w:rPr>
            </w:pPr>
            <w:r>
              <w:rPr>
                <w:color w:val="auto"/>
              </w:rPr>
              <w:t>1层4间，高度7m，建筑面积312.7m</w:t>
            </w:r>
            <w:r>
              <w:rPr>
                <w:color w:val="auto"/>
                <w:vertAlign w:val="superscript"/>
              </w:rPr>
              <w:t>2</w:t>
            </w:r>
            <w:r>
              <w:rPr>
                <w:color w:val="auto"/>
              </w:rPr>
              <w:t>，用于运输车辆停放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w w:val="110"/>
              </w:rPr>
            </w:pPr>
            <w:r>
              <w:rPr>
                <w:color w:val="auto"/>
                <w:w w:val="110"/>
              </w:rPr>
              <w:t>门房</w:t>
            </w:r>
          </w:p>
        </w:tc>
        <w:tc>
          <w:tcPr>
            <w:tcW w:w="5334" w:type="dxa"/>
            <w:vAlign w:val="center"/>
          </w:tcPr>
          <w:p>
            <w:pPr>
              <w:pStyle w:val="164"/>
              <w:rPr>
                <w:color w:val="auto"/>
              </w:rPr>
            </w:pPr>
            <w:r>
              <w:rPr>
                <w:color w:val="auto"/>
              </w:rPr>
              <w:t>建筑面积14.7m</w:t>
            </w:r>
            <w:r>
              <w:rPr>
                <w:color w:val="auto"/>
                <w:vertAlign w:val="superscript"/>
              </w:rPr>
              <w:t>2</w:t>
            </w: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w w:val="110"/>
              </w:rPr>
            </w:pPr>
            <w:r>
              <w:rPr>
                <w:color w:val="auto"/>
              </w:rPr>
              <w:t>锅炉房</w:t>
            </w:r>
          </w:p>
        </w:tc>
        <w:tc>
          <w:tcPr>
            <w:tcW w:w="5334" w:type="dxa"/>
            <w:vAlign w:val="center"/>
          </w:tcPr>
          <w:p>
            <w:pPr>
              <w:pStyle w:val="164"/>
              <w:rPr>
                <w:color w:val="auto"/>
              </w:rPr>
            </w:pPr>
            <w:r>
              <w:rPr>
                <w:color w:val="auto"/>
              </w:rPr>
              <w:t>1层1间，高度7m，建筑面积54m</w:t>
            </w:r>
            <w:r>
              <w:rPr>
                <w:color w:val="auto"/>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w w:val="110"/>
              </w:rPr>
            </w:pPr>
            <w:r>
              <w:rPr>
                <w:color w:val="auto"/>
                <w:w w:val="110"/>
              </w:rPr>
              <w:t>运输车辆</w:t>
            </w:r>
          </w:p>
        </w:tc>
        <w:tc>
          <w:tcPr>
            <w:tcW w:w="5334" w:type="dxa"/>
            <w:vAlign w:val="center"/>
          </w:tcPr>
          <w:p>
            <w:pPr>
              <w:pStyle w:val="164"/>
              <w:rPr>
                <w:color w:val="auto"/>
              </w:rPr>
            </w:pPr>
            <w:r>
              <w:rPr>
                <w:color w:val="auto"/>
              </w:rPr>
              <w:t>5辆1.5t运输车辆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w w:val="110"/>
              </w:rPr>
            </w:pPr>
            <w:r>
              <w:rPr>
                <w:color w:val="auto"/>
                <w:w w:val="110"/>
              </w:rPr>
              <w:t>医疗废物周转箱</w:t>
            </w:r>
          </w:p>
        </w:tc>
        <w:tc>
          <w:tcPr>
            <w:tcW w:w="5334" w:type="dxa"/>
            <w:vAlign w:val="center"/>
          </w:tcPr>
          <w:p>
            <w:pPr>
              <w:pStyle w:val="164"/>
              <w:rPr>
                <w:color w:val="auto"/>
              </w:rPr>
            </w:pPr>
            <w:r>
              <w:rPr>
                <w:color w:val="auto"/>
              </w:rPr>
              <w:t>共计700个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restart"/>
            <w:vAlign w:val="center"/>
          </w:tcPr>
          <w:p>
            <w:pPr>
              <w:pStyle w:val="164"/>
              <w:rPr>
                <w:color w:val="auto"/>
              </w:rPr>
            </w:pPr>
            <w:r>
              <w:rPr>
                <w:color w:val="auto"/>
              </w:rPr>
              <w:t>公用</w:t>
            </w:r>
          </w:p>
          <w:p>
            <w:pPr>
              <w:pStyle w:val="164"/>
              <w:rPr>
                <w:color w:val="auto"/>
              </w:rPr>
            </w:pPr>
            <w:r>
              <w:rPr>
                <w:color w:val="auto"/>
              </w:rPr>
              <w:t>工程</w:t>
            </w:r>
          </w:p>
        </w:tc>
        <w:tc>
          <w:tcPr>
            <w:tcW w:w="2669" w:type="dxa"/>
            <w:gridSpan w:val="2"/>
            <w:vAlign w:val="center"/>
          </w:tcPr>
          <w:p>
            <w:pPr>
              <w:pStyle w:val="164"/>
              <w:rPr>
                <w:color w:val="auto"/>
              </w:rPr>
            </w:pPr>
            <w:r>
              <w:rPr>
                <w:color w:val="auto"/>
              </w:rPr>
              <w:t>供电</w:t>
            </w:r>
          </w:p>
        </w:tc>
        <w:tc>
          <w:tcPr>
            <w:tcW w:w="5334" w:type="dxa"/>
            <w:vAlign w:val="center"/>
          </w:tcPr>
          <w:p>
            <w:pPr>
              <w:pStyle w:val="164"/>
              <w:rPr>
                <w:color w:val="auto"/>
              </w:rPr>
            </w:pPr>
            <w:r>
              <w:rPr>
                <w:color w:val="auto"/>
                <w:szCs w:val="21"/>
              </w:rPr>
              <w:t>原来由中卫市生活垃圾填埋场引入，现改为市政供电管网提供</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rPr>
            </w:pPr>
            <w:r>
              <w:rPr>
                <w:color w:val="auto"/>
              </w:rPr>
              <w:t>供水</w:t>
            </w:r>
          </w:p>
        </w:tc>
        <w:tc>
          <w:tcPr>
            <w:tcW w:w="5334" w:type="dxa"/>
            <w:vAlign w:val="center"/>
          </w:tcPr>
          <w:p>
            <w:pPr>
              <w:pStyle w:val="164"/>
              <w:rPr>
                <w:color w:val="auto"/>
              </w:rPr>
            </w:pPr>
            <w:r>
              <w:rPr>
                <w:color w:val="auto"/>
                <w:szCs w:val="21"/>
              </w:rPr>
              <w:t>原来由中卫市生活垃圾填埋场引入，现改为市政供水。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rPr>
            </w:pPr>
            <w:r>
              <w:rPr>
                <w:color w:val="auto"/>
              </w:rPr>
              <w:t>排水</w:t>
            </w:r>
          </w:p>
        </w:tc>
        <w:tc>
          <w:tcPr>
            <w:tcW w:w="5334" w:type="dxa"/>
            <w:vAlign w:val="center"/>
          </w:tcPr>
          <w:p>
            <w:pPr>
              <w:pStyle w:val="164"/>
              <w:rPr>
                <w:color w:val="auto"/>
              </w:rPr>
            </w:pPr>
            <w:r>
              <w:rPr>
                <w:color w:val="auto"/>
              </w:rPr>
              <w:t>生产废水及生活污水经化粪池和隔油池处理后通过吸污车送至中卫市生活垃圾填埋场污水处理站调节池内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rPr>
            </w:pPr>
            <w:r>
              <w:rPr>
                <w:color w:val="auto"/>
              </w:rPr>
              <w:t>供蒸汽</w:t>
            </w:r>
          </w:p>
        </w:tc>
        <w:tc>
          <w:tcPr>
            <w:tcW w:w="5334" w:type="dxa"/>
            <w:vAlign w:val="center"/>
          </w:tcPr>
          <w:p>
            <w:pPr>
              <w:pStyle w:val="164"/>
              <w:rPr>
                <w:color w:val="auto"/>
              </w:rPr>
            </w:pPr>
            <w:r>
              <w:rPr>
                <w:color w:val="auto"/>
              </w:rPr>
              <w:t>生产用蒸汽由0.5MW燃煤蒸汽锅炉提供</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restart"/>
            <w:vAlign w:val="center"/>
          </w:tcPr>
          <w:p>
            <w:pPr>
              <w:pStyle w:val="164"/>
              <w:rPr>
                <w:color w:val="auto"/>
              </w:rPr>
            </w:pPr>
            <w:r>
              <w:rPr>
                <w:color w:val="auto"/>
              </w:rPr>
              <w:t>环保</w:t>
            </w:r>
          </w:p>
          <w:p>
            <w:pPr>
              <w:pStyle w:val="164"/>
              <w:rPr>
                <w:color w:val="auto"/>
              </w:rPr>
            </w:pPr>
            <w:r>
              <w:rPr>
                <w:color w:val="auto"/>
              </w:rPr>
              <w:t>工程</w:t>
            </w:r>
          </w:p>
        </w:tc>
        <w:tc>
          <w:tcPr>
            <w:tcW w:w="2669" w:type="dxa"/>
            <w:gridSpan w:val="2"/>
            <w:vAlign w:val="center"/>
          </w:tcPr>
          <w:p>
            <w:pPr>
              <w:pStyle w:val="164"/>
              <w:rPr>
                <w:color w:val="auto"/>
              </w:rPr>
            </w:pPr>
            <w:r>
              <w:rPr>
                <w:color w:val="auto"/>
              </w:rPr>
              <w:t>废气治理措施</w:t>
            </w:r>
          </w:p>
        </w:tc>
        <w:tc>
          <w:tcPr>
            <w:tcW w:w="5334" w:type="dxa"/>
            <w:vAlign w:val="center"/>
          </w:tcPr>
          <w:p>
            <w:pPr>
              <w:pStyle w:val="164"/>
              <w:rPr>
                <w:color w:val="auto"/>
              </w:rPr>
            </w:pPr>
            <w:r>
              <w:rPr>
                <w:color w:val="auto"/>
              </w:rPr>
              <w:t>废气通过高效生物过滤器+灭菌处理后，再经活性炭吸附装置处理，处理后通过7m高排气筒排放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Merge w:val="restart"/>
            <w:vAlign w:val="center"/>
          </w:tcPr>
          <w:p>
            <w:pPr>
              <w:pStyle w:val="164"/>
              <w:rPr>
                <w:color w:val="auto"/>
              </w:rPr>
            </w:pPr>
            <w:r>
              <w:rPr>
                <w:color w:val="auto"/>
              </w:rPr>
              <w:t>废水治理措施</w:t>
            </w:r>
          </w:p>
        </w:tc>
        <w:tc>
          <w:tcPr>
            <w:tcW w:w="5334" w:type="dxa"/>
            <w:vAlign w:val="center"/>
          </w:tcPr>
          <w:p>
            <w:pPr>
              <w:pStyle w:val="164"/>
              <w:rPr>
                <w:color w:val="auto"/>
              </w:rPr>
            </w:pPr>
            <w:r>
              <w:rPr>
                <w:color w:val="auto"/>
              </w:rPr>
              <w:t>生活污水汇同生产废水经化粪池（10m</w:t>
            </w:r>
            <w:r>
              <w:rPr>
                <w:color w:val="auto"/>
                <w:vertAlign w:val="superscript"/>
              </w:rPr>
              <w:t>3</w:t>
            </w:r>
            <w:r>
              <w:rPr>
                <w:color w:val="auto"/>
              </w:rPr>
              <w:t>）和隔油池处理后通过吸污车运至中卫市生活垃圾填埋场污水处理站调节池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Merge w:val="continue"/>
            <w:vAlign w:val="center"/>
          </w:tcPr>
          <w:p>
            <w:pPr>
              <w:pStyle w:val="164"/>
              <w:rPr>
                <w:color w:val="auto"/>
              </w:rPr>
            </w:pPr>
          </w:p>
        </w:tc>
        <w:tc>
          <w:tcPr>
            <w:tcW w:w="5334" w:type="dxa"/>
            <w:vAlign w:val="center"/>
          </w:tcPr>
          <w:p>
            <w:pPr>
              <w:pStyle w:val="164"/>
              <w:rPr>
                <w:color w:val="auto"/>
              </w:rPr>
            </w:pPr>
            <w:r>
              <w:rPr>
                <w:color w:val="auto"/>
              </w:rPr>
              <w:t>初期雨水收集池一座50m</w:t>
            </w:r>
            <w:r>
              <w:rPr>
                <w:color w:val="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rPr>
            </w:pPr>
            <w:r>
              <w:rPr>
                <w:color w:val="auto"/>
              </w:rPr>
              <w:t>噪声治理措施</w:t>
            </w:r>
          </w:p>
        </w:tc>
        <w:tc>
          <w:tcPr>
            <w:tcW w:w="5334" w:type="dxa"/>
            <w:vAlign w:val="center"/>
          </w:tcPr>
          <w:p>
            <w:pPr>
              <w:pStyle w:val="164"/>
              <w:rPr>
                <w:color w:val="auto"/>
              </w:rPr>
            </w:pPr>
            <w:r>
              <w:rPr>
                <w:color w:val="auto"/>
              </w:rPr>
              <w:t>隔声、消声、减振措施，加强车辆疏导管理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rPr>
            </w:pPr>
            <w:r>
              <w:rPr>
                <w:color w:val="auto"/>
              </w:rPr>
              <w:t>固废治理措施</w:t>
            </w:r>
          </w:p>
        </w:tc>
        <w:tc>
          <w:tcPr>
            <w:tcW w:w="5334" w:type="dxa"/>
            <w:vAlign w:val="center"/>
          </w:tcPr>
          <w:p>
            <w:pPr>
              <w:pStyle w:val="164"/>
              <w:rPr>
                <w:color w:val="auto"/>
              </w:rPr>
            </w:pPr>
            <w:r>
              <w:rPr>
                <w:color w:val="auto"/>
              </w:rPr>
              <w:t>设置医疗废物冷藏车间一座（54m</w:t>
            </w:r>
            <w:r>
              <w:rPr>
                <w:color w:val="auto"/>
                <w:vertAlign w:val="superscript"/>
              </w:rPr>
              <w:t>2</w:t>
            </w: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rPr>
            </w:pPr>
            <w:r>
              <w:rPr>
                <w:color w:val="auto"/>
              </w:rPr>
              <w:t>地下水防治措施</w:t>
            </w:r>
          </w:p>
        </w:tc>
        <w:tc>
          <w:tcPr>
            <w:tcW w:w="5334" w:type="dxa"/>
            <w:vAlign w:val="center"/>
          </w:tcPr>
          <w:p>
            <w:pPr>
              <w:pStyle w:val="164"/>
              <w:rPr>
                <w:color w:val="auto"/>
              </w:rPr>
            </w:pPr>
            <w:r>
              <w:rPr>
                <w:color w:val="auto"/>
              </w:rPr>
              <w:t>高温蒸煮厂房、医疗废物卸料区（兼作暂存库及冷库）、初期雨水收集池进行重点防渗；生产区道路、车库、雨水收集沟进行一般防渗，生活区进行简单防渗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40" w:hRule="atLeast"/>
          <w:jc w:val="center"/>
        </w:trPr>
        <w:tc>
          <w:tcPr>
            <w:tcW w:w="717" w:type="dxa"/>
            <w:vMerge w:val="continue"/>
            <w:vAlign w:val="center"/>
          </w:tcPr>
          <w:p>
            <w:pPr>
              <w:pStyle w:val="164"/>
              <w:rPr>
                <w:color w:val="auto"/>
              </w:rPr>
            </w:pPr>
          </w:p>
        </w:tc>
        <w:tc>
          <w:tcPr>
            <w:tcW w:w="2669" w:type="dxa"/>
            <w:gridSpan w:val="2"/>
            <w:vAlign w:val="center"/>
          </w:tcPr>
          <w:p>
            <w:pPr>
              <w:pStyle w:val="164"/>
              <w:rPr>
                <w:color w:val="auto"/>
              </w:rPr>
            </w:pPr>
            <w:r>
              <w:rPr>
                <w:color w:val="auto"/>
              </w:rPr>
              <w:t>绿化</w:t>
            </w:r>
          </w:p>
        </w:tc>
        <w:tc>
          <w:tcPr>
            <w:tcW w:w="5334" w:type="dxa"/>
            <w:vAlign w:val="center"/>
          </w:tcPr>
          <w:p>
            <w:pPr>
              <w:pStyle w:val="164"/>
              <w:rPr>
                <w:color w:val="auto"/>
              </w:rPr>
            </w:pPr>
            <w:r>
              <w:rPr>
                <w:color w:val="auto"/>
              </w:rPr>
              <w:t>绿化面积1000m</w:t>
            </w:r>
            <w:r>
              <w:rPr>
                <w:color w:val="auto"/>
                <w:vertAlign w:val="superscript"/>
              </w:rPr>
              <w:t>2</w:t>
            </w:r>
          </w:p>
        </w:tc>
      </w:tr>
    </w:tbl>
    <w:p>
      <w:pPr>
        <w:pStyle w:val="130"/>
        <w:spacing w:before="120" w:beforeLines="50"/>
        <w:ind w:firstLine="480"/>
        <w:rPr>
          <w:color w:val="auto"/>
        </w:rPr>
      </w:pPr>
      <w:r>
        <w:rPr>
          <w:color w:val="auto"/>
        </w:rPr>
        <w:t>现有工程主要生产设备见表2.1-2。</w:t>
      </w:r>
    </w:p>
    <w:p>
      <w:pPr>
        <w:pStyle w:val="114"/>
        <w:spacing w:before="0" w:beforeLines="0"/>
        <w:rPr>
          <w:color w:val="auto"/>
        </w:rPr>
      </w:pPr>
      <w:r>
        <w:rPr>
          <w:color w:val="auto"/>
        </w:rPr>
        <w:t>2.1-2  现有工程主要生产设备一览表</w:t>
      </w:r>
    </w:p>
    <w:tbl>
      <w:tblPr>
        <w:tblStyle w:val="512"/>
        <w:tblW w:w="8818"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162"/>
        <w:gridCol w:w="2806"/>
        <w:gridCol w:w="1474"/>
        <w:gridCol w:w="337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3968" w:type="dxa"/>
            <w:gridSpan w:val="2"/>
            <w:vAlign w:val="center"/>
          </w:tcPr>
          <w:p>
            <w:pPr>
              <w:pStyle w:val="164"/>
              <w:rPr>
                <w:rFonts w:ascii="Times New Roman" w:hAnsi="Times New Roman"/>
                <w:color w:val="auto"/>
              </w:rPr>
            </w:pPr>
            <w:r>
              <w:rPr>
                <w:rFonts w:ascii="Times New Roman" w:hAnsi="Times New Roman"/>
                <w:color w:val="auto"/>
              </w:rPr>
              <w:t>设备名称</w:t>
            </w:r>
          </w:p>
        </w:tc>
        <w:tc>
          <w:tcPr>
            <w:tcW w:w="1474" w:type="dxa"/>
            <w:vAlign w:val="center"/>
          </w:tcPr>
          <w:p>
            <w:pPr>
              <w:pStyle w:val="164"/>
              <w:rPr>
                <w:rFonts w:ascii="Times New Roman" w:hAnsi="Times New Roman"/>
                <w:color w:val="auto"/>
              </w:rPr>
            </w:pPr>
            <w:r>
              <w:rPr>
                <w:rFonts w:ascii="Times New Roman" w:hAnsi="Times New Roman"/>
                <w:color w:val="auto"/>
              </w:rPr>
              <w:t>台数</w:t>
            </w:r>
          </w:p>
        </w:tc>
        <w:tc>
          <w:tcPr>
            <w:tcW w:w="3376" w:type="dxa"/>
            <w:vAlign w:val="center"/>
          </w:tcPr>
          <w:p>
            <w:pPr>
              <w:pStyle w:val="164"/>
              <w:rPr>
                <w:rFonts w:ascii="Times New Roman" w:hAnsi="Times New Roman"/>
                <w:color w:val="auto"/>
              </w:rPr>
            </w:pPr>
            <w:r>
              <w:rPr>
                <w:rFonts w:ascii="Times New Roman" w:hAnsi="Times New Roman"/>
                <w:color w:val="auto"/>
              </w:rPr>
              <w:t>备注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restart"/>
            <w:tcBorders>
              <w:right w:val="single" w:color="auto" w:sz="4" w:space="0"/>
            </w:tcBorders>
            <w:vAlign w:val="center"/>
          </w:tcPr>
          <w:p>
            <w:pPr>
              <w:pStyle w:val="164"/>
              <w:rPr>
                <w:rFonts w:ascii="Times New Roman" w:hAnsi="Times New Roman"/>
                <w:color w:val="auto"/>
              </w:rPr>
            </w:pPr>
            <w:r>
              <w:rPr>
                <w:rFonts w:ascii="Times New Roman" w:hAnsi="Times New Roman"/>
                <w:color w:val="auto"/>
              </w:rPr>
              <w:t>1套3t/d高温蒸汽灭菌系统</w:t>
            </w: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上料机</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医疗废物专用灭菌器</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灭菌车清洗提升机</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冷却水循环泵</w:t>
            </w:r>
          </w:p>
        </w:tc>
        <w:tc>
          <w:tcPr>
            <w:tcW w:w="1474" w:type="dxa"/>
            <w:vAlign w:val="center"/>
          </w:tcPr>
          <w:p>
            <w:pPr>
              <w:pStyle w:val="164"/>
              <w:rPr>
                <w:rFonts w:ascii="Times New Roman" w:hAnsi="Times New Roman"/>
                <w:color w:val="auto"/>
              </w:rPr>
            </w:pPr>
            <w:r>
              <w:rPr>
                <w:rFonts w:ascii="Times New Roman" w:hAnsi="Times New Roman"/>
                <w:color w:val="auto"/>
              </w:rPr>
              <w:t>一用一备</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冷却塔</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循环水箱</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碳钢喷塑，外形尺寸：2000×1000×2000mm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空气压缩机</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卸料机</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密闭输送机</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医疗废物专用破碎机</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1162" w:type="dxa"/>
            <w:vMerge w:val="continue"/>
            <w:tcBorders>
              <w:right w:val="single" w:color="auto" w:sz="4" w:space="0"/>
            </w:tcBorders>
            <w:vAlign w:val="center"/>
          </w:tcPr>
          <w:p>
            <w:pPr>
              <w:pStyle w:val="164"/>
              <w:rPr>
                <w:rFonts w:ascii="Times New Roman" w:hAnsi="Times New Roman"/>
                <w:color w:val="auto"/>
              </w:rPr>
            </w:pPr>
          </w:p>
        </w:tc>
        <w:tc>
          <w:tcPr>
            <w:tcW w:w="2806" w:type="dxa"/>
            <w:tcBorders>
              <w:left w:val="single" w:color="auto" w:sz="4" w:space="0"/>
            </w:tcBorders>
            <w:vAlign w:val="center"/>
          </w:tcPr>
          <w:p>
            <w:pPr>
              <w:pStyle w:val="164"/>
              <w:rPr>
                <w:rFonts w:ascii="Times New Roman" w:hAnsi="Times New Roman"/>
                <w:color w:val="auto"/>
              </w:rPr>
            </w:pPr>
            <w:r>
              <w:rPr>
                <w:rFonts w:ascii="Times New Roman" w:hAnsi="Times New Roman"/>
                <w:color w:val="auto"/>
              </w:rPr>
              <w:t>周转箱自动清洗机</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3968" w:type="dxa"/>
            <w:gridSpan w:val="2"/>
            <w:vAlign w:val="center"/>
          </w:tcPr>
          <w:p>
            <w:pPr>
              <w:pStyle w:val="164"/>
              <w:rPr>
                <w:rFonts w:ascii="Times New Roman" w:hAnsi="Times New Roman"/>
                <w:color w:val="auto"/>
              </w:rPr>
            </w:pPr>
            <w:r>
              <w:rPr>
                <w:rFonts w:ascii="Times New Roman" w:hAnsi="Times New Roman"/>
                <w:color w:val="auto"/>
              </w:rPr>
              <w:t>空气净化器</w:t>
            </w:r>
          </w:p>
        </w:tc>
        <w:tc>
          <w:tcPr>
            <w:tcW w:w="1474" w:type="dxa"/>
            <w:vAlign w:val="center"/>
          </w:tcPr>
          <w:p>
            <w:pPr>
              <w:pStyle w:val="164"/>
              <w:rPr>
                <w:rFonts w:ascii="Times New Roman" w:hAnsi="Times New Roman"/>
                <w:color w:val="auto"/>
              </w:rPr>
            </w:pPr>
            <w:r>
              <w:rPr>
                <w:rFonts w:ascii="Times New Roman" w:hAnsi="Times New Roman"/>
                <w:color w:val="auto"/>
              </w:rPr>
              <w:t>2</w:t>
            </w:r>
          </w:p>
        </w:tc>
        <w:tc>
          <w:tcPr>
            <w:tcW w:w="3376" w:type="dxa"/>
            <w:vAlign w:val="center"/>
          </w:tcPr>
          <w:p>
            <w:pPr>
              <w:pStyle w:val="164"/>
              <w:rPr>
                <w:rFonts w:ascii="Times New Roman" w:hAnsi="Times New Roman"/>
                <w:color w:val="auto"/>
              </w:rPr>
            </w:pPr>
            <w:r>
              <w:rPr>
                <w:rFonts w:ascii="Times New Roman" w:hAnsi="Times New Roman"/>
                <w:color w:val="auto"/>
              </w:rPr>
              <w:t>空气洁净度达到1万~10万级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3968" w:type="dxa"/>
            <w:gridSpan w:val="2"/>
            <w:vAlign w:val="center"/>
          </w:tcPr>
          <w:p>
            <w:pPr>
              <w:pStyle w:val="164"/>
              <w:rPr>
                <w:rFonts w:ascii="Times New Roman" w:hAnsi="Times New Roman"/>
                <w:color w:val="auto"/>
              </w:rPr>
            </w:pPr>
            <w:r>
              <w:rPr>
                <w:rFonts w:ascii="Times New Roman" w:hAnsi="Times New Roman"/>
                <w:color w:val="auto"/>
              </w:rPr>
              <w:t>燃煤锅炉</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3968" w:type="dxa"/>
            <w:gridSpan w:val="2"/>
            <w:vAlign w:val="center"/>
          </w:tcPr>
          <w:p>
            <w:pPr>
              <w:pStyle w:val="164"/>
              <w:rPr>
                <w:rFonts w:ascii="Times New Roman" w:hAnsi="Times New Roman"/>
                <w:color w:val="auto"/>
              </w:rPr>
            </w:pPr>
            <w:r>
              <w:rPr>
                <w:rFonts w:ascii="Times New Roman" w:hAnsi="Times New Roman"/>
                <w:color w:val="auto"/>
              </w:rPr>
              <w:t>软水设备</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最大额定流量1.5t/h</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3968" w:type="dxa"/>
            <w:gridSpan w:val="2"/>
            <w:vAlign w:val="center"/>
          </w:tcPr>
          <w:p>
            <w:pPr>
              <w:pStyle w:val="164"/>
              <w:rPr>
                <w:rFonts w:ascii="Times New Roman" w:hAnsi="Times New Roman"/>
                <w:color w:val="auto"/>
              </w:rPr>
            </w:pPr>
            <w:r>
              <w:rPr>
                <w:rFonts w:ascii="Times New Roman" w:hAnsi="Times New Roman"/>
                <w:color w:val="auto"/>
              </w:rPr>
              <w:t>高效生物过滤器+灭菌处理+活性炭</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3968" w:type="dxa"/>
            <w:gridSpan w:val="2"/>
            <w:vAlign w:val="center"/>
          </w:tcPr>
          <w:p>
            <w:pPr>
              <w:pStyle w:val="164"/>
              <w:rPr>
                <w:rFonts w:ascii="Times New Roman" w:hAnsi="Times New Roman"/>
                <w:color w:val="auto"/>
              </w:rPr>
            </w:pPr>
            <w:r>
              <w:rPr>
                <w:rFonts w:ascii="Times New Roman" w:hAnsi="Times New Roman"/>
                <w:color w:val="auto"/>
              </w:rPr>
              <w:t>医疗废物转运车</w:t>
            </w:r>
          </w:p>
        </w:tc>
        <w:tc>
          <w:tcPr>
            <w:tcW w:w="1474" w:type="dxa"/>
            <w:vAlign w:val="center"/>
          </w:tcPr>
          <w:p>
            <w:pPr>
              <w:pStyle w:val="164"/>
              <w:rPr>
                <w:rFonts w:ascii="Times New Roman" w:hAnsi="Times New Roman"/>
                <w:color w:val="auto"/>
              </w:rPr>
            </w:pPr>
            <w:r>
              <w:rPr>
                <w:rFonts w:ascii="Times New Roman" w:hAnsi="Times New Roman"/>
                <w:color w:val="auto"/>
              </w:rPr>
              <w:t>5</w:t>
            </w:r>
          </w:p>
        </w:tc>
        <w:tc>
          <w:tcPr>
            <w:tcW w:w="3376" w:type="dxa"/>
            <w:vAlign w:val="center"/>
          </w:tcPr>
          <w:p>
            <w:pPr>
              <w:pStyle w:val="164"/>
              <w:rPr>
                <w:rFonts w:ascii="Times New Roman" w:hAnsi="Times New Roman"/>
                <w:color w:val="auto"/>
              </w:rPr>
            </w:pPr>
            <w:r>
              <w:rPr>
                <w:rFonts w:ascii="Times New Roman" w:hAnsi="Times New Roman"/>
                <w:color w:val="auto"/>
              </w:rPr>
              <w:t>1.5t，国三标准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3968" w:type="dxa"/>
            <w:gridSpan w:val="2"/>
            <w:vAlign w:val="center"/>
          </w:tcPr>
          <w:p>
            <w:pPr>
              <w:pStyle w:val="164"/>
              <w:rPr>
                <w:rFonts w:ascii="Times New Roman" w:hAnsi="Times New Roman"/>
                <w:color w:val="auto"/>
              </w:rPr>
            </w:pPr>
            <w:r>
              <w:rPr>
                <w:rFonts w:ascii="Times New Roman" w:hAnsi="Times New Roman"/>
                <w:color w:val="auto"/>
              </w:rPr>
              <w:t>医疗废物灭菌小车</w:t>
            </w:r>
          </w:p>
        </w:tc>
        <w:tc>
          <w:tcPr>
            <w:tcW w:w="1474" w:type="dxa"/>
            <w:vAlign w:val="center"/>
          </w:tcPr>
          <w:p>
            <w:pPr>
              <w:pStyle w:val="164"/>
              <w:rPr>
                <w:rFonts w:ascii="Times New Roman" w:hAnsi="Times New Roman"/>
                <w:color w:val="auto"/>
              </w:rPr>
            </w:pPr>
            <w:r>
              <w:rPr>
                <w:rFonts w:ascii="Times New Roman" w:hAnsi="Times New Roman"/>
                <w:color w:val="auto"/>
              </w:rPr>
              <w:t>8</w:t>
            </w:r>
          </w:p>
        </w:tc>
        <w:tc>
          <w:tcPr>
            <w:tcW w:w="3376" w:type="dxa"/>
            <w:vAlign w:val="center"/>
          </w:tcPr>
          <w:p>
            <w:pPr>
              <w:pStyle w:val="164"/>
              <w:rPr>
                <w:rFonts w:ascii="Times New Roman" w:hAnsi="Times New Roman"/>
                <w:color w:val="auto"/>
              </w:rPr>
            </w:pPr>
            <w:r>
              <w:rPr>
                <w:rFonts w:ascii="Times New Roman" w:hAnsi="Times New Roman"/>
                <w:color w:val="auto"/>
              </w:rPr>
              <w:t>尺寸：920×720×1100mm，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3968" w:type="dxa"/>
            <w:gridSpan w:val="2"/>
            <w:vAlign w:val="center"/>
          </w:tcPr>
          <w:p>
            <w:pPr>
              <w:pStyle w:val="164"/>
              <w:rPr>
                <w:rFonts w:ascii="Times New Roman" w:hAnsi="Times New Roman"/>
                <w:color w:val="auto"/>
              </w:rPr>
            </w:pPr>
            <w:r>
              <w:rPr>
                <w:rFonts w:ascii="Times New Roman" w:hAnsi="Times New Roman"/>
                <w:color w:val="auto"/>
              </w:rPr>
              <w:t>医疗废物周转箱</w:t>
            </w:r>
          </w:p>
        </w:tc>
        <w:tc>
          <w:tcPr>
            <w:tcW w:w="1474" w:type="dxa"/>
            <w:vAlign w:val="center"/>
          </w:tcPr>
          <w:p>
            <w:pPr>
              <w:pStyle w:val="164"/>
              <w:rPr>
                <w:rFonts w:ascii="Times New Roman" w:hAnsi="Times New Roman"/>
                <w:color w:val="auto"/>
              </w:rPr>
            </w:pPr>
            <w:r>
              <w:rPr>
                <w:rFonts w:ascii="Times New Roman" w:hAnsi="Times New Roman"/>
                <w:color w:val="auto"/>
              </w:rPr>
              <w:t>700</w:t>
            </w:r>
          </w:p>
        </w:tc>
        <w:tc>
          <w:tcPr>
            <w:tcW w:w="3376"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34" w:hRule="atLeast"/>
          <w:jc w:val="center"/>
        </w:trPr>
        <w:tc>
          <w:tcPr>
            <w:tcW w:w="3968" w:type="dxa"/>
            <w:gridSpan w:val="2"/>
            <w:vAlign w:val="center"/>
          </w:tcPr>
          <w:p>
            <w:pPr>
              <w:pStyle w:val="164"/>
              <w:rPr>
                <w:rFonts w:ascii="Times New Roman" w:hAnsi="Times New Roman"/>
                <w:color w:val="auto"/>
              </w:rPr>
            </w:pPr>
            <w:r>
              <w:rPr>
                <w:rFonts w:ascii="Times New Roman" w:hAnsi="Times New Roman"/>
                <w:color w:val="auto"/>
              </w:rPr>
              <w:t>照明配电箱</w:t>
            </w:r>
          </w:p>
        </w:tc>
        <w:tc>
          <w:tcPr>
            <w:tcW w:w="1474" w:type="dxa"/>
            <w:vAlign w:val="center"/>
          </w:tcPr>
          <w:p>
            <w:pPr>
              <w:pStyle w:val="164"/>
              <w:rPr>
                <w:rFonts w:ascii="Times New Roman" w:hAnsi="Times New Roman"/>
                <w:color w:val="auto"/>
              </w:rPr>
            </w:pPr>
            <w:r>
              <w:rPr>
                <w:rFonts w:ascii="Times New Roman" w:hAnsi="Times New Roman"/>
                <w:color w:val="auto"/>
              </w:rPr>
              <w:t>1</w:t>
            </w:r>
          </w:p>
        </w:tc>
        <w:tc>
          <w:tcPr>
            <w:tcW w:w="3376" w:type="dxa"/>
            <w:vAlign w:val="center"/>
          </w:tcPr>
          <w:p>
            <w:pPr>
              <w:pStyle w:val="164"/>
              <w:rPr>
                <w:rFonts w:ascii="Times New Roman" w:hAnsi="Times New Roman"/>
                <w:color w:val="auto"/>
              </w:rPr>
            </w:pPr>
            <w:r>
              <w:rPr>
                <w:rFonts w:ascii="Times New Roman" w:hAnsi="Times New Roman"/>
                <w:color w:val="auto"/>
              </w:rPr>
              <w:t>/</w:t>
            </w:r>
          </w:p>
        </w:tc>
      </w:tr>
    </w:tbl>
    <w:p>
      <w:pPr>
        <w:pStyle w:val="130"/>
        <w:ind w:firstLine="480"/>
        <w:rPr>
          <w:rStyle w:val="573"/>
          <w:b w:val="0"/>
          <w:bCs/>
          <w:i w:val="0"/>
          <w:iCs w:val="0"/>
          <w:color w:val="auto"/>
        </w:rPr>
      </w:pPr>
      <w:r>
        <w:rPr>
          <w:rStyle w:val="573"/>
          <w:b w:val="0"/>
          <w:bCs/>
          <w:i w:val="0"/>
          <w:iCs w:val="0"/>
          <w:color w:val="auto"/>
        </w:rPr>
        <w:t>现有工程主要原辅材料及能源消耗情况见表2.1-3。</w:t>
      </w:r>
    </w:p>
    <w:p>
      <w:pPr>
        <w:pStyle w:val="114"/>
        <w:spacing w:before="0" w:beforeLines="0"/>
        <w:rPr>
          <w:rStyle w:val="573"/>
          <w:b/>
          <w:bCs w:val="0"/>
          <w:i w:val="0"/>
          <w:iCs w:val="0"/>
          <w:color w:val="auto"/>
        </w:rPr>
      </w:pPr>
      <w:r>
        <w:rPr>
          <w:rStyle w:val="573"/>
          <w:b/>
          <w:bCs w:val="0"/>
          <w:i w:val="0"/>
          <w:iCs w:val="0"/>
          <w:color w:val="auto"/>
        </w:rPr>
        <w:t>表2.1-3   现有工程项目主要原辅材料及能源消耗情况一览表</w:t>
      </w:r>
    </w:p>
    <w:tbl>
      <w:tblPr>
        <w:tblStyle w:val="75"/>
        <w:tblW w:w="849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1559"/>
        <w:gridCol w:w="1134"/>
        <w:gridCol w:w="2268"/>
        <w:gridCol w:w="1276"/>
        <w:gridCol w:w="15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94" w:type="dxa"/>
            <w:vAlign w:val="center"/>
          </w:tcPr>
          <w:p>
            <w:pPr>
              <w:pStyle w:val="164"/>
              <w:rPr>
                <w:rStyle w:val="573"/>
                <w:b w:val="0"/>
                <w:bCs w:val="0"/>
                <w:i w:val="0"/>
                <w:iCs w:val="0"/>
                <w:color w:val="auto"/>
              </w:rPr>
            </w:pPr>
            <w:r>
              <w:rPr>
                <w:rStyle w:val="573"/>
                <w:b w:val="0"/>
                <w:bCs w:val="0"/>
                <w:i w:val="0"/>
                <w:iCs w:val="0"/>
                <w:color w:val="auto"/>
              </w:rPr>
              <w:t>序号</w:t>
            </w:r>
          </w:p>
        </w:tc>
        <w:tc>
          <w:tcPr>
            <w:tcW w:w="1559" w:type="dxa"/>
            <w:vAlign w:val="center"/>
          </w:tcPr>
          <w:p>
            <w:pPr>
              <w:pStyle w:val="164"/>
              <w:rPr>
                <w:rStyle w:val="573"/>
                <w:b w:val="0"/>
                <w:bCs w:val="0"/>
                <w:i w:val="0"/>
                <w:iCs w:val="0"/>
                <w:color w:val="auto"/>
              </w:rPr>
            </w:pPr>
            <w:r>
              <w:rPr>
                <w:rStyle w:val="573"/>
                <w:b w:val="0"/>
                <w:bCs w:val="0"/>
                <w:i w:val="0"/>
                <w:iCs w:val="0"/>
                <w:color w:val="auto"/>
              </w:rPr>
              <w:t>名称</w:t>
            </w:r>
          </w:p>
        </w:tc>
        <w:tc>
          <w:tcPr>
            <w:tcW w:w="1134" w:type="dxa"/>
            <w:vAlign w:val="center"/>
          </w:tcPr>
          <w:p>
            <w:pPr>
              <w:pStyle w:val="164"/>
              <w:rPr>
                <w:rStyle w:val="573"/>
                <w:b w:val="0"/>
                <w:bCs w:val="0"/>
                <w:i w:val="0"/>
                <w:iCs w:val="0"/>
                <w:color w:val="auto"/>
              </w:rPr>
            </w:pPr>
            <w:r>
              <w:rPr>
                <w:rStyle w:val="573"/>
                <w:b w:val="0"/>
                <w:bCs w:val="0"/>
                <w:i w:val="0"/>
                <w:iCs w:val="0"/>
                <w:color w:val="auto"/>
              </w:rPr>
              <w:t>消耗量</w:t>
            </w:r>
          </w:p>
        </w:tc>
        <w:tc>
          <w:tcPr>
            <w:tcW w:w="2268" w:type="dxa"/>
            <w:vAlign w:val="center"/>
          </w:tcPr>
          <w:p>
            <w:pPr>
              <w:pStyle w:val="164"/>
              <w:rPr>
                <w:rStyle w:val="573"/>
                <w:b w:val="0"/>
                <w:bCs w:val="0"/>
                <w:i w:val="0"/>
                <w:iCs w:val="0"/>
                <w:color w:val="auto"/>
              </w:rPr>
            </w:pPr>
            <w:r>
              <w:rPr>
                <w:rStyle w:val="573"/>
                <w:b w:val="0"/>
                <w:bCs w:val="0"/>
                <w:i w:val="0"/>
                <w:iCs w:val="0"/>
                <w:color w:val="auto"/>
              </w:rPr>
              <w:t>备注</w:t>
            </w:r>
          </w:p>
        </w:tc>
        <w:tc>
          <w:tcPr>
            <w:tcW w:w="1276" w:type="dxa"/>
            <w:vAlign w:val="center"/>
          </w:tcPr>
          <w:p>
            <w:pPr>
              <w:pStyle w:val="164"/>
              <w:rPr>
                <w:rStyle w:val="573"/>
                <w:b w:val="0"/>
                <w:bCs w:val="0"/>
                <w:i w:val="0"/>
                <w:iCs w:val="0"/>
                <w:color w:val="auto"/>
              </w:rPr>
            </w:pPr>
            <w:r>
              <w:rPr>
                <w:rStyle w:val="573"/>
                <w:b w:val="0"/>
                <w:bCs w:val="0"/>
                <w:i w:val="0"/>
                <w:iCs w:val="0"/>
                <w:color w:val="auto"/>
              </w:rPr>
              <w:t>最大储存量</w:t>
            </w:r>
          </w:p>
        </w:tc>
        <w:tc>
          <w:tcPr>
            <w:tcW w:w="1563" w:type="dxa"/>
            <w:vAlign w:val="center"/>
          </w:tcPr>
          <w:p>
            <w:pPr>
              <w:pStyle w:val="164"/>
              <w:rPr>
                <w:rStyle w:val="573"/>
                <w:b w:val="0"/>
                <w:bCs w:val="0"/>
                <w:i w:val="0"/>
                <w:iCs w:val="0"/>
                <w:color w:val="auto"/>
              </w:rPr>
            </w:pPr>
            <w:r>
              <w:rPr>
                <w:rStyle w:val="573"/>
                <w:b w:val="0"/>
                <w:bCs w:val="0"/>
                <w:i w:val="0"/>
                <w:iCs w:val="0"/>
                <w:color w:val="auto"/>
              </w:rPr>
              <w:t>存储方式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94" w:type="dxa"/>
            <w:vAlign w:val="center"/>
          </w:tcPr>
          <w:p>
            <w:pPr>
              <w:pStyle w:val="164"/>
              <w:rPr>
                <w:rStyle w:val="573"/>
                <w:b w:val="0"/>
                <w:bCs w:val="0"/>
                <w:i w:val="0"/>
                <w:iCs w:val="0"/>
                <w:color w:val="auto"/>
              </w:rPr>
            </w:pPr>
            <w:r>
              <w:rPr>
                <w:rStyle w:val="573"/>
                <w:b w:val="0"/>
                <w:bCs w:val="0"/>
                <w:i w:val="0"/>
                <w:iCs w:val="0"/>
                <w:color w:val="auto"/>
              </w:rPr>
              <w:t>1</w:t>
            </w:r>
          </w:p>
        </w:tc>
        <w:tc>
          <w:tcPr>
            <w:tcW w:w="1559" w:type="dxa"/>
            <w:vAlign w:val="center"/>
          </w:tcPr>
          <w:p>
            <w:pPr>
              <w:pStyle w:val="164"/>
              <w:rPr>
                <w:rStyle w:val="573"/>
                <w:b w:val="0"/>
                <w:bCs w:val="0"/>
                <w:i w:val="0"/>
                <w:iCs w:val="0"/>
                <w:color w:val="auto"/>
              </w:rPr>
            </w:pPr>
            <w:r>
              <w:rPr>
                <w:rStyle w:val="573"/>
                <w:b w:val="0"/>
                <w:bCs w:val="0"/>
                <w:i w:val="0"/>
                <w:iCs w:val="0"/>
                <w:color w:val="auto"/>
              </w:rPr>
              <w:t>医疗废物</w:t>
            </w:r>
          </w:p>
        </w:tc>
        <w:tc>
          <w:tcPr>
            <w:tcW w:w="1134" w:type="dxa"/>
            <w:vAlign w:val="center"/>
          </w:tcPr>
          <w:p>
            <w:pPr>
              <w:pStyle w:val="164"/>
              <w:rPr>
                <w:rStyle w:val="573"/>
                <w:b w:val="0"/>
                <w:bCs w:val="0"/>
                <w:i w:val="0"/>
                <w:iCs w:val="0"/>
                <w:color w:val="auto"/>
              </w:rPr>
            </w:pPr>
            <w:r>
              <w:rPr>
                <w:rStyle w:val="573"/>
                <w:b w:val="0"/>
                <w:bCs w:val="0"/>
                <w:i w:val="0"/>
                <w:iCs w:val="0"/>
                <w:color w:val="auto"/>
              </w:rPr>
              <w:t>990t/a</w:t>
            </w:r>
          </w:p>
        </w:tc>
        <w:tc>
          <w:tcPr>
            <w:tcW w:w="2268" w:type="dxa"/>
            <w:vAlign w:val="center"/>
          </w:tcPr>
          <w:p>
            <w:pPr>
              <w:pStyle w:val="164"/>
              <w:rPr>
                <w:rStyle w:val="573"/>
                <w:b w:val="0"/>
                <w:bCs w:val="0"/>
                <w:i w:val="0"/>
                <w:iCs w:val="0"/>
                <w:color w:val="auto"/>
              </w:rPr>
            </w:pPr>
            <w:r>
              <w:rPr>
                <w:rStyle w:val="573"/>
                <w:b w:val="0"/>
                <w:bCs w:val="0"/>
                <w:i w:val="0"/>
                <w:iCs w:val="0"/>
                <w:color w:val="auto"/>
              </w:rPr>
              <w:t>感染性及损伤性医疗废物</w:t>
            </w:r>
          </w:p>
        </w:tc>
        <w:tc>
          <w:tcPr>
            <w:tcW w:w="1276" w:type="dxa"/>
            <w:vAlign w:val="center"/>
          </w:tcPr>
          <w:p>
            <w:pPr>
              <w:pStyle w:val="164"/>
              <w:rPr>
                <w:rStyle w:val="573"/>
                <w:b w:val="0"/>
                <w:bCs w:val="0"/>
                <w:i w:val="0"/>
                <w:iCs w:val="0"/>
                <w:color w:val="auto"/>
              </w:rPr>
            </w:pPr>
            <w:r>
              <w:rPr>
                <w:rStyle w:val="573"/>
                <w:b w:val="0"/>
                <w:bCs w:val="0"/>
                <w:i w:val="0"/>
                <w:iCs w:val="0"/>
                <w:color w:val="auto"/>
              </w:rPr>
              <w:t>10t</w:t>
            </w:r>
          </w:p>
        </w:tc>
        <w:tc>
          <w:tcPr>
            <w:tcW w:w="1563" w:type="dxa"/>
            <w:vAlign w:val="center"/>
          </w:tcPr>
          <w:p>
            <w:pPr>
              <w:pStyle w:val="164"/>
              <w:rPr>
                <w:rStyle w:val="573"/>
                <w:b w:val="0"/>
                <w:bCs w:val="0"/>
                <w:i w:val="0"/>
                <w:iCs w:val="0"/>
                <w:color w:val="auto"/>
              </w:rPr>
            </w:pPr>
            <w:r>
              <w:rPr>
                <w:rStyle w:val="573"/>
                <w:b w:val="0"/>
                <w:bCs w:val="0"/>
                <w:i w:val="0"/>
                <w:iCs w:val="0"/>
                <w:color w:val="auto"/>
              </w:rPr>
              <w:t>周转箱及冷库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94" w:type="dxa"/>
            <w:vAlign w:val="center"/>
          </w:tcPr>
          <w:p>
            <w:pPr>
              <w:pStyle w:val="164"/>
              <w:rPr>
                <w:rStyle w:val="573"/>
                <w:b w:val="0"/>
                <w:bCs w:val="0"/>
                <w:i w:val="0"/>
                <w:iCs w:val="0"/>
                <w:color w:val="auto"/>
              </w:rPr>
            </w:pPr>
            <w:r>
              <w:rPr>
                <w:rStyle w:val="573"/>
                <w:b w:val="0"/>
                <w:bCs w:val="0"/>
                <w:i w:val="0"/>
                <w:iCs w:val="0"/>
                <w:color w:val="auto"/>
              </w:rPr>
              <w:t>2</w:t>
            </w:r>
          </w:p>
        </w:tc>
        <w:tc>
          <w:tcPr>
            <w:tcW w:w="1559" w:type="dxa"/>
            <w:vAlign w:val="center"/>
          </w:tcPr>
          <w:p>
            <w:pPr>
              <w:pStyle w:val="164"/>
              <w:rPr>
                <w:rStyle w:val="573"/>
                <w:b w:val="0"/>
                <w:bCs w:val="0"/>
                <w:i w:val="0"/>
                <w:iCs w:val="0"/>
                <w:color w:val="auto"/>
              </w:rPr>
            </w:pPr>
            <w:r>
              <w:rPr>
                <w:rStyle w:val="573"/>
                <w:b w:val="0"/>
                <w:bCs w:val="0"/>
                <w:i w:val="0"/>
                <w:iCs w:val="0"/>
                <w:color w:val="auto"/>
              </w:rPr>
              <w:t>活性炭</w:t>
            </w:r>
          </w:p>
        </w:tc>
        <w:tc>
          <w:tcPr>
            <w:tcW w:w="1134" w:type="dxa"/>
            <w:vAlign w:val="center"/>
          </w:tcPr>
          <w:p>
            <w:pPr>
              <w:pStyle w:val="164"/>
              <w:rPr>
                <w:rStyle w:val="573"/>
                <w:b w:val="0"/>
                <w:bCs w:val="0"/>
                <w:i w:val="0"/>
                <w:iCs w:val="0"/>
                <w:color w:val="auto"/>
              </w:rPr>
            </w:pPr>
            <w:r>
              <w:rPr>
                <w:rStyle w:val="573"/>
                <w:b w:val="0"/>
                <w:bCs w:val="0"/>
                <w:i w:val="0"/>
                <w:iCs w:val="0"/>
                <w:color w:val="auto"/>
              </w:rPr>
              <w:t>0.02t/a</w:t>
            </w:r>
          </w:p>
        </w:tc>
        <w:tc>
          <w:tcPr>
            <w:tcW w:w="2268" w:type="dxa"/>
            <w:vAlign w:val="center"/>
          </w:tcPr>
          <w:p>
            <w:pPr>
              <w:pStyle w:val="164"/>
              <w:rPr>
                <w:rStyle w:val="573"/>
                <w:b w:val="0"/>
                <w:bCs w:val="0"/>
                <w:i w:val="0"/>
                <w:iCs w:val="0"/>
                <w:color w:val="auto"/>
              </w:rPr>
            </w:pPr>
            <w:r>
              <w:rPr>
                <w:rStyle w:val="573"/>
                <w:b w:val="0"/>
                <w:bCs w:val="0"/>
                <w:i w:val="0"/>
                <w:iCs w:val="0"/>
                <w:color w:val="auto"/>
              </w:rPr>
              <w:t>尾气吸收</w:t>
            </w:r>
          </w:p>
        </w:tc>
        <w:tc>
          <w:tcPr>
            <w:tcW w:w="1276" w:type="dxa"/>
            <w:vAlign w:val="center"/>
          </w:tcPr>
          <w:p>
            <w:pPr>
              <w:pStyle w:val="164"/>
              <w:rPr>
                <w:rStyle w:val="573"/>
                <w:b w:val="0"/>
                <w:bCs w:val="0"/>
                <w:i w:val="0"/>
                <w:iCs w:val="0"/>
                <w:color w:val="auto"/>
              </w:rPr>
            </w:pPr>
            <w:r>
              <w:rPr>
                <w:rStyle w:val="573"/>
                <w:b w:val="0"/>
                <w:bCs w:val="0"/>
                <w:i w:val="0"/>
                <w:iCs w:val="0"/>
                <w:color w:val="auto"/>
              </w:rPr>
              <w:t>0.01t</w:t>
            </w:r>
          </w:p>
        </w:tc>
        <w:tc>
          <w:tcPr>
            <w:tcW w:w="1563" w:type="dxa"/>
            <w:vAlign w:val="center"/>
          </w:tcPr>
          <w:p>
            <w:pPr>
              <w:pStyle w:val="164"/>
              <w:rPr>
                <w:rStyle w:val="573"/>
                <w:b w:val="0"/>
                <w:bCs w:val="0"/>
                <w:i w:val="0"/>
                <w:iCs w:val="0"/>
                <w:color w:val="auto"/>
              </w:rPr>
            </w:pPr>
            <w:r>
              <w:rPr>
                <w:rStyle w:val="573"/>
                <w:b w:val="0"/>
                <w:bCs w:val="0"/>
                <w:i w:val="0"/>
                <w:iCs w:val="0"/>
                <w:color w:val="auto"/>
              </w:rPr>
              <w:t>20kg，袋装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94" w:type="dxa"/>
            <w:vAlign w:val="center"/>
          </w:tcPr>
          <w:p>
            <w:pPr>
              <w:pStyle w:val="164"/>
              <w:rPr>
                <w:rStyle w:val="573"/>
                <w:b w:val="0"/>
                <w:bCs w:val="0"/>
                <w:i w:val="0"/>
                <w:iCs w:val="0"/>
                <w:color w:val="auto"/>
              </w:rPr>
            </w:pPr>
            <w:r>
              <w:rPr>
                <w:rStyle w:val="573"/>
                <w:b w:val="0"/>
                <w:bCs w:val="0"/>
                <w:i w:val="0"/>
                <w:iCs w:val="0"/>
                <w:color w:val="auto"/>
              </w:rPr>
              <w:t>3</w:t>
            </w:r>
          </w:p>
        </w:tc>
        <w:tc>
          <w:tcPr>
            <w:tcW w:w="1559" w:type="dxa"/>
            <w:vAlign w:val="center"/>
          </w:tcPr>
          <w:p>
            <w:pPr>
              <w:pStyle w:val="164"/>
              <w:rPr>
                <w:rStyle w:val="573"/>
                <w:b w:val="0"/>
                <w:bCs w:val="0"/>
                <w:i w:val="0"/>
                <w:iCs w:val="0"/>
                <w:color w:val="auto"/>
              </w:rPr>
            </w:pPr>
            <w:r>
              <w:rPr>
                <w:rStyle w:val="573"/>
                <w:b w:val="0"/>
                <w:bCs w:val="0"/>
                <w:i w:val="0"/>
                <w:iCs w:val="0"/>
                <w:color w:val="auto"/>
              </w:rPr>
              <w:t>高效生物过滤滤芯</w:t>
            </w:r>
          </w:p>
        </w:tc>
        <w:tc>
          <w:tcPr>
            <w:tcW w:w="1134" w:type="dxa"/>
            <w:vAlign w:val="center"/>
          </w:tcPr>
          <w:p>
            <w:pPr>
              <w:pStyle w:val="164"/>
              <w:rPr>
                <w:rStyle w:val="573"/>
                <w:b w:val="0"/>
                <w:bCs w:val="0"/>
                <w:i w:val="0"/>
                <w:iCs w:val="0"/>
                <w:color w:val="auto"/>
              </w:rPr>
            </w:pPr>
            <w:r>
              <w:rPr>
                <w:rStyle w:val="573"/>
                <w:b w:val="0"/>
                <w:bCs w:val="0"/>
                <w:i w:val="0"/>
                <w:iCs w:val="0"/>
                <w:color w:val="auto"/>
              </w:rPr>
              <w:t>0.04t/a</w:t>
            </w:r>
          </w:p>
        </w:tc>
        <w:tc>
          <w:tcPr>
            <w:tcW w:w="2268" w:type="dxa"/>
            <w:vAlign w:val="center"/>
          </w:tcPr>
          <w:p>
            <w:pPr>
              <w:pStyle w:val="164"/>
              <w:rPr>
                <w:rStyle w:val="573"/>
                <w:b w:val="0"/>
                <w:bCs w:val="0"/>
                <w:i w:val="0"/>
                <w:iCs w:val="0"/>
                <w:color w:val="auto"/>
              </w:rPr>
            </w:pPr>
            <w:r>
              <w:rPr>
                <w:rStyle w:val="573"/>
                <w:b w:val="0"/>
                <w:bCs w:val="0"/>
                <w:i w:val="0"/>
                <w:iCs w:val="0"/>
                <w:color w:val="auto"/>
              </w:rPr>
              <w:t>尾气过滤</w:t>
            </w:r>
          </w:p>
        </w:tc>
        <w:tc>
          <w:tcPr>
            <w:tcW w:w="1276" w:type="dxa"/>
            <w:vAlign w:val="center"/>
          </w:tcPr>
          <w:p>
            <w:pPr>
              <w:pStyle w:val="164"/>
              <w:rPr>
                <w:rStyle w:val="573"/>
                <w:b w:val="0"/>
                <w:bCs w:val="0"/>
                <w:i w:val="0"/>
                <w:iCs w:val="0"/>
                <w:color w:val="auto"/>
              </w:rPr>
            </w:pPr>
            <w:r>
              <w:rPr>
                <w:rStyle w:val="573"/>
                <w:b w:val="0"/>
                <w:bCs w:val="0"/>
                <w:i w:val="0"/>
                <w:iCs w:val="0"/>
                <w:color w:val="auto"/>
              </w:rPr>
              <w:t>/</w:t>
            </w:r>
          </w:p>
        </w:tc>
        <w:tc>
          <w:tcPr>
            <w:tcW w:w="1563" w:type="dxa"/>
            <w:vAlign w:val="center"/>
          </w:tcPr>
          <w:p>
            <w:pPr>
              <w:pStyle w:val="164"/>
              <w:rPr>
                <w:rStyle w:val="573"/>
                <w:b w:val="0"/>
                <w:bCs w:val="0"/>
                <w:i w:val="0"/>
                <w:iCs w:val="0"/>
                <w:color w:val="auto"/>
              </w:rPr>
            </w:pPr>
            <w:r>
              <w:rPr>
                <w:rStyle w:val="573"/>
                <w:b w:val="0"/>
                <w:bCs w:val="0"/>
                <w:i w:val="0"/>
                <w:iCs w:val="0"/>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94" w:type="dxa"/>
            <w:vAlign w:val="center"/>
          </w:tcPr>
          <w:p>
            <w:pPr>
              <w:pStyle w:val="164"/>
              <w:rPr>
                <w:rStyle w:val="573"/>
                <w:b w:val="0"/>
                <w:bCs w:val="0"/>
                <w:i w:val="0"/>
                <w:iCs w:val="0"/>
                <w:color w:val="auto"/>
              </w:rPr>
            </w:pPr>
            <w:r>
              <w:rPr>
                <w:rStyle w:val="573"/>
                <w:b w:val="0"/>
                <w:bCs w:val="0"/>
                <w:i w:val="0"/>
                <w:iCs w:val="0"/>
                <w:color w:val="auto"/>
              </w:rPr>
              <w:t>4</w:t>
            </w:r>
          </w:p>
        </w:tc>
        <w:tc>
          <w:tcPr>
            <w:tcW w:w="1559" w:type="dxa"/>
            <w:vAlign w:val="center"/>
          </w:tcPr>
          <w:p>
            <w:pPr>
              <w:pStyle w:val="164"/>
              <w:rPr>
                <w:rStyle w:val="573"/>
                <w:b w:val="0"/>
                <w:bCs w:val="0"/>
                <w:i w:val="0"/>
                <w:iCs w:val="0"/>
                <w:color w:val="auto"/>
              </w:rPr>
            </w:pPr>
            <w:r>
              <w:rPr>
                <w:rStyle w:val="573"/>
                <w:b w:val="0"/>
                <w:bCs w:val="0"/>
                <w:i w:val="0"/>
                <w:iCs w:val="0"/>
                <w:color w:val="auto"/>
              </w:rPr>
              <w:t>次氯酸钠</w:t>
            </w:r>
          </w:p>
        </w:tc>
        <w:tc>
          <w:tcPr>
            <w:tcW w:w="1134" w:type="dxa"/>
            <w:vAlign w:val="center"/>
          </w:tcPr>
          <w:p>
            <w:pPr>
              <w:pStyle w:val="164"/>
              <w:rPr>
                <w:rStyle w:val="573"/>
                <w:b w:val="0"/>
                <w:bCs w:val="0"/>
                <w:i w:val="0"/>
                <w:iCs w:val="0"/>
                <w:color w:val="auto"/>
              </w:rPr>
            </w:pPr>
            <w:r>
              <w:rPr>
                <w:rStyle w:val="573"/>
                <w:b w:val="0"/>
                <w:bCs w:val="0"/>
                <w:i w:val="0"/>
                <w:iCs w:val="0"/>
                <w:color w:val="auto"/>
              </w:rPr>
              <w:t>1.3t/a</w:t>
            </w:r>
          </w:p>
        </w:tc>
        <w:tc>
          <w:tcPr>
            <w:tcW w:w="2268" w:type="dxa"/>
            <w:vAlign w:val="center"/>
          </w:tcPr>
          <w:p>
            <w:pPr>
              <w:pStyle w:val="164"/>
              <w:rPr>
                <w:rStyle w:val="573"/>
                <w:b w:val="0"/>
                <w:bCs w:val="0"/>
                <w:i w:val="0"/>
                <w:iCs w:val="0"/>
                <w:color w:val="auto"/>
              </w:rPr>
            </w:pPr>
            <w:r>
              <w:rPr>
                <w:rStyle w:val="573"/>
                <w:b w:val="0"/>
                <w:bCs w:val="0"/>
                <w:i w:val="0"/>
                <w:iCs w:val="0"/>
                <w:color w:val="auto"/>
              </w:rPr>
              <w:t>制备二氧化氯消毒液</w:t>
            </w:r>
          </w:p>
        </w:tc>
        <w:tc>
          <w:tcPr>
            <w:tcW w:w="1276" w:type="dxa"/>
            <w:vAlign w:val="center"/>
          </w:tcPr>
          <w:p>
            <w:pPr>
              <w:pStyle w:val="164"/>
              <w:rPr>
                <w:rStyle w:val="573"/>
                <w:b w:val="0"/>
                <w:bCs w:val="0"/>
                <w:i w:val="0"/>
                <w:iCs w:val="0"/>
                <w:color w:val="auto"/>
              </w:rPr>
            </w:pPr>
            <w:r>
              <w:rPr>
                <w:rStyle w:val="573"/>
                <w:b w:val="0"/>
                <w:bCs w:val="0"/>
                <w:i w:val="0"/>
                <w:iCs w:val="0"/>
                <w:color w:val="auto"/>
              </w:rPr>
              <w:t>0.5t</w:t>
            </w:r>
          </w:p>
        </w:tc>
        <w:tc>
          <w:tcPr>
            <w:tcW w:w="1563" w:type="dxa"/>
            <w:vAlign w:val="center"/>
          </w:tcPr>
          <w:p>
            <w:pPr>
              <w:pStyle w:val="164"/>
              <w:rPr>
                <w:rStyle w:val="573"/>
                <w:b w:val="0"/>
                <w:bCs w:val="0"/>
                <w:i w:val="0"/>
                <w:iCs w:val="0"/>
                <w:color w:val="auto"/>
              </w:rPr>
            </w:pPr>
            <w:r>
              <w:rPr>
                <w:rStyle w:val="573"/>
                <w:b w:val="0"/>
                <w:bCs w:val="0"/>
                <w:i w:val="0"/>
                <w:iCs w:val="0"/>
                <w:color w:val="auto"/>
              </w:rPr>
              <w:t>25kg/桶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94" w:type="dxa"/>
            <w:vAlign w:val="center"/>
          </w:tcPr>
          <w:p>
            <w:pPr>
              <w:pStyle w:val="164"/>
              <w:rPr>
                <w:rStyle w:val="573"/>
                <w:b w:val="0"/>
                <w:bCs w:val="0"/>
                <w:i w:val="0"/>
                <w:iCs w:val="0"/>
                <w:color w:val="auto"/>
              </w:rPr>
            </w:pPr>
            <w:r>
              <w:rPr>
                <w:rStyle w:val="573"/>
                <w:b w:val="0"/>
                <w:bCs w:val="0"/>
                <w:i w:val="0"/>
                <w:iCs w:val="0"/>
                <w:color w:val="auto"/>
              </w:rPr>
              <w:t>5</w:t>
            </w:r>
          </w:p>
        </w:tc>
        <w:tc>
          <w:tcPr>
            <w:tcW w:w="1559" w:type="dxa"/>
            <w:vAlign w:val="center"/>
          </w:tcPr>
          <w:p>
            <w:pPr>
              <w:pStyle w:val="164"/>
              <w:rPr>
                <w:rStyle w:val="573"/>
                <w:b w:val="0"/>
                <w:bCs w:val="0"/>
                <w:i w:val="0"/>
                <w:iCs w:val="0"/>
                <w:color w:val="auto"/>
              </w:rPr>
            </w:pPr>
            <w:r>
              <w:rPr>
                <w:rStyle w:val="573"/>
                <w:b w:val="0"/>
                <w:bCs w:val="0"/>
                <w:i w:val="0"/>
                <w:iCs w:val="0"/>
                <w:color w:val="auto"/>
              </w:rPr>
              <w:t>盐酸</w:t>
            </w:r>
          </w:p>
        </w:tc>
        <w:tc>
          <w:tcPr>
            <w:tcW w:w="1134" w:type="dxa"/>
            <w:vAlign w:val="center"/>
          </w:tcPr>
          <w:p>
            <w:pPr>
              <w:pStyle w:val="164"/>
              <w:rPr>
                <w:rStyle w:val="573"/>
                <w:b w:val="0"/>
                <w:bCs w:val="0"/>
                <w:i w:val="0"/>
                <w:iCs w:val="0"/>
                <w:color w:val="auto"/>
              </w:rPr>
            </w:pPr>
            <w:r>
              <w:rPr>
                <w:rStyle w:val="573"/>
                <w:b w:val="0"/>
                <w:bCs w:val="0"/>
                <w:i w:val="0"/>
                <w:iCs w:val="0"/>
                <w:color w:val="auto"/>
              </w:rPr>
              <w:t>0.5t/a</w:t>
            </w:r>
          </w:p>
        </w:tc>
        <w:tc>
          <w:tcPr>
            <w:tcW w:w="2268" w:type="dxa"/>
            <w:vAlign w:val="center"/>
          </w:tcPr>
          <w:p>
            <w:pPr>
              <w:pStyle w:val="164"/>
              <w:rPr>
                <w:rStyle w:val="573"/>
                <w:b w:val="0"/>
                <w:bCs w:val="0"/>
                <w:i w:val="0"/>
                <w:iCs w:val="0"/>
                <w:color w:val="auto"/>
              </w:rPr>
            </w:pPr>
            <w:r>
              <w:rPr>
                <w:rStyle w:val="573"/>
                <w:b w:val="0"/>
                <w:bCs w:val="0"/>
                <w:i w:val="0"/>
                <w:iCs w:val="0"/>
                <w:color w:val="auto"/>
              </w:rPr>
              <w:t>制备二氧化氯消毒液</w:t>
            </w:r>
          </w:p>
        </w:tc>
        <w:tc>
          <w:tcPr>
            <w:tcW w:w="1276" w:type="dxa"/>
            <w:vAlign w:val="center"/>
          </w:tcPr>
          <w:p>
            <w:pPr>
              <w:pStyle w:val="164"/>
              <w:rPr>
                <w:rStyle w:val="573"/>
                <w:b w:val="0"/>
                <w:bCs w:val="0"/>
                <w:i w:val="0"/>
                <w:iCs w:val="0"/>
                <w:color w:val="auto"/>
              </w:rPr>
            </w:pPr>
            <w:r>
              <w:rPr>
                <w:rStyle w:val="573"/>
                <w:b w:val="0"/>
                <w:bCs w:val="0"/>
                <w:i w:val="0"/>
                <w:iCs w:val="0"/>
                <w:color w:val="auto"/>
              </w:rPr>
              <w:t>0.1t</w:t>
            </w:r>
          </w:p>
        </w:tc>
        <w:tc>
          <w:tcPr>
            <w:tcW w:w="1563" w:type="dxa"/>
            <w:vAlign w:val="center"/>
          </w:tcPr>
          <w:p>
            <w:pPr>
              <w:pStyle w:val="164"/>
              <w:rPr>
                <w:rStyle w:val="573"/>
                <w:b w:val="0"/>
                <w:bCs w:val="0"/>
                <w:i w:val="0"/>
                <w:iCs w:val="0"/>
                <w:color w:val="auto"/>
              </w:rPr>
            </w:pPr>
            <w:r>
              <w:rPr>
                <w:rStyle w:val="573"/>
                <w:b w:val="0"/>
                <w:bCs w:val="0"/>
                <w:i w:val="0"/>
                <w:iCs w:val="0"/>
                <w:color w:val="auto"/>
              </w:rPr>
              <w:t>25kg/桶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94" w:type="dxa"/>
            <w:vAlign w:val="center"/>
          </w:tcPr>
          <w:p>
            <w:pPr>
              <w:pStyle w:val="164"/>
              <w:rPr>
                <w:rStyle w:val="573"/>
                <w:b w:val="0"/>
                <w:bCs w:val="0"/>
                <w:i w:val="0"/>
                <w:iCs w:val="0"/>
                <w:color w:val="auto"/>
              </w:rPr>
            </w:pPr>
            <w:r>
              <w:rPr>
                <w:rStyle w:val="573"/>
                <w:b w:val="0"/>
                <w:bCs w:val="0"/>
                <w:i w:val="0"/>
                <w:iCs w:val="0"/>
                <w:color w:val="auto"/>
              </w:rPr>
              <w:t>6</w:t>
            </w:r>
          </w:p>
        </w:tc>
        <w:tc>
          <w:tcPr>
            <w:tcW w:w="1559" w:type="dxa"/>
            <w:vAlign w:val="center"/>
          </w:tcPr>
          <w:p>
            <w:pPr>
              <w:pStyle w:val="164"/>
              <w:rPr>
                <w:rStyle w:val="573"/>
                <w:b w:val="0"/>
                <w:bCs w:val="0"/>
                <w:i w:val="0"/>
                <w:iCs w:val="0"/>
                <w:color w:val="auto"/>
              </w:rPr>
            </w:pPr>
            <w:r>
              <w:rPr>
                <w:rStyle w:val="573"/>
                <w:b w:val="0"/>
                <w:bCs w:val="0"/>
                <w:i w:val="0"/>
                <w:iCs w:val="0"/>
                <w:color w:val="auto"/>
              </w:rPr>
              <w:t>水</w:t>
            </w:r>
          </w:p>
        </w:tc>
        <w:tc>
          <w:tcPr>
            <w:tcW w:w="1134" w:type="dxa"/>
            <w:vAlign w:val="center"/>
          </w:tcPr>
          <w:p>
            <w:pPr>
              <w:pStyle w:val="164"/>
              <w:rPr>
                <w:rStyle w:val="573"/>
                <w:b w:val="0"/>
                <w:bCs w:val="0"/>
                <w:i w:val="0"/>
                <w:iCs w:val="0"/>
                <w:color w:val="auto"/>
              </w:rPr>
            </w:pPr>
            <w:r>
              <w:rPr>
                <w:rStyle w:val="573"/>
                <w:b w:val="0"/>
                <w:bCs w:val="0"/>
                <w:i w:val="0"/>
                <w:iCs w:val="0"/>
                <w:color w:val="auto"/>
              </w:rPr>
              <w:t>3757.6t/a</w:t>
            </w:r>
          </w:p>
        </w:tc>
        <w:tc>
          <w:tcPr>
            <w:tcW w:w="2268" w:type="dxa"/>
            <w:vAlign w:val="center"/>
          </w:tcPr>
          <w:p>
            <w:pPr>
              <w:pStyle w:val="164"/>
              <w:rPr>
                <w:rStyle w:val="573"/>
                <w:b w:val="0"/>
                <w:bCs w:val="0"/>
                <w:i w:val="0"/>
                <w:iCs w:val="0"/>
                <w:color w:val="auto"/>
              </w:rPr>
            </w:pPr>
            <w:r>
              <w:rPr>
                <w:rStyle w:val="573"/>
                <w:b w:val="0"/>
                <w:bCs w:val="0"/>
                <w:i w:val="0"/>
                <w:iCs w:val="0"/>
                <w:color w:val="auto"/>
              </w:rPr>
              <w:t>市政自来水管网提供</w:t>
            </w:r>
          </w:p>
        </w:tc>
        <w:tc>
          <w:tcPr>
            <w:tcW w:w="1276" w:type="dxa"/>
            <w:vAlign w:val="center"/>
          </w:tcPr>
          <w:p>
            <w:pPr>
              <w:pStyle w:val="164"/>
              <w:rPr>
                <w:rStyle w:val="573"/>
                <w:b w:val="0"/>
                <w:bCs w:val="0"/>
                <w:i w:val="0"/>
                <w:iCs w:val="0"/>
                <w:color w:val="auto"/>
              </w:rPr>
            </w:pPr>
            <w:r>
              <w:rPr>
                <w:rStyle w:val="573"/>
                <w:b w:val="0"/>
                <w:bCs w:val="0"/>
                <w:i w:val="0"/>
                <w:iCs w:val="0"/>
                <w:color w:val="auto"/>
              </w:rPr>
              <w:t>/</w:t>
            </w:r>
          </w:p>
        </w:tc>
        <w:tc>
          <w:tcPr>
            <w:tcW w:w="1563" w:type="dxa"/>
            <w:vAlign w:val="center"/>
          </w:tcPr>
          <w:p>
            <w:pPr>
              <w:pStyle w:val="164"/>
              <w:rPr>
                <w:rStyle w:val="573"/>
                <w:b w:val="0"/>
                <w:bCs w:val="0"/>
                <w:i w:val="0"/>
                <w:iCs w:val="0"/>
                <w:color w:val="auto"/>
              </w:rPr>
            </w:pPr>
            <w:r>
              <w:rPr>
                <w:rStyle w:val="573"/>
                <w:b w:val="0"/>
                <w:bCs w:val="0"/>
                <w:i w:val="0"/>
                <w:iCs w:val="0"/>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94" w:type="dxa"/>
            <w:vAlign w:val="center"/>
          </w:tcPr>
          <w:p>
            <w:pPr>
              <w:pStyle w:val="164"/>
              <w:rPr>
                <w:rStyle w:val="573"/>
                <w:b w:val="0"/>
                <w:bCs w:val="0"/>
                <w:i w:val="0"/>
                <w:iCs w:val="0"/>
                <w:color w:val="auto"/>
              </w:rPr>
            </w:pPr>
            <w:r>
              <w:rPr>
                <w:rStyle w:val="573"/>
                <w:b w:val="0"/>
                <w:bCs w:val="0"/>
                <w:i w:val="0"/>
                <w:iCs w:val="0"/>
                <w:color w:val="auto"/>
              </w:rPr>
              <w:t>7</w:t>
            </w:r>
          </w:p>
        </w:tc>
        <w:tc>
          <w:tcPr>
            <w:tcW w:w="1559" w:type="dxa"/>
            <w:vAlign w:val="center"/>
          </w:tcPr>
          <w:p>
            <w:pPr>
              <w:pStyle w:val="164"/>
              <w:rPr>
                <w:rStyle w:val="573"/>
                <w:b w:val="0"/>
                <w:bCs w:val="0"/>
                <w:i w:val="0"/>
                <w:iCs w:val="0"/>
                <w:color w:val="auto"/>
              </w:rPr>
            </w:pPr>
            <w:r>
              <w:rPr>
                <w:rStyle w:val="573"/>
                <w:b w:val="0"/>
                <w:bCs w:val="0"/>
                <w:i w:val="0"/>
                <w:iCs w:val="0"/>
                <w:color w:val="auto"/>
              </w:rPr>
              <w:t>电</w:t>
            </w:r>
          </w:p>
        </w:tc>
        <w:tc>
          <w:tcPr>
            <w:tcW w:w="1134" w:type="dxa"/>
            <w:vAlign w:val="center"/>
          </w:tcPr>
          <w:p>
            <w:pPr>
              <w:pStyle w:val="164"/>
              <w:rPr>
                <w:rStyle w:val="573"/>
                <w:b w:val="0"/>
                <w:bCs w:val="0"/>
                <w:i w:val="0"/>
                <w:iCs w:val="0"/>
                <w:color w:val="auto"/>
              </w:rPr>
            </w:pPr>
            <w:r>
              <w:rPr>
                <w:rStyle w:val="573"/>
                <w:b w:val="0"/>
                <w:bCs w:val="0"/>
                <w:i w:val="0"/>
                <w:iCs w:val="0"/>
                <w:color w:val="auto"/>
              </w:rPr>
              <w:t>66万kwh/a</w:t>
            </w:r>
          </w:p>
        </w:tc>
        <w:tc>
          <w:tcPr>
            <w:tcW w:w="2268" w:type="dxa"/>
            <w:vAlign w:val="center"/>
          </w:tcPr>
          <w:p>
            <w:pPr>
              <w:pStyle w:val="164"/>
              <w:rPr>
                <w:rStyle w:val="573"/>
                <w:b w:val="0"/>
                <w:bCs w:val="0"/>
                <w:i w:val="0"/>
                <w:iCs w:val="0"/>
                <w:color w:val="auto"/>
              </w:rPr>
            </w:pPr>
            <w:r>
              <w:rPr>
                <w:rStyle w:val="573"/>
                <w:b w:val="0"/>
                <w:bCs w:val="0"/>
                <w:i w:val="0"/>
                <w:iCs w:val="0"/>
                <w:color w:val="auto"/>
              </w:rPr>
              <w:t>市政电网提供，厂区有一座200kv 变压器</w:t>
            </w:r>
          </w:p>
        </w:tc>
        <w:tc>
          <w:tcPr>
            <w:tcW w:w="1276" w:type="dxa"/>
            <w:vAlign w:val="center"/>
          </w:tcPr>
          <w:p>
            <w:pPr>
              <w:pStyle w:val="164"/>
              <w:rPr>
                <w:rStyle w:val="573"/>
                <w:b w:val="0"/>
                <w:bCs w:val="0"/>
                <w:i w:val="0"/>
                <w:iCs w:val="0"/>
                <w:color w:val="auto"/>
              </w:rPr>
            </w:pPr>
            <w:r>
              <w:rPr>
                <w:rStyle w:val="573"/>
                <w:b w:val="0"/>
                <w:bCs w:val="0"/>
                <w:i w:val="0"/>
                <w:iCs w:val="0"/>
                <w:color w:val="auto"/>
              </w:rPr>
              <w:t>/</w:t>
            </w:r>
          </w:p>
        </w:tc>
        <w:tc>
          <w:tcPr>
            <w:tcW w:w="1563" w:type="dxa"/>
            <w:vAlign w:val="center"/>
          </w:tcPr>
          <w:p>
            <w:pPr>
              <w:pStyle w:val="164"/>
              <w:rPr>
                <w:rStyle w:val="573"/>
                <w:b w:val="0"/>
                <w:bCs w:val="0"/>
                <w:i w:val="0"/>
                <w:iCs w:val="0"/>
                <w:color w:val="auto"/>
              </w:rPr>
            </w:pPr>
            <w:r>
              <w:rPr>
                <w:rStyle w:val="573"/>
                <w:b w:val="0"/>
                <w:bCs w:val="0"/>
                <w:i w:val="0"/>
                <w:iCs w:val="0"/>
                <w:color w:val="auto"/>
              </w:rPr>
              <w:t>/</w:t>
            </w:r>
          </w:p>
        </w:tc>
      </w:tr>
    </w:tbl>
    <w:p>
      <w:pPr>
        <w:pStyle w:val="130"/>
        <w:ind w:firstLine="480"/>
        <w:rPr>
          <w:color w:val="auto"/>
        </w:rPr>
      </w:pPr>
    </w:p>
    <w:tbl>
      <w:tblPr>
        <w:tblStyle w:val="75"/>
        <w:tblW w:w="847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37"/>
        <w:gridCol w:w="423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37" w:type="dxa"/>
            <w:vAlign w:val="center"/>
          </w:tcPr>
          <w:p>
            <w:pPr>
              <w:pStyle w:val="164"/>
              <w:rPr>
                <w:color w:val="auto"/>
              </w:rPr>
            </w:pPr>
            <w:r>
              <w:rPr>
                <w:color w:val="auto"/>
              </w:rPr>
              <w:drawing>
                <wp:inline distT="0" distB="0" distL="0" distR="0">
                  <wp:extent cx="2400935" cy="1799590"/>
                  <wp:effectExtent l="0" t="0" r="6985" b="1397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401200" cy="1800000"/>
                          </a:xfrm>
                          <a:prstGeom prst="rect">
                            <a:avLst/>
                          </a:prstGeom>
                          <a:noFill/>
                          <a:ln>
                            <a:noFill/>
                          </a:ln>
                        </pic:spPr>
                      </pic:pic>
                    </a:graphicData>
                  </a:graphic>
                </wp:inline>
              </w:drawing>
            </w:r>
          </w:p>
        </w:tc>
        <w:tc>
          <w:tcPr>
            <w:tcW w:w="4237" w:type="dxa"/>
            <w:vAlign w:val="center"/>
          </w:tcPr>
          <w:p>
            <w:pPr>
              <w:pStyle w:val="164"/>
              <w:rPr>
                <w:color w:val="auto"/>
              </w:rPr>
            </w:pPr>
            <w:r>
              <w:rPr>
                <w:color w:val="auto"/>
              </w:rPr>
              <w:drawing>
                <wp:inline distT="0" distB="0" distL="0" distR="0">
                  <wp:extent cx="2400935" cy="1799590"/>
                  <wp:effectExtent l="0" t="0" r="6985" b="13970"/>
                  <wp:docPr id="1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401200" cy="18000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37" w:type="dxa"/>
            <w:vAlign w:val="center"/>
          </w:tcPr>
          <w:p>
            <w:pPr>
              <w:pStyle w:val="164"/>
              <w:rPr>
                <w:color w:val="auto"/>
              </w:rPr>
            </w:pPr>
            <w:r>
              <w:rPr>
                <w:color w:val="auto"/>
              </w:rPr>
              <w:t>厂区入口</w:t>
            </w:r>
          </w:p>
        </w:tc>
        <w:tc>
          <w:tcPr>
            <w:tcW w:w="4237" w:type="dxa"/>
            <w:vAlign w:val="center"/>
          </w:tcPr>
          <w:p>
            <w:pPr>
              <w:pStyle w:val="164"/>
              <w:rPr>
                <w:color w:val="auto"/>
              </w:rPr>
            </w:pPr>
            <w:r>
              <w:rPr>
                <w:color w:val="auto"/>
              </w:rPr>
              <w:t>清洗间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37" w:type="dxa"/>
            <w:vAlign w:val="center"/>
          </w:tcPr>
          <w:p>
            <w:pPr>
              <w:pStyle w:val="164"/>
              <w:rPr>
                <w:color w:val="auto"/>
              </w:rPr>
            </w:pPr>
            <w:r>
              <w:rPr>
                <w:color w:val="auto"/>
              </w:rPr>
              <w:drawing>
                <wp:inline distT="0" distB="0" distL="0" distR="0">
                  <wp:extent cx="2400935" cy="1799590"/>
                  <wp:effectExtent l="0" t="0" r="6985" b="13970"/>
                  <wp:docPr id="150" name="图片 150" descr="C:\Users\Administrator\Desktop\中卫医疗废物处理\现场照片\52be1596099bee79d0a644fffd83c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Users\Administrator\Desktop\中卫医疗废物处理\现场照片\52be1596099bee79d0a644fffd83c7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401200" cy="1800000"/>
                          </a:xfrm>
                          <a:prstGeom prst="rect">
                            <a:avLst/>
                          </a:prstGeom>
                          <a:noFill/>
                          <a:ln>
                            <a:noFill/>
                          </a:ln>
                        </pic:spPr>
                      </pic:pic>
                    </a:graphicData>
                  </a:graphic>
                </wp:inline>
              </w:drawing>
            </w:r>
          </w:p>
        </w:tc>
        <w:tc>
          <w:tcPr>
            <w:tcW w:w="4237" w:type="dxa"/>
            <w:vAlign w:val="center"/>
          </w:tcPr>
          <w:p>
            <w:pPr>
              <w:pStyle w:val="164"/>
              <w:rPr>
                <w:color w:val="auto"/>
              </w:rPr>
            </w:pPr>
            <w:r>
              <w:rPr>
                <w:color w:val="auto"/>
              </w:rPr>
              <w:drawing>
                <wp:inline distT="0" distB="0" distL="0" distR="0">
                  <wp:extent cx="2400935" cy="1799590"/>
                  <wp:effectExtent l="0" t="0" r="6985" b="13970"/>
                  <wp:docPr id="1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401200" cy="18000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37" w:type="dxa"/>
            <w:vAlign w:val="center"/>
          </w:tcPr>
          <w:p>
            <w:pPr>
              <w:pStyle w:val="164"/>
              <w:spacing w:line="360" w:lineRule="auto"/>
              <w:rPr>
                <w:color w:val="auto"/>
              </w:rPr>
            </w:pPr>
            <w:r>
              <w:rPr>
                <w:color w:val="auto"/>
                <w:w w:val="110"/>
              </w:rPr>
              <w:t>医疗废物周转箱存放间</w:t>
            </w:r>
          </w:p>
        </w:tc>
        <w:tc>
          <w:tcPr>
            <w:tcW w:w="4237" w:type="dxa"/>
            <w:vAlign w:val="center"/>
          </w:tcPr>
          <w:p>
            <w:pPr>
              <w:pStyle w:val="164"/>
              <w:spacing w:line="360" w:lineRule="auto"/>
              <w:rPr>
                <w:color w:val="auto"/>
              </w:rPr>
            </w:pPr>
            <w:r>
              <w:rPr>
                <w:color w:val="auto"/>
              </w:rPr>
              <w:t>出料间</w:t>
            </w:r>
          </w:p>
        </w:tc>
      </w:tr>
    </w:tbl>
    <w:p>
      <w:pPr>
        <w:pStyle w:val="5"/>
        <w:numPr>
          <w:ilvl w:val="2"/>
          <w:numId w:val="0"/>
        </w:numPr>
        <w:spacing w:before="120" w:beforeLines="50"/>
        <w:ind w:left="-720" w:leftChars="-343" w:firstLine="723" w:firstLineChars="300"/>
        <w:rPr>
          <w:color w:val="auto"/>
        </w:rPr>
      </w:pPr>
      <w:bookmarkStart w:id="160" w:name="_Toc109398562"/>
      <w:bookmarkStart w:id="161" w:name="_Toc58849406"/>
      <w:r>
        <w:rPr>
          <w:color w:val="auto"/>
        </w:rPr>
        <w:t>2.1.3现有工程项目公用工程</w:t>
      </w:r>
      <w:bookmarkEnd w:id="160"/>
      <w:bookmarkEnd w:id="161"/>
    </w:p>
    <w:p>
      <w:pPr>
        <w:pStyle w:val="130"/>
        <w:ind w:firstLine="480"/>
        <w:rPr>
          <w:color w:val="auto"/>
        </w:rPr>
      </w:pPr>
      <w:r>
        <w:rPr>
          <w:color w:val="auto"/>
        </w:rPr>
        <w:t>1、现有工程供水</w:t>
      </w:r>
    </w:p>
    <w:p>
      <w:pPr>
        <w:pStyle w:val="130"/>
        <w:ind w:firstLine="480"/>
        <w:rPr>
          <w:color w:val="auto"/>
        </w:rPr>
      </w:pPr>
      <w:r>
        <w:rPr>
          <w:color w:val="auto"/>
        </w:rPr>
        <w:t>现有工程主要为锅炉用水、清洗用水、生活用水、绿化用水等，用水量为3757.6m³/a，现有工程供水原来由中卫市生活垃圾填埋场引入，现改为市政供水。</w:t>
      </w:r>
    </w:p>
    <w:p>
      <w:pPr>
        <w:pStyle w:val="130"/>
        <w:ind w:firstLine="480"/>
        <w:rPr>
          <w:color w:val="auto"/>
        </w:rPr>
      </w:pPr>
      <w:r>
        <w:rPr>
          <w:color w:val="auto"/>
        </w:rPr>
        <w:t>2、现有工程排水</w:t>
      </w:r>
    </w:p>
    <w:p>
      <w:pPr>
        <w:pStyle w:val="130"/>
        <w:ind w:firstLine="480"/>
        <w:rPr>
          <w:color w:val="auto"/>
        </w:rPr>
      </w:pPr>
      <w:r>
        <w:rPr>
          <w:color w:val="auto"/>
        </w:rPr>
        <w:t>现有工程生产废水（车辆、周转箱、场地清洗消毒废水及高温灭菌装置排水）产生量为1630.2m</w:t>
      </w:r>
      <w:r>
        <w:rPr>
          <w:color w:val="auto"/>
          <w:vertAlign w:val="superscript"/>
        </w:rPr>
        <w:t>3</w:t>
      </w:r>
      <w:r>
        <w:rPr>
          <w:color w:val="auto"/>
        </w:rPr>
        <w:t>/a，生活污水产生量为638.88m</w:t>
      </w:r>
      <w:r>
        <w:rPr>
          <w:color w:val="auto"/>
          <w:vertAlign w:val="superscript"/>
        </w:rPr>
        <w:t>3</w:t>
      </w:r>
      <w:r>
        <w:rPr>
          <w:color w:val="auto"/>
        </w:rPr>
        <w:t>/a，经化粪池和隔油池处理后由吸污车送至项目东侧926m中卫市生活垃圾填埋场污水处理站调节池内进一步处理达标后用于中卫市生活垃圾填埋场洒水降尘，不外排。</w:t>
      </w:r>
    </w:p>
    <w:p>
      <w:pPr>
        <w:jc w:val="center"/>
        <w:rPr>
          <w:rStyle w:val="115"/>
          <w:color w:val="auto"/>
        </w:rPr>
      </w:pPr>
      <w:r>
        <w:rPr>
          <w:color w:val="auto"/>
        </w:rPr>
        <w:pict>
          <v:shape id="_x0000_i1025" o:spt="75" type="#_x0000_t75" style="height:306pt;width:418.8pt;" filled="f" o:preferrelative="t" stroked="f" coordsize="21600,21600">
            <v:path/>
            <v:fill on="f" focussize="0,0"/>
            <v:stroke on="f" joinstyle="miter"/>
            <v:imagedata r:id="rId24" o:title=""/>
            <o:lock v:ext="edit" aspectratio="t"/>
            <w10:wrap type="none"/>
            <w10:anchorlock/>
          </v:shape>
        </w:pict>
      </w:r>
      <w:r>
        <w:rPr>
          <w:rStyle w:val="115"/>
          <w:color w:val="auto"/>
        </w:rPr>
        <w:t>图2.1-1  现有工程项目用排水情况图    单位：m³/a</w:t>
      </w:r>
    </w:p>
    <w:p>
      <w:pPr>
        <w:pStyle w:val="130"/>
        <w:spacing w:before="120" w:beforeLines="50"/>
        <w:ind w:firstLine="480"/>
        <w:rPr>
          <w:color w:val="auto"/>
        </w:rPr>
      </w:pPr>
      <w:r>
        <w:rPr>
          <w:color w:val="auto"/>
        </w:rPr>
        <w:t>3、现有工程供电</w:t>
      </w:r>
    </w:p>
    <w:p>
      <w:pPr>
        <w:pStyle w:val="130"/>
        <w:ind w:firstLine="480"/>
        <w:rPr>
          <w:color w:val="auto"/>
        </w:rPr>
      </w:pPr>
      <w:r>
        <w:rPr>
          <w:color w:val="auto"/>
        </w:rPr>
        <w:t>现有工程供电原来由中卫市生活垃圾填埋</w:t>
      </w:r>
      <w:r>
        <w:rPr>
          <w:color w:val="auto"/>
          <w:szCs w:val="21"/>
        </w:rPr>
        <w:t>场</w:t>
      </w:r>
      <w:r>
        <w:rPr>
          <w:color w:val="auto"/>
        </w:rPr>
        <w:t>引入，现改为市政供电。</w:t>
      </w:r>
    </w:p>
    <w:p>
      <w:pPr>
        <w:pStyle w:val="130"/>
        <w:ind w:firstLine="480"/>
        <w:rPr>
          <w:color w:val="auto"/>
        </w:rPr>
      </w:pPr>
      <w:r>
        <w:rPr>
          <w:color w:val="auto"/>
        </w:rPr>
        <w:t>4、现有工程供蒸汽</w:t>
      </w:r>
    </w:p>
    <w:p>
      <w:pPr>
        <w:pStyle w:val="130"/>
        <w:ind w:firstLine="480"/>
        <w:rPr>
          <w:color w:val="auto"/>
        </w:rPr>
      </w:pPr>
      <w:r>
        <w:rPr>
          <w:color w:val="auto"/>
        </w:rPr>
        <w:t>现有工程生产用蒸汽由0.5MW燃煤蒸汽锅炉提供，本项目建成后拆除。</w:t>
      </w:r>
    </w:p>
    <w:p>
      <w:pPr>
        <w:pStyle w:val="5"/>
        <w:numPr>
          <w:ilvl w:val="2"/>
          <w:numId w:val="0"/>
        </w:numPr>
        <w:ind w:left="-720" w:leftChars="-343" w:firstLine="723" w:firstLineChars="300"/>
        <w:rPr>
          <w:color w:val="auto"/>
        </w:rPr>
      </w:pPr>
      <w:bookmarkStart w:id="162" w:name="_Toc58849407"/>
      <w:bookmarkStart w:id="163" w:name="_Toc109398563"/>
      <w:r>
        <w:rPr>
          <w:color w:val="auto"/>
        </w:rPr>
        <w:t>2.1.5现有工程医疗废物来源及范围</w:t>
      </w:r>
      <w:bookmarkEnd w:id="162"/>
      <w:bookmarkEnd w:id="163"/>
    </w:p>
    <w:p>
      <w:pPr>
        <w:pStyle w:val="6"/>
        <w:numPr>
          <w:ilvl w:val="3"/>
          <w:numId w:val="0"/>
        </w:numPr>
        <w:ind w:left="-861" w:leftChars="-410" w:firstLine="964" w:firstLineChars="400"/>
        <w:rPr>
          <w:color w:val="auto"/>
        </w:rPr>
      </w:pPr>
      <w:r>
        <w:rPr>
          <w:color w:val="auto"/>
        </w:rPr>
        <w:t>2.1.5.1现有工程服务范围</w:t>
      </w:r>
    </w:p>
    <w:p>
      <w:pPr>
        <w:pStyle w:val="130"/>
        <w:ind w:firstLine="480"/>
        <w:rPr>
          <w:color w:val="auto"/>
          <w:lang w:val="zh-CN"/>
        </w:rPr>
      </w:pPr>
      <w:r>
        <w:rPr>
          <w:color w:val="auto"/>
        </w:rPr>
        <w:t>中卫市辖区范围内各区县医疗卫生机构产生的感染性及损伤性医疗废物</w:t>
      </w:r>
      <w:r>
        <w:rPr>
          <w:color w:val="auto"/>
          <w:lang w:val="zh-CN"/>
        </w:rPr>
        <w:t>。</w:t>
      </w:r>
    </w:p>
    <w:p>
      <w:pPr>
        <w:pStyle w:val="6"/>
        <w:numPr>
          <w:ilvl w:val="3"/>
          <w:numId w:val="0"/>
        </w:numPr>
        <w:ind w:left="-861" w:leftChars="-410" w:firstLine="964" w:firstLineChars="400"/>
        <w:rPr>
          <w:color w:val="auto"/>
          <w:lang w:val="zh-CN"/>
        </w:rPr>
      </w:pPr>
      <w:r>
        <w:rPr>
          <w:color w:val="auto"/>
        </w:rPr>
        <w:t>2.1.5.2</w:t>
      </w:r>
      <w:r>
        <w:rPr>
          <w:color w:val="auto"/>
          <w:lang w:val="zh-CN"/>
        </w:rPr>
        <w:t>现有工程处理医疗废物种类及成分</w:t>
      </w:r>
    </w:p>
    <w:p>
      <w:pPr>
        <w:pStyle w:val="130"/>
        <w:ind w:firstLine="480"/>
        <w:rPr>
          <w:color w:val="auto"/>
          <w:lang w:val="zh-CN" w:bidi="en-US"/>
        </w:rPr>
      </w:pPr>
      <w:r>
        <w:rPr>
          <w:color w:val="auto"/>
          <w:lang w:val="zh-CN" w:bidi="en-US"/>
        </w:rPr>
        <w:t>现有工程处理的医疗废物主要包括感染性和损伤性医疗废物两种，根据建设单位提供资料，</w:t>
      </w:r>
      <w:r>
        <w:rPr>
          <w:color w:val="auto"/>
          <w:lang w:bidi="zh-CN"/>
        </w:rPr>
        <w:t>具体处置类别见表2.1-4，</w:t>
      </w:r>
      <w:r>
        <w:rPr>
          <w:color w:val="auto"/>
        </w:rPr>
        <w:t>组成成分见表2.1-5</w:t>
      </w:r>
      <w:r>
        <w:rPr>
          <w:color w:val="auto"/>
          <w:lang w:val="zh-CN" w:bidi="en-US"/>
        </w:rPr>
        <w:t>。</w:t>
      </w:r>
    </w:p>
    <w:p>
      <w:pPr>
        <w:pStyle w:val="114"/>
        <w:adjustRightInd w:val="0"/>
        <w:snapToGrid w:val="0"/>
        <w:spacing w:before="0" w:beforeLines="0"/>
        <w:rPr>
          <w:color w:val="auto"/>
          <w:lang w:bidi="en-US"/>
        </w:rPr>
      </w:pPr>
      <w:r>
        <w:rPr>
          <w:color w:val="auto"/>
          <w:lang w:bidi="zh-CN"/>
        </w:rPr>
        <w:t>表 2.1-4  现有工程具体处置类别表</w:t>
      </w:r>
    </w:p>
    <w:tbl>
      <w:tblPr>
        <w:tblStyle w:val="513"/>
        <w:tblW w:w="882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750"/>
        <w:gridCol w:w="1238"/>
        <w:gridCol w:w="3560"/>
        <w:gridCol w:w="328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87" w:hRule="atLeast"/>
          <w:jc w:val="center"/>
        </w:trPr>
        <w:tc>
          <w:tcPr>
            <w:tcW w:w="750" w:type="dxa"/>
            <w:vAlign w:val="center"/>
          </w:tcPr>
          <w:p>
            <w:pPr>
              <w:pStyle w:val="164"/>
              <w:rPr>
                <w:rFonts w:ascii="Times New Roman" w:hAnsi="Times New Roman"/>
                <w:b/>
                <w:bCs/>
                <w:color w:val="auto"/>
                <w:lang w:eastAsia="en-US"/>
              </w:rPr>
            </w:pPr>
            <w:r>
              <w:rPr>
                <w:rFonts w:ascii="Times New Roman" w:hAnsi="Times New Roman"/>
                <w:b/>
                <w:bCs/>
                <w:color w:val="auto"/>
                <w:lang w:eastAsia="en-US"/>
              </w:rPr>
              <w:t>类别</w:t>
            </w:r>
          </w:p>
        </w:tc>
        <w:tc>
          <w:tcPr>
            <w:tcW w:w="1238" w:type="dxa"/>
            <w:vAlign w:val="center"/>
          </w:tcPr>
          <w:p>
            <w:pPr>
              <w:pStyle w:val="164"/>
              <w:rPr>
                <w:rFonts w:ascii="Times New Roman" w:hAnsi="Times New Roman"/>
                <w:b/>
                <w:bCs/>
                <w:color w:val="auto"/>
                <w:lang w:eastAsia="en-US"/>
              </w:rPr>
            </w:pPr>
            <w:r>
              <w:rPr>
                <w:rFonts w:ascii="Times New Roman" w:hAnsi="Times New Roman"/>
                <w:b/>
                <w:bCs/>
                <w:color w:val="auto"/>
                <w:lang w:eastAsia="en-US"/>
              </w:rPr>
              <w:t>特征</w:t>
            </w:r>
          </w:p>
        </w:tc>
        <w:tc>
          <w:tcPr>
            <w:tcW w:w="3560" w:type="dxa"/>
            <w:vAlign w:val="center"/>
          </w:tcPr>
          <w:p>
            <w:pPr>
              <w:pStyle w:val="164"/>
              <w:rPr>
                <w:rFonts w:ascii="Times New Roman" w:hAnsi="Times New Roman"/>
                <w:b/>
                <w:bCs/>
                <w:color w:val="auto"/>
                <w:lang w:eastAsia="zh-CN"/>
              </w:rPr>
            </w:pPr>
            <w:r>
              <w:rPr>
                <w:rFonts w:ascii="Times New Roman" w:hAnsi="Times New Roman"/>
                <w:b/>
                <w:bCs/>
                <w:color w:val="auto"/>
                <w:lang w:eastAsia="zh-CN"/>
              </w:rPr>
              <w:t>常见组分或者废物名称</w:t>
            </w:r>
          </w:p>
        </w:tc>
        <w:tc>
          <w:tcPr>
            <w:tcW w:w="3281" w:type="dxa"/>
            <w:vAlign w:val="center"/>
          </w:tcPr>
          <w:p>
            <w:pPr>
              <w:pStyle w:val="164"/>
              <w:rPr>
                <w:rFonts w:ascii="Times New Roman" w:hAnsi="Times New Roman"/>
                <w:b/>
                <w:bCs/>
                <w:color w:val="auto"/>
                <w:lang w:eastAsia="en-US"/>
              </w:rPr>
            </w:pPr>
            <w:r>
              <w:rPr>
                <w:rFonts w:ascii="Times New Roman" w:hAnsi="Times New Roman"/>
                <w:b/>
                <w:bCs/>
                <w:color w:val="auto"/>
                <w:lang w:eastAsia="zh-CN"/>
              </w:rPr>
              <w:t>收集方式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1394" w:hRule="atLeast"/>
          <w:jc w:val="center"/>
        </w:trPr>
        <w:tc>
          <w:tcPr>
            <w:tcW w:w="750" w:type="dxa"/>
            <w:vAlign w:val="center"/>
          </w:tcPr>
          <w:p>
            <w:pPr>
              <w:pStyle w:val="164"/>
              <w:rPr>
                <w:rFonts w:ascii="Times New Roman" w:hAnsi="Times New Roman"/>
                <w:color w:val="auto"/>
                <w:lang w:eastAsia="en-US"/>
              </w:rPr>
            </w:pPr>
            <w:r>
              <w:rPr>
                <w:rFonts w:ascii="Times New Roman" w:hAnsi="Times New Roman"/>
                <w:color w:val="auto"/>
                <w:lang w:eastAsia="en-US"/>
              </w:rPr>
              <w:t>感染性废物</w:t>
            </w:r>
          </w:p>
        </w:tc>
        <w:tc>
          <w:tcPr>
            <w:tcW w:w="1238" w:type="dxa"/>
            <w:vAlign w:val="center"/>
          </w:tcPr>
          <w:p>
            <w:pPr>
              <w:pStyle w:val="164"/>
              <w:rPr>
                <w:rFonts w:ascii="Times New Roman" w:hAnsi="Times New Roman"/>
                <w:color w:val="auto"/>
                <w:lang w:eastAsia="zh-CN"/>
              </w:rPr>
            </w:pPr>
            <w:r>
              <w:rPr>
                <w:rFonts w:ascii="Times New Roman" w:hAnsi="Times New Roman"/>
                <w:color w:val="auto"/>
                <w:lang w:eastAsia="zh-CN"/>
              </w:rPr>
              <w:t>携带病原微生物具有引发感染性疾病传播危险的医疗废物。</w:t>
            </w:r>
          </w:p>
        </w:tc>
        <w:tc>
          <w:tcPr>
            <w:tcW w:w="3560" w:type="dxa"/>
            <w:vAlign w:val="center"/>
          </w:tcPr>
          <w:p>
            <w:pPr>
              <w:pStyle w:val="164"/>
              <w:jc w:val="left"/>
              <w:rPr>
                <w:rFonts w:ascii="Times New Roman" w:hAnsi="Times New Roman"/>
                <w:color w:val="auto"/>
                <w:lang w:eastAsia="zh-CN"/>
              </w:rPr>
            </w:pPr>
            <w:r>
              <w:rPr>
                <w:rFonts w:ascii="Times New Roman" w:hAnsi="Times New Roman"/>
                <w:color w:val="auto"/>
                <w:lang w:eastAsia="zh-CN"/>
              </w:rPr>
              <w:t>1.被患者血液、体液、排泄物等污染的除锐器以外的废物；</w:t>
            </w:r>
          </w:p>
          <w:p>
            <w:pPr>
              <w:pStyle w:val="164"/>
              <w:jc w:val="left"/>
              <w:rPr>
                <w:rFonts w:ascii="Times New Roman" w:hAnsi="Times New Roman"/>
                <w:color w:val="auto"/>
                <w:lang w:eastAsia="zh-CN"/>
              </w:rPr>
            </w:pPr>
            <w:r>
              <w:rPr>
                <w:rFonts w:ascii="Times New Roman" w:hAnsi="Times New Roman"/>
                <w:color w:val="auto"/>
                <w:lang w:eastAsia="zh-CN"/>
              </w:rPr>
              <w:t>2.使用后废弃的一次性使用医疗器械，如注射器、输液器、透析器等；</w:t>
            </w:r>
          </w:p>
          <w:p>
            <w:pPr>
              <w:pStyle w:val="164"/>
              <w:jc w:val="left"/>
              <w:rPr>
                <w:rFonts w:ascii="Times New Roman" w:hAnsi="Times New Roman"/>
                <w:color w:val="auto"/>
                <w:lang w:eastAsia="zh-CN"/>
              </w:rPr>
            </w:pPr>
            <w:r>
              <w:rPr>
                <w:rFonts w:ascii="Times New Roman" w:hAnsi="Times New Roman"/>
                <w:color w:val="auto"/>
                <w:lang w:eastAsia="zh-CN"/>
              </w:rPr>
              <w:t>3.病原微生物实验室废弃的病原体培养基、标本，菌种和毒种保存液及其容器；其他实验室及科室废弃的血液、血清、分泌物等标本和容器；</w:t>
            </w:r>
          </w:p>
          <w:p>
            <w:pPr>
              <w:pStyle w:val="164"/>
              <w:jc w:val="left"/>
              <w:rPr>
                <w:rFonts w:ascii="Times New Roman" w:hAnsi="Times New Roman"/>
                <w:color w:val="auto"/>
                <w:lang w:eastAsia="zh-CN"/>
              </w:rPr>
            </w:pPr>
            <w:r>
              <w:rPr>
                <w:rFonts w:ascii="Times New Roman" w:hAnsi="Times New Roman"/>
                <w:color w:val="auto"/>
                <w:lang w:eastAsia="zh-CN"/>
              </w:rPr>
              <w:t>4.隔离传染病患者或者疑似传染病患者产生的废弃物。</w:t>
            </w:r>
          </w:p>
        </w:tc>
        <w:tc>
          <w:tcPr>
            <w:tcW w:w="3281" w:type="dxa"/>
            <w:vAlign w:val="center"/>
          </w:tcPr>
          <w:p>
            <w:pPr>
              <w:pStyle w:val="164"/>
              <w:jc w:val="left"/>
              <w:rPr>
                <w:rFonts w:ascii="Times New Roman" w:hAnsi="Times New Roman"/>
                <w:color w:val="auto"/>
                <w:lang w:eastAsia="zh-CN"/>
              </w:rPr>
            </w:pPr>
            <w:r>
              <w:rPr>
                <w:rFonts w:ascii="Times New Roman" w:hAnsi="Times New Roman"/>
                <w:color w:val="auto"/>
                <w:lang w:eastAsia="zh-CN"/>
              </w:rPr>
              <w:t>1.收集于符合《医疗废物专用包装袋、容器和警示标志标准》（HJ421）的医疗废物包装袋中；</w:t>
            </w:r>
          </w:p>
          <w:p>
            <w:pPr>
              <w:pStyle w:val="164"/>
              <w:jc w:val="left"/>
              <w:rPr>
                <w:rFonts w:ascii="Times New Roman" w:hAnsi="Times New Roman"/>
                <w:color w:val="auto"/>
                <w:lang w:eastAsia="zh-CN"/>
              </w:rPr>
            </w:pPr>
            <w:r>
              <w:rPr>
                <w:rFonts w:ascii="Times New Roman" w:hAnsi="Times New Roman"/>
                <w:color w:val="auto"/>
                <w:lang w:eastAsia="zh-CN"/>
              </w:rPr>
              <w:t>2.病原微生物实验室废弃的病原体培养基、标本，菌种和毒种保存液及其容器，应在产生地点进行压力蒸汽灭菌或者使用其他方式消毒，然后按感染性废物收集处理；</w:t>
            </w:r>
          </w:p>
          <w:p>
            <w:pPr>
              <w:pStyle w:val="164"/>
              <w:jc w:val="left"/>
              <w:rPr>
                <w:rFonts w:ascii="Times New Roman" w:hAnsi="Times New Roman"/>
                <w:color w:val="auto"/>
                <w:lang w:eastAsia="zh-CN"/>
              </w:rPr>
            </w:pPr>
            <w:r>
              <w:rPr>
                <w:rFonts w:ascii="Times New Roman" w:hAnsi="Times New Roman"/>
                <w:color w:val="auto"/>
                <w:lang w:eastAsia="zh-CN"/>
              </w:rPr>
              <w:t>3.隔离传染病患者或者疑似传染病患者产生的医疗废物应当使用双层医疗废物包装袋盛装。</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2112" w:hRule="atLeast"/>
          <w:jc w:val="center"/>
        </w:trPr>
        <w:tc>
          <w:tcPr>
            <w:tcW w:w="750" w:type="dxa"/>
            <w:vAlign w:val="center"/>
          </w:tcPr>
          <w:p>
            <w:pPr>
              <w:pStyle w:val="164"/>
              <w:rPr>
                <w:rFonts w:ascii="Times New Roman" w:hAnsi="Times New Roman"/>
                <w:color w:val="auto"/>
                <w:lang w:eastAsia="en-US"/>
              </w:rPr>
            </w:pPr>
            <w:r>
              <w:rPr>
                <w:rFonts w:ascii="Times New Roman" w:hAnsi="Times New Roman"/>
                <w:color w:val="auto"/>
                <w:lang w:eastAsia="en-US"/>
              </w:rPr>
              <w:t>损伤性废物</w:t>
            </w:r>
          </w:p>
        </w:tc>
        <w:tc>
          <w:tcPr>
            <w:tcW w:w="1238" w:type="dxa"/>
            <w:vAlign w:val="center"/>
          </w:tcPr>
          <w:p>
            <w:pPr>
              <w:pStyle w:val="164"/>
              <w:rPr>
                <w:rFonts w:ascii="Times New Roman" w:hAnsi="Times New Roman"/>
                <w:color w:val="auto"/>
                <w:lang w:eastAsia="zh-CN"/>
              </w:rPr>
            </w:pPr>
            <w:r>
              <w:rPr>
                <w:rFonts w:ascii="Times New Roman" w:hAnsi="Times New Roman"/>
                <w:color w:val="auto"/>
                <w:lang w:eastAsia="zh-CN"/>
              </w:rPr>
              <w:t>能够刺伤或者割伤人体的废弃的医用锐器。</w:t>
            </w:r>
          </w:p>
        </w:tc>
        <w:tc>
          <w:tcPr>
            <w:tcW w:w="3560" w:type="dxa"/>
            <w:vAlign w:val="center"/>
          </w:tcPr>
          <w:p>
            <w:pPr>
              <w:pStyle w:val="164"/>
              <w:jc w:val="left"/>
              <w:rPr>
                <w:rFonts w:ascii="Times New Roman" w:hAnsi="Times New Roman"/>
                <w:color w:val="auto"/>
                <w:lang w:eastAsia="zh-CN"/>
              </w:rPr>
            </w:pPr>
            <w:r>
              <w:rPr>
                <w:rFonts w:ascii="Times New Roman" w:hAnsi="Times New Roman"/>
                <w:color w:val="auto"/>
                <w:lang w:eastAsia="zh-CN"/>
              </w:rPr>
              <w:t>1.废弃的金属类锐器，如针头、缝合针、针灸针、探针、穿刺针、解剖刀、手术刀、手术锯、备皮刀、钢钉和导丝等；</w:t>
            </w:r>
          </w:p>
          <w:p>
            <w:pPr>
              <w:pStyle w:val="164"/>
              <w:jc w:val="left"/>
              <w:rPr>
                <w:rFonts w:ascii="Times New Roman" w:hAnsi="Times New Roman"/>
                <w:color w:val="auto"/>
                <w:lang w:eastAsia="zh-CN"/>
              </w:rPr>
            </w:pPr>
            <w:r>
              <w:rPr>
                <w:rFonts w:ascii="Times New Roman" w:hAnsi="Times New Roman"/>
                <w:color w:val="auto"/>
                <w:lang w:eastAsia="zh-CN"/>
              </w:rPr>
              <w:t>2.废弃的玻璃类锐器，如盖玻片、载玻片、玻璃安瓿等；</w:t>
            </w:r>
          </w:p>
          <w:p>
            <w:pPr>
              <w:pStyle w:val="164"/>
              <w:jc w:val="left"/>
              <w:rPr>
                <w:rFonts w:ascii="Times New Roman" w:hAnsi="Times New Roman"/>
                <w:color w:val="auto"/>
                <w:lang w:eastAsia="zh-CN"/>
              </w:rPr>
            </w:pPr>
            <w:r>
              <w:rPr>
                <w:rFonts w:ascii="Times New Roman" w:hAnsi="Times New Roman"/>
                <w:color w:val="auto"/>
                <w:lang w:eastAsia="zh-CN"/>
              </w:rPr>
              <w:t>3.废弃的其他材质类锐器。</w:t>
            </w:r>
          </w:p>
        </w:tc>
        <w:tc>
          <w:tcPr>
            <w:tcW w:w="3281" w:type="dxa"/>
            <w:vAlign w:val="center"/>
          </w:tcPr>
          <w:p>
            <w:pPr>
              <w:pStyle w:val="164"/>
              <w:jc w:val="left"/>
              <w:rPr>
                <w:rFonts w:ascii="Times New Roman" w:hAnsi="Times New Roman"/>
                <w:color w:val="auto"/>
                <w:lang w:eastAsia="zh-CN"/>
              </w:rPr>
            </w:pPr>
            <w:r>
              <w:rPr>
                <w:rFonts w:ascii="Times New Roman" w:hAnsi="Times New Roman"/>
                <w:color w:val="auto"/>
                <w:lang w:eastAsia="zh-CN"/>
              </w:rPr>
              <w:t>1.收集于符合《医疗废物专用包装袋、容器和警示标志标准》（HJ421）的利器盒中；</w:t>
            </w:r>
          </w:p>
          <w:p>
            <w:pPr>
              <w:pStyle w:val="164"/>
              <w:jc w:val="left"/>
              <w:rPr>
                <w:rFonts w:ascii="Times New Roman" w:hAnsi="Times New Roman"/>
                <w:color w:val="auto"/>
                <w:lang w:eastAsia="zh-CN"/>
              </w:rPr>
            </w:pPr>
            <w:r>
              <w:rPr>
                <w:rFonts w:ascii="Times New Roman" w:hAnsi="Times New Roman"/>
                <w:color w:val="auto"/>
                <w:lang w:eastAsia="zh-CN"/>
              </w:rPr>
              <w:t>2.利器盒达到3/4满时，应当封闭严密，按流程运送、贮存。</w:t>
            </w:r>
          </w:p>
        </w:tc>
      </w:tr>
    </w:tbl>
    <w:p>
      <w:pPr>
        <w:pStyle w:val="114"/>
        <w:spacing w:before="120"/>
        <w:rPr>
          <w:color w:val="auto"/>
        </w:rPr>
      </w:pPr>
      <w:r>
        <w:rPr>
          <w:color w:val="auto"/>
        </w:rPr>
        <w:t>2.1-5    现有工程医疗废物基本成分组成</w:t>
      </w:r>
    </w:p>
    <w:tbl>
      <w:tblPr>
        <w:tblStyle w:val="74"/>
        <w:tblW w:w="9001"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35"/>
        <w:gridCol w:w="1557"/>
        <w:gridCol w:w="5239"/>
        <w:gridCol w:w="137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8" w:hRule="atLeast"/>
          <w:jc w:val="center"/>
        </w:trPr>
        <w:tc>
          <w:tcPr>
            <w:tcW w:w="835" w:type="dxa"/>
            <w:shd w:val="clear" w:color="auto" w:fill="auto"/>
            <w:vAlign w:val="center"/>
          </w:tcPr>
          <w:p>
            <w:pPr>
              <w:widowControl/>
              <w:adjustRightInd w:val="0"/>
              <w:snapToGrid w:val="0"/>
              <w:jc w:val="center"/>
              <w:rPr>
                <w:b/>
                <w:bCs/>
                <w:color w:val="auto"/>
                <w:szCs w:val="21"/>
              </w:rPr>
            </w:pPr>
            <w:r>
              <w:rPr>
                <w:b/>
                <w:bCs/>
                <w:color w:val="auto"/>
                <w:szCs w:val="21"/>
              </w:rPr>
              <w:t>序号</w:t>
            </w:r>
          </w:p>
        </w:tc>
        <w:tc>
          <w:tcPr>
            <w:tcW w:w="1557" w:type="dxa"/>
            <w:shd w:val="clear" w:color="auto" w:fill="auto"/>
            <w:vAlign w:val="center"/>
          </w:tcPr>
          <w:p>
            <w:pPr>
              <w:widowControl/>
              <w:adjustRightInd w:val="0"/>
              <w:snapToGrid w:val="0"/>
              <w:jc w:val="center"/>
              <w:rPr>
                <w:b/>
                <w:bCs/>
                <w:color w:val="auto"/>
                <w:szCs w:val="21"/>
              </w:rPr>
            </w:pPr>
            <w:r>
              <w:rPr>
                <w:b/>
                <w:bCs/>
                <w:color w:val="auto"/>
                <w:szCs w:val="21"/>
              </w:rPr>
              <w:t>种类</w:t>
            </w:r>
          </w:p>
        </w:tc>
        <w:tc>
          <w:tcPr>
            <w:tcW w:w="5239" w:type="dxa"/>
            <w:shd w:val="clear" w:color="auto" w:fill="auto"/>
            <w:vAlign w:val="center"/>
          </w:tcPr>
          <w:p>
            <w:pPr>
              <w:widowControl/>
              <w:adjustRightInd w:val="0"/>
              <w:snapToGrid w:val="0"/>
              <w:jc w:val="center"/>
              <w:rPr>
                <w:b/>
                <w:bCs/>
                <w:color w:val="auto"/>
                <w:szCs w:val="21"/>
              </w:rPr>
            </w:pPr>
            <w:r>
              <w:rPr>
                <w:b/>
                <w:bCs/>
                <w:color w:val="auto"/>
                <w:szCs w:val="21"/>
              </w:rPr>
              <w:t>组成成分</w:t>
            </w:r>
          </w:p>
        </w:tc>
        <w:tc>
          <w:tcPr>
            <w:tcW w:w="1370" w:type="dxa"/>
            <w:shd w:val="clear" w:color="auto" w:fill="auto"/>
            <w:vAlign w:val="center"/>
          </w:tcPr>
          <w:p>
            <w:pPr>
              <w:widowControl/>
              <w:adjustRightInd w:val="0"/>
              <w:snapToGrid w:val="0"/>
              <w:jc w:val="center"/>
              <w:rPr>
                <w:b/>
                <w:bCs/>
                <w:color w:val="auto"/>
                <w:szCs w:val="21"/>
              </w:rPr>
            </w:pPr>
            <w:r>
              <w:rPr>
                <w:b/>
                <w:bCs/>
                <w:color w:val="auto"/>
                <w:szCs w:val="21"/>
              </w:rPr>
              <w:t>比例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8" w:hRule="atLeast"/>
          <w:jc w:val="center"/>
        </w:trPr>
        <w:tc>
          <w:tcPr>
            <w:tcW w:w="835" w:type="dxa"/>
            <w:shd w:val="clear" w:color="auto" w:fill="auto"/>
            <w:vAlign w:val="center"/>
          </w:tcPr>
          <w:p>
            <w:pPr>
              <w:widowControl/>
              <w:adjustRightInd w:val="0"/>
              <w:snapToGrid w:val="0"/>
              <w:jc w:val="center"/>
              <w:rPr>
                <w:color w:val="auto"/>
                <w:szCs w:val="21"/>
              </w:rPr>
            </w:pPr>
            <w:r>
              <w:rPr>
                <w:color w:val="auto"/>
                <w:szCs w:val="21"/>
              </w:rPr>
              <w:t>1</w:t>
            </w:r>
          </w:p>
        </w:tc>
        <w:tc>
          <w:tcPr>
            <w:tcW w:w="1557" w:type="dxa"/>
            <w:shd w:val="clear" w:color="auto" w:fill="auto"/>
            <w:vAlign w:val="center"/>
          </w:tcPr>
          <w:p>
            <w:pPr>
              <w:widowControl/>
              <w:adjustRightInd w:val="0"/>
              <w:snapToGrid w:val="0"/>
              <w:jc w:val="center"/>
              <w:rPr>
                <w:color w:val="auto"/>
                <w:szCs w:val="21"/>
              </w:rPr>
            </w:pPr>
            <w:r>
              <w:rPr>
                <w:color w:val="auto"/>
                <w:szCs w:val="21"/>
              </w:rPr>
              <w:t>有机物</w:t>
            </w:r>
          </w:p>
        </w:tc>
        <w:tc>
          <w:tcPr>
            <w:tcW w:w="5239" w:type="dxa"/>
            <w:shd w:val="clear" w:color="auto" w:fill="auto"/>
            <w:vAlign w:val="center"/>
          </w:tcPr>
          <w:p>
            <w:pPr>
              <w:widowControl/>
              <w:adjustRightInd w:val="0"/>
              <w:snapToGrid w:val="0"/>
              <w:jc w:val="center"/>
              <w:rPr>
                <w:color w:val="auto"/>
                <w:szCs w:val="21"/>
              </w:rPr>
            </w:pPr>
            <w:r>
              <w:rPr>
                <w:color w:val="auto"/>
                <w:szCs w:val="21"/>
              </w:rPr>
              <w:t>棉签、织物、纸张、人体血液、排泄物等</w:t>
            </w:r>
          </w:p>
        </w:tc>
        <w:tc>
          <w:tcPr>
            <w:tcW w:w="1370" w:type="dxa"/>
            <w:shd w:val="clear" w:color="auto" w:fill="auto"/>
            <w:vAlign w:val="center"/>
          </w:tcPr>
          <w:p>
            <w:pPr>
              <w:widowControl/>
              <w:adjustRightInd w:val="0"/>
              <w:snapToGrid w:val="0"/>
              <w:jc w:val="center"/>
              <w:rPr>
                <w:color w:val="auto"/>
                <w:szCs w:val="21"/>
              </w:rPr>
            </w:pPr>
            <w:r>
              <w:rPr>
                <w:color w:val="auto"/>
                <w:szCs w:val="21"/>
              </w:rPr>
              <w:t>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8" w:hRule="atLeast"/>
          <w:jc w:val="center"/>
        </w:trPr>
        <w:tc>
          <w:tcPr>
            <w:tcW w:w="835" w:type="dxa"/>
            <w:shd w:val="clear" w:color="auto" w:fill="auto"/>
            <w:vAlign w:val="center"/>
          </w:tcPr>
          <w:p>
            <w:pPr>
              <w:widowControl/>
              <w:adjustRightInd w:val="0"/>
              <w:snapToGrid w:val="0"/>
              <w:jc w:val="center"/>
              <w:rPr>
                <w:color w:val="auto"/>
                <w:szCs w:val="21"/>
              </w:rPr>
            </w:pPr>
            <w:r>
              <w:rPr>
                <w:color w:val="auto"/>
                <w:szCs w:val="21"/>
              </w:rPr>
              <w:t>2</w:t>
            </w:r>
          </w:p>
        </w:tc>
        <w:tc>
          <w:tcPr>
            <w:tcW w:w="1557" w:type="dxa"/>
            <w:shd w:val="clear" w:color="auto" w:fill="auto"/>
            <w:vAlign w:val="center"/>
          </w:tcPr>
          <w:p>
            <w:pPr>
              <w:widowControl/>
              <w:adjustRightInd w:val="0"/>
              <w:snapToGrid w:val="0"/>
              <w:jc w:val="center"/>
              <w:rPr>
                <w:color w:val="auto"/>
                <w:szCs w:val="21"/>
              </w:rPr>
            </w:pPr>
            <w:r>
              <w:rPr>
                <w:color w:val="auto"/>
                <w:szCs w:val="21"/>
              </w:rPr>
              <w:t>无机物</w:t>
            </w:r>
          </w:p>
        </w:tc>
        <w:tc>
          <w:tcPr>
            <w:tcW w:w="5239" w:type="dxa"/>
            <w:shd w:val="clear" w:color="auto" w:fill="auto"/>
            <w:vAlign w:val="center"/>
          </w:tcPr>
          <w:p>
            <w:pPr>
              <w:widowControl/>
              <w:adjustRightInd w:val="0"/>
              <w:snapToGrid w:val="0"/>
              <w:jc w:val="center"/>
              <w:rPr>
                <w:color w:val="auto"/>
                <w:szCs w:val="21"/>
              </w:rPr>
            </w:pPr>
            <w:r>
              <w:rPr>
                <w:color w:val="auto"/>
                <w:szCs w:val="21"/>
              </w:rPr>
              <w:t>金属、玻璃等，不含重金属类物质</w:t>
            </w:r>
          </w:p>
        </w:tc>
        <w:tc>
          <w:tcPr>
            <w:tcW w:w="1370" w:type="dxa"/>
            <w:shd w:val="clear" w:color="auto" w:fill="auto"/>
            <w:vAlign w:val="center"/>
          </w:tcPr>
          <w:p>
            <w:pPr>
              <w:widowControl/>
              <w:adjustRightInd w:val="0"/>
              <w:snapToGrid w:val="0"/>
              <w:jc w:val="center"/>
              <w:rPr>
                <w:color w:val="auto"/>
                <w:szCs w:val="21"/>
              </w:rPr>
            </w:pPr>
            <w:r>
              <w:rPr>
                <w:color w:val="auto"/>
                <w:szCs w:val="21"/>
              </w:rPr>
              <w:t>20%</w:t>
            </w:r>
          </w:p>
        </w:tc>
      </w:tr>
    </w:tbl>
    <w:p>
      <w:pPr>
        <w:pStyle w:val="6"/>
        <w:numPr>
          <w:ilvl w:val="3"/>
          <w:numId w:val="0"/>
        </w:numPr>
        <w:spacing w:before="120" w:beforeLines="50"/>
        <w:ind w:left="-861" w:leftChars="-410" w:firstLine="723" w:firstLineChars="300"/>
        <w:rPr>
          <w:color w:val="auto"/>
        </w:rPr>
      </w:pPr>
      <w:r>
        <w:rPr>
          <w:color w:val="auto"/>
        </w:rPr>
        <w:t>2.1.5.3现有工程运输路线</w:t>
      </w:r>
    </w:p>
    <w:p>
      <w:pPr>
        <w:pStyle w:val="130"/>
        <w:ind w:firstLine="480"/>
        <w:rPr>
          <w:color w:val="auto"/>
        </w:rPr>
      </w:pPr>
      <w:r>
        <w:rPr>
          <w:color w:val="auto"/>
        </w:rPr>
        <w:t>⑴城区</w:t>
      </w:r>
    </w:p>
    <w:p>
      <w:pPr>
        <w:pStyle w:val="130"/>
        <w:ind w:firstLine="480"/>
        <w:rPr>
          <w:color w:val="auto"/>
        </w:rPr>
      </w:pPr>
      <w:r>
        <w:rPr>
          <w:color w:val="auto"/>
        </w:rPr>
        <w:t>①市妇幼保健院－市康复医院－市第二人民医院－市医院－大河医院－迎水镇－常乐镇－永康镇－宣和镇－香山乡－处置中心；</w:t>
      </w:r>
    </w:p>
    <w:p>
      <w:pPr>
        <w:pStyle w:val="130"/>
        <w:ind w:firstLine="480"/>
        <w:rPr>
          <w:color w:val="auto"/>
        </w:rPr>
      </w:pPr>
      <w:r>
        <w:rPr>
          <w:color w:val="auto"/>
        </w:rPr>
        <w:t>②市妇儿医院－市中医院－市卫生监督站－市疾病预防控制中心－市计划生育服务站－市结核病防治站－东因卫生院－柔远镇－镇罗镇－处置中心；</w:t>
      </w:r>
    </w:p>
    <w:p>
      <w:pPr>
        <w:pStyle w:val="130"/>
        <w:ind w:firstLine="480"/>
        <w:rPr>
          <w:color w:val="auto"/>
        </w:rPr>
      </w:pPr>
      <w:r>
        <w:rPr>
          <w:color w:val="auto"/>
        </w:rPr>
        <w:t>⑵中宁县</w:t>
      </w:r>
    </w:p>
    <w:p>
      <w:pPr>
        <w:pStyle w:val="130"/>
        <w:ind w:firstLine="480"/>
        <w:rPr>
          <w:color w:val="auto"/>
        </w:rPr>
      </w:pPr>
      <w:r>
        <w:rPr>
          <w:color w:val="auto"/>
        </w:rPr>
        <w:t>城区－新堡镇－恩和镇－鸣沙镇－白马乡－石空镇－枣园乡－余丁乡－宁安镇－舟塔乡－长山头医院－大战场中心卫生院－处置中心，行驶道路为109国通；</w:t>
      </w:r>
    </w:p>
    <w:p>
      <w:pPr>
        <w:pStyle w:val="130"/>
        <w:ind w:firstLine="480"/>
        <w:rPr>
          <w:color w:val="auto"/>
        </w:rPr>
      </w:pPr>
      <w:r>
        <w:rPr>
          <w:color w:val="auto"/>
        </w:rPr>
        <w:t>⑶海原县</w:t>
      </w:r>
    </w:p>
    <w:p>
      <w:pPr>
        <w:pStyle w:val="130"/>
        <w:ind w:firstLine="480"/>
        <w:rPr>
          <w:color w:val="auto"/>
        </w:rPr>
      </w:pPr>
      <w:r>
        <w:rPr>
          <w:color w:val="auto"/>
        </w:rPr>
        <w:t>城区－西安镇－树台乡－关庄乡－红羊乡－李俊乡－九彩乡－曹洼乡－郑旗乡－贾塘乡－李旺镇－高崖乡－关桥乡－海城镇－史店乡－嵩川乡－徐套乡－兴仁镇－处置中心，行驶道路为202省道。</w:t>
      </w:r>
    </w:p>
    <w:p>
      <w:pPr>
        <w:pStyle w:val="4"/>
        <w:numPr>
          <w:ilvl w:val="1"/>
          <w:numId w:val="0"/>
        </w:numPr>
        <w:spacing w:before="120"/>
        <w:rPr>
          <w:color w:val="auto"/>
        </w:rPr>
      </w:pPr>
      <w:bookmarkStart w:id="164" w:name="_Toc109398564"/>
      <w:bookmarkStart w:id="165" w:name="_Toc58849408"/>
      <w:r>
        <w:rPr>
          <w:color w:val="auto"/>
        </w:rPr>
        <w:t>2.2现有工程项目工艺流程及产污节点</w:t>
      </w:r>
      <w:bookmarkEnd w:id="164"/>
      <w:bookmarkEnd w:id="165"/>
    </w:p>
    <w:p>
      <w:pPr>
        <w:pStyle w:val="5"/>
        <w:numPr>
          <w:ilvl w:val="2"/>
          <w:numId w:val="0"/>
        </w:numPr>
        <w:ind w:left="-720" w:leftChars="-343" w:firstLine="723" w:firstLineChars="300"/>
        <w:rPr>
          <w:color w:val="auto"/>
        </w:rPr>
      </w:pPr>
      <w:bookmarkStart w:id="166" w:name="_Toc58849409"/>
      <w:bookmarkStart w:id="167" w:name="_Toc109398565"/>
      <w:r>
        <w:rPr>
          <w:color w:val="auto"/>
        </w:rPr>
        <w:t>2.2.1现有工程收集、运输及储存</w:t>
      </w:r>
      <w:bookmarkEnd w:id="166"/>
      <w:bookmarkEnd w:id="167"/>
    </w:p>
    <w:p>
      <w:pPr>
        <w:pStyle w:val="6"/>
        <w:numPr>
          <w:ilvl w:val="3"/>
          <w:numId w:val="0"/>
        </w:numPr>
        <w:ind w:left="-861" w:leftChars="-410" w:firstLine="964" w:firstLineChars="400"/>
        <w:rPr>
          <w:color w:val="auto"/>
        </w:rPr>
      </w:pPr>
      <w:r>
        <w:rPr>
          <w:color w:val="auto"/>
        </w:rPr>
        <w:t>2.2.1.1现有工程源头分类收集</w:t>
      </w:r>
    </w:p>
    <w:p>
      <w:pPr>
        <w:pStyle w:val="130"/>
        <w:ind w:firstLine="480"/>
        <w:rPr>
          <w:color w:val="auto"/>
        </w:rPr>
      </w:pPr>
      <w:r>
        <w:rPr>
          <w:color w:val="auto"/>
        </w:rPr>
        <w:t>为便于后续医疗废物的处理，医疗废物应从源头开始就进行分类收集。按照《医疗废物管理条例》、《医疗卫生机构医疗废物管理办法》的要求：医疗机构对本机构产生的医疗废物应及时分类收集，将医疗废物分置于符合《医疗废物专用包装物、容器的标准和警示标识的规定》的包装物或者容器内，盛装医疗废物的每个包装物、容器外表面应当有警示标识，在每个包装物、容器上应当系中文标签，中文标签的内容应当包括：医疗废物的产生单位、产生日期、类别及需要的特别说明等。分类包装好的医疗废物按照规定的时间送至医院内部指定的暂时贮存地点，各医疗废物产生机构在源头上对医疗废物进行分类储存，对违反分类储存协议的单位列入黑名单，增加其处置费用甚至拒绝接收处置。</w:t>
      </w:r>
    </w:p>
    <w:p>
      <w:pPr>
        <w:pStyle w:val="6"/>
        <w:numPr>
          <w:ilvl w:val="3"/>
          <w:numId w:val="0"/>
        </w:numPr>
        <w:ind w:left="-861" w:leftChars="-410" w:firstLine="964" w:firstLineChars="400"/>
        <w:rPr>
          <w:color w:val="auto"/>
        </w:rPr>
      </w:pPr>
      <w:r>
        <w:rPr>
          <w:color w:val="auto"/>
        </w:rPr>
        <w:t>2.2.1.2现有工程</w:t>
      </w:r>
      <w:bookmarkStart w:id="168" w:name="_Hlk103012156"/>
      <w:r>
        <w:rPr>
          <w:color w:val="auto"/>
        </w:rPr>
        <w:t>收集运输</w:t>
      </w:r>
      <w:bookmarkEnd w:id="168"/>
    </w:p>
    <w:p>
      <w:pPr>
        <w:pStyle w:val="130"/>
        <w:ind w:firstLine="480"/>
        <w:rPr>
          <w:color w:val="auto"/>
        </w:rPr>
      </w:pPr>
      <w:r>
        <w:rPr>
          <w:color w:val="auto"/>
        </w:rPr>
        <w:t>现有工程收集运输采用医疗废物专用运输车辆运送密闭的周转箱，运输车辆及转运操作应满足《医疗废物转运车技术要求（试行）》（GB 19217-2003）中的要求。医疗废物移交过程依照《危险废物转移管理办法》中的要求，严格执行医疗废物转移联单管理制度。转运车每车每次运送的医疗废物采用《医疗废物运送登记卡》管理，一车一卡，由医疗卫生机构医疗废物管理人员交接对填写并签字。当医疗废物运至处置单位时，处置厂接收人员确认该登记卡上填写的医疗废物数量真实、准确后签收。</w:t>
      </w:r>
    </w:p>
    <w:p>
      <w:pPr>
        <w:pStyle w:val="130"/>
        <w:ind w:firstLine="480"/>
        <w:rPr>
          <w:color w:val="auto"/>
        </w:rPr>
      </w:pPr>
      <w:r>
        <w:rPr>
          <w:color w:val="auto"/>
        </w:rPr>
        <w:t>采用全封闭的医疗废物转运车运输医疗废物，转运车上有医疗废物的警示标识以及中英文标识。根据各地区医疗废物产生量、交通条件等制定收集运输方案， 保证服务区内产生的医疗废物当日运输。医疗废物的收集和交接按照国家规定的转移联单制执行，每月将收集处理量上报中卫市生态环境局。</w:t>
      </w:r>
    </w:p>
    <w:p>
      <w:pPr>
        <w:pStyle w:val="6"/>
        <w:numPr>
          <w:ilvl w:val="3"/>
          <w:numId w:val="0"/>
        </w:numPr>
        <w:ind w:left="-861" w:leftChars="-410" w:firstLine="964" w:firstLineChars="400"/>
        <w:rPr>
          <w:color w:val="auto"/>
        </w:rPr>
      </w:pPr>
      <w:r>
        <w:rPr>
          <w:color w:val="auto"/>
        </w:rPr>
        <w:t>2.2.1.3现有工程医疗废物接收与贮存要求</w:t>
      </w:r>
    </w:p>
    <w:p>
      <w:pPr>
        <w:pStyle w:val="130"/>
        <w:ind w:firstLine="456"/>
        <w:rPr>
          <w:color w:val="auto"/>
        </w:rPr>
      </w:pPr>
      <w:r>
        <w:rPr>
          <w:color w:val="auto"/>
          <w:spacing w:val="-6"/>
        </w:rPr>
        <w:t>医疗废物处理单位在接收医疗废物时，应检视包装袋或者容器的标识、标签</w:t>
      </w:r>
      <w:r>
        <w:rPr>
          <w:color w:val="auto"/>
        </w:rPr>
        <w:t>及封口是否符合要求以及是否对应相关转移联单制度，处理单位可拒绝接收不符合要求的医疗废物。</w:t>
      </w:r>
      <w:r>
        <w:rPr>
          <w:color w:val="auto"/>
          <w:spacing w:val="-4"/>
        </w:rPr>
        <w:t>由各个医院收运的医疗废物周转箱运抵处理单位称重后，医疗废物转运车按规定物流线路进入卸料间将周转箱卸下，贮存库内医疗废物常温贮存时间</w:t>
      </w:r>
      <w:r>
        <w:rPr>
          <w:color w:val="auto"/>
          <w:spacing w:val="-16"/>
        </w:rPr>
        <w:t>不得超过</w:t>
      </w:r>
      <w:r>
        <w:rPr>
          <w:rFonts w:eastAsia="Times New Roman"/>
          <w:color w:val="auto"/>
          <w:spacing w:val="-3"/>
        </w:rPr>
        <w:t>24h</w:t>
      </w:r>
      <w:r>
        <w:rPr>
          <w:color w:val="auto"/>
          <w:spacing w:val="-7"/>
        </w:rPr>
        <w:t>；当制冷设备开启，贮存温度低于</w:t>
      </w:r>
      <w:r>
        <w:rPr>
          <w:rFonts w:eastAsia="Times New Roman"/>
          <w:color w:val="auto"/>
        </w:rPr>
        <w:t>5</w:t>
      </w:r>
      <w:r>
        <w:rPr>
          <w:color w:val="auto"/>
          <w:spacing w:val="-8"/>
        </w:rPr>
        <w:t>℃时，贮存时间不得超过</w:t>
      </w:r>
      <w:r>
        <w:rPr>
          <w:rFonts w:eastAsia="Times New Roman"/>
          <w:color w:val="auto"/>
        </w:rPr>
        <w:t>72h</w:t>
      </w:r>
      <w:r>
        <w:rPr>
          <w:color w:val="auto"/>
          <w:spacing w:val="-15"/>
        </w:rPr>
        <w:t>。</w:t>
      </w:r>
      <w:r>
        <w:rPr>
          <w:color w:val="auto"/>
        </w:rPr>
        <w:t>为了防止贮存库中传染性气体的污染，贮存库应采用全封闭、微负压设计。</w:t>
      </w:r>
    </w:p>
    <w:p>
      <w:pPr>
        <w:pStyle w:val="6"/>
        <w:numPr>
          <w:ilvl w:val="3"/>
          <w:numId w:val="0"/>
        </w:numPr>
        <w:ind w:left="-861" w:leftChars="-410" w:firstLine="964" w:firstLineChars="400"/>
        <w:rPr>
          <w:color w:val="auto"/>
        </w:rPr>
      </w:pPr>
      <w:bookmarkStart w:id="169" w:name="_Toc58849410"/>
      <w:r>
        <w:rPr>
          <w:color w:val="auto"/>
        </w:rPr>
        <w:t>2.2.1.4现有工程高温蒸汽灭菌</w:t>
      </w:r>
      <w:bookmarkEnd w:id="169"/>
    </w:p>
    <w:p>
      <w:pPr>
        <w:pStyle w:val="130"/>
        <w:ind w:firstLine="480"/>
        <w:rPr>
          <w:color w:val="auto"/>
        </w:rPr>
      </w:pPr>
      <w:r>
        <w:rPr>
          <w:color w:val="auto"/>
        </w:rPr>
        <w:t>医疗废物处置工艺采用高温蒸汽灭菌，即湿热灭菌。以高温饱和蒸汽为工作介质，利用其较强的穿透力，深入到灭菌物品内部并释放出蒸汽内涵的潜伏热，使灭菌物品迅速升温达到温度后维持一段时间，使细菌中的蛋白质凝固变性，从而将所有微生物包括细菌芽孢全部杀死，现有工程医疗废物处置工艺流程及产污环节图见图2.2-1。</w:t>
      </w:r>
    </w:p>
    <w:p>
      <w:pPr>
        <w:pStyle w:val="32"/>
        <w:adjustRightInd w:val="0"/>
        <w:snapToGrid w:val="0"/>
        <w:spacing w:after="0"/>
        <w:ind w:left="0" w:leftChars="0"/>
        <w:rPr>
          <w:rFonts w:eastAsia="仿宋"/>
          <w:color w:val="auto"/>
          <w:szCs w:val="24"/>
        </w:rPr>
      </w:pPr>
      <w:r>
        <w:rPr>
          <w:rFonts w:eastAsia="仿宋"/>
          <w:color w:val="auto"/>
          <w:szCs w:val="24"/>
        </w:rPr>
        <mc:AlternateContent>
          <mc:Choice Requires="wpc">
            <w:drawing>
              <wp:inline distT="0" distB="0" distL="0" distR="0">
                <wp:extent cx="5574030" cy="3276600"/>
                <wp:effectExtent l="9525" t="9525" r="9525" b="20955"/>
                <wp:docPr id="152" name="画布 1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wps:wsp>
                        <wps:cNvPr id="153" name="Text Box 1360"/>
                        <wps:cNvSpPr txBox="1">
                          <a:spLocks noChangeArrowheads="1"/>
                        </wps:cNvSpPr>
                        <wps:spPr bwMode="auto">
                          <a:xfrm>
                            <a:off x="153040" y="921559"/>
                            <a:ext cx="796724" cy="288749"/>
                          </a:xfrm>
                          <a:prstGeom prst="rect">
                            <a:avLst/>
                          </a:prstGeom>
                          <a:solidFill>
                            <a:srgbClr val="FFFFFF"/>
                          </a:solidFill>
                          <a:ln>
                            <a:noFill/>
                          </a:ln>
                        </wps:spPr>
                        <wps:txbx>
                          <w:txbxContent>
                            <w:p>
                              <w:pPr>
                                <w:rPr>
                                  <w:szCs w:val="24"/>
                                </w:rPr>
                              </w:pPr>
                              <w:r>
                                <w:rPr>
                                  <w:rFonts w:hint="eastAsia" w:hAnsi="宋体" w:cs="宋体"/>
                                  <w:szCs w:val="24"/>
                                </w:rPr>
                                <w:t>灭菌小车</w:t>
                              </w:r>
                            </w:p>
                          </w:txbxContent>
                        </wps:txbx>
                        <wps:bodyPr rot="0" vert="horz" wrap="square" lIns="91440" tIns="45720" rIns="91440" bIns="45720" anchor="t" anchorCtr="0" upright="1">
                          <a:noAutofit/>
                        </wps:bodyPr>
                      </wps:wsp>
                      <wps:wsp>
                        <wps:cNvPr id="154" name="Text Box 1365"/>
                        <wps:cNvSpPr txBox="1">
                          <a:spLocks noChangeArrowheads="1"/>
                        </wps:cNvSpPr>
                        <wps:spPr bwMode="auto">
                          <a:xfrm>
                            <a:off x="4373433" y="921559"/>
                            <a:ext cx="508751" cy="288749"/>
                          </a:xfrm>
                          <a:prstGeom prst="rect">
                            <a:avLst/>
                          </a:prstGeom>
                          <a:solidFill>
                            <a:srgbClr val="FFFFFF"/>
                          </a:solidFill>
                          <a:ln>
                            <a:noFill/>
                          </a:ln>
                        </wps:spPr>
                        <wps:txbx>
                          <w:txbxContent>
                            <w:p>
                              <w:pPr>
                                <w:rPr>
                                  <w:rFonts w:hAnsi="宋体"/>
                                  <w:szCs w:val="24"/>
                                </w:rPr>
                              </w:pPr>
                              <w:r>
                                <w:rPr>
                                  <w:rFonts w:hint="eastAsia" w:hAnsi="宋体"/>
                                  <w:szCs w:val="24"/>
                                </w:rPr>
                                <w:t>破碎</w:t>
                              </w:r>
                            </w:p>
                          </w:txbxContent>
                        </wps:txbx>
                        <wps:bodyPr rot="0" vert="horz" wrap="square" lIns="91440" tIns="45720" rIns="91440" bIns="45720" anchor="t" anchorCtr="0" upright="1">
                          <a:noAutofit/>
                        </wps:bodyPr>
                      </wps:wsp>
                      <wps:wsp>
                        <wps:cNvPr id="155" name="AutoShape 1367"/>
                        <wps:cNvCnPr>
                          <a:cxnSpLocks noChangeShapeType="1"/>
                        </wps:cNvCnPr>
                        <wps:spPr bwMode="auto">
                          <a:xfrm>
                            <a:off x="949764" y="1065777"/>
                            <a:ext cx="984914" cy="399"/>
                          </a:xfrm>
                          <a:prstGeom prst="straightConnector1">
                            <a:avLst/>
                          </a:prstGeom>
                          <a:noFill/>
                          <a:ln w="9525">
                            <a:solidFill>
                              <a:srgbClr val="000000"/>
                            </a:solidFill>
                            <a:round/>
                            <a:tailEnd type="triangle" w="med" len="med"/>
                          </a:ln>
                        </wps:spPr>
                        <wps:bodyPr/>
                      </wps:wsp>
                      <wps:wsp>
                        <wps:cNvPr id="156" name="AutoShape 1370"/>
                        <wps:cNvCnPr>
                          <a:cxnSpLocks noChangeShapeType="1"/>
                        </wps:cNvCnPr>
                        <wps:spPr bwMode="auto">
                          <a:xfrm>
                            <a:off x="3565969" y="1065117"/>
                            <a:ext cx="796650" cy="1"/>
                          </a:xfrm>
                          <a:prstGeom prst="straightConnector1">
                            <a:avLst/>
                          </a:prstGeom>
                          <a:noFill/>
                          <a:ln w="9525">
                            <a:solidFill>
                              <a:srgbClr val="000000"/>
                            </a:solidFill>
                            <a:round/>
                            <a:tailEnd type="triangle" w="med" len="med"/>
                          </a:ln>
                        </wps:spPr>
                        <wps:bodyPr/>
                      </wps:wsp>
                      <wps:wsp>
                        <wps:cNvPr id="157" name="Text Box 1373"/>
                        <wps:cNvSpPr txBox="1">
                          <a:spLocks noChangeArrowheads="1"/>
                        </wps:cNvSpPr>
                        <wps:spPr bwMode="auto">
                          <a:xfrm>
                            <a:off x="2009232" y="936923"/>
                            <a:ext cx="1549420" cy="291148"/>
                          </a:xfrm>
                          <a:prstGeom prst="rect">
                            <a:avLst/>
                          </a:prstGeom>
                          <a:solidFill>
                            <a:srgbClr val="FFFFFF"/>
                          </a:solidFill>
                          <a:ln w="6350">
                            <a:solidFill>
                              <a:schemeClr val="tx1"/>
                            </a:solidFill>
                          </a:ln>
                        </wps:spPr>
                        <wps:txbx>
                          <w:txbxContent>
                            <w:p>
                              <w:pPr>
                                <w:rPr>
                                  <w:rFonts w:hAnsi="宋体"/>
                                </w:rPr>
                              </w:pPr>
                              <w:r>
                                <w:rPr>
                                  <w:rFonts w:hint="eastAsia" w:hAnsi="宋体"/>
                                </w:rPr>
                                <w:t>一体化高温蒸汽灭菌器</w:t>
                              </w:r>
                            </w:p>
                          </w:txbxContent>
                        </wps:txbx>
                        <wps:bodyPr rot="0" vert="horz" wrap="square" lIns="91440" tIns="45720" rIns="91440" bIns="45720" anchor="t" anchorCtr="0" upright="1">
                          <a:noAutofit/>
                        </wps:bodyPr>
                      </wps:wsp>
                      <wps:wsp>
                        <wps:cNvPr id="158" name="AutoShape 1374"/>
                        <wps:cNvCnPr>
                          <a:cxnSpLocks noChangeShapeType="1"/>
                        </wps:cNvCnPr>
                        <wps:spPr bwMode="auto">
                          <a:xfrm>
                            <a:off x="2183394" y="627704"/>
                            <a:ext cx="0" cy="301172"/>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159" name="Text Box 1375"/>
                        <wps:cNvSpPr txBox="1">
                          <a:spLocks noChangeArrowheads="1"/>
                        </wps:cNvSpPr>
                        <wps:spPr bwMode="auto">
                          <a:xfrm>
                            <a:off x="1734343" y="340678"/>
                            <a:ext cx="719714" cy="290348"/>
                          </a:xfrm>
                          <a:prstGeom prst="rect">
                            <a:avLst/>
                          </a:prstGeom>
                          <a:solidFill>
                            <a:srgbClr val="FFFFFF"/>
                          </a:solidFill>
                          <a:ln>
                            <a:noFill/>
                          </a:ln>
                        </wps:spPr>
                        <wps:txbx>
                          <w:txbxContent>
                            <w:p>
                              <w:pPr>
                                <w:jc w:val="center"/>
                                <w:rPr>
                                  <w:rFonts w:hAnsi="宋体"/>
                                </w:rPr>
                              </w:pPr>
                              <w:r>
                                <w:rPr>
                                  <w:rFonts w:hint="eastAsia" w:hAnsi="宋体"/>
                                </w:rPr>
                                <w:t>饱和蒸汽</w:t>
                              </w:r>
                            </w:p>
                          </w:txbxContent>
                        </wps:txbx>
                        <wps:bodyPr rot="0" vert="horz" wrap="square" lIns="91440" tIns="45720" rIns="91440" bIns="45720" anchor="t" anchorCtr="0" upright="1">
                          <a:noAutofit/>
                        </wps:bodyPr>
                      </wps:wsp>
                      <wps:wsp>
                        <wps:cNvPr id="160" name="Text Box 1376"/>
                        <wps:cNvSpPr txBox="1">
                          <a:spLocks noChangeArrowheads="1"/>
                        </wps:cNvSpPr>
                        <wps:spPr bwMode="auto">
                          <a:xfrm>
                            <a:off x="190450" y="2254946"/>
                            <a:ext cx="742045" cy="291148"/>
                          </a:xfrm>
                          <a:prstGeom prst="rect">
                            <a:avLst/>
                          </a:prstGeom>
                          <a:solidFill>
                            <a:srgbClr val="FFFFFF"/>
                          </a:solidFill>
                          <a:ln>
                            <a:noFill/>
                          </a:ln>
                        </wps:spPr>
                        <wps:txbx>
                          <w:txbxContent>
                            <w:p>
                              <w:pPr>
                                <w:rPr>
                                  <w:rFonts w:hAnsi="宋体"/>
                                </w:rPr>
                              </w:pPr>
                              <w:r>
                                <w:rPr>
                                  <w:rFonts w:hint="eastAsia" w:hAnsi="宋体"/>
                                </w:rPr>
                                <w:t>医疗废物</w:t>
                              </w:r>
                            </w:p>
                          </w:txbxContent>
                        </wps:txbx>
                        <wps:bodyPr rot="0" vert="horz" wrap="square" lIns="91440" tIns="45720" rIns="91440" bIns="45720" anchor="t" anchorCtr="0" upright="1">
                          <a:noAutofit/>
                        </wps:bodyPr>
                      </wps:wsp>
                      <wps:wsp>
                        <wps:cNvPr id="161" name="AutoShape 1378"/>
                        <wps:cNvCnPr>
                          <a:cxnSpLocks noChangeShapeType="1"/>
                        </wps:cNvCnPr>
                        <wps:spPr bwMode="auto">
                          <a:xfrm flipH="1" flipV="1">
                            <a:off x="595293" y="1978404"/>
                            <a:ext cx="3200" cy="267952"/>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162" name="Text Box 1379"/>
                        <wps:cNvSpPr txBox="1">
                          <a:spLocks noChangeArrowheads="1"/>
                        </wps:cNvSpPr>
                        <wps:spPr bwMode="auto">
                          <a:xfrm>
                            <a:off x="4067060" y="1555993"/>
                            <a:ext cx="1126744" cy="290348"/>
                          </a:xfrm>
                          <a:prstGeom prst="rect">
                            <a:avLst/>
                          </a:prstGeom>
                          <a:solidFill>
                            <a:srgbClr val="FFFFFF"/>
                          </a:solidFill>
                          <a:ln>
                            <a:noFill/>
                          </a:ln>
                        </wps:spPr>
                        <wps:txbx>
                          <w:txbxContent>
                            <w:p>
                              <w:pPr>
                                <w:rPr>
                                  <w:rFonts w:hAnsi="宋体"/>
                                  <w:szCs w:val="24"/>
                                </w:rPr>
                              </w:pPr>
                              <w:r>
                                <w:rPr>
                                  <w:rFonts w:hint="eastAsia" w:hAnsi="宋体"/>
                                  <w:szCs w:val="24"/>
                                </w:rPr>
                                <w:t>垃圾填埋场填埋</w:t>
                              </w:r>
                            </w:p>
                          </w:txbxContent>
                        </wps:txbx>
                        <wps:bodyPr rot="0" vert="horz" wrap="square" lIns="91440" tIns="45720" rIns="91440" bIns="45720" anchor="t" anchorCtr="0" upright="1">
                          <a:noAutofit/>
                        </wps:bodyPr>
                      </wps:wsp>
                      <wps:wsp>
                        <wps:cNvPr id="163" name="AutoShape 1380"/>
                        <wps:cNvCnPr>
                          <a:cxnSpLocks noChangeShapeType="1"/>
                        </wps:cNvCnPr>
                        <wps:spPr bwMode="auto">
                          <a:xfrm>
                            <a:off x="4627809" y="1210308"/>
                            <a:ext cx="2623" cy="345685"/>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164" name="直接箭头连接符 21"/>
                        <wps:cNvCnPr/>
                        <wps:spPr>
                          <a:xfrm flipV="1">
                            <a:off x="2936860" y="432586"/>
                            <a:ext cx="0" cy="504748"/>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112" name="Text Box 1375"/>
                        <wps:cNvSpPr txBox="1">
                          <a:spLocks noChangeArrowheads="1"/>
                        </wps:cNvSpPr>
                        <wps:spPr bwMode="auto">
                          <a:xfrm>
                            <a:off x="2717405" y="179630"/>
                            <a:ext cx="460857" cy="290348"/>
                          </a:xfrm>
                          <a:prstGeom prst="rect">
                            <a:avLst/>
                          </a:prstGeom>
                          <a:solidFill>
                            <a:srgbClr val="FFFFFF"/>
                          </a:solidFill>
                          <a:ln>
                            <a:noFill/>
                          </a:ln>
                        </wps:spPr>
                        <wps:txbx>
                          <w:txbxContent>
                            <w:p>
                              <w:pPr>
                                <w:jc w:val="center"/>
                                <w:rPr>
                                  <w:rFonts w:hAnsi="宋体"/>
                                </w:rPr>
                              </w:pPr>
                              <w:r>
                                <w:rPr>
                                  <w:rFonts w:hint="eastAsia" w:hAnsi="宋体"/>
                                </w:rPr>
                                <w:t>废气</w:t>
                              </w:r>
                            </w:p>
                          </w:txbxContent>
                        </wps:txbx>
                        <wps:bodyPr rot="0" vert="horz" wrap="square" lIns="91440" tIns="45720" rIns="91440" bIns="45720" anchor="t" anchorCtr="0" upright="1">
                          <a:noAutofit/>
                        </wps:bodyPr>
                      </wps:wsp>
                      <wps:wsp>
                        <wps:cNvPr id="165" name="直接连接符 56"/>
                        <wps:cNvCnPr/>
                        <wps:spPr>
                          <a:xfrm>
                            <a:off x="3185578" y="314022"/>
                            <a:ext cx="395020" cy="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wps:wsp>
                        <wps:cNvPr id="1117" name="Text Box 1375"/>
                        <wps:cNvSpPr txBox="1">
                          <a:spLocks noChangeArrowheads="1"/>
                        </wps:cNvSpPr>
                        <wps:spPr bwMode="auto">
                          <a:xfrm>
                            <a:off x="3580598" y="77063"/>
                            <a:ext cx="1243585" cy="463692"/>
                          </a:xfrm>
                          <a:prstGeom prst="rect">
                            <a:avLst/>
                          </a:prstGeom>
                          <a:solidFill>
                            <a:srgbClr val="FFFFFF"/>
                          </a:solidFill>
                          <a:ln>
                            <a:noFill/>
                          </a:ln>
                        </wps:spPr>
                        <wps:txbx>
                          <w:txbxContent>
                            <w:p>
                              <w:pPr>
                                <w:jc w:val="center"/>
                                <w:rPr>
                                  <w:rFonts w:hAnsi="宋体"/>
                                </w:rPr>
                              </w:pPr>
                              <w:r>
                                <w:rPr>
                                  <w:rFonts w:hint="eastAsia" w:hAnsi="宋体"/>
                                </w:rPr>
                                <w:t>生物过滤器+二次</w:t>
                              </w:r>
                            </w:p>
                            <w:p>
                              <w:pPr>
                                <w:jc w:val="center"/>
                                <w:rPr>
                                  <w:rFonts w:hAnsi="宋体"/>
                                </w:rPr>
                              </w:pPr>
                              <w:r>
                                <w:rPr>
                                  <w:rFonts w:hint="eastAsia" w:hAnsi="宋体"/>
                                </w:rPr>
                                <w:t>灭菌+活性炭</w:t>
                              </w:r>
                            </w:p>
                          </w:txbxContent>
                        </wps:txbx>
                        <wps:bodyPr rot="0" vert="horz" wrap="square" lIns="91440" tIns="45720" rIns="91440" bIns="45720" anchor="t" anchorCtr="0" upright="1">
                          <a:noAutofit/>
                        </wps:bodyPr>
                      </wps:wsp>
                      <wps:wsp>
                        <wps:cNvPr id="1120" name="直接箭头连接符 1120"/>
                        <wps:cNvCnPr/>
                        <wps:spPr>
                          <a:xfrm>
                            <a:off x="2717405" y="1205423"/>
                            <a:ext cx="0" cy="549694"/>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121" name="Text Box 1360"/>
                        <wps:cNvSpPr txBox="1">
                          <a:spLocks noChangeArrowheads="1"/>
                        </wps:cNvSpPr>
                        <wps:spPr bwMode="auto">
                          <a:xfrm>
                            <a:off x="35999" y="1710669"/>
                            <a:ext cx="1298835" cy="288749"/>
                          </a:xfrm>
                          <a:prstGeom prst="rect">
                            <a:avLst/>
                          </a:prstGeom>
                          <a:solidFill>
                            <a:srgbClr val="FFFFFF"/>
                          </a:solidFill>
                          <a:ln>
                            <a:noFill/>
                          </a:ln>
                        </wps:spPr>
                        <wps:txbx>
                          <w:txbxContent>
                            <w:p>
                              <w:pPr>
                                <w:rPr>
                                  <w:szCs w:val="24"/>
                                </w:rPr>
                              </w:pPr>
                              <w:r>
                                <w:rPr>
                                  <w:rFonts w:hint="eastAsia" w:hAnsi="宋体" w:cs="宋体"/>
                                  <w:szCs w:val="24"/>
                                </w:rPr>
                                <w:t>转运车周转箱收集</w:t>
                              </w:r>
                            </w:p>
                          </w:txbxContent>
                        </wps:txbx>
                        <wps:bodyPr rot="0" vert="horz" wrap="square" lIns="91440" tIns="45720" rIns="91440" bIns="45720" anchor="t" anchorCtr="0" upright="1">
                          <a:noAutofit/>
                        </wps:bodyPr>
                      </wps:wsp>
                      <wps:wsp>
                        <wps:cNvPr id="1124" name="AutoShape 1378"/>
                        <wps:cNvCnPr>
                          <a:cxnSpLocks noChangeShapeType="1"/>
                        </wps:cNvCnPr>
                        <wps:spPr bwMode="auto">
                          <a:xfrm flipV="1">
                            <a:off x="576548" y="1228422"/>
                            <a:ext cx="0" cy="461071"/>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166" name="文本框 62"/>
                        <wps:cNvSpPr txBox="1"/>
                        <wps:spPr>
                          <a:xfrm>
                            <a:off x="500898" y="1330632"/>
                            <a:ext cx="570586" cy="285496"/>
                          </a:xfrm>
                          <a:prstGeom prst="rect">
                            <a:avLst/>
                          </a:prstGeom>
                          <a:noFill/>
                          <a:ln w="6350">
                            <a:noFill/>
                          </a:ln>
                        </wps:spPr>
                        <wps:txbx>
                          <w:txbxContent>
                            <w:p>
                              <w:r>
                                <w:rPr>
                                  <w:rFonts w:hint="eastAsia"/>
                                </w:rPr>
                                <w:t>卸料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7" name="直接连接符 70"/>
                        <wps:cNvCnPr/>
                        <wps:spPr>
                          <a:xfrm>
                            <a:off x="932495" y="1175431"/>
                            <a:ext cx="882501" cy="0"/>
                          </a:xfrm>
                          <a:prstGeom prst="line">
                            <a:avLst/>
                          </a:prstGeom>
                          <a:ln>
                            <a:prstDash val="dash"/>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168" name="直接连接符 72"/>
                        <wps:cNvCnPr/>
                        <wps:spPr>
                          <a:xfrm>
                            <a:off x="1334834" y="1857027"/>
                            <a:ext cx="512061" cy="0"/>
                          </a:xfrm>
                          <a:prstGeom prst="line">
                            <a:avLst/>
                          </a:prstGeom>
                          <a:ln>
                            <a:prstDash val="dash"/>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1133" name="Text Box 1360"/>
                        <wps:cNvSpPr txBox="1">
                          <a:spLocks noChangeArrowheads="1"/>
                        </wps:cNvSpPr>
                        <wps:spPr bwMode="auto">
                          <a:xfrm>
                            <a:off x="1327516" y="1374713"/>
                            <a:ext cx="1031443" cy="288749"/>
                          </a:xfrm>
                          <a:prstGeom prst="rect">
                            <a:avLst/>
                          </a:prstGeom>
                          <a:solidFill>
                            <a:srgbClr val="FFFFFF"/>
                          </a:solidFill>
                          <a:ln>
                            <a:solidFill>
                              <a:schemeClr val="tx1"/>
                            </a:solidFill>
                          </a:ln>
                        </wps:spPr>
                        <wps:txbx>
                          <w:txbxContent>
                            <w:p>
                              <w:pPr>
                                <w:rPr>
                                  <w:szCs w:val="24"/>
                                </w:rPr>
                              </w:pPr>
                              <w:r>
                                <w:rPr>
                                  <w:rFonts w:hint="eastAsia" w:hAnsi="宋体" w:cs="宋体"/>
                                  <w:szCs w:val="24"/>
                                </w:rPr>
                                <w:t>消毒清洗废水</w:t>
                              </w:r>
                            </w:p>
                          </w:txbxContent>
                        </wps:txbx>
                        <wps:bodyPr rot="0" vert="horz" wrap="square" lIns="91440" tIns="45720" rIns="91440" bIns="45720" anchor="t" anchorCtr="0" upright="1">
                          <a:noAutofit/>
                        </wps:bodyPr>
                      </wps:wsp>
                      <wps:wsp>
                        <wps:cNvPr id="75" name="直接连接符 75"/>
                        <wps:cNvCnPr/>
                        <wps:spPr>
                          <a:xfrm>
                            <a:off x="1814996" y="1184531"/>
                            <a:ext cx="0" cy="234086"/>
                          </a:xfrm>
                          <a:prstGeom prst="line">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76" name="直接箭头连接符 76"/>
                        <wps:cNvCnPr/>
                        <wps:spPr>
                          <a:xfrm flipV="1">
                            <a:off x="1846896" y="1615906"/>
                            <a:ext cx="0" cy="24087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138" name="Text Box 1360"/>
                        <wps:cNvSpPr txBox="1">
                          <a:spLocks noChangeArrowheads="1"/>
                        </wps:cNvSpPr>
                        <wps:spPr bwMode="auto">
                          <a:xfrm>
                            <a:off x="2347601" y="1755072"/>
                            <a:ext cx="796724" cy="288749"/>
                          </a:xfrm>
                          <a:prstGeom prst="rect">
                            <a:avLst/>
                          </a:prstGeom>
                          <a:solidFill>
                            <a:srgbClr val="FFFFFF"/>
                          </a:solidFill>
                          <a:ln>
                            <a:solidFill>
                              <a:schemeClr val="tx1"/>
                            </a:solidFill>
                          </a:ln>
                        </wps:spPr>
                        <wps:txbx>
                          <w:txbxContent>
                            <w:p>
                              <w:pPr>
                                <w:rPr>
                                  <w:szCs w:val="24"/>
                                </w:rPr>
                              </w:pPr>
                              <w:r>
                                <w:rPr>
                                  <w:rFonts w:hint="eastAsia" w:hAnsi="宋体" w:cs="宋体"/>
                                  <w:szCs w:val="24"/>
                                </w:rPr>
                                <w:t>蒸煮废水</w:t>
                              </w:r>
                            </w:p>
                          </w:txbxContent>
                        </wps:txbx>
                        <wps:bodyPr rot="0" vert="horz" wrap="square" lIns="91440" tIns="45720" rIns="91440" bIns="45720" anchor="t" anchorCtr="0" upright="1">
                          <a:noAutofit/>
                        </wps:bodyPr>
                      </wps:wsp>
                      <wps:wsp>
                        <wps:cNvPr id="80" name="直接箭头连接符 80"/>
                        <wps:cNvCnPr/>
                        <wps:spPr>
                          <a:xfrm>
                            <a:off x="2139503" y="1663427"/>
                            <a:ext cx="0" cy="1130448"/>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142" name="直接箭头连接符 1142"/>
                        <wps:cNvCnPr/>
                        <wps:spPr>
                          <a:xfrm>
                            <a:off x="2702774" y="2061568"/>
                            <a:ext cx="0" cy="731998"/>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143" name="Text Box 1360"/>
                        <wps:cNvSpPr txBox="1">
                          <a:spLocks noChangeArrowheads="1"/>
                        </wps:cNvSpPr>
                        <wps:spPr bwMode="auto">
                          <a:xfrm>
                            <a:off x="1934678" y="2802642"/>
                            <a:ext cx="1101325" cy="288749"/>
                          </a:xfrm>
                          <a:prstGeom prst="rect">
                            <a:avLst/>
                          </a:prstGeom>
                          <a:solidFill>
                            <a:srgbClr val="FFFFFF"/>
                          </a:solidFill>
                          <a:ln>
                            <a:solidFill>
                              <a:schemeClr val="tx1"/>
                            </a:solidFill>
                          </a:ln>
                        </wps:spPr>
                        <wps:txbx>
                          <w:txbxContent>
                            <w:p>
                              <w:pPr>
                                <w:rPr>
                                  <w:szCs w:val="24"/>
                                </w:rPr>
                              </w:pPr>
                              <w:r>
                                <w:rPr>
                                  <w:rFonts w:hint="eastAsia" w:hAnsi="宋体" w:cs="宋体"/>
                                  <w:szCs w:val="24"/>
                                </w:rPr>
                                <w:t>隔油池+化粪池</w:t>
                              </w:r>
                            </w:p>
                          </w:txbxContent>
                        </wps:txbx>
                        <wps:bodyPr rot="0" vert="horz" wrap="square" lIns="91440" tIns="45720" rIns="91440" bIns="45720" anchor="t" anchorCtr="0" upright="1">
                          <a:noAutofit/>
                        </wps:bodyPr>
                      </wps:wsp>
                      <wps:wsp>
                        <wps:cNvPr id="1146" name="Text Box 1360"/>
                        <wps:cNvSpPr txBox="1">
                          <a:spLocks noChangeArrowheads="1"/>
                        </wps:cNvSpPr>
                        <wps:spPr bwMode="auto">
                          <a:xfrm>
                            <a:off x="83932" y="2802678"/>
                            <a:ext cx="1470355" cy="288749"/>
                          </a:xfrm>
                          <a:prstGeom prst="rect">
                            <a:avLst/>
                          </a:prstGeom>
                          <a:solidFill>
                            <a:srgbClr val="FFFFFF"/>
                          </a:solidFill>
                          <a:ln>
                            <a:solidFill>
                              <a:schemeClr val="tx1"/>
                            </a:solidFill>
                          </a:ln>
                        </wps:spPr>
                        <wps:txbx>
                          <w:txbxContent>
                            <w:p>
                              <w:pPr>
                                <w:rPr>
                                  <w:szCs w:val="24"/>
                                </w:rPr>
                              </w:pPr>
                              <w:r>
                                <w:rPr>
                                  <w:rFonts w:hint="eastAsia" w:hAnsi="宋体" w:cs="宋体"/>
                                  <w:szCs w:val="24"/>
                                </w:rPr>
                                <w:t>生活废水+地面清洗水</w:t>
                              </w:r>
                            </w:p>
                          </w:txbxContent>
                        </wps:txbx>
                        <wps:bodyPr rot="0" vert="horz" wrap="square" lIns="91440" tIns="45720" rIns="91440" bIns="45720" anchor="t" anchorCtr="0" upright="1">
                          <a:noAutofit/>
                        </wps:bodyPr>
                      </wps:wsp>
                      <wps:wsp>
                        <wps:cNvPr id="106" name="直接箭头连接符 106"/>
                        <wps:cNvCnPr/>
                        <wps:spPr>
                          <a:xfrm>
                            <a:off x="1568918" y="2954269"/>
                            <a:ext cx="343814"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08" name="直接箭头连接符 108"/>
                        <wps:cNvCnPr/>
                        <wps:spPr>
                          <a:xfrm>
                            <a:off x="3036003" y="2954250"/>
                            <a:ext cx="67626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51" name="Text Box 1360"/>
                        <wps:cNvSpPr txBox="1">
                          <a:spLocks noChangeArrowheads="1"/>
                        </wps:cNvSpPr>
                        <wps:spPr bwMode="auto">
                          <a:xfrm>
                            <a:off x="3722889" y="2703883"/>
                            <a:ext cx="1642745" cy="450215"/>
                          </a:xfrm>
                          <a:prstGeom prst="rect">
                            <a:avLst/>
                          </a:prstGeom>
                          <a:solidFill>
                            <a:srgbClr val="FFFFFF"/>
                          </a:solidFill>
                          <a:ln>
                            <a:solidFill>
                              <a:schemeClr val="tx1"/>
                            </a:solidFill>
                          </a:ln>
                        </wps:spPr>
                        <wps:txbx>
                          <w:txbxContent>
                            <w:p>
                              <w:pPr>
                                <w:rPr>
                                  <w:szCs w:val="24"/>
                                </w:rPr>
                              </w:pPr>
                              <w:r>
                                <w:rPr>
                                  <w:rFonts w:hint="eastAsia"/>
                                  <w:szCs w:val="24"/>
                                </w:rPr>
                                <w:t>中卫市生活垃圾填埋场污水处理站调节池</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258pt;width:438.9pt;" coordsize="5574030,3276600" editas="canvas" o:gfxdata="UEsDBAoAAAAAAIdO4kAAAAAAAAAAAAAAAAAEAAAAZHJzL1BLAwQUAAAACACHTuJAryIFa9YAAAAF&#10;AQAADwAAAGRycy9kb3ducmV2LnhtbE2PT0vEMBDF74LfIYzgRdykot3SbbqI4ElBrC6st2wz2xab&#10;SU2y/769oxe9PBje8N7vVcujG8UeQxw8achmCgRS6+1AnYb3t8frAkRMhqwZPaGGE0ZY1udnlSmt&#10;P9Ar7pvUCQ6hWBoNfUpTKWVse3QmzvyExN7WB2cSn6GTNpgDh7tR3iiVS2cG4obeTPjQY/vZ7JyG&#10;q9vc2dX66xQ+mqf16qVo759jq/XlRaYWIBIe098z/OAzOtTMtPE7slGMGnhI+lX2ivmcZ2w03GW5&#10;AllX8j99/Q1QSwMEFAAAAAgAh07iQDWIEEebCQAAAE8AAA4AAABkcnMvZTJvRG9jLnhtbO1cTY/j&#10;SBm+I/EfrNyZdrmqXHY0PaumZ3tAGtiRZoCz23E+hGMb2z3p2SsS3DghLiAkJOC0cNoDEgd+zc7w&#10;M3jeKttx3Hand5nuJD3pkTJO7Djl10+9z/N+lJ9+dr2MrbdRXizS5HTEntgjK0rCdLJIZqejn725&#10;+IE3sooySCZBnCbR6ehdVIw+e/b97z1dZePISedpPIlyCydJivEqOx3NyzIbn5wU4TxaBsWTNIsS&#10;7Jym+TIo8TafnUzyYIWzL+MTx7bdk1WaT7I8DaOiwKfPzc7RM33+6TQKyy+m0yIqrfh0hLGV+jXX&#10;r5f0evLsaTCe5UE2X4TVMILvMIplsEjwo82pngdlYF3lixunWi7CPC3SafkkTJcn6XS6CCN9Dbga&#10;Zneu5kWeXmX6Wmbj1SxrzATTduz0nU8b/vTtq9xaTHDvpDOykmCJm/Th9//+5l+/tugT2GeVzcY4&#10;7EWevc5e5dUHM/OOLvl6mi/pf1yMda0t+66xbHRdWiE+lFIJm+MGhNjHHeW6dmX7cI4bdON74fzz&#10;Ld88qX/4hMbXDGeVAUfF2lTF/2eq1/Mgi/QdKMgGjal4bao3dIU/TK8txl19RTQAHEmmsspr7IFl&#10;NTKK7GUa/rKwkvR8HiSz6CzP09U8CiYYIiM740Kar5LVi3FBJ7lc/SSd4KYEV2WqT9SxN5PcFrAs&#10;DOs7TErfYLq2vPJd5QhjeMfzlND7G+sF4ywvyhdRurRo43SUY8ronwnevixKGtb6ELrLRRovJheL&#10;ONZv8tnleZxbbwNMrwv9p6+kc1ic0MFJSl8zZ6RP9PXSJZqLLa8vrzW4ivFlOnmHK89TM13hXrAx&#10;T/MvR9YKU/V0VPzqKsijkRX/OIH1fCbIAKV+I6Ry8CZv77ls7wmSEKc6HZUjy2yel8YfXGX5YjbH&#10;L5n7laRnsPh0oW1Ad8OMqho3MGaG/QBgw90z87INNkmGbiHmYcAmuOKCA/0DaJO2pyQ7ou10VOHw&#10;8NAma7QR/LX/I9+mWnA7T2jOBuPwOnndcWr6+DfvMvirDZ9mvnJnn+YLX7mAPVDGbFcqpX8+GNdO&#10;zfcEJn3FJv4Wj1aUeUAT+zxNEji3NDfze8C/NV4qGMeJtYJ3kY7UDnHY89n6r8/zgcCTCSZqMC6D&#10;Rfx5MrFKbZwyX4ADYrgw/MIymsCVRdBPtDXoII3/od1kx4d0QG4fJFSb7u4fEly60nf9BhOMdTAB&#10;onNlpTAM9mqFsCawiuOOiLirAh3SP6pGRIuSFG/5iIfTP4gCfIdDuxIlcRfbNIy1r2BS+IIkAUlP&#10;x2dMeNUcq4XUgyggmuguB0BpbN/elUCFHTVTT4g0BFCEnUYztVlMiRZC799lOczj3Dc05jpK2frn&#10;18isMMlt+DIdaQ2r8o/hsayQpPM0DkrMhWU2gYxOZhDB8QzME5b5FmRe+PTPHDQPJpER/b4E95kJ&#10;VwQlIhXzMbPrz3FNhYkSdCixgXyaeM+DYm6+o3eZUx0yWYKibqh1tRu1zkisC6PWubBdpT3fGoCK&#10;+aqWUY5v8914RnKIjeo6+rl80pcKGvBzyDn0oM1tubmHI2Lm24IEGNGsQ6Srh9FCG1hYILrYLQ8f&#10;0XaHxOMQ2hDZ97Cq9ipVKuKeWNWaxovsRxRU6q2f10maKucoEaT5xs/BpXmiy7QcIrECnqtwLM2P&#10;I9nqWPOgI1O3SVm34xCdD3j41Bj41SZ/TEkLiTwsALkZiDDHVaLKWhzpFpY6uOSY2+T922GF97CZ&#10;EIFYwrOrTIjDUFbpyDrHRQxsKi1Cup7Wnkdv9wi8HXyHod8Pf/z6/e/+9uGf//jmr1//9z9/pu2v&#10;/m45Ou3VImK4H3pnaiwmG9ZLn+BO16tcl+CO9DrKreJOaQu1LUT4FALVCULWW+NUoy568jU7S+Ey&#10;1suUuwlLHcVQDUYkQEyJtC3qwhtEKVzbk8gwmkDhGJYeIE82RSTjqdY+SrZjUwoWenwUhWiVsOfM&#10;Q+sAknmACmfCdrR0X8eUHPmnOrerUTTMc/EioUp+MP5WhZ/DT5rtozPqLR/sxhlx6dnSNwhDihYK&#10;b8MXMUfgiCprIVyqL9ABwzA79k8gSDdJlj3pn2DkIG7TTSDHroK/3SttEJhjS9GtOdWCSaBiqZP+&#10;w3g5CiZUwffQR0FM38ys7qjFiyOZUMV7Cv0QqIJ3fJTvebzOrB57vA4wsQCaqeHWziyYgk0roiPH&#10;+pHbbnojQqlciVBPK3TH8URXd1UOTrjMVg/QbHH4KuwQ+nzcps/n/R9++/5PX73/y28sZFgrLrzR&#10;1Ho7R6L+61WyinEOXdVR7lLZlGcwQZ6HcpEODIZ5cpuuaiqIdd9W02zR7MHJe2Ly4b7TIgsvFihR&#10;vwyK8lWQoy8csKdm1C/wMo1TdHSk1dbIovbUvs8/bvNqcrU8T9FrC3LC6PQmxpSXcb05zdPlL9AS&#10;f0Yts9g1mGJFS30YnZ3pg1ARyoLyJbr5wrqwsjfdr+g83BBv61DyRgPa7YD0uSP8KunAlBRc+611&#10;KOl5jrRhV8o6fJKh5DqtRV3p617FBAs3+vsUu7Wj4SP7p97O0mFu0x7UzU+YRpwW494OKrg24XFw&#10;N6WykLSynU5XokRs4R5RRbrl0aMKYKh9VascuaOYgWGVjWQgWEImV0KxbmbDRkKNmoN0mnWnUYPu&#10;/OpdUzLUWd3vT4ap/OOy8CCp7ukSErSfDXFoO+m2PR3LPCZ8KDUNKuYJ2SXRKi5w0G1mikjDgu5x&#10;5mPXJDrQwwg+6QfvrshQNaq/v6qI/RUHIgIYgEhvDAl8uF4NFpdJ3+4vKzrAitFyw2A5Zsn2M0vG&#10;GyG1e8aD01EuKXhiPCWlbbTcWuHvz1LII+E1a5nvZYEuOnI2CK/bKXGjY+d2le8wqjNCKhGyXJeL&#10;rsqvaI8xLMU9dkicjg6PBbEsqOmQ6OdBfcRWJqRAp6pdOxQNYskJoYaCQLRibebtK9Qoznxkyoww&#10;GFiTdOS//eQ/ip9urPbYVcTnc0FLPDTePNtxgWiAas1/jNmICveiTnQkwPslQDirRtbvXpl5HMnX&#10;NS67y5CYUDaXR1y2H1nxWB9mgRjwVmWG8vb2cLNFssSqPqucno9OjG5xHOvfkLS4U1r/SLJ7SbJo&#10;b98CGS2e7pyz5zYe1VOpeYcgg0VrGzzpKpdgdJdK0KcAGc3VxkKHktNijB5Csy/CjCu0UHimgQdB&#10;AUezzibgGKSaqpdGYg0lHuNEBwynw7YVw4fl1baHNA1/89Gn4vWDxPCYNW346pFw9By39ntstx9c&#10;9+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CgwAAFtDb250ZW50X1R5cGVzXS54bWxQSwECFAAKAAAAAACHTuJAAAAAAAAAAAAAAAAABgAAAAAA&#10;AAAAABAAAADsCgAAX3JlbHMvUEsBAhQAFAAAAAgAh07iQIoUZjzRAAAAlAEAAAsAAAAAAAAAAQAg&#10;AAAAEAsAAF9yZWxzLy5yZWxzUEsBAhQACgAAAAAAh07iQAAAAAAAAAAAAAAAAAQAAAAAAAAAAAAQ&#10;AAAAAAAAAGRycy9QSwECFAAUAAAACACHTuJAryIFa9YAAAAFAQAADwAAAAAAAAABACAAAAAiAAAA&#10;ZHJzL2Rvd25yZXYueG1sUEsBAhQAFAAAAAgAh07iQDWIEEebCQAAAE8AAA4AAAAAAAAAAQAgAAAA&#10;JQEAAGRycy9lMm9Eb2MueG1sUEsFBgAAAAAGAAYAWQEAADINAAAAAA==&#10;">
                <o:lock v:ext="edit" aspectratio="f"/>
                <v:shape id="_x0000_s1026" o:spid="_x0000_s1026" style="position:absolute;left:0;top:0;height:3276600;width:5574030;" filled="f" stroked="t" coordsize="21600,21600" o:gfxdata="UEsDBAoAAAAAAIdO4kAAAAAAAAAAAAAAAAAEAAAAZHJzL1BLAwQUAAAACACHTuJAryIFa9YAAAAF&#10;AQAADwAAAGRycy9kb3ducmV2LnhtbE2PT0vEMBDF74LfIYzgRdykot3SbbqI4ElBrC6st2wz2xab&#10;SU2y/769oxe9PBje8N7vVcujG8UeQxw8achmCgRS6+1AnYb3t8frAkRMhqwZPaGGE0ZY1udnlSmt&#10;P9Ar7pvUCQ6hWBoNfUpTKWVse3QmzvyExN7WB2cSn6GTNpgDh7tR3iiVS2cG4obeTPjQY/vZ7JyG&#10;q9vc2dX66xQ+mqf16qVo759jq/XlRaYWIBIe098z/OAzOtTMtPE7slGMGnhI+lX2ivmcZ2w03GW5&#10;AllX8j99/Q1QSwMEFAAAAAgAh07iQCTsMwBdCQAAUU8AAA4AAABkcnMvZTJvRG9jLnhtbO1cy47b&#10;yBXdB8g/ENzHzWJVsUjB8qDTTicBnIwBe5I1W6IkIhSpkOyH8wHJLstsEgQIkJnVTFazz9fEk8/I&#10;uVWkRFGkuh13t1o224BMiVSpWHV4z7mnLvn8i5tlYl1FeRFn6dhmzxzbitJJNo3T+dj+6u35T3zb&#10;KsownYZJlkZj+11U2F+8+PGPnl+vRpGbLbJkGuUWGkmL0fVqbC/KcjU6OSkmi2gZFs+yVZRi5yzL&#10;l2GJt/n8ZJqH12h9mZy4juOdXGf5dJVnk6go8OlLs9N+odufzaJJ+eVsVkSllYxt9K3Ur7l+vaDX&#10;kxfPw9E8D1eLeFJ1I/w/erEM4xQ/um7qZViG1mUe7zS1jCd5VmSz8tkkW55ks1k8ifQ54GyY0zqb&#10;szC9Cgt9MhOMTt1BbN1juxdz6neancdJgtE4Qesj+oz+v8b8RLQ7Sa1rTG/gSAziJMREzZKwxOZy&#10;NR3bRTq3rTCZAwGTMtfjUGRJPKUm6dtFPr84S3LrKqRZ0H808CfY0zxslRfly7BYmOP0LjM/y7gE&#10;SJJ4Obb99bfD0SIKpz9Lp1b5bgVkpcCXTb1cRlPbSiJ0hrb0BJdhnNzlSPQoSasxqM79egVgFqs1&#10;RIuPG/o3i3AV6RktRpNfX73OrRgDyCS3rTRc4jTeRjel9dPsxmLc0/CkDuDINyscW95gDw43Q7x6&#10;lU1+V1hpdrYI03l0mufZNY0Jusj0+Da+SvNZjApq5OL6V9kUvxRelplu6GaWL2magEaLWpfcEZjm&#10;d2M7cJmUgRlD6tcEu1XgKVdg6rHf9X0l9H6MXN0MTePPo2xp0cbYznEN6p8Jr14VpZn2+hANjiYE&#10;tpByrv/0mbSQQpPUxOx62swpmpMtby5u8HN03hfZ9B3OPM/M9Y94hY1Flv8BgMG1DwT//jLMAZ/k&#10;lylGL2CCBqDUb4RULt7kzT0XzT1hOkFTYxuXg9k8K02AuVzl8XyBXzLzlWanGPFZrMdg0ysNN40x&#10;09dHABtmbxdskga6gZjHAZvgigsO9PegTTq+kmxA29iucHh8aJM12gj+Ov5RbFMNuJ2lr3O6oCc3&#10;6ZtWUNPHv9UBfiumma/cOaYFIlAeYA+UMceTSumfD0d1UAt8gYvewIwHt0S0osxDurDPsjRFcMty&#10;c333xLc1s9YsGkhXmgDeG/n6OTLPLtNpB6eVeQwOSHoYcMNrzQBpoiJFZBpHxJ1HC0BeFyRUk+4e&#10;HhJcejLwgjUmGGthAkTnablDoKlYqIfjBkTcVdL26R9VI6KhfxRvxIjH0z9IKwKXu4aSuIdt6sYm&#10;VjApAkGSQCuggDHh70fHwyggkroeB0D3i6i+UNIdEgbN1AdQ5LFGMzVZTIkGQh8+ZLnM5zwwNOa5&#10;Sjn65zfIrDDJHcQydz8m7yNifWQieB7QPwPfRTiNTNoXSCDWXHBFWCJTMR8zZJ7mcwC3yhI+IIPc&#10;TgCPiyxBUTtqXR1GrTMS68KodS4cT+nItwGgYoGqZZQbOPwwkXHIDe/gLfXEOXgOHWjzGmHu8YgY&#10;dpMgAUZGg0ukq7vRQBtYWCC7OCwPD2j7CLQhs+9gVR1VKivigVjVmiXx6hck7PXWb2qTpvLAJJK0&#10;wMQ5hDRftJmWQyRWwPMUjh3ItmHXHjHZepD9u2Sr/YDHt8bArw7FY8o/JXxYAHI7EWGup0TlWgx0&#10;i5E6OnPMW/v+zbTCf1wnRCCX8J3KCXGZw52WrHM95MCaZrmQnq+1Z7/hP6QWx+LDkSNqot0Pf/3+&#10;/Z+//uFf3/3nn9//999/p+1vv7FcbXs1iBjhh97RMhLJHnLDOukT3On5VegS3JV+S7lV3CkdoW5L&#10;ET4HNE2x6GlCew91kkfbucZ1MAuXsU6mPExa6iqmhINMgJgSti2vDITa3Ree40s4jCZRGNLSI+TJ&#10;9SKSiVSbGCWbuSklCx0ximJVJew586WEbUFQ4Uw4rpbum5ySw3+qvV2Non6eS2IUHFDTH7Twc/ym&#10;2VMMRp3LB4cJRlz6jgwMwmDRQuFhwDYAY67AEZVrITxaX6AD+mH2MKsH1KX1ymQ3twxrAT0eGaMA&#10;sU83gRzbCn5/VNoiMNeRor3mVAsmgRVLbfr342UQTFgFf4IxCmJ611o4UIkXh5lQ5XsK9RBYBW/F&#10;qMD3ee2sDjVeR2gsgGZquDWdBbNg08joiAfuueymMyOUypNI9bRCd11ftHVXFeCExxz1CMUWx6/C&#10;Oitdu4n8YEmit67zef+XP73/27fv//FHCw5rxYU7Ra37ORLrv34lqxjn0FUt5S6VQz6DSfJ8LBfp&#10;xKCfJ2/TVWt1VNdtrYst1nu6h7tfNxWryXmMothXYVG+DnMUmgP2VIz6JV5mSYaKjqzasi0qT+36&#10;/H6LV9PL5VmGqmyQE3qnN9GnvEzqzVmeLX+LGvtTKpnFrl6LFTX6k+j0VB+EFaFVWL5CNR8q1Z9Y&#10;9SsqD7fE2yaV3ClA2w/IgLsiqEwHpqTgOm5tlL7vu9LBuJLr8Fmmkhtb6yEr9Ws7kkjtcJFuXR7U&#10;9idMIU6DcfeDCqFN+NyU+MCqUI7bqkqUyC28AVWkWz55VAEMdaxqlEUeKGdg3EUlPgiWTFauhGJt&#10;Z8OBoUbFQdpmPWjWoBejP+juow+l8vtl4V5SfaK3kKD8rI9Dm6bb7XYs85kIoNQ0qJgvZJtEq7zA&#10;RbWZWUTqF3Sfph+7IdFjWRtSa9XfvaqI/ZsMoAcinTkk8OH5NVg8JgOne1nRBVaMlusHy+CSPU2X&#10;jK+F1OEZD0FHeaTg9bKilI7RchuF/3RuhRwI72Fv0EVFzhbhtSsldip29qt8l9E6I6QSIcvzuGir&#10;/Ir2GMOtuEOFxNg+PhbEbUHrColuHtRH3MqElOhUa9cuZYO45YRQQ0kgSrG2ffsKNYqzAE4Zmh74&#10;zwzQsUgnQOIpZXwBF3SLh8ab77geEA1QbfiPMQdZ4ZNYJxoI8GEJEMhcy/rDKzOfw3zd4LJ9GxIT&#10;yuFywGXzkRWf6sMskAPuVWZY3qagdXcDFqwasCroBajEaC+O4/43mBZ3svWHJPNJJpkob78FMlo8&#10;3Rky3MGjeio17xJkcNPaFk96yiMY3WUl6HOAjObqYxNm9BCanTuDDmTFc4USCt8U8CAp4CjW2QYc&#10;g1RT9a2RuIcSj3GiA/rTgdsWw/vl1W0Paer/5if/ZAL9KDU8Rk0PfPWMOXowXPM9tptPwnvx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wLAABb&#10;Q29udGVudF9UeXBlc10ueG1sUEsBAhQACgAAAAAAh07iQAAAAAAAAAAAAAAAAAYAAAAAAAAAAAAQ&#10;AAAArgoAAF9yZWxzL1BLAQIUABQAAAAIAIdO4kCKFGY80QAAAJQBAAALAAAAAAAAAAEAIAAAANIK&#10;AABfcmVscy8ucmVsc1BLAQIUAAoAAAAAAIdO4kAAAAAAAAAAAAAAAAAEAAAAAAAAAAAAEAAAAAAA&#10;AABkcnMvUEsBAhQAFAAAAAgAh07iQK8iBWvWAAAABQEAAA8AAAAAAAAAAQAgAAAAIgAAAGRycy9k&#10;b3ducmV2LnhtbFBLAQIUABQAAAAIAIdO4kAk7DMAXQkAAFFPAAAOAAAAAAAAAAEAIAAAACUBAABk&#10;cnMvZTJvRG9jLnhtbFBLBQYAAAAABgAGAFkBAAD0DAAAAAA=&#10;">
                  <v:fill on="f" focussize="0,0"/>
                  <v:stroke weight="1.5pt" color="#000000" miterlimit="8" joinstyle="miter"/>
                  <v:imagedata o:title=""/>
                  <o:lock v:ext="edit" aspectratio="t"/>
                </v:shape>
                <v:shape id="Text Box 1360" o:spid="_x0000_s1026" o:spt="202" type="#_x0000_t202" style="position:absolute;left:153040;top:921559;height:288749;width:796724;" fillcolor="#FFFFFF" filled="t" stroked="f" coordsize="21600,21600" o:gfxdata="UEsDBAoAAAAAAIdO4kAAAAAAAAAAAAAAAAAEAAAAZHJzL1BLAwQUAAAACACHTuJAopoVPNQAAAAF&#10;AQAADwAAAGRycy9kb3ducmV2LnhtbE2PQUvDQBCF74L/YZmCF7GbiE1qzKagoHht7Q+YZKdJaHY2&#10;ZLdN++8dvejlwfCG975Xbi5uUGeaQu/ZQLpMQBE33vbcGth/vT+sQYWIbHHwTAauFGBT3d6UWFg/&#10;85bOu9gqCeFQoIEuxrHQOjQdOQxLPxKLd/CTwyjn1Go74SzhbtCPSZJphz1LQ4cjvXXUHHcnZ+Dw&#10;Od+vnuf6I+7z7VP2in1e+6sxd4s0eQEV6RL/nuEHX9ChEqban9gGNRiQIfFXxVvnucyoDazSLAFd&#10;lfo/ffUNUEsDBBQAAAAIAIdO4kDmdZ9CDAIAAP0DAAAOAAAAZHJzL2Uyb0RvYy54bWytU8tu2zAQ&#10;vBfoPxC817Lkt2A5SB24KJA+gKQfQFGURVTiskvaUvr1XVJOYqS3ojoQXM1yuDO73N4MXcvOCp0G&#10;U/B0MuVMGQmVNseC/3g8fFhz5rwwlWjBqII/Kcdvdu/fbXubqwwaaCuFjEiMy3tb8MZ7myeJk43q&#10;hJuAVYbAGrATnkI8JhWKnti7Nsmm02XSA1YWQSrn6O/dCPJd5K9rJf23unbKs7bgVJuPK8a1DGuy&#10;24r8iMI2Wl7KEP9QRSe0oUtfqO6EF+yE+i+qTksEB7WfSOgSqGstVdRAatLpGzUPjbAqaiFznH2x&#10;yf0/Wvn1/B2Zrqh3ixlnRnTUpEc1ePYRBpbOltGi3rqcMh8s5fqBEEqPcp29B/nTMQP7RpijukWE&#10;vlGiohLTYG5ydTQ0xeUukJT9F6joJnHyEImGGrvgHznCAvtiNp1Tv54KvsnSxWIzNirUJQlebZar&#10;bM6ZJDxbr1fziCcif6ax6PwnBR0Lm4IjzUG8RpzvnQ9lifw5JdzqoNXVQbdtDPBY7ltkZ0Ezc4hf&#10;VPImrTUh2UA4NjKGP1FvkDiK9UM5EBh0l1A9kXKEcQbpzdCmAfzNWU/zV3D36yRQcdZ+NuTeJp0H&#10;A3wM5otVRgFeI+U1IowkqoJ7zsbt3o9DfrKojw3dNPbLwC05XuvowWtVl7ppxqI1l/cQhvg6jlmv&#10;r3b3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KaFTzUAAAABQEAAA8AAAAAAAAAAQAgAAAAIgAA&#10;AGRycy9kb3ducmV2LnhtbFBLAQIUABQAAAAIAIdO4kDmdZ9CDAIAAP0DAAAOAAAAAAAAAAEAIAAA&#10;ACMBAABkcnMvZTJvRG9jLnhtbFBLBQYAAAAABgAGAFkBAAChBQAAAAA=&#10;">
                  <v:fill on="t" focussize="0,0"/>
                  <v:stroke on="f"/>
                  <v:imagedata o:title=""/>
                  <o:lock v:ext="edit" aspectratio="f"/>
                  <v:textbox>
                    <w:txbxContent>
                      <w:p>
                        <w:pPr>
                          <w:rPr>
                            <w:szCs w:val="24"/>
                          </w:rPr>
                        </w:pPr>
                        <w:r>
                          <w:rPr>
                            <w:rFonts w:hint="eastAsia" w:hAnsi="宋体" w:cs="宋体"/>
                            <w:szCs w:val="24"/>
                          </w:rPr>
                          <w:t>灭菌小车</w:t>
                        </w:r>
                      </w:p>
                    </w:txbxContent>
                  </v:textbox>
                </v:shape>
                <v:shape id="Text Box 1365" o:spid="_x0000_s1026" o:spt="202" type="#_x0000_t202" style="position:absolute;left:4373433;top:921559;height:288749;width:508751;" fillcolor="#FFFFFF" filled="t" stroked="f" coordsize="21600,21600" o:gfxdata="UEsDBAoAAAAAAIdO4kAAAAAAAAAAAAAAAAAEAAAAZHJzL1BLAwQUAAAACACHTuJAopoVPNQAAAAF&#10;AQAADwAAAGRycy9kb3ducmV2LnhtbE2PQUvDQBCF74L/YZmCF7GbiE1qzKagoHht7Q+YZKdJaHY2&#10;ZLdN++8dvejlwfCG975Xbi5uUGeaQu/ZQLpMQBE33vbcGth/vT+sQYWIbHHwTAauFGBT3d6UWFg/&#10;85bOu9gqCeFQoIEuxrHQOjQdOQxLPxKLd/CTwyjn1Go74SzhbtCPSZJphz1LQ4cjvXXUHHcnZ+Dw&#10;Od+vnuf6I+7z7VP2in1e+6sxd4s0eQEV6RL/nuEHX9ChEqban9gGNRiQIfFXxVvnucyoDazSLAFd&#10;lfo/ffUNUEsDBBQAAAAIAIdO4kBBqlAsDwIAAP4DAAAOAAAAZHJzL2Uyb0RvYy54bWytU9tu2zAM&#10;fR+wfxD0vjhO7CYx4hRdigwDum5Auw+QZfmC2aJGKbGzrx8lp13QvQ3TgyCK1CHPIbW9HfuOnRTa&#10;FnTO49mcM6UllK2uc/79+fBhzZl1QpeiA61yflaW3+7ev9sOJlMLaKArFTIC0TYbTM4b50wWRVY2&#10;qhd2BkZpclaAvXBkYh2VKAZC77toMZ/fRANgaRCkspZu7ycn3wX8qlLSfa0qqxzrck61ubBj2Au/&#10;R7utyGoUpmnlpQzxD1X0otWU9BXqXjjBjtj+BdW3EsFC5WYS+giqqpUqcCA28fwNm6dGGBW4kDjW&#10;vMpk/x+sfDx9Q9aW1Ls04UyLnpr0rEbHPsLI4uVN6iUajM0o8slQrBvJQ+GBrjUPIH9YpmHfCF2r&#10;O0QYGiVKKjH2L6OrpxOO9SDF8AVKyiSODgLQWGHv9SNFGKEny9UyWS45O+d8s4jTdDN1yhcmyZ/O&#10;16s05kySf7Fer5Lgj0T2gmPQuk8KeuYPOUcahJBHnB6s83WJ7CXEp7XQteWh7bpgYF3sO2QnQUNz&#10;CCtQeRPWaR+swT+bEP1NIOw5TmzdWIwXAQsoz0QdYRpC+jR0aAB/cTbQAObc/jwKVJx1nzXJt4mT&#10;xE9sMJJ0tSADrz3FtUdoSVA5d5xNx72bpvxosK0byjQ1TMMdSV61QQPfm6mqS900ZEGay4fwU3xt&#10;h6g/33b3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KaFTzUAAAABQEAAA8AAAAAAAAAAQAgAAAA&#10;IgAAAGRycy9kb3ducmV2LnhtbFBLAQIUABQAAAAIAIdO4kBBqlAsDwIAAP4DAAAOAAAAAAAAAAEA&#10;IAAAACMBAABkcnMvZTJvRG9jLnhtbFBLBQYAAAAABgAGAFkBAACkBQAAAAA=&#10;">
                  <v:fill on="t" focussize="0,0"/>
                  <v:stroke on="f"/>
                  <v:imagedata o:title=""/>
                  <o:lock v:ext="edit" aspectratio="f"/>
                  <v:textbox>
                    <w:txbxContent>
                      <w:p>
                        <w:pPr>
                          <w:rPr>
                            <w:rFonts w:hAnsi="宋体"/>
                            <w:szCs w:val="24"/>
                          </w:rPr>
                        </w:pPr>
                        <w:r>
                          <w:rPr>
                            <w:rFonts w:hint="eastAsia" w:hAnsi="宋体"/>
                            <w:szCs w:val="24"/>
                          </w:rPr>
                          <w:t>破碎</w:t>
                        </w:r>
                      </w:p>
                    </w:txbxContent>
                  </v:textbox>
                </v:shape>
                <v:shape id="AutoShape 1367" o:spid="_x0000_s1026" o:spt="32" type="#_x0000_t32" style="position:absolute;left:949764;top:1065777;height:399;width:984914;" filled="f" stroked="t" coordsize="21600,21600" o:gfxdata="UEsDBAoAAAAAAIdO4kAAAAAAAAAAAAAAAAAEAAAAZHJzL1BLAwQUAAAACACHTuJAhCGQEdcAAAAF&#10;AQAADwAAAGRycy9kb3ducmV2LnhtbE2PT0vDQBDF74LfYRnBm92NYFpjNgUtYi4KbaX0uE3G7GJ2&#10;NmS3//z0jl708mB4w3u/V85PvhcHHKMLpCGbKBBITWgddRre1883MxAxGWpNHwg1nDHCvLq8KE3R&#10;hiMt8bBKneAQioXRYFMaCiljY9GbOAkDEnsfYfQm8Tl2sh3NkcN9L2+VyqU3jrjBmgGfLDafq73X&#10;kBbbs803zeO9e1u/vObuq67rhdbXV5l6AJHwlP6e4Qef0aFipl3YUxtFr4GHpF9lbzad8oydhrss&#10;VyCrUv6nr74BUEsDBBQAAAAIAIdO4kCtU1yE5gEAAKMDAAAOAAAAZHJzL2Uyb0RvYy54bWytU8tu&#10;2zAQvBfoPxC815IcP2LBclA4TS9payDpB6xJSiJKcQmStuy/75J20qa9FdWBILW7M7PD5fruNBh2&#10;VD5otA2vJiVnygqU2nYN//788OGWsxDBSjBoVcPPKvC7zft369HVaoo9Gqk8IxAb6tE1vI/R1UUR&#10;RK8GCBN0ylKwRT9ApKPvCulhJPTBFNOyXBQjeuk8ChUC/b2/BPkm47etEvFb2wYVmWk4aYt59Xnd&#10;p7XYrKHuPLhei6sM+AcVA2hLpK9Q9xCBHbz+C2rQwmPANk4EDgW2rRYq90DdVOUf3Tz14FTuhcwJ&#10;7tWm8P9gxdfjzjMt6e7mc84sDHRJHw8RMzerbhbL5NHoQk2pW7vzqUtxsk/uEcWPwCxue7CdyvnP&#10;Z0flVaoo3pSkQ3DEtB+/oKQcIIps2Kn1Q4IkK9ip4avZarmYcXYmmHIxXy4zPdTqFJlI8dvZqqK4&#10;oISb1SozQf0C4nyInxUOLG0aHqIH3fVxi9bSJKCvMiUcH0NMEqF+KUgKLD5oY/JAGMtG4ppP57kg&#10;oNEyBVNa8N1+azw7Qhqp/F1VvEnzeLAyg0XQ5pOVLGZzotdkl1E8MQxKcmYUvZy0u0gy9mpe8uvi&#10;/B7leedTOPlIk5C1X6c2jdrv55z1621tf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EIZAR1wAA&#10;AAUBAAAPAAAAAAAAAAEAIAAAACIAAABkcnMvZG93bnJldi54bWxQSwECFAAUAAAACACHTuJArVNc&#10;hOYBAACjAwAADgAAAAAAAAABACAAAAAmAQAAZHJzL2Uyb0RvYy54bWxQSwUGAAAAAAYABgBZAQAA&#10;fgUAAAAA&#10;">
                  <v:fill on="f" focussize="0,0"/>
                  <v:stroke color="#000000" joinstyle="round" endarrow="block"/>
                  <v:imagedata o:title=""/>
                  <o:lock v:ext="edit" aspectratio="f"/>
                </v:shape>
                <v:shape id="AutoShape 1370" o:spid="_x0000_s1026" o:spt="32" type="#_x0000_t32" style="position:absolute;left:3565969;top:1065117;height:1;width:796650;" filled="f" stroked="t" coordsize="21600,21600" o:gfxdata="UEsDBAoAAAAAAIdO4kAAAAAAAAAAAAAAAAAEAAAAZHJzL1BLAwQUAAAACACHTuJAhCGQEdcAAAAF&#10;AQAADwAAAGRycy9kb3ducmV2LnhtbE2PT0vDQBDF74LfYRnBm92NYFpjNgUtYi4KbaX0uE3G7GJ2&#10;NmS3//z0jl708mB4w3u/V85PvhcHHKMLpCGbKBBITWgddRre1883MxAxGWpNHwg1nDHCvLq8KE3R&#10;hiMt8bBKneAQioXRYFMaCiljY9GbOAkDEnsfYfQm8Tl2sh3NkcN9L2+VyqU3jrjBmgGfLDafq73X&#10;kBbbs803zeO9e1u/vObuq67rhdbXV5l6AJHwlP6e4Qef0aFipl3YUxtFr4GHpF9lbzad8oydhrss&#10;VyCrUv6nr74BUEsDBBQAAAAIAIdO4kA0NrLK5QEAAKIDAAAOAAAAZHJzL2Uyb0RvYy54bWytU8Fu&#10;2zAMvQ/YPwi6L45T2FmMOMWQrrt0W4B2H6BIsi1MFgVKiZO/H6Wk7brdhvkgiObjI/lIrW9Po2VH&#10;jcGAa3k5m3OmnQRlXN/yH0/3Hz5yFqJwSlhwuuVnHfjt5v279eQbvYABrNLIiMSFZvItH2L0TVEE&#10;OehRhBl47cjZAY4ikol9oVBMxD7aYjGf18UEqDyC1CHQ37uLk28yf9dpGb93XdCR2ZZTbTGfmM99&#10;OovNWjQ9Cj8YeS1D/EMVozCOkr5Q3Yko2AHNX1SjkQgBujiTMBbQdUbq3AN1U87/6OZxEF7nXkic&#10;4F9kCv+PVn477pAZRbOras6cGGlInw4Rcm5W3iyzRpMPDUG3boepS3lyj/4B5M/AHGwH4Xqd8U9n&#10;T+FlUrV4E5KM4CnTfvoKijCCUmTBTh2OiZKkYKeW31R1tapXnJ2JZ15XZbm8zEifIpMEWK7quqJJ&#10;ygTIiUTzzOExxC8aRpYuLQ8RhemHuAXnaBEAy5xRHB9CTBWK5jkgFeDg3lib98E6NrV8VS2qHBDA&#10;GpWcCRaw328tsqNIG5W/axVvYAgHpzJZFMZ+dorFrE1EQ2pZzVOGUSvOrKaHk26Xkqy7apfkSmsc&#10;mj2o8w6TO1m0CLn269KmTfvdzqjXp7X5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IQhkBHXAAAA&#10;BQEAAA8AAAAAAAAAAQAgAAAAIgAAAGRycy9kb3ducmV2LnhtbFBLAQIUABQAAAAIAIdO4kA0NrLK&#10;5QEAAKIDAAAOAAAAAAAAAAEAIAAAACYBAABkcnMvZTJvRG9jLnhtbFBLBQYAAAAABgAGAFkBAAB9&#10;BQAAAAA=&#10;">
                  <v:fill on="f" focussize="0,0"/>
                  <v:stroke color="#000000" joinstyle="round" endarrow="block"/>
                  <v:imagedata o:title=""/>
                  <o:lock v:ext="edit" aspectratio="f"/>
                </v:shape>
                <v:shape id="Text Box 1373" o:spid="_x0000_s1026" o:spt="202" type="#_x0000_t202" style="position:absolute;left:2009232;top:936923;height:291148;width:1549420;" fillcolor="#FFFFFF" filled="t" stroked="t" coordsize="21600,21600" o:gfxdata="UEsDBAoAAAAAAIdO4kAAAAAAAAAAAAAAAAAEAAAAZHJzL1BLAwQUAAAACACHTuJAh4Vb7NMAAAAF&#10;AQAADwAAAGRycy9kb3ducmV2LnhtbE2PwU7DMBBE70j8g7VI3KidVqRViFMJJCTEjZILNzfeJhH2&#10;OrLdpvw9Sy/lMtJqVjNv6u3ZO3HCmMZAGoqFAoHUBTtSr6H9fH3YgEjZkDUuEGr4wQTb5vamNpUN&#10;M33gaZd7wSGUKqNhyHmqpEzdgN6kRZiQ2DuE6E3mM/bSRjNzuHdyqVQpvRmJGwYz4cuA3ffu6DW8&#10;lc/5C1v7blfLVZhb2cWDS1rf3xXqCUTGc74+wx8+o0PDTPtwJJuE08BD8kXZ26zXPGOv4bEoFcim&#10;lv/pm19QSwMEFAAAAAgAh07iQEcb+MQZAgAAMQQAAA4AAABkcnMvZTJvRG9jLnhtbK1T227bMAx9&#10;H7B/EPS++BInbYw4RZciw4CuG9DuA2RZvmCyqElK7OzrR8lul63YyzA/CKJJHR4ektubsZfkJIzt&#10;QBU0WcSUCMWh6lRT0K9Ph3fXlFjHVMUkKFHQs7D0Zvf2zXbQuUihBVkJQxBE2XzQBW2d03kUWd6K&#10;ntkFaKHQWYPpmUPTNFFl2IDovYzSOF5HA5hKG+DCWvx7NznpLuDXteDuc11b4YgsKHJz4TThLP0Z&#10;7bYsbwzTbcdnGuwfWPSsU5j0BeqOOUaOpnsF1XfcgIXaLTj0EdR1x0WoAatJ4j+qeWyZFqEWFMfq&#10;F5ns/4PlD6cvhnQV9m51RYliPTbpSYyOvIeRJMurpZdo0DbHyEeNsW5ED4aHcq2+B/7NEgX7lqlG&#10;3BoDQytYhRQT/zK6eDrhWA9SDp+gwkzs6CAAjbXpvX6oCEF0bO0mXaaUnAu6Wa7xPnXKE+M++yrb&#10;ZCk2lGNAukmS7DpkY/kzkDbWfRDQE38pqMFJCInY6d46T4zlzyE+rwXZVYdOymCYptxLQ04Mp+YQ&#10;vhn9tzCpyFDQ9XIVT1r8FSIO32sI5CDVrJGXZRLIjeU4a15CdUa1DExzi3uGlxbMD0oGnNmC2u9H&#10;ZgQl8qNCxTdJlvkhD0a2uvICmUtPeelhiiNUQR0l03XvpsU4atM1LWaaeqzgFrtUd0E1386J1cwb&#10;5zKIOe+QH/xLO0T92vTd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eFW+zTAAAABQEAAA8AAAAA&#10;AAAAAQAgAAAAIgAAAGRycy9kb3ducmV2LnhtbFBLAQIUABQAAAAIAIdO4kBHG/jEGQIAADEEAAAO&#10;AAAAAAAAAAEAIAAAACIBAABkcnMvZTJvRG9jLnhtbFBLBQYAAAAABgAGAFkBAACtBQAAAAA=&#10;">
                  <v:fill on="t" focussize="0,0"/>
                  <v:stroke weight="0.5pt" color="#000000 [3213]" joinstyle="round"/>
                  <v:imagedata o:title=""/>
                  <o:lock v:ext="edit" aspectratio="f"/>
                  <v:textbox>
                    <w:txbxContent>
                      <w:p>
                        <w:pPr>
                          <w:rPr>
                            <w:rFonts w:hAnsi="宋体"/>
                          </w:rPr>
                        </w:pPr>
                        <w:r>
                          <w:rPr>
                            <w:rFonts w:hint="eastAsia" w:hAnsi="宋体"/>
                          </w:rPr>
                          <w:t>一体化高温蒸汽灭菌器</w:t>
                        </w:r>
                      </w:p>
                    </w:txbxContent>
                  </v:textbox>
                </v:shape>
                <v:shape id="AutoShape 1374" o:spid="_x0000_s1026" o:spt="32" type="#_x0000_t32" style="position:absolute;left:2183394;top:627704;height:301172;width:0;" filled="f" stroked="t" coordsize="21600,21600" o:gfxdata="UEsDBAoAAAAAAIdO4kAAAAAAAAAAAAAAAAAEAAAAZHJzL1BLAwQUAAAACACHTuJAhCGQEdcAAAAF&#10;AQAADwAAAGRycy9kb3ducmV2LnhtbE2PT0vDQBDF74LfYRnBm92NYFpjNgUtYi4KbaX0uE3G7GJ2&#10;NmS3//z0jl708mB4w3u/V85PvhcHHKMLpCGbKBBITWgddRre1883MxAxGWpNHwg1nDHCvLq8KE3R&#10;hiMt8bBKneAQioXRYFMaCiljY9GbOAkDEnsfYfQm8Tl2sh3NkcN9L2+VyqU3jrjBmgGfLDafq73X&#10;kBbbs803zeO9e1u/vObuq67rhdbXV5l6AJHwlP6e4Qef0aFipl3YUxtFr4GHpF9lbzad8oydhrss&#10;VyCrUv6nr74BUEsDBBQAAAAIAIdO4kAkmHPnFAIAAAoEAAAOAAAAZHJzL2Uyb0RvYy54bWytU8lu&#10;2zAQvRfoPxC811ocx7FgOSjsppe0NZD0A8YkJRHlBpKx7L/vkLLTpr0V1YEgZ3lvZt5ofX/SihyF&#10;D9KallazkhJhmOXS9C39/vzw4Y6SEMFwUNaIlp5FoPeb9+/Wo2tEbQeruPAEQUxoRtfSIUbXFEVg&#10;g9AQZtYJg87Oeg0Rn74vuIcR0bUq6rK8LUbrufOWiRDQupucdJPxu06w+K3rgohEtRRri/n0+Tyk&#10;s9isoek9uEGySxnwD1VokAZJX6F2EIG8ePkXlJbM22C7OGNWF7brJBO5B+ymKv/o5mkAJ3IvOJzg&#10;XscU/h8s+3rceyI5ardAqQxoFOnjS7SZm1Tz5U2a0ehCg6Fbs/epS3YyT+7Rsh+BGLsdwPQixz+f&#10;HaZXKaN4k5IewSHTYfxiOcYAUuSBnTqvEySOgpxaWld38/nqhpJzS2/r5bLM9NCIUyQM/aghQ9e8&#10;rKplnXmguUI4H+JnYTVJl5aG6EH2Q9xaY3APrK8yIRwfQ0wFQnNNSPzGPkil8jooQ8aWrhb1AskA&#10;l7JTEPGqHY4pmJ4SUD1uO4s+IwarJE/ZCSf4/rBVnhwhbVz+pqABuJisqwWap80LEHEek7kqr3Ys&#10;7QKTy3yDn2reQRimnOyaoCJI9clwErMG0UtURQmaWtGCU6IElpxuU+/KXDRKskwCHyw/7/1VO1y4&#10;zH75OdJG//7O2b9+4c1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CGQEdcAAAAFAQAADwAAAAAA&#10;AAABACAAAAAiAAAAZHJzL2Rvd25yZXYueG1sUEsBAhQAFAAAAAgAh07iQCSYc+cUAgAACgQAAA4A&#10;AAAAAAAAAQAgAAAAJgEAAGRycy9lMm9Eb2MueG1sUEsFBgAAAAAGAAYAWQEAAKwFAAAAAA==&#10;">
                  <v:fill on="f" focussize="0,0"/>
                  <v:stroke color="#000000 [3200]" joinstyle="round" endarrow="block"/>
                  <v:imagedata o:title=""/>
                  <o:lock v:ext="edit" aspectratio="f"/>
                </v:shape>
                <v:shape id="Text Box 1375" o:spid="_x0000_s1026" o:spt="202" type="#_x0000_t202" style="position:absolute;left:1734343;top:340678;height:290348;width:719714;" fillcolor="#FFFFFF" filled="t" stroked="f" coordsize="21600,21600" o:gfxdata="UEsDBAoAAAAAAIdO4kAAAAAAAAAAAAAAAAAEAAAAZHJzL1BLAwQUAAAACACHTuJAopoVPNQAAAAF&#10;AQAADwAAAGRycy9kb3ducmV2LnhtbE2PQUvDQBCF74L/YZmCF7GbiE1qzKagoHht7Q+YZKdJaHY2&#10;ZLdN++8dvejlwfCG975Xbi5uUGeaQu/ZQLpMQBE33vbcGth/vT+sQYWIbHHwTAauFGBT3d6UWFg/&#10;85bOu9gqCeFQoIEuxrHQOjQdOQxLPxKLd/CTwyjn1Go74SzhbtCPSZJphz1LQ4cjvXXUHHcnZ+Dw&#10;Od+vnuf6I+7z7VP2in1e+6sxd4s0eQEV6RL/nuEHX9ChEqban9gGNRiQIfFXxVvnucyoDazSLAFd&#10;lfo/ffUNUEsDBBQAAAAIAIdO4kC+lJZwDQIAAP4DAAAOAAAAZHJzL2Uyb0RvYy54bWytU9tu2zAM&#10;fR+wfxD0vthOnLox4hRdigwDum5Auw+QZfmC2aJGKbG7rx8lp13QvQ2zAUEUqUOeQ2p7Mw09Oym0&#10;HeiCJ4uYM6UlVJ1uCv796fDhmjPrhK5ED1oV/FlZfrN7/247mlwtoYW+UsgIRNt8NAVvnTN5FFnZ&#10;qkHYBRilyVkDDsKRiU1UoRgJfeijZRxfRSNgZRCkspZO72Yn3wX8ulbSfa1rqxzrC061ubBiWEu/&#10;RrutyBsUpu3kuQzxD1UMotOU9BXqTjjBjtj9BTV0EsFC7RYShgjqupMqcCA2SfyGzWMrjApcSBxr&#10;XmWy/w9WPpy+Iesq6t16w5kWAzXpSU2OfYSJJats7SUajc0p8tFQrJvIQ+GBrjX3IH9YpmHfCt2o&#10;W0QYWyUqKjHxN6OLqzOO9SDl+AUqyiSODgLQVOPg9SNFmEfPVin9nD0XfJXGV9n13ClfmCR/lmyy&#10;JOVMkn+5iVdp8Ecif8ExaN0nBQPzm4IjDULII0731vm6RP4S4tNa6Lvq0PV9MLAp9z2yk6ChOYQv&#10;UHkT1msfrMFfmxH9SSDsOc5s3VROZwFLqJ6JOsI8hPRoaNMC/uJspAEsuP15FKg46z9rkm+TpKmf&#10;2GCk62xJBl56ykuP0JKgCu44m7d7N0/50WDXtJRpbpiGW5K87oIGvjdzVee6aciCNOcH4af40g5R&#10;f57t7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imhU81AAAAAUBAAAPAAAAAAAAAAEAIAAAACIA&#10;AABkcnMvZG93bnJldi54bWxQSwECFAAUAAAACACHTuJAvpSWcA0CAAD+AwAADgAAAAAAAAABACAA&#10;AAAjAQAAZHJzL2Uyb0RvYy54bWxQSwUGAAAAAAYABgBZAQAAogUAAAAA&#10;">
                  <v:fill on="t" focussize="0,0"/>
                  <v:stroke on="f"/>
                  <v:imagedata o:title=""/>
                  <o:lock v:ext="edit" aspectratio="f"/>
                  <v:textbox>
                    <w:txbxContent>
                      <w:p>
                        <w:pPr>
                          <w:jc w:val="center"/>
                          <w:rPr>
                            <w:rFonts w:hAnsi="宋体"/>
                          </w:rPr>
                        </w:pPr>
                        <w:r>
                          <w:rPr>
                            <w:rFonts w:hint="eastAsia" w:hAnsi="宋体"/>
                          </w:rPr>
                          <w:t>饱和蒸汽</w:t>
                        </w:r>
                      </w:p>
                    </w:txbxContent>
                  </v:textbox>
                </v:shape>
                <v:shape id="Text Box 1376" o:spid="_x0000_s1026" o:spt="202" type="#_x0000_t202" style="position:absolute;left:190450;top:2254946;height:291148;width:742045;" fillcolor="#FFFFFF" filled="t" stroked="f" coordsize="21600,21600" o:gfxdata="UEsDBAoAAAAAAIdO4kAAAAAAAAAAAAAAAAAEAAAAZHJzL1BLAwQUAAAACACHTuJAopoVPNQAAAAF&#10;AQAADwAAAGRycy9kb3ducmV2LnhtbE2PQUvDQBCF74L/YZmCF7GbiE1qzKagoHht7Q+YZKdJaHY2&#10;ZLdN++8dvejlwfCG975Xbi5uUGeaQu/ZQLpMQBE33vbcGth/vT+sQYWIbHHwTAauFGBT3d6UWFg/&#10;85bOu9gqCeFQoIEuxrHQOjQdOQxLPxKLd/CTwyjn1Go74SzhbtCPSZJphz1LQ4cjvXXUHHcnZ+Dw&#10;Od+vnuf6I+7z7VP2in1e+6sxd4s0eQEV6RL/nuEHX9ChEqban9gGNRiQIfFXxVvnucyoDazSLAFd&#10;lfo/ffUNUEsDBBQAAAAIAIdO4kBIyQhpDAIAAP4DAAAOAAAAZHJzL2Uyb0RvYy54bWytU9uO0zAQ&#10;fUfiHyy/0zQhbbdR09XSVRHScpF2+QDHcRqLxGPGbpPy9Yyd7lLgDZEHy5M5PnPmeLy5HfuOnRQ6&#10;Dabk6WzOmTISam0OJf/6tH9zw5nzwtSiA6NKflaO325fv9oMtlAZtNDVChmRGFcMtuSt97ZIEidb&#10;1Qs3A6sMJRvAXngK8ZDUKAZi77skm8+XyQBYWwSpnKO/91OSbyN/0yjpPzeNU551JSdtPq4Y1yqs&#10;yXYjigMK22p5kSH+QUUvtKGiL1T3wgt2RP0XVa8lgoPGzyT0CTSNlir2QN2k8z+6eWyFVbEXMsfZ&#10;F5vc/6OVn05fkOma7m5J/hjR0yU9qdGzdzCy9O1qGSwarCsI+WgJ60fKEDy26+wDyG+OGdi1whzU&#10;HSIMrRI1SUzDyeTq6MTjAkk1fISaKomjh0g0NtgH/8gRFtjX83xBes4lz7JFvs6jDFEEYZLyqzwj&#10;AGcyANZpmt/EYqJ45rHo/HsFPQubkiMNQqwjTg/OB12ieIaEsg46Xe9118UAD9WuQ3YSNDT7+F3Y&#10;f4N1JoANhGMTY/gTGw49Tt36sRovBlZQn6l1hGkI6dHQpgX8wdlAA1hy9/0oUHHWfTBk3zrN8zCx&#10;McgXq4wCvM5U1xlhJFGV3HM2bXd+mvKjRX1oqdJ0YQbuyPJGRw/C3UyqLrppyKI1lwcRpvg6jqhf&#10;z3b7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KaFTzUAAAABQEAAA8AAAAAAAAAAQAgAAAAIgAA&#10;AGRycy9kb3ducmV2LnhtbFBLAQIUABQAAAAIAIdO4kBIyQhpDAIAAP4DAAAOAAAAAAAAAAEAIAAA&#10;ACMBAABkcnMvZTJvRG9jLnhtbFBLBQYAAAAABgAGAFkBAAChBQAAAAA=&#10;">
                  <v:fill on="t" focussize="0,0"/>
                  <v:stroke on="f"/>
                  <v:imagedata o:title=""/>
                  <o:lock v:ext="edit" aspectratio="f"/>
                  <v:textbox>
                    <w:txbxContent>
                      <w:p>
                        <w:pPr>
                          <w:rPr>
                            <w:rFonts w:hAnsi="宋体"/>
                          </w:rPr>
                        </w:pPr>
                        <w:r>
                          <w:rPr>
                            <w:rFonts w:hint="eastAsia" w:hAnsi="宋体"/>
                          </w:rPr>
                          <w:t>医疗废物</w:t>
                        </w:r>
                      </w:p>
                    </w:txbxContent>
                  </v:textbox>
                </v:shape>
                <v:shape id="AutoShape 1378" o:spid="_x0000_s1026" o:spt="32" type="#_x0000_t32" style="position:absolute;left:595293;top:1978404;flip:x y;height:267952;width:3200;" filled="f" stroked="t" coordsize="21600,21600" o:gfxdata="UEsDBAoAAAAAAIdO4kAAAAAAAAAAAAAAAAAEAAAAZHJzL1BLAwQUAAAACACHTuJAZeeAAtUAAAAF&#10;AQAADwAAAGRycy9kb3ducmV2LnhtbE2PwW7CMBBE75X4B2uReit2Kgo0xOGA1BOtqgKX3ky8JBHx&#10;2sQm0L/vtpf2MtJqVjNvitXNdWLAPraeNGQTBQKp8ralWsN+9/KwABGTIWs6T6jhCyOsytFdYXLr&#10;r/SBwzbVgkMo5kZDk1LIpYxVg87EiQ9I7B1970zis6+l7c2Vw10nH5WaSWda4obGBFw3WJ22F6fh&#10;qEL1/rzb2PM5TIf69XMfsreT1vfjTC1BJLylv2f4wWd0KJnp4C9ko+g08JD0q+wt5nOecdDwlM0U&#10;yLKQ/+nLb1BLAwQUAAAACACHTuJAg1YD7R4CAAAhBAAADgAAAGRycy9lMm9Eb2MueG1srVNLbxMx&#10;EL4j8R8s38nuJk2arLKpUELhUEqkFu4T27tr4ZdsN5v8e8betKVwQ/hgjWfm++bp9c1JK3IUPkhr&#10;GlpNSkqEYZZL0zX0++PthyUlIYLhoKwRDT2LQG8279+tB1eLqe2t4sITJDGhHlxD+xhdXRSB9UJD&#10;mFgnDBpb6zVEfPqu4B4GZNeqmJblohis585bJkJA7W400k3mb1vB4re2DSIS1VDMLebb5/uQ7mKz&#10;hrrz4HrJLmnAP2ShQRoM+kK1gwjkycu/qLRk3gbbxgmzurBtK5nINWA1VflHNQ89OJFrweYE99Km&#10;8P9o2f1x74nkOLtFRYkBjUP6+BRtjk2q2fUy9WhwoUbXrdn7VCU7mQd3Z9nPQIzd9mA6kf0fzw7h&#10;VUIUbyDpERxGOgxfLUcfwBC5YafWa9Iq6b4kYJZ+JCmFwfaQU0Pnq/l0NaPkjPrV9fKqvBrHJk6R&#10;MLTPcBEoYWieLq7RN4eHOjEnFudD/CysJkloaIgeZNfHrTUG18P6MRYc70JMeb8CEtjYW6lU3hJl&#10;yNBQ5J9jMMBdbRVEFLXD7gXTUQKqw0/Aos/ZB6skT+jEE3x32CpPjpAWMZ/RqQcuRu1qjuqxsgAR&#10;2zSqq/JZj6ldaHKab/hTbTsI/YjJppEqglSfDCcxjyZ6icNSgqZStOCUKIEpJ2msXZnL6NK0xrkf&#10;LD/v/fNIcQ9z9MufSYv++zujX3/25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l54AC1QAAAAUB&#10;AAAPAAAAAAAAAAEAIAAAACIAAABkcnMvZG93bnJldi54bWxQSwECFAAUAAAACACHTuJAg1YD7R4C&#10;AAAhBAAADgAAAAAAAAABACAAAAAkAQAAZHJzL2Uyb0RvYy54bWxQSwUGAAAAAAYABgBZAQAAtAUA&#10;AAAA&#10;">
                  <v:fill on="f" focussize="0,0"/>
                  <v:stroke color="#000000 [3200]" joinstyle="round" endarrow="block"/>
                  <v:imagedata o:title=""/>
                  <o:lock v:ext="edit" aspectratio="f"/>
                </v:shape>
                <v:shape id="Text Box 1379" o:spid="_x0000_s1026" o:spt="202" type="#_x0000_t202" style="position:absolute;left:4067060;top:1555993;height:290348;width:1126744;" fillcolor="#FFFFFF" filled="t" stroked="f" coordsize="21600,21600" o:gfxdata="UEsDBAoAAAAAAIdO4kAAAAAAAAAAAAAAAAAEAAAAZHJzL1BLAwQUAAAACACHTuJAopoVPNQAAAAF&#10;AQAADwAAAGRycy9kb3ducmV2LnhtbE2PQUvDQBCF74L/YZmCF7GbiE1qzKagoHht7Q+YZKdJaHY2&#10;ZLdN++8dvejlwfCG975Xbi5uUGeaQu/ZQLpMQBE33vbcGth/vT+sQYWIbHHwTAauFGBT3d6UWFg/&#10;85bOu9gqCeFQoIEuxrHQOjQdOQxLPxKLd/CTwyjn1Go74SzhbtCPSZJphz1LQ4cjvXXUHHcnZ+Dw&#10;Od+vnuf6I+7z7VP2in1e+6sxd4s0eQEV6RL/nuEHX9ChEqban9gGNRiQIfFXxVvnucyoDazSLAFd&#10;lfo/ffUNUEsDBBQAAAAIAIdO4kA/R8uTEAIAAAAEAAAOAAAAZHJzL2Uyb0RvYy54bWytU9tu2zAM&#10;fR+wfxD0vvgSJ2mMOEWXIsOArhvQ7gNkWY6N2aJGKbGzrx8lp122vQ3TgyCK1CHPIbW5HfuOnRTa&#10;FnTBk1nMmdISqlYfCv71ef/uhjPrhK5EB1oV/Kwsv92+fbMZTK5SaKCrFDIC0TYfTMEb50weRVY2&#10;qhd2BkZpctaAvXBk4iGqUAyE3ndRGsfLaACsDIJU1tLt/eTk24Bf10q6z3VtlWNdwak2F3YMe+n3&#10;aLsR+QGFaVp5KUP8QxW9aDUlfYW6F06wI7Z/QfWtRLBQu5mEPoK6bqUKHIhNEv/B5qkRRgUuJI41&#10;rzLZ/wcrH09fkLUV9W6ZcqZFT016VqNj72FkyXy19hINxuYU+WQo1o3kofBA15oHkN8s07BrhD6o&#10;O0QYGiUqKjHxL6OrpxOO9SDl8AkqyiSODgLQWGPv9SNFGKFn8XIVL6lhZ8JZLBbr9Xxqla9M+vRJ&#10;ulxlGWeSItJ1PM9uQjqRvyAZtO6Dgp75Q8GRRiFkEqcH63xlIn8J8YktdG21b7suGHgodx2yk6Cx&#10;2Yd1Qf8trNM+WIN/NiH6m0DZs5z4urEcLxKWUJ2JPMI0hvRt6NAA/uBsoBEsuP1+FKg46z5qEnCd&#10;ZJmf2WBki1VKBl57ymuP0JKgCu44m447N8350WB7aCjT1DINdyR63QYNfHemqi5105gFaS5fws/x&#10;tR2ifn3c7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imhU81AAAAAUBAAAPAAAAAAAAAAEAIAAA&#10;ACIAAABkcnMvZG93bnJldi54bWxQSwECFAAUAAAACACHTuJAP0fLkxACAAAABAAADgAAAAAAAAAB&#10;ACAAAAAjAQAAZHJzL2Uyb0RvYy54bWxQSwUGAAAAAAYABgBZAQAApQUAAAAA&#10;">
                  <v:fill on="t" focussize="0,0"/>
                  <v:stroke on="f"/>
                  <v:imagedata o:title=""/>
                  <o:lock v:ext="edit" aspectratio="f"/>
                  <v:textbox>
                    <w:txbxContent>
                      <w:p>
                        <w:pPr>
                          <w:rPr>
                            <w:rFonts w:hAnsi="宋体"/>
                            <w:szCs w:val="24"/>
                          </w:rPr>
                        </w:pPr>
                        <w:r>
                          <w:rPr>
                            <w:rFonts w:hint="eastAsia" w:hAnsi="宋体"/>
                            <w:szCs w:val="24"/>
                          </w:rPr>
                          <w:t>垃圾填埋场填埋</w:t>
                        </w:r>
                      </w:p>
                    </w:txbxContent>
                  </v:textbox>
                </v:shape>
                <v:shape id="AutoShape 1380" o:spid="_x0000_s1026" o:spt="32" type="#_x0000_t32" style="position:absolute;left:4627809;top:1210308;height:345685;width:2623;" filled="f" stroked="t" coordsize="21600,21600" o:gfxdata="UEsDBAoAAAAAAIdO4kAAAAAAAAAAAAAAAAAEAAAAZHJzL1BLAwQUAAAACACHTuJAhCGQEdcAAAAF&#10;AQAADwAAAGRycy9kb3ducmV2LnhtbE2PT0vDQBDF74LfYRnBm92NYFpjNgUtYi4KbaX0uE3G7GJ2&#10;NmS3//z0jl708mB4w3u/V85PvhcHHKMLpCGbKBBITWgddRre1883MxAxGWpNHwg1nDHCvLq8KE3R&#10;hiMt8bBKneAQioXRYFMaCiljY9GbOAkDEnsfYfQm8Tl2sh3NkcN9L2+VyqU3jrjBmgGfLDafq73X&#10;kBbbs803zeO9e1u/vObuq67rhdbXV5l6AJHwlP6e4Qef0aFipl3YUxtFr4GHpF9lbzad8oydhrss&#10;VyCrUv6nr74BUEsDBBQAAAAIAIdO4kBcB5zcGAIAAA4EAAAOAAAAZHJzL2Uyb0RvYy54bWytU9tu&#10;GyEQfa/Uf0C8N3tx7Norr6PKbvqSNpaSfsAY2F1UbgLitf++A2unTftWlQcEw8w5Zy6s705akaPw&#10;QVrT0uqmpEQYZrk0fUu/P99/WFISIhgOyhrR0rMI9G7z/t16dI2o7WAVF54giAnN6Fo6xOiaoghs&#10;EBrCjXXC4GNnvYaIV98X3MOI6FoVdVkuitF67rxlIgS07qZHusn4XSdYfOy6ICJRLUVtMe8+74e0&#10;F5s1NL0HN0h2kQH/oEKDNEj6CrWDCOTFy7+gtGTeBtvFG2Z1YbtOMpFzwGyq8o9sngZwIueCxQnu&#10;tUzh/8Gyb8e9J5Jj7xYzSgxobNKnl2gzN6lmy1yj0YUGXbdm71OW7GSe3INlPwIxdjuA6UX2fz47&#10;DK9SVYs3IekSHDIdxq+Wow8gRS7YqfM6QWIpyKmlt4v647JcUXJGnLoqZ+Vy6pE4RcLQoV7UqJPh&#10;8+x2vljOMxc0VxjnQ/wirCbp0NIQPch+iFtrDM6C9VUmheNDiEkkNNeApMHYe6lUHgllyNjS1bye&#10;IxngYHYKIh61w1IF01MCqseJZ9FnxGCV5Ck64QTfH7bKkyOkqctrchqAi8m6mqN5yixAxJpM5qq8&#10;2lHaBSbLfIOfNO8gDFNMfpqgIkj12XAScx+il9gZJWhKRQtOiRIoOZ2m3JW59Cm1Jn2Z0BwsP+/9&#10;tX84dJn98kHSVP9+z9G/vvHm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QhkBHXAAAABQEAAA8A&#10;AAAAAAAAAQAgAAAAIgAAAGRycy9kb3ducmV2LnhtbFBLAQIUABQAAAAIAIdO4kBcB5zcGAIAAA4E&#10;AAAOAAAAAAAAAAEAIAAAACYBAABkcnMvZTJvRG9jLnhtbFBLBQYAAAAABgAGAFkBAACwBQAAAAA=&#10;">
                  <v:fill on="f" focussize="0,0"/>
                  <v:stroke color="#000000 [3200]" joinstyle="round" endarrow="block"/>
                  <v:imagedata o:title=""/>
                  <o:lock v:ext="edit" aspectratio="f"/>
                </v:shape>
                <v:shape id="直接箭头连接符 21" o:spid="_x0000_s1026" o:spt="32" type="#_x0000_t32" style="position:absolute;left:2936860;top:432586;flip:y;height:504748;width:0;" filled="f" stroked="t" coordsize="21600,21600" o:gfxdata="UEsDBAoAAAAAAIdO4kAAAAAAAAAAAAAAAAAEAAAAZHJzL1BLAwQUAAAACACHTuJA32jziNEAAAAF&#10;AQAADwAAAGRycy9kb3ducmV2LnhtbE2PwU7DMBBE70j8g7WVuFE7SCRViNNDJQ4cSfIBTryNI+J1&#10;FLtN4etZuMBlpNWsZt5Ux5ufxRXXOAXSkO0VCKQh2IlGDV37+ngAEZMha+ZAqOETIxzr+7vKlDZs&#10;9I7XJo2CQyiWRoNLaSmljINDb+I+LEjsncPqTeJzHaVdzcbhfpZPSuXSm4m4wZkFTw6Hj+biNcje&#10;0fp1brt8U29LtzW2aL3V+mGXqRcQCW/p7xl+8Bkdambqw4VsFLMGHpJ+lb1DUfCMXsNzliuQdSX/&#10;09ffUEsDBBQAAAAIAIdO4kDELCpcDAIAAMsDAAAOAAAAZHJzL2Uyb0RvYy54bWytU0uOEzEQ3SNx&#10;B8t70p2eJCStdGaRMGz4jMRnX7Hd3ZbctmWbfC7BBZBYAStgNXtOA8MxKNuZ4bdDZGGVq/Ke672q&#10;Xp4fBkV2wnlpdEPHo5ISoZnhUncNffH84t6cEh9Ac1BGi4Yehafnq7t3lntbi8r0RnHhCJJoX+9t&#10;Q/sQbF0UnvViAD8yVmgstsYNEPDquoI72CP7oIqqLGfF3jhunWHCe8xucpGuEn/bChaetq0XgaiG&#10;Ym8hnS6d23gWqyXUnQPbS3ZqA/6hiwGkxkdvqTYQgLxy8i+qQTJnvGnDiJmhMG0rmUgaUM24/EPN&#10;sx6sSFrQHG9vbfL/j5Y92V06IjnObjahRMOAQ7p+c/Xt9fvrz5++vrv6/uVtjD9+INU4urW3vkbQ&#10;Wl+6083bSxelH1o3kFZJ+xLJkhkojxwaWi3OZvMZun9s6OSsms5n2XZxCIRhHSsMS9Nycn8yj6Ui&#10;k0VS63x4KMxAYtBQHxzIrg9rozXO1rj8EOwe+ZCBN4AI1uZCKoV5qJUm+4YuptUUHwNctFZBwHCw&#10;KN3rjhJQHW4wCy617o2SPKIj2Ltuu1aO7CBuUfrlP/XARc4uppjOsjyEx4bn9Li8yaOmE03S9xt/&#10;7HkDvs8YjlFmCiDVA81JOFqcSnASdKfEySGlkShOI/sfo63hxzSWlMeNSU+dtjuu5K/3hP75Da5+&#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9o84jRAAAABQEAAA8AAAAAAAAAAQAgAAAAIgAAAGRy&#10;cy9kb3ducmV2LnhtbFBLAQIUABQAAAAIAIdO4kDELCpcDAIAAMsDAAAOAAAAAAAAAAEAIAAAACAB&#10;AABkcnMvZTJvRG9jLnhtbFBLBQYAAAAABgAGAFkBAACeBQAAAAA=&#10;">
                  <v:fill on="f" focussize="0,0"/>
                  <v:stroke color="#000000 [3200]" joinstyle="round" dashstyle="dash" endarrow="block"/>
                  <v:imagedata o:title=""/>
                  <o:lock v:ext="edit" aspectratio="f"/>
                </v:shape>
                <v:shape id="Text Box 1375" o:spid="_x0000_s1026" o:spt="202" type="#_x0000_t202" style="position:absolute;left:2717405;top:179630;height:290348;width:460857;" fillcolor="#FFFFFF" filled="t" stroked="f" coordsize="21600,21600" o:gfxdata="UEsDBAoAAAAAAIdO4kAAAAAAAAAAAAAAAAAEAAAAZHJzL1BLAwQUAAAACACHTuJAopoVPNQAAAAF&#10;AQAADwAAAGRycy9kb3ducmV2LnhtbE2PQUvDQBCF74L/YZmCF7GbiE1qzKagoHht7Q+YZKdJaHY2&#10;ZLdN++8dvejlwfCG975Xbi5uUGeaQu/ZQLpMQBE33vbcGth/vT+sQYWIbHHwTAauFGBT3d6UWFg/&#10;85bOu9gqCeFQoIEuxrHQOjQdOQxLPxKLd/CTwyjn1Go74SzhbtCPSZJphz1LQ4cjvXXUHHcnZ+Dw&#10;Od+vnuf6I+7z7VP2in1e+6sxd4s0eQEV6RL/nuEHX9ChEqban9gGNRiQIfFXxVvnucyoDazSLAFd&#10;lfo/ffUNUEsDBBQAAAAIAIdO4kC2Z75/DwIAAP8DAAAOAAAAZHJzL2Uyb0RvYy54bWytU9uO0zAQ&#10;fUfiHyy/01ya3qKmq6WrIqRlQdrlAxzHSSwSj7HdJsvXM3ayS4E3hB8sj2d8Zs6Z8f5m7DtyEcZK&#10;UAVNFjElQnGopGoK+vXp9G5LiXVMVawDJQr6LCy9Obx9sx90LlJooauEIQiibD7ogrbO6TyKLG9F&#10;z+wCtFDorMH0zKFpmqgybED0vovSOF5HA5hKG+DCWry9m5z0EPDrWnD3ua6tcKQrKNbmwm7CXvo9&#10;OuxZ3himW8nnMtg/VNEzqTDpK9Qdc4ycjfwLqpfcgIXaLTj0EdS15CJwQDZJ/Aebx5ZpEbigOFa/&#10;ymT/Hyx/uHwxRFbYuyRJKVGsxy49idGR9zCSZLlZeY0GbXMMfdQY7Eb0YHzga/U98G+WKDi2TDXi&#10;1hgYWsEqrDHxL6OrpxOO9SDl8AkqzMTODgLQWJveC4iSEERPN8kmi1eUPCPOZrdezq3yhXH0Z+t4&#10;u9pQwtGf7uJltg3JWP6Co411HwT0xB8KanASQh52ubfO18XylxCf1kInq5PsumCYpjx2hlwYTs0p&#10;rBn9t7BO+WAF/tmE6G8CYc9xYuvGcpwFLKF6RuoGpinEX4OHFswPSgacwILa72dmBCXdR4Xy7ZIs&#10;8yMbjGy1SdEw157y2sMUR6iCOkqm49FNY37WRjYtZpoapuAWJa9l0MD3ZqpqrhunLEgz/wg/xtd2&#10;iPr1bw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KaFTzUAAAABQEAAA8AAAAAAAAAAQAgAAAA&#10;IgAAAGRycy9kb3ducmV2LnhtbFBLAQIUABQAAAAIAIdO4kC2Z75/DwIAAP8DAAAOAAAAAAAAAAEA&#10;IAAAACMBAABkcnMvZTJvRG9jLnhtbFBLBQYAAAAABgAGAFkBAACkBQAAAAA=&#10;">
                  <v:fill on="t" focussize="0,0"/>
                  <v:stroke on="f"/>
                  <v:imagedata o:title=""/>
                  <o:lock v:ext="edit" aspectratio="f"/>
                  <v:textbox>
                    <w:txbxContent>
                      <w:p>
                        <w:pPr>
                          <w:jc w:val="center"/>
                          <w:rPr>
                            <w:rFonts w:hAnsi="宋体"/>
                          </w:rPr>
                        </w:pPr>
                        <w:r>
                          <w:rPr>
                            <w:rFonts w:hint="eastAsia" w:hAnsi="宋体"/>
                          </w:rPr>
                          <w:t>废气</w:t>
                        </w:r>
                      </w:p>
                    </w:txbxContent>
                  </v:textbox>
                </v:shape>
                <v:line id="直接连接符 56" o:spid="_x0000_s1026" o:spt="20" style="position:absolute;left:3185578;top:314022;height:0;width:395020;" filled="f" stroked="t" coordsize="21600,21600" o:gfxdata="UEsDBAoAAAAAAIdO4kAAAAAAAAAAAAAAAAAEAAAAZHJzL1BLAwQUAAAACACHTuJAfk3qa9cAAAAF&#10;AQAADwAAAGRycy9kb3ducmV2LnhtbE2PwU7DMBBE70j8g7VI3KgdJNooxOkBqVxaQG0RgpsbL0lE&#10;vI5spw1/z8KlXEZazWrmTbmcXC+OGGLnSUM2UyCQam87ajS87lc3OYiYDFnTe0IN3xhhWV1elKaw&#10;/kRbPO5SIziEYmE0tCkNhZSxbtGZOPMDEnufPjiT+AyNtMGcONz18lapuXSmI25ozYAPLdZfu9Fp&#10;2G5W6/xtPU51+HjMnvcvm6f3mGt9fZWpexAJp3R+hl98RoeKmQ5+JBtFr4GHpD9lL18seMZBw102&#10;VyCrUv6nr34AUEsDBBQAAAAIAIdO4kBTy0kt8wEAAK4DAAAOAAAAZHJzL2Uyb0RvYy54bWytU0uO&#10;1DAQ3SNxB8t7OulAmpmo07OYZtjwaQk4QLXtJJb8k2063ZfgAkjsYMVy9tyG4RiUncwMnx0iC7tc&#10;VX6u96qyvjhqRQ7CB2lNS5eLkhJhmOXS9C199/bq0RklIYLhoKwRLT2JQC82Dx+sR9eIyg5WceEJ&#10;gpjQjK6lQ4yuKYrABqEhLKwTBoOd9RoiHn1fcA8jomtVVGW5KkbrufOWiRDQu52CdJPxu06w+Lrr&#10;gohEtRRri3n1ed2ntdisoek9uEGyuQz4hyo0SIOP3kFtIQJ57+VfUFoyb4Pt4oJZXdiuk0xkDshm&#10;Wf7B5s0ATmQuKE5wdzKF/wfLXh12nkiOvVvVlBjQ2KSbj9ffP3z+8e0Trjdfv5B6lXQaXWgw/dLs&#10;/HwKbucT6WPnddqRDjm29PHyrK6fYuNPyX5SVtUkszhGwlL8vC4rbAbDeO5AcQ/hfIjPhdUkGS1V&#10;0iQBoIHDixDxWUy9TUluY6+kUrmJypCxped1hTQY4Ch1CiKa2iG5YHpKQPU4oyz6jBiskjzdTjjB&#10;9/tL5ckB0pzkb0oagIvJi0WX87wEiC8tn9zL8taPpc0wuczf8FPNWwjDdCeHJk0iSPXMcBJPDoWP&#10;XoLplUgxhFMGtyT7JHSy9pafsv7Zj0ORE+cBTlP36znfvv/NNj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fk3qa9cAAAAFAQAADwAAAAAAAAABACAAAAAiAAAAZHJzL2Rvd25yZXYueG1sUEsBAhQA&#10;FAAAAAgAh07iQFPLSS3zAQAArgMAAA4AAAAAAAAAAQAgAAAAJgEAAGRycy9lMm9Eb2MueG1sUEsF&#10;BgAAAAAGAAYAWQEAAIsFAAAAAA==&#10;">
                  <v:fill on="f" focussize="0,0"/>
                  <v:stroke color="#000000 [3200]" joinstyle="round" endarrow="block"/>
                  <v:imagedata o:title=""/>
                  <o:lock v:ext="edit" aspectratio="f"/>
                </v:line>
                <v:shape id="Text Box 1375" o:spid="_x0000_s1026" o:spt="202" type="#_x0000_t202" style="position:absolute;left:3580598;top:77063;height:463692;width:1243585;" fillcolor="#FFFFFF" filled="t" stroked="f" coordsize="21600,21600" o:gfxdata="UEsDBAoAAAAAAIdO4kAAAAAAAAAAAAAAAAAEAAAAZHJzL1BLAwQUAAAACACHTuJAopoVPNQAAAAF&#10;AQAADwAAAGRycy9kb3ducmV2LnhtbE2PQUvDQBCF74L/YZmCF7GbiE1qzKagoHht7Q+YZKdJaHY2&#10;ZLdN++8dvejlwfCG975Xbi5uUGeaQu/ZQLpMQBE33vbcGth/vT+sQYWIbHHwTAauFGBT3d6UWFg/&#10;85bOu9gqCeFQoIEuxrHQOjQdOQxLPxKLd/CTwyjn1Go74SzhbtCPSZJphz1LQ4cjvXXUHHcnZ+Dw&#10;Od+vnuf6I+7z7VP2in1e+6sxd4s0eQEV6RL/nuEHX9ChEqban9gGNRiQIfFXxVvnucyoDazSLAFd&#10;lfo/ffUNUEsDBBQAAAAIAIdO4kB6BsTNDgIAAP8DAAAOAAAAZHJzL2Uyb0RvYy54bWytU9uO0zAQ&#10;fUfiHyy/0yS9bqOmq6WrIqRlQdrlAxzHaSwSjxm7TcrXM3a6S4E3RB4sT2Z8Zs7x8eZ26Fp2Uug0&#10;mIJnk5QzZSRU2hwK/vV5/+6GM+eFqUQLRhX8rBy/3b59s+ltrqbQQFspZARiXN7bgjfe2zxJnGxU&#10;J9wErDKUrAE74SnEQ1Kh6Am9a5Npmi6THrCyCFI5R3/vxyTfRvy6VtJ/rmunPGsLTrP5uGJcy7Am&#10;243IDyhso+VlDPEPU3RCG2r6CnUvvGBH1H9BdVoiOKj9REKXQF1rqSIHYpOlf7B5aoRVkQuJ4+yr&#10;TO7/wcrH0xdkuqK7y7IVZ0Z0dEvPavDsPQwsm60WQaPeupxKnywV+4EyVB/5OvsA8ptjBnaNMAd1&#10;hwh9o0RFM2bhZHJ1dMRxAaTsP0FFncTRQwQaauyCgCQJI/TZ4iZdrMk854KvVulyNt5UmEuG5tM5&#10;VSw4k5SfL2fL9TQ2E/kLjkXnPyjoWNgUHMkJsY84PTgf5hL5S0lo66DV1V63bQzwUO5aZCdBrtnH&#10;74L+W1lrQrGBcGxEDH8i4cBxZOuHcrgIWEJ1JuoIowvp1dCmAfzBWU8OLLj7fhSoOGs/GpJvnc3n&#10;wbIxmC9WUwrwOlNeZ4SRBFVwz9m43fnR5keL+tBQp/HCDNyR5LWOGoS7Gae6zE0ui9JcXkSw8XUc&#10;q3692+1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poVPNQAAAAFAQAADwAAAAAAAAABACAAAAAi&#10;AAAAZHJzL2Rvd25yZXYueG1sUEsBAhQAFAAAAAgAh07iQHoGxM0OAgAA/wMAAA4AAAAAAAAAAQAg&#10;AAAAIwEAAGRycy9lMm9Eb2MueG1sUEsFBgAAAAAGAAYAWQEAAKMFAAAAAA==&#10;">
                  <v:fill on="t" focussize="0,0"/>
                  <v:stroke on="f"/>
                  <v:imagedata o:title=""/>
                  <o:lock v:ext="edit" aspectratio="f"/>
                  <v:textbox>
                    <w:txbxContent>
                      <w:p>
                        <w:pPr>
                          <w:jc w:val="center"/>
                          <w:rPr>
                            <w:rFonts w:hAnsi="宋体"/>
                          </w:rPr>
                        </w:pPr>
                        <w:r>
                          <w:rPr>
                            <w:rFonts w:hint="eastAsia" w:hAnsi="宋体"/>
                          </w:rPr>
                          <w:t>生物过滤器+二次</w:t>
                        </w:r>
                      </w:p>
                      <w:p>
                        <w:pPr>
                          <w:jc w:val="center"/>
                          <w:rPr>
                            <w:rFonts w:hAnsi="宋体"/>
                          </w:rPr>
                        </w:pPr>
                        <w:r>
                          <w:rPr>
                            <w:rFonts w:hint="eastAsia" w:hAnsi="宋体"/>
                          </w:rPr>
                          <w:t>灭菌+活性炭</w:t>
                        </w:r>
                      </w:p>
                    </w:txbxContent>
                  </v:textbox>
                </v:shape>
                <v:shape id="_x0000_s1026" o:spid="_x0000_s1026" o:spt="32" type="#_x0000_t32" style="position:absolute;left:2717405;top:1205423;height:549694;width:0;" filled="f" stroked="t" coordsize="21600,21600" o:gfxdata="UEsDBAoAAAAAAIdO4kAAAAAAAAAAAAAAAAAEAAAAZHJzL1BLAwQUAAAACACHTuJAw/6j6tMAAAAF&#10;AQAADwAAAGRycy9kb3ducmV2LnhtbE2PO0/EMBCEeyT+g7VIdJydSPcgxLmCOyoqDgpKX7wkgXgd&#10;7L0H/56FBpqRVrOa+aZen8OojpjyEMlCMTOgkNroB+osvDw/3KxAZXbk3RgJLXxhhnVzeVG7yscT&#10;PeFxx52SEMqVs9AzT5XWue0xuDyLE5J4bzEFx3KmTvvkThIeRl0as9DBDSQNvZvwvsf2Y3cIFm7b&#10;sC359XF0n5v3TSrYzHW5tfb6qjB3oBjP/PcMP/iCDo0w7eOBfFajBRnCvyrearmUGXsL82JhQDe1&#10;/k/ffANQSwMEFAAAAAgAh07iQApr81YHAgAAxQMAAA4AAABkcnMvZTJvRG9jLnhtbK1TS44TMRDd&#10;I3EHy3vSH5IZ0kpnFgnDhk8k4AAV291tyW1btkknl+ACSKyA1cBq9nOaYTgGZXdmhs8O0Qt3ucr1&#10;XO9VeXG27xXZCeel0TUtJjklQjPDpW5r+vbN+aMnlPgAmoMyWtT0IDw9Wz58sBhsJUrTGcWFIwii&#10;fTXYmnYh2CrLPOtED35irNAYbIzrIeDWtRl3MCB6r7Iyz0+ywThunWHCe/SuxyBdJvymESy8ahov&#10;AlE1xdpCWl1at3HNlguoWge2k+xYBvxDFT1IjZfeQa0hAHnn5F9QvWTOeNOECTN9ZppGMpE4IJsi&#10;/4PN6w6sSFxQHG/vZPL/D5a93G0ckRx7V5QokIYeu3Tz4fL7+883375ef7r8cfUx2hdfSDqBgg3W&#10;V5i30ht33Hm7cZH9vnF9/CMvsq9peVqcTvMZJQeEL/PZtHw8Ci72gTA8gBcyjM2m85P5NIayewzr&#10;fHgmTE+iUVMfHMi2CyujNXbVuCLpDbvnPoyJtwmxAG3OpVLoh0ppMtR0PiuxDgY4Yo2CgGZvkbTX&#10;LSWgWpxdFlxC9EZJHrNjsnftdqUc2UGcn/SNhzrgYvTOZ+geaXkILwwf3UV+60dOR5jE7zf8WPMa&#10;fDfmcLRGpABSPdWchIPFdgQnQbdKHBVSGoFiE0bZo7U1/JC6kfw4K+mq41zHYfx1n7LvX9/y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P+o+rTAAAABQEAAA8AAAAAAAAAAQAgAAAAIgAAAGRycy9k&#10;b3ducmV2LnhtbFBLAQIUABQAAAAIAIdO4kAKa/NWBwIAAMUDAAAOAAAAAAAAAAEAIAAAACIBAABk&#10;cnMvZTJvRG9jLnhtbFBLBQYAAAAABgAGAFkBAACbBQAAAAA=&#10;">
                  <v:fill on="f" focussize="0,0"/>
                  <v:stroke color="#000000 [3200]" joinstyle="round" dashstyle="dash" endarrow="block"/>
                  <v:imagedata o:title=""/>
                  <o:lock v:ext="edit" aspectratio="f"/>
                </v:shape>
                <v:shape id="Text Box 1360" o:spid="_x0000_s1026" o:spt="202" type="#_x0000_t202" style="position:absolute;left:35999;top:1710669;height:288749;width:1298835;" fillcolor="#FFFFFF" filled="t" stroked="f" coordsize="21600,21600" o:gfxdata="UEsDBAoAAAAAAIdO4kAAAAAAAAAAAAAAAAAEAAAAZHJzL1BLAwQUAAAACACHTuJAopoVPNQAAAAF&#10;AQAADwAAAGRycy9kb3ducmV2LnhtbE2PQUvDQBCF74L/YZmCF7GbiE1qzKagoHht7Q+YZKdJaHY2&#10;ZLdN++8dvejlwfCG975Xbi5uUGeaQu/ZQLpMQBE33vbcGth/vT+sQYWIbHHwTAauFGBT3d6UWFg/&#10;85bOu9gqCeFQoIEuxrHQOjQdOQxLPxKLd/CTwyjn1Go74SzhbtCPSZJphz1LQ4cjvXXUHHcnZ+Dw&#10;Od+vnuf6I+7z7VP2in1e+6sxd4s0eQEV6RL/nuEHX9ChEqban9gGNRiQIfFXxVvnucyoDazSLAFd&#10;lfo/ffUNUEsDBBQAAAAIAIdO4kDUarZoDwIAAP8DAAAOAAAAZHJzL2Uyb0RvYy54bWytU8tu2zAQ&#10;vBfoPxC817LkRyzBcpA6cFEgfQBJP4CiqAcqcdklbcn9+i4pJzHSW1EdCK52OLszXG5vx75jJ4W2&#10;BZ3zeDbnTGkJZavrnP94OnzYcGad0KXoQKucn5Xlt7v377aDyVQCDXSlQkYk2maDyXnjnMmiyMpG&#10;9cLOwChNyQqwF45CrKMSxUDsfRcl8/k6GgBLgyCVtfT3fkryXeCvKiXdt6qyyrEu59SbCyuGtfBr&#10;tNuKrEZhmlZe2hD/0EUvWk1FX6juhRPsiO1fVH0rESxUbiahj6CqWqmCBlITz9+oeWyEUUELmWPN&#10;i032/9HKr6fvyNqS7i5OYs606OmWntTo2EcYWbxYB48GYzOCPhoCu5EyhA96rXkA+dMyDftG6Frd&#10;IcLQKFFSj7F3N7o66m/FZtaTFMMXKKmSODoIRGOFvTeQLGHEvlilacrZmVhu4vl6nU435fuSvniS&#10;bjaLFWeSEMlmc7MMgEhkzzwGrfukoGd+k3OkSQh1xOnBOt+XyJ4hvqyFri0PbdeFAOti3yE7CZqa&#10;Q/iClDewTnuwBn9sYvR/gmCvcVLrxmKkpBdeQHkm6QjTFNKroU0D+JuzgSYw5/bXUaDirPusyb40&#10;Xi79yIZgubpJKMDrTHGdEVoSVc4dZ9N276YxPxps64YqTRem4Y4sr9rgwWtXl75pyoI1lxfhx/g6&#10;DqjXd7v7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KaFTzUAAAABQEAAA8AAAAAAAAAAQAgAAAA&#10;IgAAAGRycy9kb3ducmV2LnhtbFBLAQIUABQAAAAIAIdO4kDUarZoDwIAAP8DAAAOAAAAAAAAAAEA&#10;IAAAACMBAABkcnMvZTJvRG9jLnhtbFBLBQYAAAAABgAGAFkBAACkBQAAAAA=&#10;">
                  <v:fill on="t" focussize="0,0"/>
                  <v:stroke on="f"/>
                  <v:imagedata o:title=""/>
                  <o:lock v:ext="edit" aspectratio="f"/>
                  <v:textbox>
                    <w:txbxContent>
                      <w:p>
                        <w:pPr>
                          <w:rPr>
                            <w:szCs w:val="24"/>
                          </w:rPr>
                        </w:pPr>
                        <w:r>
                          <w:rPr>
                            <w:rFonts w:hint="eastAsia" w:hAnsi="宋体" w:cs="宋体"/>
                            <w:szCs w:val="24"/>
                          </w:rPr>
                          <w:t>转运车周转箱收集</w:t>
                        </w:r>
                      </w:p>
                    </w:txbxContent>
                  </v:textbox>
                </v:shape>
                <v:shape id="AutoShape 1378" o:spid="_x0000_s1026" o:spt="32" type="#_x0000_t32" style="position:absolute;left:576548;top:1228422;flip:y;height:461071;width:0;" filled="f" stroked="t" coordsize="21600,21600" o:gfxdata="UEsDBAoAAAAAAIdO4kAAAAAAAAAAAAAAAAAEAAAAZHJzL1BLAwQUAAAACACHTuJAtL24b9YAAAAF&#10;AQAADwAAAGRycy9kb3ducmV2LnhtbE2PwU7DMBBE70j8g7VIXBC1U6ltlMbpASicUEVo7268JFHj&#10;dRS7bfL3LFzgMtJqVjNv8s3oOnHBIbSeNCQzBQKp8ralWsP+c/uYggjRkDWdJ9QwYYBNcXuTm8z6&#10;K33gpYy14BAKmdHQxNhnUoaqQWfCzPdI7H35wZnI51BLO5grh7tOzpVaSmda4obG9PjUYHUqz07D&#10;c7lbbA8P+3E+VW/v5Wt62tH0ovX9XaLWICKO8e8ZfvAZHQpmOvoz2SA6DTwk/ip76WrFM44aFslS&#10;gSxy+Z+++AZQSwMEFAAAAAgAh07iQEkTos4ZAgAAFQQAAA4AAABkcnMvZTJvRG9jLnhtbK1TyW7b&#10;MBC9F+g/ELzXWmo7jmA5KOyml7QxkLT3MUVJRLmBZCz77zsknaRpb0V1IMiZeW+WN1rfnJQkR+68&#10;MLql1aykhGtmOqGHln5/vP2wosQH0B1Io3lLz9zTm837d+vJNrw2o5EddwRJtG8m29IxBNsUhWcj&#10;V+BnxnKNzt44BQGfbig6BxOyK1nUZbksJuM66wzj3qN1l510k/j7nrNw3/eeByJbirWFdLp0HuJZ&#10;bNbQDA7sKNilDPiHKhQIjUlfqHYQgDw58ReVEswZb/owY0YVpu8F46kH7KYq/+jmYQTLUy84HG9f&#10;xuT/Hy37dtw7IjrUrqrnlGhQqNKnp2BSclJ9vFrFIU3WNxi71XsX22Qn/WDvDPvpiTbbEfTAU/zj&#10;2SK8iojiDSQ+vMVUh+mr6TAGMEWa2Kl3ivRS2B8RGMlxKuTU0sXVcjHH9Tmjva5X87rOavFTIAz9&#10;KCdD33xZlVc5IzSRLFJY58MXbhSJl5b64EAMY9garXEljMuJ4HjnQyz1FRDB2twKKdNmSE2mll4v&#10;6gUmA9zPXkLAq7I4Ma8HSkAOuPgsuFS6N1J0ER15vBsOW+nIEeLypS8HjdDxbL1eoDm35SHgZLK5&#10;Kp/tWNqFJpX5hj/2tgM/ZkxyZaoAQn7WHQlJjeAE6iM5ja0o3lEiOZYcb7l3qS9qRYGy1AfTnffu&#10;WUXcvZT98p/E5f79ndCvf/Pm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S9uG/WAAAABQEAAA8A&#10;AAAAAAAAAQAgAAAAIgAAAGRycy9kb3ducmV2LnhtbFBLAQIUABQAAAAIAIdO4kBJE6LOGQIAABUE&#10;AAAOAAAAAAAAAAEAIAAAACUBAABkcnMvZTJvRG9jLnhtbFBLBQYAAAAABgAGAFkBAACwBQAAAAA=&#10;">
                  <v:fill on="f" focussize="0,0"/>
                  <v:stroke color="#000000 [3200]" joinstyle="round" endarrow="block"/>
                  <v:imagedata o:title=""/>
                  <o:lock v:ext="edit" aspectratio="f"/>
                </v:shape>
                <v:shape id="文本框 62" o:spid="_x0000_s1026" o:spt="202" type="#_x0000_t202" style="position:absolute;left:500898;top:1330632;height:285496;width:570586;" filled="f" stroked="f" coordsize="21600,21600" o:gfxdata="UEsDBAoAAAAAAIdO4kAAAAAAAAAAAAAAAAAEAAAAZHJzL1BLAwQUAAAACACHTuJAlJOy+tcAAAAF&#10;AQAADwAAAGRycy9kb3ducmV2LnhtbE2PT0vDQBDF74LfYRnBm91NoW2I2RQJFEH00NqLt0l2mgR3&#10;Z2N2+0c/vasXvTwY3vDe75Xri7PiRFMYPGvIZgoEcevNwJ2G/evmLgcRIrJB65k0fFKAdXV9VWJh&#10;/Jm3dNrFTqQQDgVq6GMcCylD25PDMPMjcfIOfnIY0zl10kx4TuHOyrlSS+lw4NTQ40h1T+377ug0&#10;PNWbF9w2c5d/2frx+fAwfuzfFlrf3mTqHkSkS/x7hh/8hA5VYmr8kU0QVkMaEn81eflqlWY0GhbZ&#10;UoGsSvmfvvoGUEsDBBQAAAAIAIdO4kA1NsIVKwIAACUEAAAOAAAAZHJzL2Uyb0RvYy54bWytU82O&#10;0zAQviPxDpbvNOlftq2arsquipAqdqWCOLuO3USKPcZ2m5QHgDfgxIU7z7XPwdhpuxVwQlycGc+X&#10;bzwz38xvW1WTg7CuAp3Tfi+lRGgORaV3Of3wfvVqQonzTBesBi1yehSO3i5evpg3ZiYGUEJdCEuQ&#10;RLtZY3Jaem9mSeJ4KRRzPTBCY1CCVcyja3dJYVmD7KpOBmmaJQ3Ywljgwjm8ve+CdBH5pRTcP0jp&#10;hCd1TvFtPp42nttwJos5m+0sM2XFT89g//AKxSqNSS9U98wzsrfVH1Sq4hYcSN/joBKQsuIi1oDV&#10;9NPfqtmUzIhYCzbHmUub3P+j5e8Oj5ZUBc4uyyjRTOGQnr59ffr+8+nHF5INQoca42YI3BiE+vY1&#10;tIg+3zu8DIW30qrwxZIIxsdpOpni7I8IHQ7TbBiJ2Ey0nvAQv0nHE0zIETCYjEfTLBAmzzzGOv9G&#10;gCLByKnFScYGs8Pa+Q56hoS0GlZVXcdp1po0Oc2G4zT+cIkgea0xR6ime3WwfLttTyVuoThihRY6&#10;lTjDVxUmXzPnH5lFWaCAUOr+AQ9ZAyaBk0VJCfbz3+4DHqeFUUoalFlO3ac9s4KS+q3GOU77o1HQ&#10;ZXRG45sBOvY6sr2O6L26A1RyH5fK8GgGvK/PprSgPuJGLENWDDHNMXdO/dm88534caO4WC4jCJVo&#10;mF/rjeGBumvncu9BVrHToU1db07dQy3GWZ32Joj92o+o5+1e/A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Uk7L61wAAAAUBAAAPAAAAAAAAAAEAIAAAACIAAABkcnMvZG93bnJldi54bWxQSwECFAAU&#10;AAAACACHTuJANTbCFSsCAAAlBAAADgAAAAAAAAABACAAAAAmAQAAZHJzL2Uyb0RvYy54bWxQSwUG&#10;AAAAAAYABgBZAQAAwwUAAAAA&#10;">
                  <v:fill on="f" focussize="0,0"/>
                  <v:stroke on="f" weight="0.5pt"/>
                  <v:imagedata o:title=""/>
                  <o:lock v:ext="edit" aspectratio="f"/>
                  <v:textbox>
                    <w:txbxContent>
                      <w:p>
                        <w:r>
                          <w:rPr>
                            <w:rFonts w:hint="eastAsia"/>
                          </w:rPr>
                          <w:t>卸料</w:t>
                        </w:r>
                      </w:p>
                    </w:txbxContent>
                  </v:textbox>
                </v:shape>
                <v:line id="直接连接符 70" o:spid="_x0000_s1026" o:spt="20" style="position:absolute;left:932495;top:1175431;height:0;width:882501;" filled="f" stroked="t" coordsize="21600,21600" o:gfxdata="UEsDBAoAAAAAAIdO4kAAAAAAAAAAAAAAAAAEAAAAZHJzL1BLAwQUAAAACACHTuJAFqCR2tYAAAAF&#10;AQAADwAAAGRycy9kb3ducmV2LnhtbE2PzU7DMBCE70i8g7VIXCpqp1J/FOL0gASXSkgNPIATL3Ha&#10;eB3FblJ4ehYucBlpNauZb4r91fdiwjF2gTRkSwUCqQm2o1bD+9vzww5ETIas6QOhhk+MsC9vbwqT&#10;2zDTEacqtYJDKOZGg0tpyKWMjUNv4jIMSOx9hNGbxOfYSjuamcN9L1dKbaQ3HXGDMwM+OWzO1cVr&#10;ONpqnivXfE2H9SK9nuqXxSFbaX1/l6lHEAmv6e8ZfvAZHUpmqsOFbBS9Bh6SfpW93XbLM2oN62yj&#10;QJaF/E9ffgNQSwMEFAAAAAgAh07iQOZwgTUDAgAA5QMAAA4AAABkcnMvZTJvRG9jLnhtbK1TS44T&#10;MRDdI3EHy3vS3ZnJTNJKZxYThg2fSMABKra725J/sk06uQQXQGIHK5az5zYMx6Dszkz4bBCiF9Xl&#10;cvn5vary8mqvFdkJH6Q1Da0mJSXCMMul6Rr69s3NkzklIYLhoKwRDT2IQK9Wjx8tB1eLqe2t4sIT&#10;BDGhHlxD+xhdXRSB9UJDmFgnDG621muIuPRdwT0MiK5VMS3Li2KwnjtvmQgBo+txk64yftsKFl+1&#10;bRCRqIYit5itz3abbLFaQt15cL1kRxrwDyw0SIOXPkCtIQJ55+UfUFoyb4Nt44RZXdi2lUxkDaim&#10;Kn9T87oHJ7IWLE5wD2UK/w+WvdxtPJEce3dxSYkBjU26+3D77f2n718/or378plc5joNLtSYfm02&#10;HquWVsFtfBK9b71Of5RD9g1dnE3PFzNKDghaXc7Oz6qxzGIfCcP9+Xw6KytKGCZk5OIE4XyIz4TV&#10;JDkNVdKkAkANu+ch4rWYep+SwsbeSKVyE5UhA949m+LNDHCUWgURXe1QXDAdJaA6nFEWfUYMVkme&#10;Tiec4LvttfJkB2lO8jcm9cDFGF3MMDwKCRBfWD6Gq/I+jtSOMJnmL/iJ8xpCP57h6I1IvQD+1HAS&#10;Dw7rbvCJ0KRCC06JEsg2eVleBKn+JhNZKIMETv1J3tbyQ25bjuMsZYrHuU/D+vM6nz69ztU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FqCR2tYAAAAFAQAADwAAAAAAAAABACAAAAAiAAAAZHJzL2Rv&#10;d25yZXYueG1sUEsBAhQAFAAAAAgAh07iQOZwgTUDAgAA5QMAAA4AAAAAAAAAAQAgAAAAJQEAAGRy&#10;cy9lMm9Eb2MueG1sUEsFBgAAAAAGAAYAWQEAAJoFAAAAAA==&#10;">
                  <v:fill on="f" focussize="0,0"/>
                  <v:stroke color="#000000 [3200]" joinstyle="round" dashstyle="dash"/>
                  <v:imagedata o:title=""/>
                  <o:lock v:ext="edit" aspectratio="f"/>
                </v:line>
                <v:line id="直接连接符 72" o:spid="_x0000_s1026" o:spt="20" style="position:absolute;left:1334834;top:1857027;height:0;width:512061;" filled="f" stroked="t" coordsize="21600,21600" o:gfxdata="UEsDBAoAAAAAAIdO4kAAAAAAAAAAAAAAAAAEAAAAZHJzL1BLAwQUAAAACACHTuJAFqCR2tYAAAAF&#10;AQAADwAAAGRycy9kb3ducmV2LnhtbE2PzU7DMBCE70i8g7VIXCpqp1J/FOL0gASXSkgNPIATL3Ha&#10;eB3FblJ4ehYucBlpNauZb4r91fdiwjF2gTRkSwUCqQm2o1bD+9vzww5ETIas6QOhhk+MsC9vbwqT&#10;2zDTEacqtYJDKOZGg0tpyKWMjUNv4jIMSOx9hNGbxOfYSjuamcN9L1dKbaQ3HXGDMwM+OWzO1cVr&#10;ONpqnivXfE2H9SK9nuqXxSFbaX1/l6lHEAmv6e8ZfvAZHUpmqsOFbBS9Bh6SfpW93XbLM2oN62yj&#10;QJaF/E9ffgNQSwMEFAAAAAgAh07iQMCDq/YFAgAA5gMAAA4AAABkcnMvZTJvRG9jLnhtbK1TS44T&#10;MRDdI3EHy3vSnc4kk2mlM4sJw4ZPJOAAFdvdbck/2SadXIILILGDFcvZcxuGY1B2Z2b4bBCiF9Xl&#10;cvn5vary6vKgFdkLH6Q1DZ1OSkqEYZZL0zX07ZvrJ0tKQgTDQVkjGnoUgV6uHz9aDa4Wle2t4sIT&#10;BDGhHlxD+xhdXRSB9UJDmFgnDG621muIuPRdwT0MiK5VUZXlohis585bJkLA6GbcpOuM37aCxVdt&#10;G0QkqqHILWbrs90lW6xXUHceXC/ZiQb8AwsN0uCl91AbiEDeefkHlJbM22DbOGFWF7ZtJRNZA6qZ&#10;lr+ped2DE1kLFie4+zKF/wfLXu63nkiOvVtgqwxobNLth5tv7z99//oR7e2Xz+S8SnUaXKgx/cps&#10;/WkV3NYn0YfW6/RHOeSASLPZ2XJ2RskR/eX8vKzOxzqLQyQME+bTqlxMKWGYkFtQPGA4H+IzYTVJ&#10;TkOVNKkCUMP+eYh4L6bepaSwsddSqdxFZcjQ0It5NUdkwFlqFUR0tUN1wXSUgOpwSFn0GTFYJXk6&#10;nXCC73ZXypM9pEHJ35jUAxdj9GKO4VFIgPjC8jE8Le/iSO0Ek2n+gp84byD04xmO3ojUC+BPDSfx&#10;6LDwBt8ITSq04JQogWyTl+VFkOpvMpGFMkggtWtsUPJ2lh9z33IchylTPA1+mtaf1/n0w/Nc/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WoJHa1gAAAAUBAAAPAAAAAAAAAAEAIAAAACIAAABkcnMv&#10;ZG93bnJldi54bWxQSwECFAAUAAAACACHTuJAwIOr9gUCAADmAwAADgAAAAAAAAABACAAAAAlAQAA&#10;ZHJzL2Uyb0RvYy54bWxQSwUGAAAAAAYABgBZAQAAnAUAAAAA&#10;">
                  <v:fill on="f" focussize="0,0"/>
                  <v:stroke color="#000000 [3200]" joinstyle="round" dashstyle="dash"/>
                  <v:imagedata o:title=""/>
                  <o:lock v:ext="edit" aspectratio="f"/>
                </v:line>
                <v:shape id="Text Box 1360" o:spid="_x0000_s1026" o:spt="202" type="#_x0000_t202" style="position:absolute;left:1327516;top:1374713;height:288749;width:1031443;" fillcolor="#FFFFFF" filled="t" stroked="t" coordsize="21600,21600" o:gfxdata="UEsDBAoAAAAAAIdO4kAAAAAAAAAAAAAAAAAEAAAAZHJzL1BLAwQUAAAACACHTuJArNFSC9YAAAAF&#10;AQAADwAAAGRycy9kb3ducmV2LnhtbE2PzU7DMBCE70i8g7VIXBC1w08SQpwekEBwKwXB1Y23SUS8&#10;Drablrdn4QKXkVazmvmmXh7cKGYMcfCkIVsoEEittwN1Gl5f7s9LEDEZsmb0hBq+MMKyOT6qTWX9&#10;np5xXqdOcAjFymjoU5oqKWPbozNx4Sck9rY+OJP4DJ20wew53I3yQqlcOjMQN/Rmwrse24/1zmko&#10;rx7n9/h0uXpr8+14k86K+eEzaH16kqlbEAkP6e8ZfvAZHRpm2vgd2ShGDTwk/Sp7ZVHwjI2G6yxX&#10;IJta/qdvvgFQSwMEFAAAAAgAh07iQOFE19gSAgAAKgQAAA4AAABkcnMvZTJvRG9jLnhtbK1T227b&#10;MAx9H7B/EPS+2I7TJDXiFF2KDAO6C9DuA2RZvmC2qFFK7OzrR8lpm63AHob5QRBN6vDwkNzcjH3H&#10;jgptCzrnySzmTGkJZavrnH973L9bc2ad0KXoQKucn5TlN9u3bzaDydQcGuhKhYxAtM0Gk/PGOZNF&#10;kZWN6oWdgVGanBVgLxyZWEclioHQ+y6ax/EyGgBLgyCVtfT3bnLybcCvKiXdl6qyyrEu58TNhRPD&#10;Wfgz2m5EVqMwTSvPNMQ/sOhFqynpM9SdcIIdsH0F1bcSwULlZhL6CKqqlSrUQNUk8R/VPDTCqFAL&#10;iWPNs0z2/8HKz8evyNqSepekKWda9NSlRzU69h5GlqTLoNFgbEahD4aC3Ugeig/1WnMP8rtlGnaN&#10;0LW6RYShUaIkjolXN7p46rtiM+tBiuETlJRJHBwEoLHC3gtIkjCPns5XV8mSs5O/rxarJJ165ZlJ&#10;HxCnyWJBjCVFzNfr1eI6pBPZE5JB6z4o6Jm/5BxpFkImcby3zjMT2VOIT2yha8t923XBwLrYdciO&#10;guZmH74z+m9hnf77yzh8r19Sav80aOPlmIRxYzESL69RAeWJVEKYBpYWjC4N4E/OBhrWnNsfB4GK&#10;s+6jJqWvSQo/3cFYXK3mZOClp7j0CC0JKueOs+m6c9NGHAy2dUOZpt5quKXuVG0Q64XVmTcNZNDw&#10;vDx+4i/tEPWy4t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NFSC9YAAAAFAQAADwAAAAAAAAAB&#10;ACAAAAAiAAAAZHJzL2Rvd25yZXYueG1sUEsBAhQAFAAAAAgAh07iQOFE19gSAgAAKgQAAA4AAAAA&#10;AAAAAQAgAAAAJQEAAGRycy9lMm9Eb2MueG1sUEsFBgAAAAAGAAYAWQEAAKkFAAAAAA==&#10;">
                  <v:fill on="t" focussize="0,0"/>
                  <v:stroke color="#000000 [3213]" joinstyle="round"/>
                  <v:imagedata o:title=""/>
                  <o:lock v:ext="edit" aspectratio="f"/>
                  <v:textbox>
                    <w:txbxContent>
                      <w:p>
                        <w:pPr>
                          <w:rPr>
                            <w:szCs w:val="24"/>
                          </w:rPr>
                        </w:pPr>
                        <w:r>
                          <w:rPr>
                            <w:rFonts w:hint="eastAsia" w:hAnsi="宋体" w:cs="宋体"/>
                            <w:szCs w:val="24"/>
                          </w:rPr>
                          <w:t>消毒清洗废水</w:t>
                        </w:r>
                      </w:p>
                    </w:txbxContent>
                  </v:textbox>
                </v:shape>
                <v:line id="_x0000_s1026" o:spid="_x0000_s1026" o:spt="20" style="position:absolute;left:1814996;top:1184531;height:234086;width:0;" filled="f" stroked="t" coordsize="21600,21600" o:gfxdata="UEsDBAoAAAAAAIdO4kAAAAAAAAAAAAAAAAAEAAAAZHJzL1BLAwQUAAAACACHTuJAOVrYT9cAAAAF&#10;AQAADwAAAGRycy9kb3ducmV2LnhtbE2PO0/DQBCEeyT+w2mRaBC5MyhOZHyOEI8qBYmhoNzYG9vg&#10;27N8lwf59Sw00Iy0mtXMN/ni6Hq1pzF0ni0kEwOKuPJ1x42Ft9fn6zmoEJFr7D2ThS8KsCjOz3LM&#10;an/gNe3L2CgJ4ZChhTbGIdM6VC05DBM/EIu39aPDKOfY6HrEg4S7Xt8Yk2qHHUtDiwM9tFR9ljtn&#10;IX1/wfttuZquhvVTdVueHv3V8sPay4vE3IGKdIx/z/CDL+hQCNPG77gOqrcgQ+KvijefzWTGxsI0&#10;SQ3oItf/6YtvUEsDBBQAAAAIAIdO4kC2A03E8wEAAK0DAAAOAAAAZHJzL2Uyb0RvYy54bWytU0uS&#10;0zAQ3VPFHVTaE9uZJCSuOLOYMGz4pAo4QEeSbVXpV5KIk0twAarYwYrl7LkNwzFoyZkZPjsKL9qt&#10;/jz1e26vL49akYPwQVrT0GpSUiIMs1yarqHv3l4/WVISIhgOyhrR0JMI9HLz+NF6cLWY2t4qLjxB&#10;EBPqwTW0j9HVRRFYLzSEiXXCYLK1XkPEo+8K7mFAdK2KaVkuisF67rxlIgSMbsck3WT8thUsvm7b&#10;ICJRDcXZYrY+232yxWYNdefB9ZKdx4B/mEKDNHjpPdQWIpD3Xv4FpSXzNtg2TpjVhW1byUTmgGyq&#10;8g82b3pwInNBcYK7lyn8P1j26rDzRPKGPp1TYkDjN7r9ePP9w+cf3z6hvf36hWAGZRpcqLH6yuz8&#10;+RTczifOx9br9EY25IhLsKxmq9WCkhP61XI2v6hGmcUxEoYF+B0Y5qYXs3K5SKniAcP5EJ8Lq0ly&#10;GqqkSQJADYcXIY6ldyUpbOy1VArjUCtDhoau5lPkwQBXqVUQ0dUOyQXTUQKqwx1l0WfEYJXkqTs1&#10;B9/tr5QnB0h7kp+xqAcuxuhqjuGRSID40vIxXJV3cWRxhsmMfsNPM28h9GMPR29EiiDVM8NJPDkU&#10;PnoJplPirIkyCJRkH4VO3t7yU9Y/x3En8lXn/U1L9+s5dz/8ZZ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OVrYT9cAAAAFAQAADwAAAAAAAAABACAAAAAiAAAAZHJzL2Rvd25yZXYueG1sUEsBAhQA&#10;FAAAAAgAh07iQLYDTcTzAQAArQMAAA4AAAAAAAAAAQAgAAAAJgEAAGRycy9lMm9Eb2MueG1sUEsF&#10;BgAAAAAGAAYAWQEAAIsFAAAAAA==&#10;">
                  <v:fill on="f" focussize="0,0"/>
                  <v:stroke color="#000000 [3200]" joinstyle="round" dashstyle="dash" endarrow="block"/>
                  <v:imagedata o:title=""/>
                  <o:lock v:ext="edit" aspectratio="f"/>
                </v:line>
                <v:shape id="_x0000_s1026" o:spid="_x0000_s1026" o:spt="32" type="#_x0000_t32" style="position:absolute;left:1846896;top:1615906;flip:y;height:240870;width:0;" filled="f" stroked="t" coordsize="21600,21600" o:gfxdata="UEsDBAoAAAAAAIdO4kAAAAAAAAAAAAAAAAAEAAAAZHJzL1BLAwQUAAAACACHTuJA32jziNEAAAAF&#10;AQAADwAAAGRycy9kb3ducmV2LnhtbE2PwU7DMBBE70j8g7WVuFE7SCRViNNDJQ4cSfIBTryNI+J1&#10;FLtN4etZuMBlpNWsZt5Ux5ufxRXXOAXSkO0VCKQh2IlGDV37+ngAEZMha+ZAqOETIxzr+7vKlDZs&#10;9I7XJo2CQyiWRoNLaSmljINDb+I+LEjsncPqTeJzHaVdzcbhfpZPSuXSm4m4wZkFTw6Hj+biNcje&#10;0fp1brt8U29LtzW2aL3V+mGXqRcQCW/p7xl+8Bkdambqw4VsFLMGHpJ+lb1DUfCMXsNzliuQdSX/&#10;09ffUEsDBBQAAAAIAIdO4kDreL2xCwIAAMsDAAAOAAAAZHJzL2Uyb0RvYy54bWytU8mOEzEQvSPx&#10;D5bvpDvRJJO00plDwnBhicRyr3jptuS2Ldukk5/gB5A4AaeB09z5Ghg+g7I7M2w3RA5OLa7nqnqv&#10;lxeHTpO98EFZU9PxqKREGGa5Mk1NX764fDCnJEQwHLQ1oqZHEejF6v69Ze8qMbGt1Vx4giAmVL2r&#10;aRujq4oisFZ0EEbWCYNJaX0HEV3fFNxDj+idLiZlOSt667nzlokQMLoZknSV8aUULD6TMohIdE2x&#10;t5hPn89dOovVEqrGg2sVO7UB/9BFB8rgo3dQG4hAXnv1F1SnmLfByjhitiuslIqJPANOMy7/mOZ5&#10;C07kWXA5wd2tKfw/WPZ0v/VE8Zqezygx0CFHN2+vv735cPP509f319+/vEv21UeCeVxW70KFNWuz&#10;9ScvuK1Pkx+k74jUyr1CHeRd4HTkgM78bDZfIPoR7dl4uigzElTiEAnDC8gLw9zkrJyfZ0aKAS2h&#10;Oh/iI2E7koyahuhBNW1cW2OQW+uHl2D/OETsBwtvC1KxsZdK60yxNqSv6WI6meJjgEKTGiKancPR&#10;g2koAd2ggln0ufdgteKpOuEE3+zW2pM9JBXl33CpBS6G6GKK4UFNAeITy4fwuLyNY2snmNzmb/ip&#10;5w2EdqjhaA1IEZR+aDiJR4e0RK/ANFqkHKJpg3+JjoGAZO0sP2ZechwVky+e1J0k+aufq39+g6s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32jziNEAAAAFAQAADwAAAAAAAAABACAAAAAiAAAAZHJz&#10;L2Rvd25yZXYueG1sUEsBAhQAFAAAAAgAh07iQOt4vbELAgAAywMAAA4AAAAAAAAAAQAgAAAAIAEA&#10;AGRycy9lMm9Eb2MueG1sUEsFBgAAAAAGAAYAWQEAAJ0FAAAAAA==&#10;">
                  <v:fill on="f" focussize="0,0"/>
                  <v:stroke color="#000000 [3200]" joinstyle="round" dashstyle="dash" endarrow="block"/>
                  <v:imagedata o:title=""/>
                  <o:lock v:ext="edit" aspectratio="f"/>
                </v:shape>
                <v:shape id="Text Box 1360" o:spid="_x0000_s1026" o:spt="202" type="#_x0000_t202" style="position:absolute;left:2347601;top:1755072;height:288749;width:796724;" fillcolor="#FFFFFF" filled="t" stroked="t" coordsize="21600,21600" o:gfxdata="UEsDBAoAAAAAAIdO4kAAAAAAAAAAAAAAAAAEAAAAZHJzL1BLAwQUAAAACACHTuJArNFSC9YAAAAF&#10;AQAADwAAAGRycy9kb3ducmV2LnhtbE2PzU7DMBCE70i8g7VIXBC1w08SQpwekEBwKwXB1Y23SUS8&#10;Drablrdn4QKXkVazmvmmXh7cKGYMcfCkIVsoEEittwN1Gl5f7s9LEDEZsmb0hBq+MMKyOT6qTWX9&#10;np5xXqdOcAjFymjoU5oqKWPbozNx4Sck9rY+OJP4DJ20wew53I3yQqlcOjMQN/Rmwrse24/1zmko&#10;rx7n9/h0uXpr8+14k86K+eEzaH16kqlbEAkP6e8ZfvAZHRpm2vgd2ShGDTwk/Sp7ZVHwjI2G6yxX&#10;IJta/qdvvgFQSwMEFAAAAAgAh07iQJIAo1cVAgAAKQQAAA4AAABkcnMvZTJvRG9jLnhtbK1T227b&#10;MAx9H7B/EPS++BInTow4RZciw4DuArT7AEWWbWG2qElK7OzrR8lpm63AHob5QRBN6vDwkNzcjH1H&#10;TsJYCaqkySymRCgOlVRNSb897t+tKLGOqYp1oERJz8LSm+3bN5tBFyKFFrpKGIIgyhaDLmnrnC6i&#10;yPJW9MzOQAuFzhpMzxyapokqwwZE77sojeNlNICptAEurMW/d5OTbgN+XQvuvtS1FY50JUVuLpwm&#10;nAd/RtsNKxrDdCv5hQb7BxY9kwqTPkPdMcfI0chXUL3kBizUbsahj6CuJRehBqwmif+o5qFlWoRa&#10;UByrn2Wy/w+Wfz59NURW2Ltkjr1SrMcuPYrRkfcwkmS+DBoN2hYY+qAx2I3owfhQr9X3wL9bomDX&#10;MtWIW2NgaAWrkGPi1Y2unvqu2MJ6kMPwCSrMxI4OAtBYm94LiJIQRE/nWb6ME0rOiJMvFnGeTr3y&#10;zDgG5OtlnmaUcAxIV6s8W4dsrHgC0sa6DwJ64i8lNTgKIRE73VvnibHiKcTntdDJai+7LhimOew6&#10;Q04Mx2Yfvgv6b2Gd+vvLOHyvX2Jq/zRI49WYdHHjYUReXqIDVGcUycA0r7hfeGnB/KRkwFktqf1x&#10;ZEZQ0n1UKPQ6yTI/3MHIFnmKhrn2HK49THGEKqmjZLru3LQQR21k02KmqbUKbrE5tQxivbC68MZ5&#10;DBpedscP/LUdol42fPs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NFSC9YAAAAFAQAADwAAAAAA&#10;AAABACAAAAAiAAAAZHJzL2Rvd25yZXYueG1sUEsBAhQAFAAAAAgAh07iQJIAo1cVAgAAKQQAAA4A&#10;AAAAAAAAAQAgAAAAJQEAAGRycy9lMm9Eb2MueG1sUEsFBgAAAAAGAAYAWQEAAKwFAAAAAA==&#10;">
                  <v:fill on="t" focussize="0,0"/>
                  <v:stroke color="#000000 [3213]" joinstyle="round"/>
                  <v:imagedata o:title=""/>
                  <o:lock v:ext="edit" aspectratio="f"/>
                  <v:textbox>
                    <w:txbxContent>
                      <w:p>
                        <w:pPr>
                          <w:rPr>
                            <w:szCs w:val="24"/>
                          </w:rPr>
                        </w:pPr>
                        <w:r>
                          <w:rPr>
                            <w:rFonts w:hint="eastAsia" w:hAnsi="宋体" w:cs="宋体"/>
                            <w:szCs w:val="24"/>
                          </w:rPr>
                          <w:t>蒸煮废水</w:t>
                        </w:r>
                      </w:p>
                    </w:txbxContent>
                  </v:textbox>
                </v:shape>
                <v:shape id="_x0000_s1026" o:spid="_x0000_s1026" o:spt="32" type="#_x0000_t32" style="position:absolute;left:2139503;top:1663427;height:1130448;width:0;" filled="f" stroked="t" coordsize="21600,21600" o:gfxdata="UEsDBAoAAAAAAIdO4kAAAAAAAAAAAAAAAAAEAAAAZHJzL1BLAwQUAAAACACHTuJAw/6j6tMAAAAF&#10;AQAADwAAAGRycy9kb3ducmV2LnhtbE2PO0/EMBCEeyT+g7VIdJydSPcgxLmCOyoqDgpKX7wkgXgd&#10;7L0H/56FBpqRVrOa+aZen8OojpjyEMlCMTOgkNroB+osvDw/3KxAZXbk3RgJLXxhhnVzeVG7yscT&#10;PeFxx52SEMqVs9AzT5XWue0xuDyLE5J4bzEFx3KmTvvkThIeRl0as9DBDSQNvZvwvsf2Y3cIFm7b&#10;sC359XF0n5v3TSrYzHW5tfb6qjB3oBjP/PcMP/iCDo0w7eOBfFajBRnCvyrearmUGXsL82JhQDe1&#10;/k/ffANQSwMEFAAAAAgAh07iQLmh6kwGAgAAwgMAAA4AAABkcnMvZTJvRG9jLnhtbK1TS47UMBDd&#10;I3EHy3s6Sf/oiTo9i26GDZ+RgANU205iybEt23S6L8EFkFgBK2A1e04DwzEoO5kZPjtEFk65KvWq&#10;3qvK+vzYKXIQzkujK1pMckqEZoZL3VT01cuLBytKfADNQRktKnoSnp5v7t9b97YUU9MaxYUjCKJ9&#10;2duKtiHYMss8a0UHfmKs0Bisjesg4NU1GXfQI3qnsmmeL7PeOG6dYcJ79O6GIN0k/LoWLDyvay8C&#10;URXF3kI6XTr38cw2aygbB7aVbGwD/qGLDqTGordQOwhAXjv5F1QnmTPe1GHCTJeZupZMJA7Ipsj/&#10;YPOiBSsSFxTH21uZ/P+DZc8Ol45IXtEVyqOhwxldv736/ubD9ZfP395f/fj6LtqfPhKMo1i99SXm&#10;bPWlG2/eXrrI/Fi7Lr6REzlWdFrMzhb5jJITrsVyOZtPHw5ii2MgDD/AcizGilk+n69iLLsDsc6H&#10;x8J0JBoV9cGBbNqwNVrjSI0rkthweOLDkHiTEDvQ5kIqhX4olSZ9Rc8W0wVWA9yvWkFAs7PI2OuG&#10;ElANLi4LLiF6oySP2THZu2a/VY4cIC5PeoaPWuBi8CLFfFwiD+Gp4YO7yG/8yGmESfx+w48978C3&#10;Qw5Ha1AogFSPNCfhZHEawUnQjRKjQkojUJzCoHu09oaf0jiSHxcllRqXOm7ir/eUfffrbX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w/6j6tMAAAAFAQAADwAAAAAAAAABACAAAAAiAAAAZHJzL2Rv&#10;d25yZXYueG1sUEsBAhQAFAAAAAgAh07iQLmh6kwGAgAAwgMAAA4AAAAAAAAAAQAgAAAAIgEAAGRy&#10;cy9lMm9Eb2MueG1sUEsFBgAAAAAGAAYAWQEAAJoFAAAAAA==&#10;">
                  <v:fill on="f" focussize="0,0"/>
                  <v:stroke color="#000000 [3200]" joinstyle="round" dashstyle="dash" endarrow="block"/>
                  <v:imagedata o:title=""/>
                  <o:lock v:ext="edit" aspectratio="f"/>
                </v:shape>
                <v:shape id="_x0000_s1026" o:spid="_x0000_s1026" o:spt="32" type="#_x0000_t32" style="position:absolute;left:2702774;top:2061568;height:731998;width:0;" filled="f" stroked="t" coordsize="21600,21600" o:gfxdata="UEsDBAoAAAAAAIdO4kAAAAAAAAAAAAAAAAAEAAAAZHJzL1BLAwQUAAAACACHTuJAw/6j6tMAAAAF&#10;AQAADwAAAGRycy9kb3ducmV2LnhtbE2PO0/EMBCEeyT+g7VIdJydSPcgxLmCOyoqDgpKX7wkgXgd&#10;7L0H/56FBpqRVrOa+aZen8OojpjyEMlCMTOgkNroB+osvDw/3KxAZXbk3RgJLXxhhnVzeVG7yscT&#10;PeFxx52SEMqVs9AzT5XWue0xuDyLE5J4bzEFx3KmTvvkThIeRl0as9DBDSQNvZvwvsf2Y3cIFm7b&#10;sC359XF0n5v3TSrYzHW5tfb6qjB3oBjP/PcMP/iCDo0w7eOBfFajBRnCvyrearmUGXsL82JhQDe1&#10;/k/ffANQSwMEFAAAAAgAh07iQNLDMDgIAgAAxQMAAA4AAABkcnMvZTJvRG9jLnhtbK1TS44TMRDd&#10;I3EHy3vSHybJpJXOLBKGDZ9IwAEqtrvbktu2bJNOLsEFkFgBK2A1e04DwzEouzMzfHaIXtjlKtdz&#10;vXrVy4tDr8heOC+NrmkxySkRmhkudVvTVy8vH5xT4gNoDspoUdOj8PRidf/ecrCVKE1nFBeOIIj2&#10;1WBr2oVgqyzzrBM9+ImxQmOwMa6HgEfXZtzBgOi9yso8n2WDcdw6w4T36N2MQbpK+E0jWHjeNF4E&#10;omqKtYW0urTu4pqtllC1Dmwn2akM+IcqepAaH72F2kAA8trJv6B6yZzxpgkTZvrMNI1kInFANkX+&#10;B5sXHViRuGBzvL1tk/9/sOzZfuuI5KhdcVZSoqFHla7fXn1/8+H6y+dv769+fH0X7U8fSbqBDRus&#10;rzBvrbfudPJ26yL7Q+P6uCMvcqhpOc/L+fyMkiPa+ayYzs7HhotDIAwvoCIMY/OHxWKRQtkdhnU+&#10;PBamJ9GoqQ8OZNuFtdEaVTWuSP2G/RMfsApMvEmIBWhzKZVK4ipNhpoupuUUHwMcsUZBQLO3SNrr&#10;lhJQLc4uCy4heqMkj9kRx7t2t1aO7CHOT/rGSx1wMXoXU3SPtDyEp4aP7iK/8WNpJ5hU5m/4seYN&#10;+G7M4WiNSAGkeqQ5CUeLcgQnQbdKxBiiKY1bFGFse7R2hh+TGsmPs5IunuY6DuOv55R99/et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D/qPq0wAAAAUBAAAPAAAAAAAAAAEAIAAAACIAAABkcnMv&#10;ZG93bnJldi54bWxQSwECFAAUAAAACACHTuJA0sMwOAgCAADFAwAADgAAAAAAAAABACAAAAAiAQAA&#10;ZHJzL2Uyb0RvYy54bWxQSwUGAAAAAAYABgBZAQAAnAUAAAAA&#10;">
                  <v:fill on="f" focussize="0,0"/>
                  <v:stroke color="#000000 [3200]" joinstyle="round" dashstyle="dash" endarrow="block"/>
                  <v:imagedata o:title=""/>
                  <o:lock v:ext="edit" aspectratio="f"/>
                </v:shape>
                <v:shape id="Text Box 1360" o:spid="_x0000_s1026" o:spt="202" type="#_x0000_t202" style="position:absolute;left:1934678;top:2802642;height:288749;width:1101325;" fillcolor="#FFFFFF" filled="t" stroked="t" coordsize="21600,21600" o:gfxdata="UEsDBAoAAAAAAIdO4kAAAAAAAAAAAAAAAAAEAAAAZHJzL1BLAwQUAAAACACHTuJArNFSC9YAAAAF&#10;AQAADwAAAGRycy9kb3ducmV2LnhtbE2PzU7DMBCE70i8g7VIXBC1w08SQpwekEBwKwXB1Y23SUS8&#10;Drablrdn4QKXkVazmvmmXh7cKGYMcfCkIVsoEEittwN1Gl5f7s9LEDEZsmb0hBq+MMKyOT6qTWX9&#10;np5xXqdOcAjFymjoU5oqKWPbozNx4Sck9rY+OJP4DJ20wew53I3yQqlcOjMQN/Rmwrse24/1zmko&#10;rx7n9/h0uXpr8+14k86K+eEzaH16kqlbEAkP6e8ZfvAZHRpm2vgd2ShGDTwk/Sp7ZVHwjI2G6yxX&#10;IJta/qdvvgFQSwMEFAAAAAgAh07iQE54yDkTAgAAKgQAAA4AAABkcnMvZTJvRG9jLnhtbK1T227b&#10;MAx9H7B/EPS++BI3TYw4RZciw4DuArT7AFmWY2O2qFFK7OzrR8lpm63AHob5QRBN6vDwkFzfjH3H&#10;jgptC7rgySzmTGkJVav3Bf/2uHu35Mw6oSvRgVYFPynLbzZv36wHk6sUGugqhYxAtM0HU/DGOZNH&#10;kZWN6oWdgVGanDVgLxyZuI8qFAOh912UxvEiGgArgyCVtfT3bnLyTcCvayXdl7q2yrGu4MTNhRPD&#10;Wfoz2qxFvkdhmlaeaYh/YNGLVlPSZ6g74QQ7YPsKqm8lgoXazST0EdR1K1WogapJ4j+qeWiEUaEW&#10;EseaZ5ns/4OVn49fkbUV9S7J5pxp0VOXHtXo2HsYWTJfBI0GY3MKfTAU7EbyUHyo15p7kN8t07Bt&#10;hN6rW0QYGiUq4ph4daOLp74rNrcepBw+QUWZxMFBABpr7L2AJAnz6Kt5trim4TkVPF3G6SJLp155&#10;ZtIHJHEyT684kyFieZ2tQjqRPyEZtO6Dgp75S8GRZiFkEsd76zwzkT+F+MQWurbatV0XDNyX2w7Z&#10;UdDc7MJ3Rv8trNN/fxmH7/VLSu2fBm28HJMwbixH4uU1KqE6kUoI08DSgtGlAfzJ2UDDWnD74yBQ&#10;cdZ91KT0KskyP93ByK6uUzLw0lNeeoSWBFVwx9l03bppIw4G231Dmabearil7tRtEOuF1Zk3DWTQ&#10;8Lw8fuIv7RD1suKb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zRUgvWAAAABQEAAA8AAAAAAAAA&#10;AQAgAAAAIgAAAGRycy9kb3ducmV2LnhtbFBLAQIUABQAAAAIAIdO4kBOeMg5EwIAACoEAAAOAAAA&#10;AAAAAAEAIAAAACUBAABkcnMvZTJvRG9jLnhtbFBLBQYAAAAABgAGAFkBAACqBQAAAAA=&#10;">
                  <v:fill on="t" focussize="0,0"/>
                  <v:stroke color="#000000 [3213]" joinstyle="round"/>
                  <v:imagedata o:title=""/>
                  <o:lock v:ext="edit" aspectratio="f"/>
                  <v:textbox>
                    <w:txbxContent>
                      <w:p>
                        <w:pPr>
                          <w:rPr>
                            <w:szCs w:val="24"/>
                          </w:rPr>
                        </w:pPr>
                        <w:r>
                          <w:rPr>
                            <w:rFonts w:hint="eastAsia" w:hAnsi="宋体" w:cs="宋体"/>
                            <w:szCs w:val="24"/>
                          </w:rPr>
                          <w:t>隔油池+化粪池</w:t>
                        </w:r>
                      </w:p>
                    </w:txbxContent>
                  </v:textbox>
                </v:shape>
                <v:shape id="Text Box 1360" o:spid="_x0000_s1026" o:spt="202" type="#_x0000_t202" style="position:absolute;left:83932;top:2802678;height:288749;width:1470355;" fillcolor="#FFFFFF" filled="t" stroked="t" coordsize="21600,21600" o:gfxdata="UEsDBAoAAAAAAIdO4kAAAAAAAAAAAAAAAAAEAAAAZHJzL1BLAwQUAAAACACHTuJArNFSC9YAAAAF&#10;AQAADwAAAGRycy9kb3ducmV2LnhtbE2PzU7DMBCE70i8g7VIXBC1w08SQpwekEBwKwXB1Y23SUS8&#10;Drablrdn4QKXkVazmvmmXh7cKGYMcfCkIVsoEEittwN1Gl5f7s9LEDEZsmb0hBq+MMKyOT6qTWX9&#10;np5xXqdOcAjFymjoU5oqKWPbozNx4Sck9rY+OJP4DJ20wew53I3yQqlcOjMQN/Rmwrse24/1zmko&#10;rx7n9/h0uXpr8+14k86K+eEzaH16kqlbEAkP6e8ZfvAZHRpm2vgd2ShGDTwk/Sp7ZVHwjI2G6yxX&#10;IJta/qdvvgFQSwMEFAAAAAgAh07iQIQHTQ8TAgAAKAQAAA4AAABkcnMvZTJvRG9jLnhtbK1T227b&#10;MAx9H7B/EPS++BLnZsQpuhQZBnQXoN0HyLJsC7NFTVJiZ18/Sk7bbAX2MMwPgmhSh4eH5PZm7Dty&#10;EsZKUAVNZjElQnGopGoK+u3x8G5NiXVMVawDJQp6Fpbe7N6+2Q46Fym00FXCEARRNh90QVvndB5F&#10;lreiZ3YGWih01mB65tA0TVQZNiB630VpHC+jAUylDXBhLf69m5x0F/DrWnD3pa6tcKQrKHJz4TTh&#10;LP0Z7bYsbwzTreQXGuwfWPRMKkz6DHXHHCNHI19B9ZIbsFC7GYc+grqWXIQasJok/qOah5ZpEWpB&#10;cax+lsn+P1j++fTVEFlh75JsSYliPXbpUYyOvIeRJPNl0GjQNsfQB43BbkQPxod6rb4H/t0SBfuW&#10;qUbcGgNDK1iFHBOvbnT11HfF5taDlMMnqDATOzoIQGNtei8gSkIQfT3fzFNKzgVN13G6XK2nTnle&#10;3CfPVvF8saCEh4j1KtuEZCx/wtHGug8CeuIvBTU4CSEPO91b53mx/CnEp7XQyeoguy4Ypin3nSEn&#10;hlNzCN8F/bewTv39ZRy+1y8xtX8alPFiTLK4sRyRl1eohOqMGhmYxhXXCy8tmJ+UDDiqBbU/jswI&#10;SrqPCnXeJFnmZzsY2WKVomGuPeW1hymOUAV1lEzXvZv24aiNbFrMNHVWwS32ppZBrBdWF944jkHD&#10;y+r4eb+2Q9TLgu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zRUgvWAAAABQEAAA8AAAAAAAAA&#10;AQAgAAAAIgAAAGRycy9kb3ducmV2LnhtbFBLAQIUABQAAAAIAIdO4kCEB00PEwIAACgEAAAOAAAA&#10;AAAAAAEAIAAAACUBAABkcnMvZTJvRG9jLnhtbFBLBQYAAAAABgAGAFkBAACqBQAAAAA=&#10;">
                  <v:fill on="t" focussize="0,0"/>
                  <v:stroke color="#000000 [3213]" joinstyle="round"/>
                  <v:imagedata o:title=""/>
                  <o:lock v:ext="edit" aspectratio="f"/>
                  <v:textbox>
                    <w:txbxContent>
                      <w:p>
                        <w:pPr>
                          <w:rPr>
                            <w:szCs w:val="24"/>
                          </w:rPr>
                        </w:pPr>
                        <w:r>
                          <w:rPr>
                            <w:rFonts w:hint="eastAsia" w:hAnsi="宋体" w:cs="宋体"/>
                            <w:szCs w:val="24"/>
                          </w:rPr>
                          <w:t>生活废水+地面清洗水</w:t>
                        </w:r>
                      </w:p>
                    </w:txbxContent>
                  </v:textbox>
                </v:shape>
                <v:shape id="_x0000_s1026" o:spid="_x0000_s1026" o:spt="32" type="#_x0000_t32" style="position:absolute;left:1568918;top:2954269;height:0;width:343814;" filled="f" stroked="t" coordsize="21600,21600" o:gfxdata="UEsDBAoAAAAAAIdO4kAAAAAAAAAAAAAAAAAEAAAAZHJzL1BLAwQUAAAACACHTuJAw/6j6tMAAAAF&#10;AQAADwAAAGRycy9kb3ducmV2LnhtbE2PO0/EMBCEeyT+g7VIdJydSPcgxLmCOyoqDgpKX7wkgXgd&#10;7L0H/56FBpqRVrOa+aZen8OojpjyEMlCMTOgkNroB+osvDw/3KxAZXbk3RgJLXxhhnVzeVG7yscT&#10;PeFxx52SEMqVs9AzT5XWue0xuDyLE5J4bzEFx3KmTvvkThIeRl0as9DBDSQNvZvwvsf2Y3cIFm7b&#10;sC359XF0n5v3TSrYzHW5tfb6qjB3oBjP/PcMP/iCDo0w7eOBfFajBRnCvyrearmUGXsL82JhQDe1&#10;/k/ffANQSwMEFAAAAAgAh07iQALOXroHAgAAwwMAAA4AAABkcnMvZTJvRG9jLnhtbK1TS44TMRDd&#10;I3EHy3vS3ZkkSqJ0ZpEwbPiMBBygYru7Lfkn26STS3ABJFbAimE1e04DwzEouzMzfHaIXtjlctVz&#10;vXrVq/ODVmQvfJDW1LQalZQIwyyXpq3p61cXj+aUhAiGg7JG1PQoAj1fP3yw6t1SjG1nFReeIIgJ&#10;y97VtIvRLYsisE5oCCPrhMHLxnoNEY++LbiHHtG1KsZlOSt667nzlokQ0LsdLuk64zeNYPFF0wQR&#10;iaop1hbz6vO6S2uxXsGy9eA6yU5lwD9UoUEafPQOagsRyBsv/4LSknkbbBNHzOrCNo1kInNANlX5&#10;B5uXHTiRuWBzgrtrU/h/sOz5/tITyVG7ckaJAY0i3by7/v72482Xq28frn98fZ/sz59ICsB29S4s&#10;MWtjLv3pFNylT9wPjddpR1bkgIDT2XxRof7Hmo4X08l4thjaLQ6RMAw4m5zNqwklDAOyEsU9hvMh&#10;PhFWk2TUNEQPsu3ixhqDmlpf5W7D/mmIWAUm3iakAoy9kEplaZUhfU0X0/EU3wEcsEZBRFM7pBxM&#10;SwmoFieXRZ8Rg1WSp+yEE3y72yhP9pCmJ39DUAdcDN7FFN0DrQDxmeWDuypv/VjaCSaX+Rt+qnkL&#10;oRtyOFoDUgSpHhtO4tGhGtFLMK0S6Q7RlMEtiTC0PVk7y49ZjezHScmBp6lOo/jrOWff/3vr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P+o+rTAAAABQEAAA8AAAAAAAAAAQAgAAAAIgAAAGRycy9k&#10;b3ducmV2LnhtbFBLAQIUABQAAAAIAIdO4kACzl66BwIAAMMDAAAOAAAAAAAAAAEAIAAAACIBAABk&#10;cnMvZTJvRG9jLnhtbFBLBQYAAAAABgAGAFkBAACbBQAAAAA=&#10;">
                  <v:fill on="f" focussize="0,0"/>
                  <v:stroke color="#000000 [3200]" joinstyle="round" dashstyle="dash" endarrow="block"/>
                  <v:imagedata o:title=""/>
                  <o:lock v:ext="edit" aspectratio="f"/>
                </v:shape>
                <v:shape id="_x0000_s1026" o:spid="_x0000_s1026" o:spt="32" type="#_x0000_t32" style="position:absolute;left:3036003;top:2954250;height:0;width:676269;" filled="f" stroked="t" coordsize="21600,21600" o:gfxdata="UEsDBAoAAAAAAIdO4kAAAAAAAAAAAAAAAAAEAAAAZHJzL1BLAwQUAAAACACHTuJAhCGQEdcAAAAF&#10;AQAADwAAAGRycy9kb3ducmV2LnhtbE2PT0vDQBDF74LfYRnBm92NYFpjNgUtYi4KbaX0uE3G7GJ2&#10;NmS3//z0jl708mB4w3u/V85PvhcHHKMLpCGbKBBITWgddRre1883MxAxGWpNHwg1nDHCvLq8KE3R&#10;hiMt8bBKneAQioXRYFMaCiljY9GbOAkDEnsfYfQm8Tl2sh3NkcN9L2+VyqU3jrjBmgGfLDafq73X&#10;kBbbs803zeO9e1u/vObuq67rhdbXV5l6AJHwlP6e4Qef0aFipl3YUxtFr4GHpF9lbzad8oydhrss&#10;VyCrUv6nr74BUEsDBBQAAAAIAIdO4kDsCR2xBQIAAMQDAAAOAAAAZHJzL2Uyb0RvYy54bWytU0uO&#10;EzEQ3SNxB8t70p0OCSRKZxYJw4ZPJIYDVGx3tyX/ZJt0cgkugMQKWAGr2XOaYTgGZXdmhs8O0Qt/&#10;6vP8ql718uygFdkLH6Q1NR2PSkqEYZZL09b09cX5g8eUhAiGg7JG1PQoAj1b3b+37N1CVLazigtP&#10;EMSERe9q2sXoFkURWCc0hJF1wqCzsV5DxKtvC+6hR3StiqosZ0VvPXfeMhECWjeDk64yftMIFl82&#10;TRCRqJoit5hXn9ddWovVEhatB9dJdqIB/8BCgzT46C3UBiKQN17+BaUl8zbYJo6Y1YVtGslErgGr&#10;GZd/VPOqAydyLdic4G7bFP4fLHux33oiOWpXolQGNIp0/e7y+9uP11+/XH24/PHtfTp//kRSALar&#10;d2GBWWuz9adbcFufaj80XqcdqyKHmk7KyawsJ5Qca1rNpw+r6and4hAJw4DZo1k1m1PCMCC7ijsM&#10;50N8Kqwm6VDTED3Itotrawxqav04dxv2z0JEFph4k5AIGHsulcrSKkP6ms6n1RTfARywRkHEo3ZY&#10;cjAtJaBanFwWfUYMVkmeshNO8O1urTzZQ5qe/A1BHXAxWOdTNA9TFCA+t3wwj8sbO1I7wWSav+En&#10;zhsI3ZCTXQNUBKmeGE7i0aEc0UswrRLJh3DK4JZUGPqeTjvLj1mObMdRyYGnsU6z+Os9Z9/9fK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CGQEdcAAAAFAQAADwAAAAAAAAABACAAAAAiAAAAZHJz&#10;L2Rvd25yZXYueG1sUEsBAhQAFAAAAAgAh07iQOwJHbEFAgAAxAMAAA4AAAAAAAAAAQAgAAAAJgEA&#10;AGRycy9lMm9Eb2MueG1sUEsFBgAAAAAGAAYAWQEAAJ0FAAAAAA==&#10;">
                  <v:fill on="f" focussize="0,0"/>
                  <v:stroke color="#000000 [3200]" joinstyle="round" endarrow="block"/>
                  <v:imagedata o:title=""/>
                  <o:lock v:ext="edit" aspectratio="f"/>
                </v:shape>
                <v:shape id="Text Box 1360" o:spid="_x0000_s1026" o:spt="202" type="#_x0000_t202" style="position:absolute;left:3722889;top:2703883;height:450215;width:1642745;" fillcolor="#FFFFFF" filled="t" stroked="t" coordsize="21600,21600" o:gfxdata="UEsDBAoAAAAAAIdO4kAAAAAAAAAAAAAAAAAEAAAAZHJzL1BLAwQUAAAACACHTuJArNFSC9YAAAAF&#10;AQAADwAAAGRycy9kb3ducmV2LnhtbE2PzU7DMBCE70i8g7VIXBC1w08SQpwekEBwKwXB1Y23SUS8&#10;Drablrdn4QKXkVazmvmmXh7cKGYMcfCkIVsoEEittwN1Gl5f7s9LEDEZsmb0hBq+MMKyOT6qTWX9&#10;np5xXqdOcAjFymjoU5oqKWPbozNx4Sck9rY+OJP4DJ20wew53I3yQqlcOjMQN/Rmwrse24/1zmko&#10;rx7n9/h0uXpr8+14k86K+eEzaH16kqlbEAkP6e8ZfvAZHRpm2vgd2ShGDTwk/Sp7ZVHwjI2G6yxX&#10;IJta/qdvvgFQSwMEFAAAAAgAh07iQICJndgVAgAAKgQAAA4AAABkcnMvZTJvRG9jLnhtbK1T227b&#10;MAx9H7B/EPS++JJrjThFlyLDgO4CtPsAWZYvmC1qlBK7+/pRctpmK7CHYX4QRJM6PDwkt9dj37GT&#10;QtuCznkyizlTWkLZ6jrn3x4O7zacWSd0KTrQKuePyvLr3ds328FkKoUGulIhIxBts8HkvHHOZFFk&#10;ZaN6YWdglCZnBdgLRybWUYliIPS+i9I4XkUDYGkQpLKW/t5OTr4L+FWlpPtSVVY51uWcuLlwYjgL&#10;f0a7rchqFKZp5ZmG+AcWvWg1JX2GuhVOsCO2r6D6ViJYqNxMQh9BVbVShRqomiT+o5r7RhgVaiFx&#10;rHmWyf4/WPn59BVZW1LvkmXCmRY9delBjY69h5El81XQaDA2o9B7Q8FuJA/Fh3qtuQP53TIN+0bo&#10;Wt0gwtAoURLHxKsbXTz1XbGZ9SDF8AlKyiSODgLQWGHvBSRJGKHP12m62Vxx9pjzdB3PN5v51CvP&#10;TPr0q0W6Xiw5kxSxWMZpsgzpRPaEZNC6Dwp65i85R5qFkEmc7qzzzET2FOITW+ja8tB2XTCwLvYd&#10;spOguTmE74z+W1in//4yDt/rl5TaPw3aeDkmYdxYjMTLa1RA+UgqIUwDSwtGlwbwJ2cDDWvO7Y+j&#10;QMVZ91GT0lfJYuGnOxiL5TolAy89xaVHaElQOXecTde9mzbiaLCtG8o09VbDDXWnaoNYL6zOvGkg&#10;g4bn5fETf2mHqJcV3/0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NFSC9YAAAAFAQAADwAAAAAA&#10;AAABACAAAAAiAAAAZHJzL2Rvd25yZXYueG1sUEsBAhQAFAAAAAgAh07iQICJndgVAgAAKgQAAA4A&#10;AAAAAAAAAQAgAAAAJQEAAGRycy9lMm9Eb2MueG1sUEsFBgAAAAAGAAYAWQEAAKwFAAAAAA==&#10;">
                  <v:fill on="t" focussize="0,0"/>
                  <v:stroke color="#000000 [3213]" joinstyle="round"/>
                  <v:imagedata o:title=""/>
                  <o:lock v:ext="edit" aspectratio="f"/>
                  <v:textbox>
                    <w:txbxContent>
                      <w:p>
                        <w:pPr>
                          <w:rPr>
                            <w:szCs w:val="24"/>
                          </w:rPr>
                        </w:pPr>
                        <w:r>
                          <w:rPr>
                            <w:rFonts w:hint="eastAsia"/>
                            <w:szCs w:val="24"/>
                          </w:rPr>
                          <w:t>中卫市生活垃圾填埋场污水处理站调节池</w:t>
                        </w:r>
                      </w:p>
                    </w:txbxContent>
                  </v:textbox>
                </v:shape>
                <w10:wrap type="none"/>
                <w10:anchorlock/>
              </v:group>
            </w:pict>
          </mc:Fallback>
        </mc:AlternateContent>
      </w:r>
    </w:p>
    <w:p>
      <w:pPr>
        <w:pStyle w:val="114"/>
        <w:spacing w:before="0" w:beforeLines="0"/>
        <w:rPr>
          <w:color w:val="auto"/>
        </w:rPr>
      </w:pPr>
      <w:r>
        <w:rPr>
          <w:color w:val="auto"/>
        </w:rPr>
        <w:t>图2.2-1   现有工程医疗废物处置工艺流程图</w:t>
      </w:r>
    </w:p>
    <w:p>
      <w:pPr>
        <w:pStyle w:val="130"/>
        <w:spacing w:before="120" w:beforeLines="50"/>
        <w:ind w:firstLine="480"/>
        <w:rPr>
          <w:color w:val="auto"/>
        </w:rPr>
      </w:pPr>
      <w:r>
        <w:rPr>
          <w:color w:val="auto"/>
        </w:rPr>
        <w:t>现有工程生产工艺流程说明：</w:t>
      </w:r>
    </w:p>
    <w:p>
      <w:pPr>
        <w:pStyle w:val="130"/>
        <w:ind w:firstLine="480"/>
        <w:rPr>
          <w:color w:val="auto"/>
        </w:rPr>
      </w:pPr>
      <w:r>
        <w:rPr>
          <w:color w:val="auto"/>
        </w:rPr>
        <w:t>现有工程处理工艺主要包括运输、进料、灭菌处理、出料、破碎处理、传送收集。</w:t>
      </w:r>
    </w:p>
    <w:p>
      <w:pPr>
        <w:pStyle w:val="130"/>
        <w:ind w:firstLine="480"/>
        <w:rPr>
          <w:color w:val="auto"/>
        </w:rPr>
      </w:pPr>
      <w:r>
        <w:rPr>
          <w:color w:val="auto"/>
        </w:rPr>
        <w:t>（1）运输：医疗废物由转运车运至处置中心，将盛装医疗废物的周转箱推入上料机的料斗，由其倒入灭菌器专门配备的灭菌车准备灭菌，周转箱清洗消毒后备用，不能及时处理的送入暂存间及冷库暂存。</w:t>
      </w:r>
    </w:p>
    <w:p>
      <w:pPr>
        <w:pStyle w:val="130"/>
        <w:ind w:firstLine="480"/>
        <w:rPr>
          <w:color w:val="auto"/>
        </w:rPr>
      </w:pPr>
      <w:r>
        <w:rPr>
          <w:color w:val="auto"/>
        </w:rPr>
        <w:t>（2）进料：将灭菌车由灭菌器前门推入内室，灭菌器内的灭菌车数量达到设定值后，关闭前门，等待灭菌处理。</w:t>
      </w:r>
    </w:p>
    <w:p>
      <w:pPr>
        <w:pStyle w:val="130"/>
        <w:ind w:firstLine="480"/>
        <w:rPr>
          <w:color w:val="auto"/>
        </w:rPr>
      </w:pPr>
      <w:r>
        <w:rPr>
          <w:color w:val="auto"/>
        </w:rPr>
        <w:t>（3）灭菌处理：当前门关闭后PLC给灭菌器指令开始运行灭菌器已预先设定好的灭菌程序，进行灭菌处理。</w:t>
      </w:r>
    </w:p>
    <w:p>
      <w:pPr>
        <w:pStyle w:val="130"/>
        <w:ind w:firstLine="480"/>
        <w:rPr>
          <w:color w:val="auto"/>
        </w:rPr>
      </w:pPr>
      <w:r>
        <w:rPr>
          <w:color w:val="auto"/>
        </w:rPr>
        <w:t>a.脉动：对灭菌器内室进行抽真空、进蒸汽操作，反复进行几次（一般取三到四次），然后再次抽真空，待内室压力到达脉动下限后，程序转升温阶段。经过该阶段后，内室的冷空气排除率可达到99%以上，确保内室无死点，保证灭菌的合格。</w:t>
      </w:r>
    </w:p>
    <w:p>
      <w:pPr>
        <w:pStyle w:val="130"/>
        <w:ind w:firstLine="480"/>
        <w:rPr>
          <w:color w:val="auto"/>
        </w:rPr>
      </w:pPr>
      <w:r>
        <w:rPr>
          <w:color w:val="auto"/>
        </w:rPr>
        <w:t>b.升温：蒸汽经过灭菌器夹层进入内室，对医疗废物进行加热，同时内室疏水阀间歇性开启，将蒸汽冷凝后产生的水排出，内室温度达到设定值后（一般取134℃（可调节））程序转灭菌阶段。</w:t>
      </w:r>
    </w:p>
    <w:p>
      <w:pPr>
        <w:pStyle w:val="130"/>
        <w:ind w:firstLine="480"/>
        <w:rPr>
          <w:color w:val="auto"/>
        </w:rPr>
      </w:pPr>
      <w:r>
        <w:rPr>
          <w:color w:val="auto"/>
        </w:rPr>
        <w:t>c.灭菌：开始灭菌计时，在此期间内室进气阀受到内室温度和压力的共同控制以确保内室保持在一定的温度范围内对废物进行灭菌。当室内温度高于灭菌温度上限（一般取134+2℃）时，进汽阀关闭，低于灭菌温度时，进汽阀打开；当内室压力高于内室压力限度值时，进汽阀关闭，比内室压力限度值低处10KPa时，进汽阀打开。灭菌计时（45min（可调节））到后，程序转排期阶段。</w:t>
      </w:r>
    </w:p>
    <w:p>
      <w:pPr>
        <w:pStyle w:val="130"/>
        <w:ind w:firstLine="480"/>
        <w:rPr>
          <w:color w:val="auto"/>
        </w:rPr>
      </w:pPr>
      <w:r>
        <w:rPr>
          <w:color w:val="auto"/>
        </w:rPr>
        <w:t>d.排汽：排汽阀打开，内室的蒸汽在内外压差的作用下排出，经过换热器的作用，大部分蒸汽冷凝成水，少部分蒸汽经过滤后排至大气，内室压力下降到设定值后，程序转干燥阶段。</w:t>
      </w:r>
    </w:p>
    <w:p>
      <w:pPr>
        <w:pStyle w:val="130"/>
        <w:ind w:firstLine="480"/>
        <w:rPr>
          <w:color w:val="auto"/>
        </w:rPr>
      </w:pPr>
      <w:r>
        <w:rPr>
          <w:color w:val="auto"/>
        </w:rPr>
        <w:t>e.干燥：真空泵打开对内室进行抽真空，同时夹层保持一定的压力和温度，起到烘干内室的作用，干燥约12min后（可调节，在0-99min可以随意设定），排气阀和真空泵关闭，回空阀打开，使内室回复零压，程序转至结束阶段。</w:t>
      </w:r>
    </w:p>
    <w:p>
      <w:pPr>
        <w:pStyle w:val="130"/>
        <w:ind w:firstLine="480"/>
        <w:rPr>
          <w:color w:val="auto"/>
        </w:rPr>
      </w:pPr>
      <w:r>
        <w:rPr>
          <w:color w:val="auto"/>
        </w:rPr>
        <w:t>f.结束：蜂鸣器呼叫，此时可以打开门将灭菌车推出。</w:t>
      </w:r>
    </w:p>
    <w:p>
      <w:pPr>
        <w:pStyle w:val="130"/>
        <w:ind w:firstLine="480"/>
        <w:rPr>
          <w:color w:val="auto"/>
        </w:rPr>
      </w:pPr>
      <w:r>
        <w:rPr>
          <w:color w:val="auto"/>
        </w:rPr>
        <w:t>在对废物进行灭菌处理的同时，灭菌过程中产生的废气、废水也同步进行了无害化处理。其中废水无需二次处理装置，便能实现无菌排放。</w:t>
      </w:r>
    </w:p>
    <w:p>
      <w:pPr>
        <w:pStyle w:val="130"/>
        <w:ind w:firstLine="480"/>
        <w:rPr>
          <w:color w:val="auto"/>
        </w:rPr>
      </w:pPr>
      <w:r>
        <w:rPr>
          <w:color w:val="auto"/>
        </w:rPr>
        <w:t>（4）出料：灭菌处理结束后，后门自动开启，推出灭菌车至卸料机料斗内，由其将废物倒入破碎机进行破碎处理。</w:t>
      </w:r>
    </w:p>
    <w:p>
      <w:pPr>
        <w:pStyle w:val="130"/>
        <w:ind w:firstLine="480"/>
        <w:rPr>
          <w:color w:val="auto"/>
        </w:rPr>
      </w:pPr>
      <w:r>
        <w:rPr>
          <w:color w:val="auto"/>
        </w:rPr>
        <w:t>（5）破碎处理：将灭菌后的废物进行毁形处理。</w:t>
      </w:r>
    </w:p>
    <w:p>
      <w:pPr>
        <w:pStyle w:val="130"/>
        <w:ind w:firstLine="480"/>
        <w:rPr>
          <w:color w:val="auto"/>
        </w:rPr>
      </w:pPr>
      <w:r>
        <w:rPr>
          <w:color w:val="auto"/>
        </w:rPr>
        <w:t>（6）传送收集：破碎毁形后的医疗废物由密闭传送机输送到垃圾运输车内，最后废物由运输车运送至填埋场填埋。</w:t>
      </w:r>
    </w:p>
    <w:p>
      <w:pPr>
        <w:pStyle w:val="5"/>
        <w:numPr>
          <w:ilvl w:val="2"/>
          <w:numId w:val="0"/>
        </w:numPr>
        <w:ind w:left="-720" w:leftChars="-343" w:firstLine="723" w:firstLineChars="300"/>
        <w:rPr>
          <w:color w:val="auto"/>
        </w:rPr>
      </w:pPr>
      <w:bookmarkStart w:id="170" w:name="_Toc109398566"/>
      <w:bookmarkStart w:id="171" w:name="_Toc58849411"/>
      <w:r>
        <w:rPr>
          <w:color w:val="auto"/>
        </w:rPr>
        <w:t>2.2.2现有工程医废运输车辆和周转箱消毒、清洗</w:t>
      </w:r>
      <w:bookmarkEnd w:id="170"/>
      <w:bookmarkEnd w:id="171"/>
    </w:p>
    <w:p>
      <w:pPr>
        <w:pStyle w:val="130"/>
        <w:ind w:firstLine="480"/>
        <w:rPr>
          <w:color w:val="auto"/>
        </w:rPr>
      </w:pPr>
      <w:r>
        <w:rPr>
          <w:color w:val="auto"/>
        </w:rPr>
        <w:t>医疗废物转运车进入汽车卸料区卸下周转箱后，进入车辆冲洗车间用二氧化氯水溶液进行喷洒消毒，约30min左右，然后再用清水喷洒清洗。医疗废物转运车每天收集转运后进行清洗消毒。当车厢内壁或外表面被污染及运输车辆每次运输完毕后，必须对车厢内壁和外表面进行清洗消毒。空周转箱被送到消毒间，周转箱消毒亦采用喷洒消毒液方式，空箱喷洒消毒液后静置30min，消毒后用周转箱清洗系统对周转箱进行清洗，清洗后的空箱最后被送到堆置库晾干备用。</w:t>
      </w:r>
    </w:p>
    <w:p>
      <w:pPr>
        <w:pStyle w:val="5"/>
        <w:numPr>
          <w:ilvl w:val="2"/>
          <w:numId w:val="0"/>
        </w:numPr>
        <w:ind w:left="-720" w:leftChars="-343" w:firstLine="723" w:firstLineChars="300"/>
        <w:rPr>
          <w:color w:val="auto"/>
        </w:rPr>
      </w:pPr>
      <w:bookmarkStart w:id="172" w:name="_Toc109398567"/>
      <w:bookmarkStart w:id="173" w:name="_Toc58849412"/>
      <w:r>
        <w:rPr>
          <w:color w:val="auto"/>
        </w:rPr>
        <w:t>2.2.3现有工程产污节点</w:t>
      </w:r>
      <w:bookmarkEnd w:id="172"/>
      <w:bookmarkEnd w:id="173"/>
    </w:p>
    <w:p>
      <w:pPr>
        <w:pStyle w:val="130"/>
        <w:ind w:firstLine="480"/>
        <w:rPr>
          <w:color w:val="auto"/>
        </w:rPr>
      </w:pPr>
      <w:r>
        <w:rPr>
          <w:color w:val="auto"/>
        </w:rPr>
        <w:t>1、废水</w:t>
      </w:r>
    </w:p>
    <w:p>
      <w:pPr>
        <w:pStyle w:val="130"/>
        <w:ind w:firstLine="480"/>
        <w:rPr>
          <w:color w:val="auto"/>
        </w:rPr>
      </w:pPr>
      <w:r>
        <w:rPr>
          <w:color w:val="auto"/>
        </w:rPr>
        <w:t>生产废水（车辆、周转箱、场地清洗消毒废水及高温灭菌装置排水）排放量为4.9</w:t>
      </w:r>
      <w:r>
        <w:rPr>
          <w:rFonts w:hint="eastAsia"/>
          <w:color w:val="auto"/>
        </w:rPr>
        <w:t>4</w:t>
      </w:r>
      <w:r>
        <w:rPr>
          <w:color w:val="auto"/>
        </w:rPr>
        <w:t>m</w:t>
      </w:r>
      <w:r>
        <w:rPr>
          <w:color w:val="auto"/>
          <w:vertAlign w:val="superscript"/>
        </w:rPr>
        <w:t>3</w:t>
      </w:r>
      <w:r>
        <w:rPr>
          <w:color w:val="auto"/>
        </w:rPr>
        <w:t>/d，16</w:t>
      </w:r>
      <w:r>
        <w:rPr>
          <w:rFonts w:hint="eastAsia"/>
          <w:color w:val="auto"/>
        </w:rPr>
        <w:t>30.2</w:t>
      </w:r>
      <w:r>
        <w:rPr>
          <w:color w:val="auto"/>
        </w:rPr>
        <w:t>m</w:t>
      </w:r>
      <w:r>
        <w:rPr>
          <w:color w:val="auto"/>
          <w:vertAlign w:val="superscript"/>
        </w:rPr>
        <w:t>3</w:t>
      </w:r>
      <w:r>
        <w:rPr>
          <w:color w:val="auto"/>
        </w:rPr>
        <w:t>/a，生活污水产生量为</w:t>
      </w:r>
      <w:r>
        <w:rPr>
          <w:rFonts w:hint="eastAsia"/>
          <w:color w:val="auto"/>
        </w:rPr>
        <w:t>1.94</w:t>
      </w:r>
      <w:r>
        <w:rPr>
          <w:color w:val="auto"/>
        </w:rPr>
        <w:t>m</w:t>
      </w:r>
      <w:r>
        <w:rPr>
          <w:color w:val="auto"/>
          <w:vertAlign w:val="superscript"/>
        </w:rPr>
        <w:t>3</w:t>
      </w:r>
      <w:r>
        <w:rPr>
          <w:color w:val="auto"/>
        </w:rPr>
        <w:t>/d，</w:t>
      </w:r>
      <w:r>
        <w:rPr>
          <w:rFonts w:hint="eastAsia"/>
          <w:color w:val="auto"/>
        </w:rPr>
        <w:t>638.88</w:t>
      </w:r>
      <w:r>
        <w:rPr>
          <w:color w:val="auto"/>
        </w:rPr>
        <w:t>m</w:t>
      </w:r>
      <w:r>
        <w:rPr>
          <w:color w:val="auto"/>
          <w:vertAlign w:val="superscript"/>
        </w:rPr>
        <w:t>3</w:t>
      </w:r>
      <w:r>
        <w:rPr>
          <w:color w:val="auto"/>
        </w:rPr>
        <w:t>/a，废水产生总量为</w:t>
      </w:r>
      <w:r>
        <w:rPr>
          <w:rFonts w:hint="eastAsia"/>
          <w:color w:val="auto"/>
        </w:rPr>
        <w:t>6.88</w:t>
      </w:r>
      <w:r>
        <w:rPr>
          <w:color w:val="auto"/>
        </w:rPr>
        <w:t>m</w:t>
      </w:r>
      <w:r>
        <w:rPr>
          <w:color w:val="auto"/>
          <w:vertAlign w:val="superscript"/>
        </w:rPr>
        <w:t>3</w:t>
      </w:r>
      <w:r>
        <w:rPr>
          <w:color w:val="auto"/>
        </w:rPr>
        <w:t>/d，</w:t>
      </w:r>
      <w:r>
        <w:rPr>
          <w:rFonts w:hint="eastAsia"/>
          <w:color w:val="auto"/>
        </w:rPr>
        <w:t>2269.08</w:t>
      </w:r>
      <w:r>
        <w:rPr>
          <w:color w:val="auto"/>
        </w:rPr>
        <w:t>m</w:t>
      </w:r>
      <w:r>
        <w:rPr>
          <w:color w:val="auto"/>
          <w:vertAlign w:val="superscript"/>
        </w:rPr>
        <w:t>3</w:t>
      </w:r>
      <w:r>
        <w:rPr>
          <w:color w:val="auto"/>
        </w:rPr>
        <w:t>/a，经化粪池和隔油池处理后由吸污车送至中卫市生活垃圾填埋场污水处理站调蓄池内。</w:t>
      </w:r>
    </w:p>
    <w:p>
      <w:pPr>
        <w:pStyle w:val="130"/>
        <w:ind w:firstLine="480"/>
        <w:rPr>
          <w:color w:val="auto"/>
          <w:lang w:val="zh-CN"/>
        </w:rPr>
      </w:pPr>
      <w:r>
        <w:rPr>
          <w:color w:val="auto"/>
          <w:lang w:val="zh-CN"/>
        </w:rPr>
        <w:t>2、废气</w:t>
      </w:r>
    </w:p>
    <w:p>
      <w:pPr>
        <w:pStyle w:val="130"/>
        <w:ind w:firstLine="480"/>
        <w:rPr>
          <w:color w:val="auto"/>
        </w:rPr>
      </w:pPr>
      <w:r>
        <w:rPr>
          <w:color w:val="auto"/>
        </w:rPr>
        <w:t>主要为燃煤锅炉废气、医疗废物贮存废气和高压蒸汽灭菌反应器产生的废气，燃煤锅炉废气通过15m高排气筒排放，医疗废物暂存间和高压蒸汽灭菌反应器产生的废气经冷凝后，尾气采用“高效生物过滤器＋活性炭吸附”处理后通过7m排气筒排放。</w:t>
      </w:r>
    </w:p>
    <w:p>
      <w:pPr>
        <w:pStyle w:val="130"/>
        <w:ind w:firstLine="480"/>
        <w:rPr>
          <w:color w:val="auto"/>
          <w:lang w:val="zh-CN"/>
        </w:rPr>
      </w:pPr>
      <w:r>
        <w:rPr>
          <w:color w:val="auto"/>
        </w:rPr>
        <w:t>3、噪声</w:t>
      </w:r>
    </w:p>
    <w:p>
      <w:pPr>
        <w:pStyle w:val="130"/>
        <w:ind w:firstLine="480"/>
        <w:rPr>
          <w:color w:val="auto"/>
          <w:lang w:val="zh-CN"/>
        </w:rPr>
      </w:pPr>
      <w:r>
        <w:rPr>
          <w:color w:val="auto"/>
        </w:rPr>
        <w:t>项目噪声源于各种风机、水泵和空气压缩机、破碎机、制冷机组产生的设备噪声，采用消声</w:t>
      </w:r>
      <w:r>
        <w:rPr>
          <w:color w:val="auto"/>
        </w:rPr>
        <w:tab/>
      </w:r>
      <w:r>
        <w:rPr>
          <w:color w:val="auto"/>
        </w:rPr>
        <w:t>、减振、密闭式隔声厂房综合降噪措施。</w:t>
      </w:r>
    </w:p>
    <w:p>
      <w:pPr>
        <w:pStyle w:val="130"/>
        <w:ind w:firstLine="480"/>
        <w:rPr>
          <w:color w:val="auto"/>
        </w:rPr>
      </w:pPr>
      <w:r>
        <w:rPr>
          <w:color w:val="auto"/>
        </w:rPr>
        <w:t>4、固体废物</w:t>
      </w:r>
    </w:p>
    <w:p>
      <w:pPr>
        <w:pStyle w:val="130"/>
        <w:ind w:firstLine="480"/>
        <w:rPr>
          <w:color w:val="auto"/>
        </w:rPr>
      </w:pPr>
      <w:r>
        <w:rPr>
          <w:color w:val="auto"/>
        </w:rPr>
        <w:t>固体废弃物主要为经高温灭菌处理后的医疗废物、报废周转箱、废活性炭、废滤芯和职工生活垃圾，其中灭菌处理后的医疗废物和生活垃圾，送中卫市生活垃圾填埋场卫生填埋；报废周转箱经高温蒸汽灭菌处理后送中卫市生活垃圾填埋场填埋；废滤芯和废活性炭收集后委托宁夏德坤环保科技实业集团有限公司处置。</w:t>
      </w:r>
    </w:p>
    <w:p>
      <w:pPr>
        <w:pStyle w:val="130"/>
        <w:ind w:firstLine="480"/>
        <w:rPr>
          <w:color w:val="auto"/>
        </w:rPr>
      </w:pPr>
      <w:r>
        <w:rPr>
          <w:color w:val="auto"/>
        </w:rPr>
        <w:t>1、灭菌处理后的医疗废物：灭菌处理后的医疗废物产生量约912.4t/a，送入中卫市生活垃圾填埋场卫生填埋。</w:t>
      </w:r>
    </w:p>
    <w:p>
      <w:pPr>
        <w:pStyle w:val="130"/>
        <w:ind w:firstLine="480"/>
        <w:rPr>
          <w:color w:val="auto"/>
        </w:rPr>
      </w:pPr>
      <w:r>
        <w:rPr>
          <w:color w:val="auto"/>
        </w:rPr>
        <w:t>2、报废周转箱：产生量约0.005t/a（5个/a），经高温蒸汽灭菌处理后，送入中卫市生活垃圾填埋场卫生填埋。</w:t>
      </w:r>
    </w:p>
    <w:p>
      <w:pPr>
        <w:pStyle w:val="130"/>
        <w:ind w:firstLine="480"/>
        <w:rPr>
          <w:color w:val="auto"/>
        </w:rPr>
      </w:pPr>
      <w:r>
        <w:rPr>
          <w:color w:val="auto"/>
        </w:rPr>
        <w:t>3、废滤芯：灭菌器尾气处理装置滤芯使用周期为</w:t>
      </w:r>
      <w:r>
        <w:rPr>
          <w:color w:val="auto"/>
        </w:rPr>
        <w:tab/>
      </w:r>
      <w:r>
        <w:rPr>
          <w:color w:val="auto"/>
        </w:rPr>
        <w:t>1年，产生量约0.04t/a，收集后委托宁夏德坤环保科技实业集团有限公司处置。</w:t>
      </w:r>
    </w:p>
    <w:p>
      <w:pPr>
        <w:pStyle w:val="130"/>
        <w:ind w:firstLine="480"/>
        <w:rPr>
          <w:color w:val="auto"/>
        </w:rPr>
      </w:pPr>
      <w:r>
        <w:rPr>
          <w:color w:val="auto"/>
        </w:rPr>
        <w:t>4、废活性炭：废活性炭产生量为</w:t>
      </w:r>
      <w:r>
        <w:rPr>
          <w:rFonts w:hint="eastAsia"/>
          <w:color w:val="auto"/>
        </w:rPr>
        <w:t>0</w:t>
      </w:r>
      <w:r>
        <w:rPr>
          <w:color w:val="auto"/>
        </w:rPr>
        <w:t>.02t/a，收集后委托宁夏德坤环保科技实业集团有限公司处置。</w:t>
      </w:r>
    </w:p>
    <w:p>
      <w:pPr>
        <w:pStyle w:val="130"/>
        <w:ind w:firstLine="480"/>
        <w:rPr>
          <w:color w:val="auto"/>
        </w:rPr>
      </w:pPr>
      <w:r>
        <w:rPr>
          <w:color w:val="auto"/>
        </w:rPr>
        <w:t>5、生活垃圾产生量约</w:t>
      </w:r>
      <w:r>
        <w:rPr>
          <w:color w:val="auto"/>
        </w:rPr>
        <w:tab/>
      </w:r>
      <w:r>
        <w:rPr>
          <w:color w:val="auto"/>
        </w:rPr>
        <w:t>6.6t/d（0.02t/d），送入中卫市生活垃圾填埋场卫生填埋。</w:t>
      </w:r>
    </w:p>
    <w:p>
      <w:pPr>
        <w:pStyle w:val="4"/>
        <w:numPr>
          <w:ilvl w:val="1"/>
          <w:numId w:val="0"/>
        </w:numPr>
        <w:spacing w:before="120"/>
        <w:rPr>
          <w:color w:val="auto"/>
        </w:rPr>
      </w:pPr>
      <w:bookmarkStart w:id="174" w:name="_Toc58849413"/>
      <w:bookmarkStart w:id="175" w:name="_Toc109398568"/>
      <w:r>
        <w:rPr>
          <w:color w:val="auto"/>
        </w:rPr>
        <w:t>2.3现有工程项目环评及验收落实情况</w:t>
      </w:r>
      <w:bookmarkEnd w:id="174"/>
      <w:bookmarkEnd w:id="175"/>
    </w:p>
    <w:p>
      <w:pPr>
        <w:pStyle w:val="130"/>
        <w:ind w:firstLine="480"/>
        <w:rPr>
          <w:color w:val="auto"/>
        </w:rPr>
      </w:pPr>
      <w:r>
        <w:rPr>
          <w:color w:val="auto"/>
        </w:rPr>
        <w:t>中卫市垃圾处理厂于2006年8月委托宁夏环境科学研究院完成《宁夏回族自治区中卫市医疗废物集中处置设施建设项目环境影响评价报告书》，同年12月宁夏回族自治区环境保护局（现为宁夏回族自治区生态环境厅）以宁环函[2006]285号文批复通过现有工程。2010年10月项目竣工，处理设施运行正常，具备建设项目竣工环境保护验收条件。宁夏环境监测中心站会同项目相关人员对建设项目进行现场勘察，在收集相关技术资料的基础上，编制本项目竣工环境保护验收监测方案。2011年11月至12月宁夏环境监测中心站对建设项目生产过程产生的废水、废气、厂界噪声开展现场监测，对“三同时”执行情况及环境管理的各个坏节进行了检查，经数据处理及综合分析、评价，验收合格，并取得批复（宁环验[2012]47号）。</w:t>
      </w:r>
    </w:p>
    <w:p>
      <w:pPr>
        <w:pStyle w:val="4"/>
        <w:numPr>
          <w:ilvl w:val="1"/>
          <w:numId w:val="0"/>
        </w:numPr>
        <w:spacing w:before="120"/>
        <w:rPr>
          <w:color w:val="auto"/>
        </w:rPr>
      </w:pPr>
      <w:bookmarkStart w:id="176" w:name="_Toc58849414"/>
      <w:bookmarkStart w:id="177" w:name="_Toc109398569"/>
      <w:r>
        <w:rPr>
          <w:color w:val="auto"/>
        </w:rPr>
        <w:t>2.4现有工程项目污染物排放达标情况</w:t>
      </w:r>
      <w:bookmarkEnd w:id="176"/>
      <w:bookmarkEnd w:id="177"/>
    </w:p>
    <w:p>
      <w:pPr>
        <w:pStyle w:val="130"/>
        <w:ind w:firstLine="480"/>
        <w:rPr>
          <w:color w:val="auto"/>
        </w:rPr>
      </w:pPr>
      <w:r>
        <w:rPr>
          <w:color w:val="auto"/>
        </w:rPr>
        <w:t>依据《宁夏回族自治区中卫市医疗废物集中处置设施建设项目竣工环境保护验收监测报告》宁环监验（2011）第035号可知：</w:t>
      </w:r>
    </w:p>
    <w:p>
      <w:pPr>
        <w:pStyle w:val="130"/>
        <w:ind w:firstLine="480"/>
        <w:rPr>
          <w:color w:val="auto"/>
        </w:rPr>
      </w:pPr>
      <w:r>
        <w:rPr>
          <w:color w:val="auto"/>
        </w:rPr>
        <w:t>（1）废气</w:t>
      </w:r>
    </w:p>
    <w:p>
      <w:pPr>
        <w:pStyle w:val="130"/>
        <w:ind w:firstLine="480"/>
        <w:rPr>
          <w:color w:val="auto"/>
        </w:rPr>
      </w:pPr>
      <w:r>
        <w:rPr>
          <w:color w:val="auto"/>
        </w:rPr>
        <w:t>现有工程废气主要为燃煤锅炉废气和医疗废物暂存间和高压蒸汽灭菌反应器产生的恶臭气体，煤锅炉废气通过15m高排气筒排放，医疗废物暂存间和高压蒸汽灭菌反应器产生的废气经冷凝后，尾气采用“高效生物过滤器＋活性炭吸附”处理后通过7m排气筒排放。验收检测日期为2011年11月30-2011年</w:t>
      </w:r>
      <w:r>
        <w:rPr>
          <w:rFonts w:hint="eastAsia"/>
          <w:color w:val="auto"/>
          <w:lang w:val="en-US" w:eastAsia="zh-CN"/>
        </w:rPr>
        <w:t>12</w:t>
      </w:r>
      <w:r>
        <w:rPr>
          <w:color w:val="auto"/>
        </w:rPr>
        <w:t>月</w:t>
      </w:r>
      <w:r>
        <w:rPr>
          <w:rFonts w:hint="eastAsia"/>
          <w:color w:val="auto"/>
          <w:lang w:val="en-US" w:eastAsia="zh-CN"/>
        </w:rPr>
        <w:t>01</w:t>
      </w:r>
      <w:r>
        <w:rPr>
          <w:color w:val="auto"/>
        </w:rPr>
        <w:t>日，验收监测期间燃煤锅炉废气烟尘排放浓度为69.0~79.2mg/m</w:t>
      </w:r>
      <w:r>
        <w:rPr>
          <w:color w:val="auto"/>
          <w:vertAlign w:val="superscript"/>
        </w:rPr>
        <w:t>3</w:t>
      </w:r>
      <w:r>
        <w:rPr>
          <w:color w:val="auto"/>
        </w:rPr>
        <w:t>，SO</w:t>
      </w:r>
      <w:r>
        <w:rPr>
          <w:color w:val="auto"/>
          <w:vertAlign w:val="subscript"/>
        </w:rPr>
        <w:t>2</w:t>
      </w:r>
      <w:r>
        <w:rPr>
          <w:color w:val="auto"/>
        </w:rPr>
        <w:t>排放浓度为285~348mg/m</w:t>
      </w:r>
      <w:r>
        <w:rPr>
          <w:color w:val="auto"/>
          <w:vertAlign w:val="superscript"/>
        </w:rPr>
        <w:t>3</w:t>
      </w:r>
      <w:r>
        <w:rPr>
          <w:color w:val="auto"/>
        </w:rPr>
        <w:t>，排放满足验收期间《锅炉大气污染物排放标准》（GB13271-2001）2类区Ⅱ时段允许排放浓度要求，同时满足《锅炉大气污染物排放标准》（GB13271-2014）表1燃煤锅炉排放限值，验收期间未对燃煤锅炉排气筒氮氧化物排放浓度进行检测，因现有工程燃煤锅炉已停用，本次环评期间未对燃煤锅炉排气筒浓度进一步进行检测。根据《</w:t>
      </w:r>
      <w:r>
        <w:rPr>
          <w:rFonts w:hint="eastAsia"/>
          <w:color w:val="auto"/>
        </w:rPr>
        <w:t>中卫市生态环境保护“十四五”规划</w:t>
      </w:r>
      <w:r>
        <w:rPr>
          <w:color w:val="auto"/>
        </w:rPr>
        <w:t>》，</w:t>
      </w:r>
      <w:r>
        <w:rPr>
          <w:rFonts w:hint="eastAsia"/>
          <w:color w:val="auto"/>
        </w:rPr>
        <w:t>城市建成区、集中供热覆盖区及天然气管网覆盖区一律禁止新建燃煤锅炉，逐步淘汰35蒸吨/小时及以下燃煤锅炉</w:t>
      </w:r>
      <w:r>
        <w:rPr>
          <w:color w:val="auto"/>
        </w:rPr>
        <w:t>，本项目拟将现有燃煤锅炉拆除，改用电锅炉。厂界H</w:t>
      </w:r>
      <w:r>
        <w:rPr>
          <w:color w:val="auto"/>
          <w:vertAlign w:val="subscript"/>
        </w:rPr>
        <w:t>2</w:t>
      </w:r>
      <w:r>
        <w:rPr>
          <w:color w:val="auto"/>
        </w:rPr>
        <w:t>S浓度范围为0.001~0.004mg/m</w:t>
      </w:r>
      <w:r>
        <w:rPr>
          <w:color w:val="auto"/>
          <w:vertAlign w:val="superscript"/>
        </w:rPr>
        <w:t>3</w:t>
      </w:r>
      <w:r>
        <w:rPr>
          <w:color w:val="auto"/>
        </w:rPr>
        <w:t>，NH</w:t>
      </w:r>
      <w:r>
        <w:rPr>
          <w:color w:val="auto"/>
          <w:vertAlign w:val="subscript"/>
        </w:rPr>
        <w:t>3</w:t>
      </w:r>
      <w:r>
        <w:rPr>
          <w:color w:val="auto"/>
        </w:rPr>
        <w:t>浓度范围为0.022~0.081mg/m</w:t>
      </w:r>
      <w:r>
        <w:rPr>
          <w:color w:val="auto"/>
          <w:vertAlign w:val="superscript"/>
        </w:rPr>
        <w:t>3</w:t>
      </w:r>
      <w:r>
        <w:rPr>
          <w:color w:val="auto"/>
        </w:rPr>
        <w:t>，符合《恶臭污染物排放标准》（GB14554-93）二级标准。</w:t>
      </w:r>
    </w:p>
    <w:p>
      <w:pPr>
        <w:pStyle w:val="130"/>
        <w:ind w:firstLine="480"/>
        <w:rPr>
          <w:color w:val="auto"/>
        </w:rPr>
      </w:pPr>
      <w:r>
        <w:rPr>
          <w:color w:val="auto"/>
        </w:rPr>
        <w:t>2019年12月7日宁夏华正检测技术有限公司对厂区H</w:t>
      </w:r>
      <w:r>
        <w:rPr>
          <w:color w:val="auto"/>
          <w:vertAlign w:val="subscript"/>
        </w:rPr>
        <w:t>2</w:t>
      </w:r>
      <w:r>
        <w:rPr>
          <w:color w:val="auto"/>
        </w:rPr>
        <w:t>S、NH</w:t>
      </w:r>
      <w:r>
        <w:rPr>
          <w:color w:val="auto"/>
          <w:vertAlign w:val="subscript"/>
        </w:rPr>
        <w:t>3</w:t>
      </w:r>
      <w:r>
        <w:rPr>
          <w:color w:val="auto"/>
        </w:rPr>
        <w:t>进行监测，监测结果表明H</w:t>
      </w:r>
      <w:r>
        <w:rPr>
          <w:color w:val="auto"/>
          <w:vertAlign w:val="subscript"/>
        </w:rPr>
        <w:t>2</w:t>
      </w:r>
      <w:r>
        <w:rPr>
          <w:color w:val="auto"/>
        </w:rPr>
        <w:t>S浓度范围为0.002~0.003mg/m</w:t>
      </w:r>
      <w:r>
        <w:rPr>
          <w:color w:val="auto"/>
          <w:vertAlign w:val="superscript"/>
        </w:rPr>
        <w:t>3</w:t>
      </w:r>
      <w:r>
        <w:rPr>
          <w:color w:val="auto"/>
        </w:rPr>
        <w:t>、NH</w:t>
      </w:r>
      <w:r>
        <w:rPr>
          <w:color w:val="auto"/>
          <w:vertAlign w:val="subscript"/>
        </w:rPr>
        <w:t>3</w:t>
      </w:r>
      <w:r>
        <w:rPr>
          <w:color w:val="auto"/>
        </w:rPr>
        <w:t>浓度范围为0.08~0.09mg/m</w:t>
      </w:r>
      <w:r>
        <w:rPr>
          <w:color w:val="auto"/>
          <w:vertAlign w:val="superscript"/>
        </w:rPr>
        <w:t>3</w:t>
      </w:r>
      <w:r>
        <w:rPr>
          <w:color w:val="auto"/>
        </w:rPr>
        <w:t>，符合《恶臭污染物排放标准》（GB14554-93）二级标准。</w:t>
      </w:r>
    </w:p>
    <w:p>
      <w:pPr>
        <w:pStyle w:val="118"/>
        <w:ind w:firstLine="480"/>
        <w:rPr>
          <w:color w:val="auto"/>
        </w:rPr>
      </w:pPr>
      <w:r>
        <w:rPr>
          <w:rFonts w:hint="eastAsia"/>
          <w:color w:val="auto"/>
        </w:rPr>
        <w:t>验收期间未对医疗废物暂存间和高压蒸汽灭菌反应器产生的废气经冷凝后，采用“高效生物过滤器＋活性炭吸附”处理后通过7m排气筒排放废气进行检测，现状现有工程高温蒸煮废气经“高效生物过滤器＋活性炭吸附”处理后进入扩建项目“碱洗喷淋+等离子+活性炭”工艺处理，然后通过15m高排气筒排放。</w:t>
      </w:r>
      <w:r>
        <w:rPr>
          <w:color w:val="auto"/>
        </w:rPr>
        <w:t>宁夏中科精科检测技术有限公司于2021年12月21日-12月22日对项目碱洗喷淋+等离子+活性炭废气处理装置进出口废气进行了现场检测（检测报告见附件10）</w:t>
      </w:r>
      <w:r>
        <w:rPr>
          <w:rFonts w:hint="eastAsia"/>
          <w:color w:val="auto"/>
        </w:rPr>
        <w:t>，由检测结果可以看出，高温蒸煮废气中</w:t>
      </w:r>
      <w:r>
        <w:rPr>
          <w:color w:val="auto"/>
        </w:rPr>
        <w:t>臭气浓度、氨气、硫化氢排放速率满足《恶臭污染物排放标准》（GB14554-93）表2标准限值要求，非甲烷总烃排放浓度满足《医疗废物处理处置污染控制标准》（GB39707-2020）中表3消毒处理设施排放废气污染物浓度限值，颗粒物排放浓度、速率满足《大气污染物综合排放标准》（GB16297-1996）表2的二级标准限值要求，可以达标排放。</w:t>
      </w:r>
    </w:p>
    <w:p>
      <w:pPr>
        <w:pStyle w:val="130"/>
        <w:ind w:firstLine="480"/>
        <w:rPr>
          <w:color w:val="auto"/>
        </w:rPr>
      </w:pPr>
      <w:r>
        <w:rPr>
          <w:color w:val="auto"/>
        </w:rPr>
        <w:t>（2）废水</w:t>
      </w:r>
    </w:p>
    <w:p>
      <w:pPr>
        <w:pStyle w:val="417"/>
        <w:ind w:firstLine="480"/>
        <w:rPr>
          <w:rFonts w:cs="Times New Roman"/>
          <w:color w:val="auto"/>
        </w:rPr>
      </w:pPr>
      <w:r>
        <w:rPr>
          <w:rFonts w:cs="Times New Roman"/>
          <w:color w:val="auto"/>
        </w:rPr>
        <w:t>现有工程生产废水排入隔油池后自流至化粪池；生活污水直接排至化粪池，化粪池满后用吸污车运送至中卫市生活垃圾填埋场的渗滤液调蓄池。环评验收检测日期为2011年11月30日-2011年</w:t>
      </w:r>
      <w:r>
        <w:rPr>
          <w:rFonts w:hint="eastAsia" w:cs="Times New Roman"/>
          <w:color w:val="auto"/>
          <w:lang w:val="en-US" w:eastAsia="zh-CN"/>
        </w:rPr>
        <w:t>12</w:t>
      </w:r>
      <w:r>
        <w:rPr>
          <w:rFonts w:cs="Times New Roman"/>
          <w:color w:val="auto"/>
        </w:rPr>
        <w:t>月</w:t>
      </w:r>
      <w:r>
        <w:rPr>
          <w:rFonts w:hint="eastAsia" w:cs="Times New Roman"/>
          <w:color w:val="auto"/>
          <w:lang w:val="en-US" w:eastAsia="zh-CN"/>
        </w:rPr>
        <w:t>01</w:t>
      </w:r>
      <w:bookmarkStart w:id="898" w:name="_GoBack"/>
      <w:bookmarkEnd w:id="898"/>
      <w:r>
        <w:rPr>
          <w:rFonts w:cs="Times New Roman"/>
          <w:color w:val="auto"/>
        </w:rPr>
        <w:t>日，验收监测期间，化粪池出水CODcr、悬浮物、氨氮两天的日均值分别为</w:t>
      </w:r>
      <w:r>
        <w:rPr>
          <w:rFonts w:cs="Times New Roman"/>
          <w:color w:val="auto"/>
        </w:rPr>
        <w:tab/>
      </w:r>
      <w:r>
        <w:rPr>
          <w:rFonts w:cs="Times New Roman"/>
          <w:color w:val="auto"/>
        </w:rPr>
        <w:t>28mg/L、51mg/L、0.047mg/L。满足中卫市生活垃圾填埋场污水处理设置进水指标。</w:t>
      </w:r>
    </w:p>
    <w:p>
      <w:pPr>
        <w:pStyle w:val="130"/>
        <w:ind w:firstLine="480"/>
        <w:rPr>
          <w:color w:val="auto"/>
        </w:rPr>
      </w:pPr>
      <w:r>
        <w:rPr>
          <w:color w:val="auto"/>
        </w:rPr>
        <w:t>同时根据宁夏城市供水水质监测网中卫监测站2020年3月-2020年7月对中卫市垃圾填埋场渗滤液处理车间出口水质的检验监测报告可知，出口水质满足《中卫市生活垃圾填埋场污染控制标准》（GB16889-2008），未对出水水质造成影响，水质检测结果详见下表。</w:t>
      </w:r>
    </w:p>
    <w:p>
      <w:pPr>
        <w:pStyle w:val="114"/>
        <w:spacing w:before="0" w:beforeLines="0"/>
        <w:rPr>
          <w:color w:val="auto"/>
        </w:rPr>
      </w:pPr>
      <w:r>
        <w:rPr>
          <w:color w:val="auto"/>
        </w:rPr>
        <w:t>表2.4-1  中卫市垃圾填埋场渗滤液处理车间出口水质检测结果一览表</w:t>
      </w:r>
    </w:p>
    <w:tbl>
      <w:tblPr>
        <w:tblStyle w:val="75"/>
        <w:tblW w:w="872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74"/>
        <w:gridCol w:w="783"/>
        <w:gridCol w:w="1046"/>
        <w:gridCol w:w="1046"/>
        <w:gridCol w:w="1046"/>
        <w:gridCol w:w="1046"/>
        <w:gridCol w:w="1048"/>
        <w:gridCol w:w="12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474" w:type="dxa"/>
            <w:vMerge w:val="restart"/>
            <w:vAlign w:val="center"/>
          </w:tcPr>
          <w:p>
            <w:pPr>
              <w:pStyle w:val="164"/>
              <w:rPr>
                <w:color w:val="auto"/>
              </w:rPr>
            </w:pPr>
            <w:r>
              <w:rPr>
                <w:color w:val="auto"/>
              </w:rPr>
              <w:t>监测项目</w:t>
            </w:r>
          </w:p>
        </w:tc>
        <w:tc>
          <w:tcPr>
            <w:tcW w:w="783" w:type="dxa"/>
            <w:vMerge w:val="restart"/>
            <w:vAlign w:val="center"/>
          </w:tcPr>
          <w:p>
            <w:pPr>
              <w:pStyle w:val="164"/>
              <w:rPr>
                <w:color w:val="auto"/>
              </w:rPr>
            </w:pPr>
            <w:r>
              <w:rPr>
                <w:color w:val="auto"/>
              </w:rPr>
              <w:t>单位</w:t>
            </w:r>
          </w:p>
        </w:tc>
        <w:tc>
          <w:tcPr>
            <w:tcW w:w="5232" w:type="dxa"/>
            <w:gridSpan w:val="5"/>
            <w:vAlign w:val="center"/>
          </w:tcPr>
          <w:p>
            <w:pPr>
              <w:pStyle w:val="164"/>
              <w:rPr>
                <w:color w:val="auto"/>
              </w:rPr>
            </w:pPr>
            <w:r>
              <w:rPr>
                <w:color w:val="auto"/>
              </w:rPr>
              <w:t>检验结果</w:t>
            </w:r>
          </w:p>
        </w:tc>
        <w:tc>
          <w:tcPr>
            <w:tcW w:w="1231" w:type="dxa"/>
            <w:vMerge w:val="restart"/>
            <w:vAlign w:val="center"/>
          </w:tcPr>
          <w:p>
            <w:pPr>
              <w:pStyle w:val="164"/>
              <w:rPr>
                <w:color w:val="auto"/>
              </w:rPr>
            </w:pPr>
            <w:r>
              <w:rPr>
                <w:color w:val="auto"/>
              </w:rPr>
              <w:t>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474" w:type="dxa"/>
            <w:vMerge w:val="continue"/>
            <w:vAlign w:val="center"/>
          </w:tcPr>
          <w:p>
            <w:pPr>
              <w:pStyle w:val="164"/>
              <w:rPr>
                <w:color w:val="auto"/>
              </w:rPr>
            </w:pPr>
          </w:p>
        </w:tc>
        <w:tc>
          <w:tcPr>
            <w:tcW w:w="783" w:type="dxa"/>
            <w:vMerge w:val="continue"/>
            <w:vAlign w:val="center"/>
          </w:tcPr>
          <w:p>
            <w:pPr>
              <w:pStyle w:val="164"/>
              <w:rPr>
                <w:color w:val="auto"/>
              </w:rPr>
            </w:pPr>
          </w:p>
        </w:tc>
        <w:tc>
          <w:tcPr>
            <w:tcW w:w="1046" w:type="dxa"/>
            <w:vAlign w:val="center"/>
          </w:tcPr>
          <w:p>
            <w:pPr>
              <w:pStyle w:val="164"/>
              <w:rPr>
                <w:color w:val="auto"/>
              </w:rPr>
            </w:pPr>
            <w:r>
              <w:rPr>
                <w:color w:val="auto"/>
              </w:rPr>
              <w:t>2020.3</w:t>
            </w:r>
          </w:p>
        </w:tc>
        <w:tc>
          <w:tcPr>
            <w:tcW w:w="1046" w:type="dxa"/>
            <w:vAlign w:val="center"/>
          </w:tcPr>
          <w:p>
            <w:pPr>
              <w:pStyle w:val="164"/>
              <w:rPr>
                <w:color w:val="auto"/>
              </w:rPr>
            </w:pPr>
            <w:r>
              <w:rPr>
                <w:color w:val="auto"/>
              </w:rPr>
              <w:t>2020.4</w:t>
            </w:r>
          </w:p>
        </w:tc>
        <w:tc>
          <w:tcPr>
            <w:tcW w:w="1046" w:type="dxa"/>
            <w:vAlign w:val="center"/>
          </w:tcPr>
          <w:p>
            <w:pPr>
              <w:pStyle w:val="164"/>
              <w:rPr>
                <w:color w:val="auto"/>
              </w:rPr>
            </w:pPr>
            <w:r>
              <w:rPr>
                <w:color w:val="auto"/>
              </w:rPr>
              <w:t>2020.5</w:t>
            </w:r>
          </w:p>
        </w:tc>
        <w:tc>
          <w:tcPr>
            <w:tcW w:w="1046" w:type="dxa"/>
            <w:vAlign w:val="center"/>
          </w:tcPr>
          <w:p>
            <w:pPr>
              <w:pStyle w:val="164"/>
              <w:rPr>
                <w:color w:val="auto"/>
              </w:rPr>
            </w:pPr>
            <w:r>
              <w:rPr>
                <w:color w:val="auto"/>
              </w:rPr>
              <w:t>2020.6</w:t>
            </w:r>
          </w:p>
        </w:tc>
        <w:tc>
          <w:tcPr>
            <w:tcW w:w="1048" w:type="dxa"/>
            <w:vAlign w:val="center"/>
          </w:tcPr>
          <w:p>
            <w:pPr>
              <w:pStyle w:val="164"/>
              <w:rPr>
                <w:color w:val="auto"/>
              </w:rPr>
            </w:pPr>
            <w:r>
              <w:rPr>
                <w:color w:val="auto"/>
              </w:rPr>
              <w:t>2020.7</w:t>
            </w:r>
          </w:p>
        </w:tc>
        <w:tc>
          <w:tcPr>
            <w:tcW w:w="1231" w:type="dxa"/>
            <w:vMerge w:val="continue"/>
            <w:vAlign w:val="center"/>
          </w:tcPr>
          <w:p>
            <w:pPr>
              <w:pStyle w:val="164"/>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色度</w:t>
            </w:r>
          </w:p>
        </w:tc>
        <w:tc>
          <w:tcPr>
            <w:tcW w:w="783" w:type="dxa"/>
            <w:vAlign w:val="center"/>
          </w:tcPr>
          <w:p>
            <w:pPr>
              <w:pStyle w:val="164"/>
              <w:rPr>
                <w:color w:val="auto"/>
              </w:rPr>
            </w:pPr>
            <w:r>
              <w:rPr>
                <w:color w:val="auto"/>
              </w:rPr>
              <w:t>倍</w:t>
            </w:r>
          </w:p>
        </w:tc>
        <w:tc>
          <w:tcPr>
            <w:tcW w:w="1046" w:type="dxa"/>
            <w:vAlign w:val="center"/>
          </w:tcPr>
          <w:p>
            <w:pPr>
              <w:pStyle w:val="164"/>
              <w:rPr>
                <w:color w:val="auto"/>
              </w:rPr>
            </w:pPr>
            <w:r>
              <w:rPr>
                <w:color w:val="auto"/>
              </w:rPr>
              <w:t>4</w:t>
            </w:r>
          </w:p>
        </w:tc>
        <w:tc>
          <w:tcPr>
            <w:tcW w:w="1046" w:type="dxa"/>
            <w:vAlign w:val="center"/>
          </w:tcPr>
          <w:p>
            <w:pPr>
              <w:pStyle w:val="164"/>
              <w:rPr>
                <w:color w:val="auto"/>
              </w:rPr>
            </w:pPr>
            <w:r>
              <w:rPr>
                <w:color w:val="auto"/>
              </w:rPr>
              <w:t>4</w:t>
            </w:r>
          </w:p>
        </w:tc>
        <w:tc>
          <w:tcPr>
            <w:tcW w:w="1046" w:type="dxa"/>
            <w:vAlign w:val="center"/>
          </w:tcPr>
          <w:p>
            <w:pPr>
              <w:pStyle w:val="164"/>
              <w:rPr>
                <w:color w:val="auto"/>
              </w:rPr>
            </w:pPr>
            <w:r>
              <w:rPr>
                <w:color w:val="auto"/>
              </w:rPr>
              <w:t>4</w:t>
            </w:r>
          </w:p>
        </w:tc>
        <w:tc>
          <w:tcPr>
            <w:tcW w:w="1046" w:type="dxa"/>
            <w:vAlign w:val="center"/>
          </w:tcPr>
          <w:p>
            <w:pPr>
              <w:pStyle w:val="164"/>
              <w:rPr>
                <w:color w:val="auto"/>
              </w:rPr>
            </w:pPr>
            <w:r>
              <w:rPr>
                <w:color w:val="auto"/>
              </w:rPr>
              <w:t>8</w:t>
            </w:r>
          </w:p>
        </w:tc>
        <w:tc>
          <w:tcPr>
            <w:tcW w:w="1048" w:type="dxa"/>
            <w:vAlign w:val="center"/>
          </w:tcPr>
          <w:p>
            <w:pPr>
              <w:pStyle w:val="164"/>
              <w:rPr>
                <w:color w:val="auto"/>
              </w:rPr>
            </w:pPr>
            <w:r>
              <w:rPr>
                <w:color w:val="auto"/>
              </w:rPr>
              <w:t>4</w:t>
            </w:r>
          </w:p>
        </w:tc>
        <w:tc>
          <w:tcPr>
            <w:tcW w:w="1231" w:type="dxa"/>
            <w:vAlign w:val="center"/>
          </w:tcPr>
          <w:p>
            <w:pPr>
              <w:pStyle w:val="164"/>
              <w:rPr>
                <w:color w:val="auto"/>
              </w:rPr>
            </w:pPr>
            <w:r>
              <w:rPr>
                <w:color w:val="auto"/>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悬浮物</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3</w:t>
            </w:r>
          </w:p>
        </w:tc>
        <w:tc>
          <w:tcPr>
            <w:tcW w:w="1046" w:type="dxa"/>
            <w:vAlign w:val="center"/>
          </w:tcPr>
          <w:p>
            <w:pPr>
              <w:pStyle w:val="164"/>
              <w:rPr>
                <w:color w:val="auto"/>
              </w:rPr>
            </w:pPr>
            <w:r>
              <w:rPr>
                <w:color w:val="auto"/>
              </w:rPr>
              <w:t>6</w:t>
            </w:r>
          </w:p>
        </w:tc>
        <w:tc>
          <w:tcPr>
            <w:tcW w:w="1046" w:type="dxa"/>
            <w:vAlign w:val="center"/>
          </w:tcPr>
          <w:p>
            <w:pPr>
              <w:pStyle w:val="164"/>
              <w:rPr>
                <w:color w:val="auto"/>
              </w:rPr>
            </w:pPr>
            <w:r>
              <w:rPr>
                <w:color w:val="auto"/>
              </w:rPr>
              <w:t>3</w:t>
            </w:r>
          </w:p>
        </w:tc>
        <w:tc>
          <w:tcPr>
            <w:tcW w:w="1046" w:type="dxa"/>
            <w:vAlign w:val="center"/>
          </w:tcPr>
          <w:p>
            <w:pPr>
              <w:pStyle w:val="164"/>
              <w:rPr>
                <w:color w:val="auto"/>
              </w:rPr>
            </w:pPr>
            <w:r>
              <w:rPr>
                <w:color w:val="auto"/>
              </w:rPr>
              <w:t>3</w:t>
            </w:r>
          </w:p>
        </w:tc>
        <w:tc>
          <w:tcPr>
            <w:tcW w:w="1048" w:type="dxa"/>
            <w:vAlign w:val="center"/>
          </w:tcPr>
          <w:p>
            <w:pPr>
              <w:pStyle w:val="164"/>
              <w:rPr>
                <w:color w:val="auto"/>
              </w:rPr>
            </w:pPr>
            <w:r>
              <w:rPr>
                <w:color w:val="auto"/>
              </w:rPr>
              <w:t>3</w:t>
            </w:r>
          </w:p>
        </w:tc>
        <w:tc>
          <w:tcPr>
            <w:tcW w:w="1231" w:type="dxa"/>
            <w:vAlign w:val="center"/>
          </w:tcPr>
          <w:p>
            <w:pPr>
              <w:pStyle w:val="164"/>
              <w:rPr>
                <w:color w:val="auto"/>
              </w:rPr>
            </w:pPr>
            <w:r>
              <w:rPr>
                <w:color w:val="auto"/>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总磷</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0.013</w:t>
            </w:r>
          </w:p>
        </w:tc>
        <w:tc>
          <w:tcPr>
            <w:tcW w:w="1046" w:type="dxa"/>
            <w:vAlign w:val="center"/>
          </w:tcPr>
          <w:p>
            <w:pPr>
              <w:pStyle w:val="164"/>
              <w:rPr>
                <w:color w:val="auto"/>
              </w:rPr>
            </w:pPr>
            <w:r>
              <w:rPr>
                <w:color w:val="auto"/>
              </w:rPr>
              <w:t>0.012</w:t>
            </w:r>
          </w:p>
        </w:tc>
        <w:tc>
          <w:tcPr>
            <w:tcW w:w="1046" w:type="dxa"/>
            <w:vAlign w:val="center"/>
          </w:tcPr>
          <w:p>
            <w:pPr>
              <w:pStyle w:val="164"/>
              <w:rPr>
                <w:color w:val="auto"/>
              </w:rPr>
            </w:pPr>
            <w:r>
              <w:rPr>
                <w:color w:val="auto"/>
              </w:rPr>
              <w:t>0.014</w:t>
            </w:r>
          </w:p>
        </w:tc>
        <w:tc>
          <w:tcPr>
            <w:tcW w:w="1046" w:type="dxa"/>
            <w:vAlign w:val="center"/>
          </w:tcPr>
          <w:p>
            <w:pPr>
              <w:pStyle w:val="164"/>
              <w:rPr>
                <w:color w:val="auto"/>
              </w:rPr>
            </w:pPr>
            <w:r>
              <w:rPr>
                <w:color w:val="auto"/>
              </w:rPr>
              <w:t>0.04</w:t>
            </w:r>
          </w:p>
        </w:tc>
        <w:tc>
          <w:tcPr>
            <w:tcW w:w="1048" w:type="dxa"/>
            <w:vAlign w:val="center"/>
          </w:tcPr>
          <w:p>
            <w:pPr>
              <w:pStyle w:val="164"/>
              <w:rPr>
                <w:color w:val="auto"/>
              </w:rPr>
            </w:pPr>
            <w:r>
              <w:rPr>
                <w:color w:val="auto"/>
              </w:rPr>
              <w:t>0.081</w:t>
            </w:r>
          </w:p>
        </w:tc>
        <w:tc>
          <w:tcPr>
            <w:tcW w:w="1231" w:type="dxa"/>
            <w:vAlign w:val="center"/>
          </w:tcPr>
          <w:p>
            <w:pPr>
              <w:pStyle w:val="164"/>
              <w:rPr>
                <w:color w:val="auto"/>
              </w:rPr>
            </w:pPr>
            <w:r>
              <w:rPr>
                <w:color w:val="auto"/>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化学需氧量</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18</w:t>
            </w:r>
          </w:p>
        </w:tc>
        <w:tc>
          <w:tcPr>
            <w:tcW w:w="1046" w:type="dxa"/>
            <w:vAlign w:val="center"/>
          </w:tcPr>
          <w:p>
            <w:pPr>
              <w:pStyle w:val="164"/>
              <w:rPr>
                <w:color w:val="auto"/>
              </w:rPr>
            </w:pPr>
            <w:r>
              <w:rPr>
                <w:color w:val="auto"/>
              </w:rPr>
              <w:t>16</w:t>
            </w:r>
          </w:p>
        </w:tc>
        <w:tc>
          <w:tcPr>
            <w:tcW w:w="1046" w:type="dxa"/>
            <w:vAlign w:val="center"/>
          </w:tcPr>
          <w:p>
            <w:pPr>
              <w:pStyle w:val="164"/>
              <w:rPr>
                <w:color w:val="auto"/>
              </w:rPr>
            </w:pPr>
            <w:r>
              <w:rPr>
                <w:color w:val="auto"/>
              </w:rPr>
              <w:t>18</w:t>
            </w:r>
          </w:p>
        </w:tc>
        <w:tc>
          <w:tcPr>
            <w:tcW w:w="1046" w:type="dxa"/>
            <w:vAlign w:val="center"/>
          </w:tcPr>
          <w:p>
            <w:pPr>
              <w:pStyle w:val="164"/>
              <w:rPr>
                <w:color w:val="auto"/>
              </w:rPr>
            </w:pPr>
            <w:r>
              <w:rPr>
                <w:color w:val="auto"/>
              </w:rPr>
              <w:t>20</w:t>
            </w:r>
          </w:p>
        </w:tc>
        <w:tc>
          <w:tcPr>
            <w:tcW w:w="1048" w:type="dxa"/>
            <w:vAlign w:val="center"/>
          </w:tcPr>
          <w:p>
            <w:pPr>
              <w:pStyle w:val="164"/>
              <w:rPr>
                <w:color w:val="auto"/>
              </w:rPr>
            </w:pPr>
            <w:r>
              <w:rPr>
                <w:color w:val="auto"/>
              </w:rPr>
              <w:t>19</w:t>
            </w:r>
          </w:p>
        </w:tc>
        <w:tc>
          <w:tcPr>
            <w:tcW w:w="1231" w:type="dxa"/>
            <w:vAlign w:val="center"/>
          </w:tcPr>
          <w:p>
            <w:pPr>
              <w:pStyle w:val="164"/>
              <w:rPr>
                <w:color w:val="auto"/>
              </w:rPr>
            </w:pPr>
            <w:r>
              <w:rPr>
                <w:color w:val="auto"/>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生化需氧量</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2.5</w:t>
            </w:r>
          </w:p>
        </w:tc>
        <w:tc>
          <w:tcPr>
            <w:tcW w:w="1046" w:type="dxa"/>
            <w:vAlign w:val="center"/>
          </w:tcPr>
          <w:p>
            <w:pPr>
              <w:pStyle w:val="164"/>
              <w:rPr>
                <w:color w:val="auto"/>
              </w:rPr>
            </w:pPr>
            <w:r>
              <w:rPr>
                <w:color w:val="auto"/>
              </w:rPr>
              <w:t>2.8</w:t>
            </w:r>
          </w:p>
        </w:tc>
        <w:tc>
          <w:tcPr>
            <w:tcW w:w="1046" w:type="dxa"/>
            <w:vAlign w:val="center"/>
          </w:tcPr>
          <w:p>
            <w:pPr>
              <w:pStyle w:val="164"/>
              <w:rPr>
                <w:color w:val="auto"/>
              </w:rPr>
            </w:pPr>
            <w:r>
              <w:rPr>
                <w:color w:val="auto"/>
              </w:rPr>
              <w:t>2.9</w:t>
            </w:r>
          </w:p>
        </w:tc>
        <w:tc>
          <w:tcPr>
            <w:tcW w:w="1046" w:type="dxa"/>
            <w:vAlign w:val="center"/>
          </w:tcPr>
          <w:p>
            <w:pPr>
              <w:pStyle w:val="164"/>
              <w:rPr>
                <w:color w:val="auto"/>
              </w:rPr>
            </w:pPr>
            <w:r>
              <w:rPr>
                <w:color w:val="auto"/>
              </w:rPr>
              <w:t>3.9</w:t>
            </w:r>
          </w:p>
        </w:tc>
        <w:tc>
          <w:tcPr>
            <w:tcW w:w="1048" w:type="dxa"/>
            <w:vAlign w:val="center"/>
          </w:tcPr>
          <w:p>
            <w:pPr>
              <w:pStyle w:val="164"/>
              <w:rPr>
                <w:color w:val="auto"/>
              </w:rPr>
            </w:pPr>
            <w:r>
              <w:rPr>
                <w:color w:val="auto"/>
              </w:rPr>
              <w:t>5.5</w:t>
            </w:r>
          </w:p>
        </w:tc>
        <w:tc>
          <w:tcPr>
            <w:tcW w:w="1231" w:type="dxa"/>
            <w:vAlign w:val="center"/>
          </w:tcPr>
          <w:p>
            <w:pPr>
              <w:pStyle w:val="164"/>
              <w:rPr>
                <w:color w:val="auto"/>
              </w:rPr>
            </w:pPr>
            <w:r>
              <w:rPr>
                <w:color w:val="auto"/>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六价铬</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0.004</w:t>
            </w:r>
          </w:p>
        </w:tc>
        <w:tc>
          <w:tcPr>
            <w:tcW w:w="1046" w:type="dxa"/>
            <w:vAlign w:val="center"/>
          </w:tcPr>
          <w:p>
            <w:pPr>
              <w:pStyle w:val="164"/>
              <w:rPr>
                <w:color w:val="auto"/>
              </w:rPr>
            </w:pPr>
            <w:r>
              <w:rPr>
                <w:color w:val="auto"/>
              </w:rPr>
              <w:t>0.01</w:t>
            </w:r>
          </w:p>
        </w:tc>
        <w:tc>
          <w:tcPr>
            <w:tcW w:w="1046" w:type="dxa"/>
            <w:vAlign w:val="center"/>
          </w:tcPr>
          <w:p>
            <w:pPr>
              <w:pStyle w:val="164"/>
              <w:rPr>
                <w:color w:val="auto"/>
              </w:rPr>
            </w:pPr>
            <w:r>
              <w:rPr>
                <w:color w:val="auto"/>
              </w:rPr>
              <w:t>0.005</w:t>
            </w:r>
          </w:p>
        </w:tc>
        <w:tc>
          <w:tcPr>
            <w:tcW w:w="1046" w:type="dxa"/>
            <w:vAlign w:val="center"/>
          </w:tcPr>
          <w:p>
            <w:pPr>
              <w:pStyle w:val="164"/>
              <w:rPr>
                <w:color w:val="auto"/>
              </w:rPr>
            </w:pPr>
            <w:r>
              <w:rPr>
                <w:color w:val="auto"/>
              </w:rPr>
              <w:t>0.004</w:t>
            </w:r>
          </w:p>
        </w:tc>
        <w:tc>
          <w:tcPr>
            <w:tcW w:w="1048" w:type="dxa"/>
            <w:vAlign w:val="center"/>
          </w:tcPr>
          <w:p>
            <w:pPr>
              <w:pStyle w:val="164"/>
              <w:rPr>
                <w:color w:val="auto"/>
              </w:rPr>
            </w:pPr>
            <w:r>
              <w:rPr>
                <w:color w:val="auto"/>
              </w:rPr>
              <w:t>0.004</w:t>
            </w:r>
          </w:p>
        </w:tc>
        <w:tc>
          <w:tcPr>
            <w:tcW w:w="1231" w:type="dxa"/>
            <w:vAlign w:val="center"/>
          </w:tcPr>
          <w:p>
            <w:pPr>
              <w:pStyle w:val="164"/>
              <w:rPr>
                <w:color w:val="auto"/>
              </w:rPr>
            </w:pPr>
            <w:r>
              <w:rPr>
                <w:color w:val="auto"/>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总砷</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0.0011</w:t>
            </w:r>
          </w:p>
        </w:tc>
        <w:tc>
          <w:tcPr>
            <w:tcW w:w="1046" w:type="dxa"/>
            <w:vAlign w:val="center"/>
          </w:tcPr>
          <w:p>
            <w:pPr>
              <w:pStyle w:val="164"/>
              <w:rPr>
                <w:color w:val="auto"/>
              </w:rPr>
            </w:pPr>
            <w:r>
              <w:rPr>
                <w:color w:val="auto"/>
              </w:rPr>
              <w:t>0.0011</w:t>
            </w:r>
          </w:p>
        </w:tc>
        <w:tc>
          <w:tcPr>
            <w:tcW w:w="1046" w:type="dxa"/>
            <w:vAlign w:val="center"/>
          </w:tcPr>
          <w:p>
            <w:pPr>
              <w:pStyle w:val="164"/>
              <w:rPr>
                <w:color w:val="auto"/>
              </w:rPr>
            </w:pPr>
            <w:r>
              <w:rPr>
                <w:color w:val="auto"/>
              </w:rPr>
              <w:t>0.0013</w:t>
            </w:r>
          </w:p>
        </w:tc>
        <w:tc>
          <w:tcPr>
            <w:tcW w:w="1046" w:type="dxa"/>
            <w:vAlign w:val="center"/>
          </w:tcPr>
          <w:p>
            <w:pPr>
              <w:pStyle w:val="164"/>
              <w:rPr>
                <w:color w:val="auto"/>
              </w:rPr>
            </w:pPr>
            <w:r>
              <w:rPr>
                <w:color w:val="auto"/>
              </w:rPr>
              <w:t>0.00014</w:t>
            </w:r>
          </w:p>
        </w:tc>
        <w:tc>
          <w:tcPr>
            <w:tcW w:w="1048" w:type="dxa"/>
            <w:vAlign w:val="center"/>
          </w:tcPr>
          <w:p>
            <w:pPr>
              <w:pStyle w:val="164"/>
              <w:rPr>
                <w:color w:val="auto"/>
              </w:rPr>
            </w:pPr>
            <w:r>
              <w:rPr>
                <w:color w:val="auto"/>
              </w:rPr>
              <w:t>0.0013</w:t>
            </w:r>
          </w:p>
        </w:tc>
        <w:tc>
          <w:tcPr>
            <w:tcW w:w="1231" w:type="dxa"/>
            <w:vAlign w:val="center"/>
          </w:tcPr>
          <w:p>
            <w:pPr>
              <w:pStyle w:val="164"/>
              <w:rPr>
                <w:color w:val="auto"/>
              </w:rPr>
            </w:pPr>
            <w:r>
              <w:rPr>
                <w:color w:val="auto"/>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总汞</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0.00002</w:t>
            </w:r>
          </w:p>
        </w:tc>
        <w:tc>
          <w:tcPr>
            <w:tcW w:w="1046" w:type="dxa"/>
            <w:vAlign w:val="center"/>
          </w:tcPr>
          <w:p>
            <w:pPr>
              <w:pStyle w:val="164"/>
              <w:rPr>
                <w:color w:val="auto"/>
              </w:rPr>
            </w:pPr>
            <w:r>
              <w:rPr>
                <w:color w:val="auto"/>
              </w:rPr>
              <w:t>0.0001</w:t>
            </w:r>
          </w:p>
        </w:tc>
        <w:tc>
          <w:tcPr>
            <w:tcW w:w="1046" w:type="dxa"/>
            <w:vAlign w:val="center"/>
          </w:tcPr>
          <w:p>
            <w:pPr>
              <w:pStyle w:val="164"/>
              <w:rPr>
                <w:color w:val="auto"/>
              </w:rPr>
            </w:pPr>
            <w:r>
              <w:rPr>
                <w:color w:val="auto"/>
              </w:rPr>
              <w:t>0.00001</w:t>
            </w:r>
          </w:p>
        </w:tc>
        <w:tc>
          <w:tcPr>
            <w:tcW w:w="1046" w:type="dxa"/>
            <w:vAlign w:val="center"/>
          </w:tcPr>
          <w:p>
            <w:pPr>
              <w:pStyle w:val="164"/>
              <w:rPr>
                <w:color w:val="auto"/>
              </w:rPr>
            </w:pPr>
            <w:r>
              <w:rPr>
                <w:color w:val="auto"/>
              </w:rPr>
              <w:t>0.00001</w:t>
            </w:r>
          </w:p>
        </w:tc>
        <w:tc>
          <w:tcPr>
            <w:tcW w:w="1048" w:type="dxa"/>
            <w:vAlign w:val="center"/>
          </w:tcPr>
          <w:p>
            <w:pPr>
              <w:pStyle w:val="164"/>
              <w:rPr>
                <w:color w:val="auto"/>
              </w:rPr>
            </w:pPr>
            <w:r>
              <w:rPr>
                <w:color w:val="auto"/>
              </w:rPr>
              <w:t>0.00001</w:t>
            </w:r>
          </w:p>
        </w:tc>
        <w:tc>
          <w:tcPr>
            <w:tcW w:w="1231" w:type="dxa"/>
            <w:vAlign w:val="center"/>
          </w:tcPr>
          <w:p>
            <w:pPr>
              <w:pStyle w:val="164"/>
              <w:rPr>
                <w:color w:val="auto"/>
              </w:rPr>
            </w:pPr>
            <w:r>
              <w:rPr>
                <w:color w:val="auto"/>
              </w:rPr>
              <w:t>≤0.001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总镉</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0.00008</w:t>
            </w:r>
          </w:p>
        </w:tc>
        <w:tc>
          <w:tcPr>
            <w:tcW w:w="1046" w:type="dxa"/>
            <w:vAlign w:val="center"/>
          </w:tcPr>
          <w:p>
            <w:pPr>
              <w:pStyle w:val="164"/>
              <w:rPr>
                <w:color w:val="auto"/>
              </w:rPr>
            </w:pPr>
            <w:r>
              <w:rPr>
                <w:color w:val="auto"/>
              </w:rPr>
              <w:t>0.00017</w:t>
            </w:r>
          </w:p>
        </w:tc>
        <w:tc>
          <w:tcPr>
            <w:tcW w:w="1046" w:type="dxa"/>
            <w:vAlign w:val="center"/>
          </w:tcPr>
          <w:p>
            <w:pPr>
              <w:pStyle w:val="164"/>
              <w:rPr>
                <w:color w:val="auto"/>
              </w:rPr>
            </w:pPr>
            <w:r>
              <w:rPr>
                <w:color w:val="auto"/>
              </w:rPr>
              <w:t>0.00008</w:t>
            </w:r>
          </w:p>
        </w:tc>
        <w:tc>
          <w:tcPr>
            <w:tcW w:w="1046" w:type="dxa"/>
            <w:vAlign w:val="center"/>
          </w:tcPr>
          <w:p>
            <w:pPr>
              <w:pStyle w:val="164"/>
              <w:rPr>
                <w:color w:val="auto"/>
              </w:rPr>
            </w:pPr>
            <w:r>
              <w:rPr>
                <w:color w:val="auto"/>
              </w:rPr>
              <w:t>0.0008</w:t>
            </w:r>
          </w:p>
        </w:tc>
        <w:tc>
          <w:tcPr>
            <w:tcW w:w="1048" w:type="dxa"/>
            <w:vAlign w:val="center"/>
          </w:tcPr>
          <w:p>
            <w:pPr>
              <w:pStyle w:val="164"/>
              <w:rPr>
                <w:color w:val="auto"/>
              </w:rPr>
            </w:pPr>
            <w:r>
              <w:rPr>
                <w:color w:val="auto"/>
              </w:rPr>
              <w:t>0.00008</w:t>
            </w:r>
          </w:p>
        </w:tc>
        <w:tc>
          <w:tcPr>
            <w:tcW w:w="1231" w:type="dxa"/>
            <w:vAlign w:val="center"/>
          </w:tcPr>
          <w:p>
            <w:pPr>
              <w:pStyle w:val="164"/>
              <w:rPr>
                <w:color w:val="auto"/>
              </w:rPr>
            </w:pPr>
            <w:r>
              <w:rPr>
                <w:color w:val="auto"/>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总铬</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0.012</w:t>
            </w:r>
          </w:p>
        </w:tc>
        <w:tc>
          <w:tcPr>
            <w:tcW w:w="1046" w:type="dxa"/>
            <w:vAlign w:val="center"/>
          </w:tcPr>
          <w:p>
            <w:pPr>
              <w:pStyle w:val="164"/>
              <w:rPr>
                <w:color w:val="auto"/>
              </w:rPr>
            </w:pPr>
            <w:r>
              <w:rPr>
                <w:color w:val="auto"/>
              </w:rPr>
              <w:t>0.013</w:t>
            </w:r>
          </w:p>
        </w:tc>
        <w:tc>
          <w:tcPr>
            <w:tcW w:w="1046" w:type="dxa"/>
            <w:vAlign w:val="center"/>
          </w:tcPr>
          <w:p>
            <w:pPr>
              <w:pStyle w:val="164"/>
              <w:rPr>
                <w:color w:val="auto"/>
              </w:rPr>
            </w:pPr>
            <w:r>
              <w:rPr>
                <w:color w:val="auto"/>
              </w:rPr>
              <w:t>0.012</w:t>
            </w:r>
          </w:p>
        </w:tc>
        <w:tc>
          <w:tcPr>
            <w:tcW w:w="1046" w:type="dxa"/>
            <w:vAlign w:val="center"/>
          </w:tcPr>
          <w:p>
            <w:pPr>
              <w:pStyle w:val="164"/>
              <w:rPr>
                <w:color w:val="auto"/>
              </w:rPr>
            </w:pPr>
            <w:r>
              <w:rPr>
                <w:color w:val="auto"/>
              </w:rPr>
              <w:t>0.012</w:t>
            </w:r>
          </w:p>
        </w:tc>
        <w:tc>
          <w:tcPr>
            <w:tcW w:w="1048" w:type="dxa"/>
            <w:vAlign w:val="center"/>
          </w:tcPr>
          <w:p>
            <w:pPr>
              <w:pStyle w:val="164"/>
              <w:rPr>
                <w:color w:val="auto"/>
              </w:rPr>
            </w:pPr>
            <w:r>
              <w:rPr>
                <w:color w:val="auto"/>
              </w:rPr>
              <w:t>0.042</w:t>
            </w:r>
          </w:p>
        </w:tc>
        <w:tc>
          <w:tcPr>
            <w:tcW w:w="1231" w:type="dxa"/>
            <w:vAlign w:val="center"/>
          </w:tcPr>
          <w:p>
            <w:pPr>
              <w:pStyle w:val="164"/>
              <w:rPr>
                <w:color w:val="auto"/>
              </w:rPr>
            </w:pPr>
            <w:r>
              <w:rPr>
                <w:color w:val="auto"/>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总氮</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0.002</w:t>
            </w:r>
          </w:p>
        </w:tc>
        <w:tc>
          <w:tcPr>
            <w:tcW w:w="1046" w:type="dxa"/>
            <w:vAlign w:val="center"/>
          </w:tcPr>
          <w:p>
            <w:pPr>
              <w:pStyle w:val="164"/>
              <w:rPr>
                <w:color w:val="auto"/>
              </w:rPr>
            </w:pPr>
            <w:r>
              <w:rPr>
                <w:color w:val="auto"/>
              </w:rPr>
              <w:t>0.002</w:t>
            </w:r>
          </w:p>
        </w:tc>
        <w:tc>
          <w:tcPr>
            <w:tcW w:w="1046" w:type="dxa"/>
            <w:vAlign w:val="center"/>
          </w:tcPr>
          <w:p>
            <w:pPr>
              <w:pStyle w:val="164"/>
              <w:rPr>
                <w:color w:val="auto"/>
              </w:rPr>
            </w:pPr>
            <w:r>
              <w:rPr>
                <w:color w:val="auto"/>
              </w:rPr>
              <w:t>0.002</w:t>
            </w:r>
          </w:p>
        </w:tc>
        <w:tc>
          <w:tcPr>
            <w:tcW w:w="1046" w:type="dxa"/>
            <w:vAlign w:val="center"/>
          </w:tcPr>
          <w:p>
            <w:pPr>
              <w:pStyle w:val="164"/>
              <w:rPr>
                <w:color w:val="auto"/>
              </w:rPr>
            </w:pPr>
            <w:r>
              <w:rPr>
                <w:color w:val="auto"/>
              </w:rPr>
              <w:t>0.002</w:t>
            </w:r>
          </w:p>
        </w:tc>
        <w:tc>
          <w:tcPr>
            <w:tcW w:w="1048" w:type="dxa"/>
            <w:vAlign w:val="center"/>
          </w:tcPr>
          <w:p>
            <w:pPr>
              <w:pStyle w:val="164"/>
              <w:rPr>
                <w:color w:val="auto"/>
              </w:rPr>
            </w:pPr>
            <w:r>
              <w:rPr>
                <w:color w:val="auto"/>
              </w:rPr>
              <w:t>0.003</w:t>
            </w:r>
          </w:p>
        </w:tc>
        <w:tc>
          <w:tcPr>
            <w:tcW w:w="1231" w:type="dxa"/>
            <w:vAlign w:val="center"/>
          </w:tcPr>
          <w:p>
            <w:pPr>
              <w:pStyle w:val="164"/>
              <w:rPr>
                <w:color w:val="auto"/>
              </w:rPr>
            </w:pPr>
            <w:r>
              <w:rPr>
                <w:color w:val="auto"/>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总铅</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6.94</w:t>
            </w:r>
          </w:p>
        </w:tc>
        <w:tc>
          <w:tcPr>
            <w:tcW w:w="1046" w:type="dxa"/>
            <w:vAlign w:val="center"/>
          </w:tcPr>
          <w:p>
            <w:pPr>
              <w:pStyle w:val="164"/>
              <w:rPr>
                <w:color w:val="auto"/>
              </w:rPr>
            </w:pPr>
            <w:r>
              <w:rPr>
                <w:color w:val="auto"/>
              </w:rPr>
              <w:t>5.49</w:t>
            </w:r>
          </w:p>
        </w:tc>
        <w:tc>
          <w:tcPr>
            <w:tcW w:w="1046" w:type="dxa"/>
            <w:vAlign w:val="center"/>
          </w:tcPr>
          <w:p>
            <w:pPr>
              <w:pStyle w:val="164"/>
              <w:rPr>
                <w:color w:val="auto"/>
              </w:rPr>
            </w:pPr>
            <w:r>
              <w:rPr>
                <w:color w:val="auto"/>
              </w:rPr>
              <w:t>5.48</w:t>
            </w:r>
          </w:p>
        </w:tc>
        <w:tc>
          <w:tcPr>
            <w:tcW w:w="1046" w:type="dxa"/>
            <w:vAlign w:val="center"/>
          </w:tcPr>
          <w:p>
            <w:pPr>
              <w:pStyle w:val="164"/>
              <w:rPr>
                <w:color w:val="auto"/>
              </w:rPr>
            </w:pPr>
            <w:r>
              <w:rPr>
                <w:color w:val="auto"/>
              </w:rPr>
              <w:t>5.67</w:t>
            </w:r>
          </w:p>
        </w:tc>
        <w:tc>
          <w:tcPr>
            <w:tcW w:w="1048" w:type="dxa"/>
            <w:vAlign w:val="center"/>
          </w:tcPr>
          <w:p>
            <w:pPr>
              <w:pStyle w:val="164"/>
              <w:rPr>
                <w:color w:val="auto"/>
              </w:rPr>
            </w:pPr>
            <w:r>
              <w:rPr>
                <w:color w:val="auto"/>
              </w:rPr>
              <w:t>6.87</w:t>
            </w:r>
          </w:p>
        </w:tc>
        <w:tc>
          <w:tcPr>
            <w:tcW w:w="1231" w:type="dxa"/>
            <w:vAlign w:val="center"/>
          </w:tcPr>
          <w:p>
            <w:pPr>
              <w:pStyle w:val="164"/>
              <w:rPr>
                <w:color w:val="auto"/>
              </w:rPr>
            </w:pPr>
            <w:r>
              <w:rPr>
                <w:color w:val="auto"/>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氨氮</w:t>
            </w:r>
          </w:p>
        </w:tc>
        <w:tc>
          <w:tcPr>
            <w:tcW w:w="783" w:type="dxa"/>
            <w:vAlign w:val="center"/>
          </w:tcPr>
          <w:p>
            <w:pPr>
              <w:pStyle w:val="164"/>
              <w:rPr>
                <w:color w:val="auto"/>
              </w:rPr>
            </w:pPr>
            <w:r>
              <w:rPr>
                <w:color w:val="auto"/>
              </w:rPr>
              <w:t>mg/L</w:t>
            </w:r>
          </w:p>
        </w:tc>
        <w:tc>
          <w:tcPr>
            <w:tcW w:w="1046" w:type="dxa"/>
            <w:vAlign w:val="center"/>
          </w:tcPr>
          <w:p>
            <w:pPr>
              <w:pStyle w:val="164"/>
              <w:rPr>
                <w:color w:val="auto"/>
              </w:rPr>
            </w:pPr>
            <w:r>
              <w:rPr>
                <w:color w:val="auto"/>
              </w:rPr>
              <w:t>1.4</w:t>
            </w:r>
          </w:p>
        </w:tc>
        <w:tc>
          <w:tcPr>
            <w:tcW w:w="1046" w:type="dxa"/>
            <w:vAlign w:val="center"/>
          </w:tcPr>
          <w:p>
            <w:pPr>
              <w:pStyle w:val="164"/>
              <w:rPr>
                <w:color w:val="auto"/>
              </w:rPr>
            </w:pPr>
            <w:r>
              <w:rPr>
                <w:color w:val="auto"/>
              </w:rPr>
              <w:t>0.773</w:t>
            </w:r>
          </w:p>
        </w:tc>
        <w:tc>
          <w:tcPr>
            <w:tcW w:w="1046" w:type="dxa"/>
            <w:vAlign w:val="center"/>
          </w:tcPr>
          <w:p>
            <w:pPr>
              <w:pStyle w:val="164"/>
              <w:rPr>
                <w:color w:val="auto"/>
              </w:rPr>
            </w:pPr>
            <w:r>
              <w:rPr>
                <w:color w:val="auto"/>
              </w:rPr>
              <w:t>0.486</w:t>
            </w:r>
          </w:p>
        </w:tc>
        <w:tc>
          <w:tcPr>
            <w:tcW w:w="1046" w:type="dxa"/>
            <w:vAlign w:val="center"/>
          </w:tcPr>
          <w:p>
            <w:pPr>
              <w:pStyle w:val="164"/>
              <w:rPr>
                <w:color w:val="auto"/>
              </w:rPr>
            </w:pPr>
            <w:r>
              <w:rPr>
                <w:color w:val="auto"/>
              </w:rPr>
              <w:t>4.3</w:t>
            </w:r>
          </w:p>
        </w:tc>
        <w:tc>
          <w:tcPr>
            <w:tcW w:w="1048" w:type="dxa"/>
            <w:vAlign w:val="center"/>
          </w:tcPr>
          <w:p>
            <w:pPr>
              <w:pStyle w:val="164"/>
              <w:rPr>
                <w:color w:val="auto"/>
              </w:rPr>
            </w:pPr>
            <w:r>
              <w:rPr>
                <w:color w:val="auto"/>
              </w:rPr>
              <w:t>1.6</w:t>
            </w:r>
          </w:p>
        </w:tc>
        <w:tc>
          <w:tcPr>
            <w:tcW w:w="1231" w:type="dxa"/>
            <w:vAlign w:val="center"/>
          </w:tcPr>
          <w:p>
            <w:pPr>
              <w:pStyle w:val="164"/>
              <w:rPr>
                <w:color w:val="auto"/>
              </w:rPr>
            </w:pPr>
            <w:r>
              <w:rPr>
                <w:color w:val="auto"/>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474" w:type="dxa"/>
            <w:vAlign w:val="center"/>
          </w:tcPr>
          <w:p>
            <w:pPr>
              <w:pStyle w:val="164"/>
              <w:rPr>
                <w:color w:val="auto"/>
              </w:rPr>
            </w:pPr>
            <w:r>
              <w:rPr>
                <w:color w:val="auto"/>
              </w:rPr>
              <w:t>粪大肠菌群</w:t>
            </w:r>
          </w:p>
        </w:tc>
        <w:tc>
          <w:tcPr>
            <w:tcW w:w="783" w:type="dxa"/>
            <w:vAlign w:val="center"/>
          </w:tcPr>
          <w:p>
            <w:pPr>
              <w:pStyle w:val="164"/>
              <w:rPr>
                <w:color w:val="auto"/>
              </w:rPr>
            </w:pPr>
            <w:r>
              <w:rPr>
                <w:color w:val="auto"/>
              </w:rPr>
              <w:t>个/L</w:t>
            </w:r>
          </w:p>
        </w:tc>
        <w:tc>
          <w:tcPr>
            <w:tcW w:w="1046" w:type="dxa"/>
            <w:vAlign w:val="center"/>
          </w:tcPr>
          <w:p>
            <w:pPr>
              <w:pStyle w:val="164"/>
              <w:rPr>
                <w:color w:val="auto"/>
              </w:rPr>
            </w:pPr>
            <w:r>
              <w:rPr>
                <w:color w:val="auto"/>
              </w:rPr>
              <w:t>10</w:t>
            </w:r>
          </w:p>
        </w:tc>
        <w:tc>
          <w:tcPr>
            <w:tcW w:w="1046" w:type="dxa"/>
            <w:vAlign w:val="center"/>
          </w:tcPr>
          <w:p>
            <w:pPr>
              <w:pStyle w:val="164"/>
              <w:rPr>
                <w:color w:val="auto"/>
              </w:rPr>
            </w:pPr>
            <w:r>
              <w:rPr>
                <w:color w:val="auto"/>
              </w:rPr>
              <w:t>10</w:t>
            </w:r>
          </w:p>
        </w:tc>
        <w:tc>
          <w:tcPr>
            <w:tcW w:w="1046" w:type="dxa"/>
            <w:vAlign w:val="center"/>
          </w:tcPr>
          <w:p>
            <w:pPr>
              <w:pStyle w:val="164"/>
              <w:rPr>
                <w:color w:val="auto"/>
              </w:rPr>
            </w:pPr>
            <w:r>
              <w:rPr>
                <w:color w:val="auto"/>
              </w:rPr>
              <w:t>10</w:t>
            </w:r>
          </w:p>
        </w:tc>
        <w:tc>
          <w:tcPr>
            <w:tcW w:w="1046" w:type="dxa"/>
            <w:vAlign w:val="center"/>
          </w:tcPr>
          <w:p>
            <w:pPr>
              <w:pStyle w:val="164"/>
              <w:rPr>
                <w:color w:val="auto"/>
              </w:rPr>
            </w:pPr>
            <w:r>
              <w:rPr>
                <w:color w:val="auto"/>
              </w:rPr>
              <w:t>10</w:t>
            </w:r>
          </w:p>
        </w:tc>
        <w:tc>
          <w:tcPr>
            <w:tcW w:w="1048" w:type="dxa"/>
            <w:vAlign w:val="center"/>
          </w:tcPr>
          <w:p>
            <w:pPr>
              <w:pStyle w:val="164"/>
              <w:rPr>
                <w:color w:val="auto"/>
              </w:rPr>
            </w:pPr>
            <w:r>
              <w:rPr>
                <w:color w:val="auto"/>
              </w:rPr>
              <w:t>未检出</w:t>
            </w:r>
          </w:p>
        </w:tc>
        <w:tc>
          <w:tcPr>
            <w:tcW w:w="1231" w:type="dxa"/>
            <w:vAlign w:val="center"/>
          </w:tcPr>
          <w:p>
            <w:pPr>
              <w:pStyle w:val="164"/>
              <w:rPr>
                <w:color w:val="auto"/>
              </w:rPr>
            </w:pPr>
            <w:r>
              <w:rPr>
                <w:color w:val="auto"/>
              </w:rPr>
              <w:t>≤1000</w:t>
            </w:r>
          </w:p>
        </w:tc>
      </w:tr>
    </w:tbl>
    <w:p>
      <w:pPr>
        <w:pStyle w:val="130"/>
        <w:spacing w:before="120" w:beforeLines="50"/>
        <w:ind w:firstLine="480"/>
        <w:rPr>
          <w:color w:val="auto"/>
        </w:rPr>
      </w:pPr>
      <w:r>
        <w:rPr>
          <w:color w:val="auto"/>
        </w:rPr>
        <w:t>（3）噪声</w:t>
      </w:r>
    </w:p>
    <w:p>
      <w:pPr>
        <w:pStyle w:val="130"/>
        <w:ind w:firstLine="480"/>
        <w:rPr>
          <w:color w:val="auto"/>
        </w:rPr>
      </w:pPr>
      <w:r>
        <w:rPr>
          <w:color w:val="auto"/>
        </w:rPr>
        <w:t>现有工程噪声主要为机械设备工作时产生的噪声，验收检测日期为2011年11月30-2011年</w:t>
      </w:r>
      <w:r>
        <w:rPr>
          <w:rFonts w:hint="eastAsia"/>
          <w:color w:val="auto"/>
          <w:lang w:val="en-US" w:eastAsia="zh-CN"/>
        </w:rPr>
        <w:t>12</w:t>
      </w:r>
      <w:r>
        <w:rPr>
          <w:color w:val="auto"/>
        </w:rPr>
        <w:t>月</w:t>
      </w:r>
      <w:r>
        <w:rPr>
          <w:rFonts w:hint="eastAsia"/>
          <w:color w:val="auto"/>
          <w:lang w:val="en-US" w:eastAsia="zh-CN"/>
        </w:rPr>
        <w:t>01</w:t>
      </w:r>
      <w:r>
        <w:rPr>
          <w:color w:val="auto"/>
        </w:rPr>
        <w:t>日，验收监测期间厂界昼间最大噪声值为47.9dB（A）、夜间最大噪声值为48dB（A），监测结果均符合《工业企业厂界环境噪声排放标准》（GB12348-2008）中厂界外2类声环境标准要求。</w:t>
      </w:r>
    </w:p>
    <w:p>
      <w:pPr>
        <w:pStyle w:val="130"/>
        <w:ind w:firstLine="480"/>
        <w:rPr>
          <w:color w:val="auto"/>
        </w:rPr>
      </w:pPr>
      <w:r>
        <w:rPr>
          <w:color w:val="auto"/>
        </w:rPr>
        <w:t>同时2020年4月16日～17日宁夏华鼎环保科技有限公司在项目所在地四周场界外1m处分别设置了1个监测点位，共4个点位对声环境质量现状进行了监测。监测结果表明，厂界噪声昼间最大值为53 dB（A）、夜间最大值为46 dB（A），符合《工业企业厂界环境噪声排放标准》(GB12348-2008)中2类标准要求（检测报告见附件9）。</w:t>
      </w:r>
    </w:p>
    <w:p>
      <w:pPr>
        <w:pStyle w:val="130"/>
        <w:ind w:firstLine="480"/>
        <w:rPr>
          <w:color w:val="auto"/>
        </w:rPr>
      </w:pPr>
      <w:r>
        <w:rPr>
          <w:color w:val="auto"/>
        </w:rPr>
        <w:t>（4）固体废物</w:t>
      </w:r>
    </w:p>
    <w:p>
      <w:pPr>
        <w:pStyle w:val="130"/>
        <w:ind w:firstLine="480"/>
        <w:rPr>
          <w:color w:val="auto"/>
        </w:rPr>
      </w:pPr>
      <w:r>
        <w:rPr>
          <w:color w:val="auto"/>
        </w:rPr>
        <w:t>现有工程项目固体废物为灭菌处理后的医疗废物、报废周转箱、废滤芯、废活性炭和职工生活垃圾，职工生活垃圾收集后送入中卫市生活垃圾填埋场的填埋场卫生填埋；报废周转箱经高温蒸汽灭菌处理后送中卫市生活垃圾填埋场填埋；灭菌处理后的医疗废物</w:t>
      </w:r>
      <w:r>
        <w:rPr>
          <w:color w:val="auto"/>
        </w:rPr>
        <w:tab/>
      </w:r>
      <w:r>
        <w:rPr>
          <w:color w:val="auto"/>
        </w:rPr>
        <w:t>、废滤芯、废活性炭属于危险废物，根据《医疗废物高温蒸汽消毒集中处理工程技术规范》（HJ 276-2021）经高温灭菌和破碎处理后的医疗废物按照生活垃圾进行处置，送中卫市生活垃圾填埋场的填埋场卫生填埋；废滤芯和废活性炭收集后委托宁夏德坤环保科技实业集团有限公司处置。</w:t>
      </w:r>
    </w:p>
    <w:p>
      <w:pPr>
        <w:pStyle w:val="4"/>
        <w:numPr>
          <w:ilvl w:val="1"/>
          <w:numId w:val="0"/>
        </w:numPr>
        <w:spacing w:before="120"/>
        <w:rPr>
          <w:color w:val="auto"/>
        </w:rPr>
      </w:pPr>
      <w:bookmarkStart w:id="178" w:name="_Toc109398570"/>
      <w:bookmarkStart w:id="179" w:name="_Toc58849415"/>
      <w:r>
        <w:rPr>
          <w:color w:val="auto"/>
        </w:rPr>
        <w:t>2.5现有工程项目存在的环境问题及“以新带老”方案</w:t>
      </w:r>
      <w:bookmarkEnd w:id="178"/>
      <w:bookmarkEnd w:id="179"/>
    </w:p>
    <w:p>
      <w:pPr>
        <w:pStyle w:val="130"/>
        <w:ind w:firstLine="480"/>
        <w:rPr>
          <w:color w:val="auto"/>
        </w:rPr>
      </w:pPr>
      <w:r>
        <w:rPr>
          <w:color w:val="auto"/>
        </w:rPr>
        <w:t>根据竣工环保验收资料和项目实际建设和运营情况，现有工程项目存在的环境问题及“以新带老”方案见下表。</w:t>
      </w:r>
    </w:p>
    <w:p>
      <w:pPr>
        <w:pStyle w:val="114"/>
        <w:spacing w:before="0" w:beforeLines="0"/>
        <w:rPr>
          <w:color w:val="auto"/>
        </w:rPr>
      </w:pPr>
      <w:r>
        <w:rPr>
          <w:color w:val="auto"/>
        </w:rPr>
        <w:t>表2.5-1    现有工程存在的环境问题及“以新带老”方案一览表</w:t>
      </w:r>
    </w:p>
    <w:tbl>
      <w:tblPr>
        <w:tblStyle w:val="75"/>
        <w:tblW w:w="911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032"/>
        <w:gridCol w:w="60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03" w:hRule="atLeast"/>
          <w:jc w:val="center"/>
        </w:trPr>
        <w:tc>
          <w:tcPr>
            <w:tcW w:w="3032" w:type="dxa"/>
            <w:vAlign w:val="center"/>
          </w:tcPr>
          <w:p>
            <w:pPr>
              <w:pStyle w:val="164"/>
              <w:spacing w:line="360" w:lineRule="exact"/>
              <w:rPr>
                <w:color w:val="auto"/>
              </w:rPr>
            </w:pPr>
            <w:r>
              <w:rPr>
                <w:color w:val="auto"/>
              </w:rPr>
              <w:t>存在的环境问题</w:t>
            </w:r>
          </w:p>
        </w:tc>
        <w:tc>
          <w:tcPr>
            <w:tcW w:w="6080" w:type="dxa"/>
            <w:vAlign w:val="center"/>
          </w:tcPr>
          <w:p>
            <w:pPr>
              <w:pStyle w:val="164"/>
              <w:spacing w:line="360" w:lineRule="exact"/>
              <w:rPr>
                <w:color w:val="auto"/>
              </w:rPr>
            </w:pPr>
            <w:r>
              <w:rPr>
                <w:color w:val="auto"/>
              </w:rPr>
              <w:t>“以新带老”方案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8" w:hRule="atLeast"/>
          <w:jc w:val="center"/>
        </w:trPr>
        <w:tc>
          <w:tcPr>
            <w:tcW w:w="3032" w:type="dxa"/>
            <w:vAlign w:val="center"/>
          </w:tcPr>
          <w:p>
            <w:pPr>
              <w:pStyle w:val="164"/>
              <w:spacing w:line="360" w:lineRule="exact"/>
              <w:rPr>
                <w:color w:val="auto"/>
              </w:rPr>
            </w:pPr>
            <w:r>
              <w:rPr>
                <w:color w:val="auto"/>
              </w:rPr>
              <w:t>现有工程项目燃煤锅炉不符合环保政策</w:t>
            </w:r>
          </w:p>
        </w:tc>
        <w:tc>
          <w:tcPr>
            <w:tcW w:w="6080" w:type="dxa"/>
            <w:vAlign w:val="center"/>
          </w:tcPr>
          <w:p>
            <w:pPr>
              <w:pStyle w:val="164"/>
              <w:spacing w:line="360" w:lineRule="exact"/>
              <w:rPr>
                <w:color w:val="auto"/>
              </w:rPr>
            </w:pPr>
            <w:r>
              <w:rPr>
                <w:color w:val="auto"/>
              </w:rPr>
              <w:t>拆除现有燃煤锅炉，新购买</w:t>
            </w:r>
            <w:r>
              <w:rPr>
                <w:rFonts w:hint="eastAsia"/>
                <w:color w:val="auto"/>
              </w:rPr>
              <w:t>2台蒸汽发生器</w:t>
            </w:r>
            <w:r>
              <w:rPr>
                <w:color w:val="auto"/>
              </w:rPr>
              <w:t>为</w:t>
            </w:r>
            <w:r>
              <w:rPr>
                <w:rFonts w:hint="eastAsia"/>
                <w:color w:val="auto"/>
              </w:rPr>
              <w:t>现有工程3</w:t>
            </w:r>
            <w:r>
              <w:rPr>
                <w:color w:val="auto"/>
              </w:rPr>
              <w:t>t/d高温蒸汽灭菌系统供汽。本项目实施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8" w:hRule="atLeast"/>
          <w:jc w:val="center"/>
        </w:trPr>
        <w:tc>
          <w:tcPr>
            <w:tcW w:w="3032" w:type="dxa"/>
            <w:vAlign w:val="center"/>
          </w:tcPr>
          <w:p>
            <w:pPr>
              <w:pStyle w:val="164"/>
              <w:spacing w:line="360" w:lineRule="exact"/>
              <w:rPr>
                <w:color w:val="auto"/>
              </w:rPr>
            </w:pPr>
            <w:r>
              <w:rPr>
                <w:color w:val="auto"/>
              </w:rPr>
              <w:t>现有工程项目高温蒸汽灭菌废气排气筒高度为7m，排气筒高度不满足要求</w:t>
            </w:r>
          </w:p>
        </w:tc>
        <w:tc>
          <w:tcPr>
            <w:tcW w:w="6080" w:type="dxa"/>
            <w:vAlign w:val="center"/>
          </w:tcPr>
          <w:p>
            <w:pPr>
              <w:pStyle w:val="164"/>
              <w:spacing w:line="360" w:lineRule="exact"/>
              <w:rPr>
                <w:color w:val="auto"/>
              </w:rPr>
            </w:pPr>
            <w:r>
              <w:rPr>
                <w:color w:val="auto"/>
              </w:rPr>
              <w:t>现有工程高温蒸汽灭菌设备和破碎机废气经集气罩收集后和新建5t/d高温蒸汽灭菌设备废气一起经新建废气处理设备“碱洗喷淋+等离子+活性炭”处理，通过15m高排气筒排放，本项目已实施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195" w:hRule="atLeast"/>
          <w:jc w:val="center"/>
        </w:trPr>
        <w:tc>
          <w:tcPr>
            <w:tcW w:w="3032" w:type="dxa"/>
            <w:vAlign w:val="center"/>
          </w:tcPr>
          <w:p>
            <w:pPr>
              <w:pStyle w:val="164"/>
              <w:spacing w:line="360" w:lineRule="exact"/>
              <w:rPr>
                <w:color w:val="auto"/>
              </w:rPr>
            </w:pPr>
            <w:r>
              <w:rPr>
                <w:color w:val="auto"/>
              </w:rPr>
              <w:t>现有工程项目运营期未按照环评批复要求设置地下水观测井，监测地下水水质</w:t>
            </w:r>
          </w:p>
        </w:tc>
        <w:tc>
          <w:tcPr>
            <w:tcW w:w="6080" w:type="dxa"/>
            <w:vAlign w:val="center"/>
          </w:tcPr>
          <w:p>
            <w:pPr>
              <w:pStyle w:val="164"/>
              <w:spacing w:line="360" w:lineRule="exact"/>
              <w:rPr>
                <w:color w:val="auto"/>
              </w:rPr>
            </w:pPr>
            <w:r>
              <w:rPr>
                <w:color w:val="auto"/>
              </w:rPr>
              <w:t>设置地下水监测井，并监测地下水水质，本项目现状监测期间已设置地下水监测井，并监测地下水水质</w:t>
            </w:r>
          </w:p>
        </w:tc>
      </w:tr>
      <w:bookmarkEnd w:id="155"/>
    </w:tbl>
    <w:p>
      <w:pPr>
        <w:pStyle w:val="130"/>
        <w:ind w:firstLine="480"/>
        <w:rPr>
          <w:color w:val="auto"/>
        </w:rPr>
      </w:pPr>
      <w:r>
        <w:rPr>
          <w:color w:val="auto"/>
        </w:rPr>
        <w:br w:type="page"/>
      </w:r>
    </w:p>
    <w:p>
      <w:pPr>
        <w:pStyle w:val="3"/>
        <w:numPr>
          <w:ilvl w:val="0"/>
          <w:numId w:val="0"/>
        </w:numPr>
        <w:spacing w:before="120" w:after="120"/>
        <w:jc w:val="center"/>
        <w:rPr>
          <w:rFonts w:ascii="Times New Roman" w:hAnsi="Times New Roman"/>
          <w:color w:val="auto"/>
        </w:rPr>
      </w:pPr>
      <w:bookmarkStart w:id="180" w:name="_Toc109398571"/>
      <w:r>
        <w:rPr>
          <w:rFonts w:ascii="Times New Roman" w:hAnsi="Times New Roman"/>
          <w:color w:val="auto"/>
        </w:rPr>
        <w:t>3工程</w:t>
      </w:r>
      <w:r>
        <w:rPr>
          <w:rFonts w:hint="eastAsia" w:ascii="Times New Roman" w:hAnsi="Times New Roman"/>
          <w:color w:val="auto"/>
        </w:rPr>
        <w:t>变动情况分析</w:t>
      </w:r>
      <w:bookmarkEnd w:id="180"/>
    </w:p>
    <w:p>
      <w:pPr>
        <w:pStyle w:val="4"/>
        <w:numPr>
          <w:ilvl w:val="1"/>
          <w:numId w:val="0"/>
        </w:numPr>
        <w:spacing w:before="120"/>
        <w:rPr>
          <w:color w:val="auto"/>
        </w:rPr>
      </w:pPr>
      <w:bookmarkStart w:id="181" w:name="_Toc109398572"/>
      <w:r>
        <w:rPr>
          <w:color w:val="auto"/>
        </w:rPr>
        <w:t>3</w:t>
      </w:r>
      <w:r>
        <w:rPr>
          <w:rFonts w:hint="eastAsia"/>
          <w:color w:val="auto"/>
        </w:rPr>
        <w:t>.1建设项目前期工作历程</w:t>
      </w:r>
      <w:bookmarkEnd w:id="181"/>
    </w:p>
    <w:p>
      <w:pPr>
        <w:pStyle w:val="130"/>
        <w:ind w:firstLine="480"/>
        <w:rPr>
          <w:color w:val="auto"/>
        </w:rPr>
      </w:pPr>
      <w:r>
        <w:rPr>
          <w:rFonts w:hint="eastAsia"/>
          <w:color w:val="auto"/>
        </w:rPr>
        <w:t>2020年2月25日中卫市应理城乡市政产业（集团）有限公司委托宁夏鸿旭环境技术有限公司编制《中卫医疗废物处置中心改造项目环境影响报告书》，2020年12月10日取得中卫市生态环境局沙坡头区分局环评批复，批复文号卫环沙坡头区分局函【2020】91号。主要批复内容为拆除</w:t>
      </w:r>
      <w:r>
        <w:rPr>
          <w:color w:val="auto"/>
        </w:rPr>
        <w:t>原有</w:t>
      </w:r>
      <w:r>
        <w:rPr>
          <w:rFonts w:hint="eastAsia"/>
          <w:color w:val="auto"/>
        </w:rPr>
        <w:t>3</w:t>
      </w:r>
      <w:r>
        <w:rPr>
          <w:color w:val="auto"/>
        </w:rPr>
        <w:t>t/d高温蒸汽灭菌设备</w:t>
      </w:r>
      <w:r>
        <w:rPr>
          <w:rFonts w:hint="eastAsia"/>
          <w:color w:val="auto"/>
        </w:rPr>
        <w:t>，</w:t>
      </w:r>
      <w:r>
        <w:rPr>
          <w:color w:val="auto"/>
        </w:rPr>
        <w:t>新建一套5t/d医疗废物高温蒸汽灭菌器及配套设备</w:t>
      </w:r>
      <w:r>
        <w:rPr>
          <w:rFonts w:hint="eastAsia"/>
          <w:color w:val="auto"/>
        </w:rPr>
        <w:t>，1</w:t>
      </w:r>
      <w:r>
        <w:rPr>
          <w:color w:val="auto"/>
        </w:rPr>
        <w:t>0m</w:t>
      </w:r>
      <w:r>
        <w:rPr>
          <w:color w:val="auto"/>
          <w:vertAlign w:val="superscript"/>
        </w:rPr>
        <w:t>3</w:t>
      </w:r>
      <w:r>
        <w:rPr>
          <w:rFonts w:hint="eastAsia"/>
          <w:color w:val="auto"/>
        </w:rPr>
        <w:t>污水处理站一座及相关配套设施</w:t>
      </w:r>
      <w:r>
        <w:rPr>
          <w:color w:val="auto"/>
        </w:rPr>
        <w:t>（详见附件7）</w:t>
      </w:r>
      <w:r>
        <w:rPr>
          <w:rFonts w:hint="eastAsia"/>
          <w:color w:val="auto"/>
        </w:rPr>
        <w:t>。</w:t>
      </w:r>
    </w:p>
    <w:p>
      <w:pPr>
        <w:pStyle w:val="130"/>
        <w:ind w:firstLine="480"/>
        <w:rPr>
          <w:color w:val="auto"/>
        </w:rPr>
      </w:pPr>
      <w:r>
        <w:rPr>
          <w:rFonts w:hint="eastAsia"/>
          <w:color w:val="auto"/>
        </w:rPr>
        <w:t>取得环境影响报告书批复文件后，建设单位于2</w:t>
      </w:r>
      <w:r>
        <w:rPr>
          <w:color w:val="auto"/>
        </w:rPr>
        <w:t>021</w:t>
      </w:r>
      <w:r>
        <w:rPr>
          <w:rFonts w:hint="eastAsia"/>
          <w:color w:val="auto"/>
        </w:rPr>
        <w:t>年2月启动项目土建工程，20</w:t>
      </w:r>
      <w:r>
        <w:rPr>
          <w:color w:val="auto"/>
        </w:rPr>
        <w:t>21</w:t>
      </w:r>
      <w:r>
        <w:rPr>
          <w:rFonts w:hint="eastAsia"/>
          <w:color w:val="auto"/>
        </w:rPr>
        <w:t>年</w:t>
      </w:r>
      <w:r>
        <w:rPr>
          <w:color w:val="auto"/>
        </w:rPr>
        <w:t>7</w:t>
      </w:r>
      <w:r>
        <w:rPr>
          <w:rFonts w:hint="eastAsia"/>
          <w:color w:val="auto"/>
        </w:rPr>
        <w:t>月土建工程建设完成，2</w:t>
      </w:r>
      <w:r>
        <w:rPr>
          <w:color w:val="auto"/>
        </w:rPr>
        <w:t>021</w:t>
      </w:r>
      <w:r>
        <w:rPr>
          <w:rFonts w:hint="eastAsia"/>
          <w:color w:val="auto"/>
        </w:rPr>
        <w:t>年1</w:t>
      </w:r>
      <w:r>
        <w:rPr>
          <w:color w:val="auto"/>
        </w:rPr>
        <w:t>1</w:t>
      </w:r>
      <w:r>
        <w:rPr>
          <w:rFonts w:hint="eastAsia"/>
          <w:color w:val="auto"/>
        </w:rPr>
        <w:t>月份设备安装完成。随着项目的建设，近两年新冠肺炎疫情出现了较大规模的流行，并且疫情反反复复，对医疗系统造成了巨大的考验，本着充分考虑新冠肺炎疫情发生后，医疗废物将不可避免的增多，为确保医疗废物可妥善处置，建设单位决定保留原有3</w:t>
      </w:r>
      <w:r>
        <w:rPr>
          <w:color w:val="auto"/>
        </w:rPr>
        <w:t>t/d</w:t>
      </w:r>
      <w:r>
        <w:rPr>
          <w:rFonts w:hint="eastAsia"/>
          <w:color w:val="auto"/>
        </w:rPr>
        <w:t>的</w:t>
      </w:r>
      <w:r>
        <w:rPr>
          <w:color w:val="auto"/>
        </w:rPr>
        <w:t>高温蒸汽灭菌设备</w:t>
      </w:r>
      <w:r>
        <w:rPr>
          <w:rFonts w:hint="eastAsia"/>
          <w:color w:val="auto"/>
        </w:rPr>
        <w:t>，建成后全厂医疗废物处理规模为8</w:t>
      </w:r>
      <w:r>
        <w:rPr>
          <w:color w:val="auto"/>
        </w:rPr>
        <w:t>t/d</w:t>
      </w:r>
      <w:r>
        <w:rPr>
          <w:rFonts w:hint="eastAsia"/>
          <w:color w:val="auto"/>
        </w:rPr>
        <w:t>。</w:t>
      </w:r>
    </w:p>
    <w:p>
      <w:pPr>
        <w:pStyle w:val="130"/>
        <w:ind w:firstLine="480"/>
        <w:rPr>
          <w:color w:val="auto"/>
        </w:rPr>
      </w:pPr>
      <w:r>
        <w:rPr>
          <w:rFonts w:hint="eastAsia"/>
          <w:color w:val="auto"/>
        </w:rPr>
        <w:t>根据《关于印发环评管理中部分行业建设项目重大变动清单的通知》（环办〔2015〕52号）和关于印发《污染影响类建设项目重大变动清单（试行）》的通知（环办环评函〔2020〕688号），本项目处置能力增大3</w:t>
      </w:r>
      <w:r>
        <w:rPr>
          <w:color w:val="auto"/>
        </w:rPr>
        <w:t>0</w:t>
      </w:r>
      <w:r>
        <w:rPr>
          <w:rFonts w:hint="eastAsia"/>
          <w:color w:val="auto"/>
        </w:rPr>
        <w:t>%以上，上述变动内容已构成重大变动，须重新报批环境影响评价文件。</w:t>
      </w:r>
    </w:p>
    <w:p>
      <w:pPr>
        <w:pStyle w:val="130"/>
        <w:ind w:firstLine="480"/>
        <w:rPr>
          <w:color w:val="auto"/>
        </w:rPr>
      </w:pPr>
      <w:r>
        <w:rPr>
          <w:rFonts w:hint="eastAsia"/>
          <w:color w:val="auto"/>
        </w:rPr>
        <w:t>为完善建设项目环境影响评价工作，建设单位于202</w:t>
      </w:r>
      <w:r>
        <w:rPr>
          <w:color w:val="auto"/>
        </w:rPr>
        <w:t>2</w:t>
      </w:r>
      <w:r>
        <w:rPr>
          <w:rFonts w:hint="eastAsia"/>
          <w:color w:val="auto"/>
        </w:rPr>
        <w:t>年</w:t>
      </w:r>
      <w:r>
        <w:rPr>
          <w:color w:val="auto"/>
        </w:rPr>
        <w:t>5</w:t>
      </w:r>
      <w:r>
        <w:rPr>
          <w:rFonts w:hint="eastAsia"/>
          <w:color w:val="auto"/>
        </w:rPr>
        <w:t>月</w:t>
      </w:r>
      <w:r>
        <w:rPr>
          <w:color w:val="auto"/>
        </w:rPr>
        <w:t>6</w:t>
      </w:r>
      <w:r>
        <w:rPr>
          <w:rFonts w:hint="eastAsia"/>
          <w:color w:val="auto"/>
        </w:rPr>
        <w:t>日委托宁夏鸿旭环境技术有限公司（以下简称“环评单位”）组织开展《中卫医疗废物处置中心改造项目环境影响报告书》重新报批事宜。</w:t>
      </w:r>
    </w:p>
    <w:p>
      <w:pPr>
        <w:pStyle w:val="4"/>
        <w:numPr>
          <w:ilvl w:val="1"/>
          <w:numId w:val="0"/>
        </w:numPr>
        <w:spacing w:before="120"/>
        <w:rPr>
          <w:color w:val="auto"/>
        </w:rPr>
      </w:pPr>
      <w:bookmarkStart w:id="182" w:name="_Toc109398573"/>
      <w:r>
        <w:rPr>
          <w:color w:val="auto"/>
        </w:rPr>
        <w:t>3</w:t>
      </w:r>
      <w:r>
        <w:rPr>
          <w:rFonts w:hint="eastAsia"/>
          <w:color w:val="auto"/>
        </w:rPr>
        <w:t>.2变更内容分析</w:t>
      </w:r>
      <w:bookmarkEnd w:id="182"/>
    </w:p>
    <w:p>
      <w:pPr>
        <w:pStyle w:val="5"/>
        <w:numPr>
          <w:ilvl w:val="2"/>
          <w:numId w:val="0"/>
        </w:numPr>
        <w:rPr>
          <w:color w:val="auto"/>
        </w:rPr>
      </w:pPr>
      <w:bookmarkStart w:id="183" w:name="_Toc109398574"/>
      <w:r>
        <w:rPr>
          <w:color w:val="auto"/>
        </w:rPr>
        <w:t>3</w:t>
      </w:r>
      <w:r>
        <w:rPr>
          <w:rFonts w:hint="eastAsia"/>
          <w:color w:val="auto"/>
        </w:rPr>
        <w:t>.2.1</w:t>
      </w:r>
      <w:r>
        <w:rPr>
          <w:color w:val="auto"/>
        </w:rPr>
        <w:t>建设</w:t>
      </w:r>
      <w:r>
        <w:rPr>
          <w:rFonts w:hint="eastAsia"/>
          <w:color w:val="auto"/>
        </w:rPr>
        <w:t>性质变化</w:t>
      </w:r>
      <w:bookmarkEnd w:id="183"/>
    </w:p>
    <w:p>
      <w:pPr>
        <w:pStyle w:val="130"/>
        <w:ind w:firstLine="480"/>
        <w:rPr>
          <w:color w:val="auto"/>
        </w:rPr>
      </w:pPr>
      <w:r>
        <w:rPr>
          <w:rFonts w:hint="eastAsia"/>
          <w:color w:val="auto"/>
        </w:rPr>
        <w:t>变更前后本项目建设性质均为改扩建，不发生变化。</w:t>
      </w:r>
    </w:p>
    <w:p>
      <w:pPr>
        <w:pStyle w:val="5"/>
        <w:numPr>
          <w:ilvl w:val="2"/>
          <w:numId w:val="0"/>
        </w:numPr>
        <w:rPr>
          <w:color w:val="auto"/>
        </w:rPr>
      </w:pPr>
      <w:bookmarkStart w:id="184" w:name="_Toc109398575"/>
      <w:r>
        <w:rPr>
          <w:color w:val="auto"/>
        </w:rPr>
        <w:t>3</w:t>
      </w:r>
      <w:r>
        <w:rPr>
          <w:rFonts w:hint="eastAsia"/>
          <w:color w:val="auto"/>
        </w:rPr>
        <w:t>.2.2处置规模变化</w:t>
      </w:r>
      <w:bookmarkEnd w:id="184"/>
    </w:p>
    <w:p>
      <w:pPr>
        <w:pStyle w:val="130"/>
        <w:ind w:firstLine="480"/>
        <w:rPr>
          <w:color w:val="auto"/>
        </w:rPr>
      </w:pPr>
      <w:r>
        <w:rPr>
          <w:rFonts w:hint="eastAsia"/>
          <w:color w:val="auto"/>
        </w:rPr>
        <w:t>变更前扩建医疗废物处置规模5t/d，拆除现有3t/d，建成后全厂医疗废物处置规模5t/d。</w:t>
      </w:r>
    </w:p>
    <w:p>
      <w:pPr>
        <w:pStyle w:val="130"/>
        <w:ind w:firstLine="480"/>
        <w:rPr>
          <w:color w:val="auto"/>
        </w:rPr>
      </w:pPr>
      <w:r>
        <w:rPr>
          <w:color w:val="auto"/>
        </w:rPr>
        <w:t>变更</w:t>
      </w:r>
      <w:r>
        <w:rPr>
          <w:rFonts w:hint="eastAsia"/>
          <w:color w:val="auto"/>
        </w:rPr>
        <w:t>后</w:t>
      </w:r>
      <w:r>
        <w:rPr>
          <w:color w:val="auto"/>
        </w:rPr>
        <w:t>扩建医疗废物处置规模5t/d，</w:t>
      </w:r>
      <w:r>
        <w:rPr>
          <w:rFonts w:hint="eastAsia"/>
          <w:color w:val="auto"/>
        </w:rPr>
        <w:t>保留</w:t>
      </w:r>
      <w:r>
        <w:rPr>
          <w:color w:val="auto"/>
        </w:rPr>
        <w:t>现有3t/d，建成后全厂医疗废物处置规模</w:t>
      </w:r>
      <w:r>
        <w:rPr>
          <w:rFonts w:hint="eastAsia"/>
          <w:color w:val="auto"/>
        </w:rPr>
        <w:t>8</w:t>
      </w:r>
      <w:r>
        <w:rPr>
          <w:color w:val="auto"/>
        </w:rPr>
        <w:t>t/d。</w:t>
      </w:r>
    </w:p>
    <w:p>
      <w:pPr>
        <w:pStyle w:val="5"/>
        <w:numPr>
          <w:ilvl w:val="2"/>
          <w:numId w:val="0"/>
        </w:numPr>
        <w:rPr>
          <w:color w:val="auto"/>
        </w:rPr>
      </w:pPr>
      <w:bookmarkStart w:id="185" w:name="_Toc109398576"/>
      <w:r>
        <w:rPr>
          <w:color w:val="auto"/>
        </w:rPr>
        <w:t>3</w:t>
      </w:r>
      <w:r>
        <w:rPr>
          <w:rFonts w:hint="eastAsia"/>
          <w:color w:val="auto"/>
        </w:rPr>
        <w:t>.2.3</w:t>
      </w:r>
      <w:r>
        <w:rPr>
          <w:color w:val="auto"/>
        </w:rPr>
        <w:t>医疗废物服务范围和处理对象</w:t>
      </w:r>
      <w:r>
        <w:rPr>
          <w:rFonts w:hint="eastAsia"/>
          <w:color w:val="auto"/>
        </w:rPr>
        <w:t>变化</w:t>
      </w:r>
      <w:bookmarkEnd w:id="185"/>
    </w:p>
    <w:p>
      <w:pPr>
        <w:pStyle w:val="130"/>
        <w:ind w:firstLine="480"/>
        <w:rPr>
          <w:color w:val="auto"/>
        </w:rPr>
      </w:pPr>
      <w:r>
        <w:rPr>
          <w:color w:val="auto"/>
        </w:rPr>
        <w:t>医疗废物服务范围和处理对象</w:t>
      </w:r>
      <w:r>
        <w:rPr>
          <w:rFonts w:hint="eastAsia"/>
          <w:color w:val="auto"/>
        </w:rPr>
        <w:t>变更前后不发生变化。</w:t>
      </w:r>
    </w:p>
    <w:p>
      <w:pPr>
        <w:pStyle w:val="5"/>
        <w:numPr>
          <w:ilvl w:val="2"/>
          <w:numId w:val="0"/>
        </w:numPr>
        <w:rPr>
          <w:color w:val="auto"/>
        </w:rPr>
      </w:pPr>
      <w:bookmarkStart w:id="186" w:name="_Toc109398577"/>
      <w:r>
        <w:rPr>
          <w:color w:val="auto"/>
        </w:rPr>
        <w:t>3</w:t>
      </w:r>
      <w:r>
        <w:rPr>
          <w:rFonts w:hint="eastAsia"/>
          <w:color w:val="auto"/>
        </w:rPr>
        <w:t>.2.4运营期主要设备变化</w:t>
      </w:r>
      <w:bookmarkEnd w:id="186"/>
    </w:p>
    <w:p>
      <w:pPr>
        <w:pStyle w:val="130"/>
        <w:ind w:firstLine="480"/>
        <w:rPr>
          <w:color w:val="auto"/>
        </w:rPr>
      </w:pPr>
      <w:r>
        <w:rPr>
          <w:rFonts w:hint="eastAsia"/>
          <w:color w:val="auto"/>
        </w:rPr>
        <w:t>变更前后全厂主要设备变化见下表。</w:t>
      </w:r>
    </w:p>
    <w:p>
      <w:pPr>
        <w:pStyle w:val="114"/>
        <w:spacing w:before="0" w:beforeLines="0"/>
        <w:rPr>
          <w:color w:val="auto"/>
        </w:rPr>
      </w:pPr>
      <w:r>
        <w:rPr>
          <w:rFonts w:hint="eastAsia"/>
          <w:color w:val="auto"/>
        </w:rPr>
        <w:t>表</w:t>
      </w:r>
      <w:r>
        <w:rPr>
          <w:color w:val="auto"/>
        </w:rPr>
        <w:t>3</w:t>
      </w:r>
      <w:r>
        <w:rPr>
          <w:rFonts w:hint="eastAsia"/>
          <w:color w:val="auto"/>
        </w:rPr>
        <w:t>.2-1  变更前后全厂主要设备变化一览表</w:t>
      </w:r>
    </w:p>
    <w:tbl>
      <w:tblPr>
        <w:tblStyle w:val="512"/>
        <w:tblW w:w="874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828"/>
        <w:gridCol w:w="2977"/>
        <w:gridCol w:w="3134"/>
        <w:gridCol w:w="81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65" w:hRule="atLeast"/>
          <w:tblHeader/>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设备名称</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变更前</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变更后</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是否变化</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医疗废物高温蒸汽灭菌器</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1套处理能力5t/d</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1套处理能力3t/d，1套处理能力5t/d，共2套</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医疗废物转运用车</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7辆3t医疗废物转运用车，5辆（1.5t，淘汰）共7辆</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7辆3t医疗废物转运用车，5辆（1.5t，备用）共12辆</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垃圾转运车</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1辆3t垃圾转运车</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1辆3t垃圾转运车</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48"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医疗废物灭菌小车</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12辆尺寸：660×940×1056mm</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20辆</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灭菌车输送系统</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1套灭菌车在轨道上实现直线行走和转向</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1套灭菌车在轨道上实现直线行走和转向</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破碎系统</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1套包括卸料机、进料斗、破碎机</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2套</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冷却水循环泵</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2台，1用1备, 型号：IRG50-160A，流量：11.7m</w:t>
            </w:r>
            <w:r>
              <w:rPr>
                <w:rFonts w:ascii="Times New Roman" w:hAnsi="Times New Roman"/>
                <w:color w:val="auto"/>
                <w:vertAlign w:val="superscript"/>
              </w:rPr>
              <w:t>3</w:t>
            </w:r>
            <w:r>
              <w:rPr>
                <w:rFonts w:ascii="Times New Roman" w:hAnsi="Times New Roman"/>
                <w:color w:val="auto"/>
              </w:rPr>
              <w:t>/h</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4台，2用2备</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凉水塔</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1座DBNL3-20，玻璃钢材质</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2座</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蒸汽发生器</w:t>
            </w:r>
          </w:p>
        </w:tc>
        <w:tc>
          <w:tcPr>
            <w:tcW w:w="2977" w:type="dxa"/>
            <w:vAlign w:val="center"/>
          </w:tcPr>
          <w:p>
            <w:pPr>
              <w:pStyle w:val="164"/>
              <w:spacing w:line="240" w:lineRule="exact"/>
              <w:rPr>
                <w:rFonts w:ascii="Times New Roman" w:hAnsi="Times New Roman" w:eastAsia="MS Mincho"/>
                <w:color w:val="auto"/>
              </w:rPr>
            </w:pPr>
            <w:r>
              <w:rPr>
                <w:rFonts w:ascii="Times New Roman" w:hAnsi="Times New Roman"/>
                <w:color w:val="auto"/>
              </w:rPr>
              <w:t>3台</w:t>
            </w:r>
            <w:r>
              <w:rPr>
                <w:rFonts w:hint="eastAsia" w:ascii="Times New Roman" w:hAnsi="Times New Roman"/>
                <w:color w:val="auto"/>
              </w:rPr>
              <w:t>，</w:t>
            </w:r>
            <w:r>
              <w:rPr>
                <w:rFonts w:ascii="Times New Roman" w:hAnsi="Times New Roman"/>
                <w:color w:val="auto"/>
              </w:rPr>
              <w:t>额定蒸汽量103kg/h，额定温度：175</w:t>
            </w:r>
            <w:r>
              <w:rPr>
                <w:rFonts w:ascii="Times New Roman" w:hAnsi="Times New Roman"/>
                <w:color w:val="auto"/>
                <w:lang w:eastAsia="ja-JP"/>
              </w:rPr>
              <w:t>℃</w:t>
            </w:r>
            <w:r>
              <w:rPr>
                <w:rFonts w:hint="eastAsia" w:ascii="Times New Roman" w:hAnsi="Times New Roman"/>
                <w:color w:val="auto"/>
              </w:rPr>
              <w:t>，为5</w:t>
            </w:r>
            <w:r>
              <w:rPr>
                <w:rFonts w:ascii="Times New Roman" w:hAnsi="Times New Roman"/>
                <w:color w:val="auto"/>
              </w:rPr>
              <w:t>t/d</w:t>
            </w:r>
            <w:r>
              <w:rPr>
                <w:rFonts w:hint="eastAsia" w:ascii="Times New Roman" w:hAnsi="Times New Roman"/>
                <w:color w:val="auto"/>
              </w:rPr>
              <w:t>的高温灭菌设备提供蒸汽</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5台</w:t>
            </w:r>
            <w:r>
              <w:rPr>
                <w:rFonts w:hint="eastAsia" w:ascii="Times New Roman" w:hAnsi="Times New Roman"/>
                <w:color w:val="auto"/>
              </w:rPr>
              <w:t>，</w:t>
            </w:r>
            <w:r>
              <w:rPr>
                <w:rFonts w:ascii="Times New Roman" w:hAnsi="Times New Roman"/>
                <w:color w:val="auto"/>
              </w:rPr>
              <w:t>额定蒸汽量103kg/h，额定温度：175</w:t>
            </w:r>
            <w:r>
              <w:rPr>
                <w:rFonts w:ascii="Times New Roman" w:hAnsi="Times New Roman"/>
                <w:color w:val="auto"/>
                <w:lang w:eastAsia="ja-JP"/>
              </w:rPr>
              <w:t>℃</w:t>
            </w:r>
            <w:r>
              <w:rPr>
                <w:rFonts w:hint="eastAsia" w:ascii="Times New Roman" w:hAnsi="Times New Roman"/>
                <w:color w:val="auto"/>
              </w:rPr>
              <w:t>，3台为5</w:t>
            </w:r>
            <w:r>
              <w:rPr>
                <w:rFonts w:ascii="Times New Roman" w:hAnsi="Times New Roman"/>
                <w:color w:val="auto"/>
              </w:rPr>
              <w:t>t/d</w:t>
            </w:r>
            <w:r>
              <w:rPr>
                <w:rFonts w:hint="eastAsia" w:ascii="Times New Roman" w:hAnsi="Times New Roman"/>
                <w:color w:val="auto"/>
              </w:rPr>
              <w:t>的高温灭菌设备提供蒸汽，2台为</w:t>
            </w:r>
            <w:r>
              <w:rPr>
                <w:rFonts w:ascii="Times New Roman" w:hAnsi="Times New Roman"/>
                <w:color w:val="auto"/>
              </w:rPr>
              <w:t>3t/d</w:t>
            </w:r>
            <w:r>
              <w:rPr>
                <w:rFonts w:hint="eastAsia" w:ascii="Times New Roman" w:hAnsi="Times New Roman"/>
                <w:color w:val="auto"/>
              </w:rPr>
              <w:t>的高温灭菌设备提供蒸汽</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电热水锅炉</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3台额定电功率：80KW，型号：LDR0.08-0.09-85/60</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3台额定电功率80KW，型号：LDR0.08-0.09-85/60</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0"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污水处理站</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1套10m</w:t>
            </w:r>
            <w:r>
              <w:rPr>
                <w:rFonts w:ascii="Times New Roman" w:hAnsi="Times New Roman"/>
                <w:color w:val="auto"/>
                <w:vertAlign w:val="superscript"/>
              </w:rPr>
              <w:t>3</w:t>
            </w:r>
            <w:r>
              <w:rPr>
                <w:rFonts w:ascii="Times New Roman" w:hAnsi="Times New Roman"/>
                <w:color w:val="auto"/>
              </w:rPr>
              <w:t>/d，A²O+MBR+消毒工艺</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1套10m</w:t>
            </w:r>
            <w:r>
              <w:rPr>
                <w:rFonts w:ascii="Times New Roman" w:hAnsi="Times New Roman"/>
                <w:color w:val="auto"/>
                <w:vertAlign w:val="superscript"/>
              </w:rPr>
              <w:t>3</w:t>
            </w:r>
            <w:r>
              <w:rPr>
                <w:rFonts w:ascii="Times New Roman" w:hAnsi="Times New Roman"/>
                <w:color w:val="auto"/>
              </w:rPr>
              <w:t>/d，A²O+MBR+消毒工艺</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否</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5"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软水机</w:t>
            </w:r>
          </w:p>
        </w:tc>
        <w:tc>
          <w:tcPr>
            <w:tcW w:w="2977" w:type="dxa"/>
            <w:vAlign w:val="center"/>
          </w:tcPr>
          <w:p>
            <w:pPr>
              <w:pStyle w:val="164"/>
              <w:spacing w:line="240" w:lineRule="exact"/>
              <w:jc w:val="left"/>
              <w:rPr>
                <w:rFonts w:ascii="Times New Roman" w:hAnsi="Times New Roman"/>
                <w:color w:val="auto"/>
              </w:rPr>
            </w:pPr>
            <w:r>
              <w:rPr>
                <w:rFonts w:ascii="Times New Roman" w:hAnsi="Times New Roman"/>
                <w:color w:val="auto"/>
              </w:rPr>
              <w:t>1台</w:t>
            </w:r>
            <w:r>
              <w:rPr>
                <w:rFonts w:hint="eastAsia" w:ascii="Times New Roman" w:hAnsi="Times New Roman"/>
                <w:color w:val="auto"/>
              </w:rPr>
              <w:t>，</w:t>
            </w:r>
            <w:r>
              <w:rPr>
                <w:rFonts w:ascii="Times New Roman" w:hAnsi="Times New Roman"/>
                <w:color w:val="auto"/>
              </w:rPr>
              <w:t>最大额定流量1.5</w:t>
            </w:r>
            <w:r>
              <w:rPr>
                <w:rFonts w:hint="eastAsia" w:ascii="Times New Roman" w:hAnsi="Times New Roman"/>
                <w:color w:val="auto"/>
              </w:rPr>
              <w:t>t</w:t>
            </w:r>
            <w:r>
              <w:rPr>
                <w:rFonts w:ascii="Times New Roman" w:hAnsi="Times New Roman"/>
                <w:color w:val="auto"/>
              </w:rPr>
              <w:t>/h</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2台</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8" w:hRule="atLeast"/>
          <w:jc w:val="center"/>
        </w:trPr>
        <w:tc>
          <w:tcPr>
            <w:tcW w:w="1828" w:type="dxa"/>
            <w:vAlign w:val="center"/>
          </w:tcPr>
          <w:p>
            <w:pPr>
              <w:pStyle w:val="164"/>
              <w:spacing w:line="240" w:lineRule="exact"/>
              <w:rPr>
                <w:rFonts w:ascii="Times New Roman" w:hAnsi="Times New Roman"/>
                <w:color w:val="auto"/>
              </w:rPr>
            </w:pPr>
            <w:r>
              <w:rPr>
                <w:rFonts w:ascii="Times New Roman" w:hAnsi="Times New Roman"/>
                <w:color w:val="auto"/>
              </w:rPr>
              <w:t>周转箱自动清洗</w:t>
            </w:r>
          </w:p>
        </w:tc>
        <w:tc>
          <w:tcPr>
            <w:tcW w:w="2977" w:type="dxa"/>
            <w:vAlign w:val="center"/>
          </w:tcPr>
          <w:p>
            <w:pPr>
              <w:pStyle w:val="164"/>
              <w:spacing w:line="240" w:lineRule="exact"/>
              <w:rPr>
                <w:rFonts w:ascii="Times New Roman" w:hAnsi="Times New Roman"/>
                <w:color w:val="auto"/>
              </w:rPr>
            </w:pPr>
            <w:r>
              <w:rPr>
                <w:rFonts w:ascii="Times New Roman" w:hAnsi="Times New Roman"/>
                <w:color w:val="auto"/>
              </w:rPr>
              <w:t>依托现有一台</w:t>
            </w:r>
          </w:p>
        </w:tc>
        <w:tc>
          <w:tcPr>
            <w:tcW w:w="3134" w:type="dxa"/>
            <w:vAlign w:val="center"/>
          </w:tcPr>
          <w:p>
            <w:pPr>
              <w:pStyle w:val="164"/>
              <w:spacing w:line="240" w:lineRule="exact"/>
              <w:rPr>
                <w:rFonts w:ascii="Times New Roman" w:hAnsi="Times New Roman"/>
                <w:color w:val="auto"/>
              </w:rPr>
            </w:pPr>
            <w:r>
              <w:rPr>
                <w:rFonts w:ascii="Times New Roman" w:hAnsi="Times New Roman"/>
                <w:color w:val="auto"/>
              </w:rPr>
              <w:t>依托现有一台</w:t>
            </w:r>
          </w:p>
        </w:tc>
        <w:tc>
          <w:tcPr>
            <w:tcW w:w="810" w:type="dxa"/>
            <w:vAlign w:val="center"/>
          </w:tcPr>
          <w:p>
            <w:pPr>
              <w:pStyle w:val="164"/>
              <w:spacing w:line="240" w:lineRule="exact"/>
              <w:rPr>
                <w:rFonts w:ascii="Times New Roman" w:hAnsi="Times New Roman"/>
                <w:color w:val="auto"/>
              </w:rPr>
            </w:pPr>
            <w:r>
              <w:rPr>
                <w:rFonts w:ascii="Times New Roman" w:hAnsi="Times New Roman"/>
                <w:color w:val="auto"/>
              </w:rPr>
              <w:t>否</w:t>
            </w:r>
          </w:p>
        </w:tc>
      </w:tr>
    </w:tbl>
    <w:p>
      <w:pPr>
        <w:pStyle w:val="114"/>
        <w:spacing w:before="0" w:beforeLines="0"/>
        <w:rPr>
          <w:color w:val="auto"/>
        </w:rPr>
      </w:pPr>
    </w:p>
    <w:p>
      <w:pPr>
        <w:pStyle w:val="5"/>
        <w:numPr>
          <w:ilvl w:val="2"/>
          <w:numId w:val="0"/>
        </w:numPr>
        <w:ind w:left="-720" w:leftChars="-343" w:firstLine="723" w:firstLineChars="300"/>
        <w:rPr>
          <w:color w:val="auto"/>
        </w:rPr>
      </w:pPr>
      <w:bookmarkStart w:id="187" w:name="_Toc109398578"/>
      <w:r>
        <w:rPr>
          <w:color w:val="auto"/>
        </w:rPr>
        <w:t>3</w:t>
      </w:r>
      <w:r>
        <w:rPr>
          <w:rFonts w:hint="eastAsia"/>
          <w:color w:val="auto"/>
        </w:rPr>
        <w:t>.2.5建设地点（含总平面布局）变化情况</w:t>
      </w:r>
      <w:bookmarkEnd w:id="187"/>
    </w:p>
    <w:p>
      <w:pPr>
        <w:pStyle w:val="130"/>
        <w:ind w:firstLine="480"/>
        <w:rPr>
          <w:color w:val="auto"/>
        </w:rPr>
      </w:pPr>
      <w:r>
        <w:rPr>
          <w:rFonts w:hint="eastAsia"/>
          <w:color w:val="auto"/>
        </w:rPr>
        <w:t>变更前后建设地点不发生变化，变更后预拆除3t/d医疗废物高温蒸汽灭菌系统保留原有位置，不变动，其余平面布置不发生变化。</w:t>
      </w:r>
    </w:p>
    <w:p>
      <w:pPr>
        <w:pStyle w:val="5"/>
        <w:numPr>
          <w:ilvl w:val="2"/>
          <w:numId w:val="0"/>
        </w:numPr>
        <w:ind w:left="-720" w:leftChars="-343" w:firstLine="723" w:firstLineChars="300"/>
        <w:rPr>
          <w:color w:val="auto"/>
        </w:rPr>
      </w:pPr>
      <w:bookmarkStart w:id="188" w:name="_Toc109398579"/>
      <w:r>
        <w:rPr>
          <w:color w:val="auto"/>
        </w:rPr>
        <w:t>3</w:t>
      </w:r>
      <w:r>
        <w:rPr>
          <w:rFonts w:hint="eastAsia"/>
          <w:color w:val="auto"/>
        </w:rPr>
        <w:t>.2.6</w:t>
      </w:r>
      <w:r>
        <w:rPr>
          <w:color w:val="auto"/>
        </w:rPr>
        <w:t>生产工艺变化情况</w:t>
      </w:r>
      <w:bookmarkEnd w:id="188"/>
    </w:p>
    <w:p>
      <w:pPr>
        <w:pStyle w:val="130"/>
        <w:ind w:firstLine="480"/>
        <w:rPr>
          <w:color w:val="auto"/>
        </w:rPr>
      </w:pPr>
      <w:r>
        <w:rPr>
          <w:rFonts w:hint="eastAsia"/>
          <w:color w:val="auto"/>
        </w:rPr>
        <w:t>变更前后生产工艺不发生变化，仅预拆除3t/d医疗废物高温蒸汽灭菌系统保留不拆除。</w:t>
      </w:r>
    </w:p>
    <w:p>
      <w:pPr>
        <w:pStyle w:val="5"/>
        <w:numPr>
          <w:ilvl w:val="2"/>
          <w:numId w:val="0"/>
        </w:numPr>
        <w:ind w:left="-720" w:leftChars="-343" w:firstLine="723" w:firstLineChars="300"/>
        <w:rPr>
          <w:color w:val="auto"/>
        </w:rPr>
      </w:pPr>
      <w:bookmarkStart w:id="189" w:name="_Toc109398580"/>
      <w:r>
        <w:rPr>
          <w:color w:val="auto"/>
        </w:rPr>
        <w:t>3</w:t>
      </w:r>
      <w:r>
        <w:rPr>
          <w:rFonts w:hint="eastAsia"/>
          <w:color w:val="auto"/>
        </w:rPr>
        <w:t>.2.7</w:t>
      </w:r>
      <w:r>
        <w:rPr>
          <w:color w:val="auto"/>
        </w:rPr>
        <w:t>主要环境保护措施变化</w:t>
      </w:r>
      <w:bookmarkEnd w:id="189"/>
    </w:p>
    <w:p>
      <w:pPr>
        <w:pStyle w:val="130"/>
        <w:ind w:firstLine="480"/>
        <w:rPr>
          <w:color w:val="auto"/>
        </w:rPr>
      </w:pPr>
      <w:r>
        <w:rPr>
          <w:rFonts w:hint="eastAsia"/>
          <w:color w:val="auto"/>
        </w:rPr>
        <w:t>变更前、后各生产系统及公辅工程、储运工程等配套环保设施/设备变化情况对比分析见下表。</w:t>
      </w:r>
    </w:p>
    <w:p>
      <w:pPr>
        <w:jc w:val="center"/>
        <w:rPr>
          <w:rFonts w:eastAsiaTheme="minorEastAsia"/>
          <w:b/>
          <w:color w:val="auto"/>
          <w:sz w:val="24"/>
          <w:szCs w:val="21"/>
        </w:rPr>
      </w:pPr>
      <w:r>
        <w:rPr>
          <w:rFonts w:hint="eastAsia" w:eastAsiaTheme="minorEastAsia"/>
          <w:b/>
          <w:color w:val="auto"/>
          <w:sz w:val="24"/>
          <w:szCs w:val="21"/>
        </w:rPr>
        <w:t>表</w:t>
      </w:r>
      <w:r>
        <w:rPr>
          <w:rFonts w:eastAsiaTheme="minorEastAsia"/>
          <w:b/>
          <w:color w:val="auto"/>
          <w:sz w:val="24"/>
          <w:szCs w:val="21"/>
        </w:rPr>
        <w:t>3</w:t>
      </w:r>
      <w:r>
        <w:rPr>
          <w:rFonts w:hint="eastAsia" w:eastAsiaTheme="minorEastAsia"/>
          <w:b/>
          <w:color w:val="auto"/>
          <w:sz w:val="24"/>
          <w:szCs w:val="21"/>
        </w:rPr>
        <w:t>.2-2  项目主要公辅工程、环保工程变更情况对比分析表</w:t>
      </w:r>
    </w:p>
    <w:tbl>
      <w:tblPr>
        <w:tblStyle w:val="75"/>
        <w:tblW w:w="9029"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91"/>
        <w:gridCol w:w="2478"/>
        <w:gridCol w:w="2470"/>
        <w:gridCol w:w="24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38" w:hRule="atLeast"/>
          <w:jc w:val="center"/>
        </w:trPr>
        <w:tc>
          <w:tcPr>
            <w:tcW w:w="1591" w:type="dxa"/>
            <w:tcBorders>
              <w:tl2br w:val="nil"/>
              <w:tr2bl w:val="nil"/>
            </w:tcBorders>
            <w:vAlign w:val="center"/>
          </w:tcPr>
          <w:p>
            <w:pPr>
              <w:pStyle w:val="2"/>
              <w:spacing w:line="360" w:lineRule="exact"/>
              <w:jc w:val="center"/>
              <w:rPr>
                <w:color w:val="auto"/>
                <w:sz w:val="21"/>
              </w:rPr>
            </w:pPr>
            <w:r>
              <w:rPr>
                <w:rFonts w:hint="eastAsia"/>
                <w:color w:val="auto"/>
                <w:sz w:val="21"/>
              </w:rPr>
              <w:t>工程类别</w:t>
            </w:r>
          </w:p>
        </w:tc>
        <w:tc>
          <w:tcPr>
            <w:tcW w:w="2478" w:type="dxa"/>
            <w:tcBorders>
              <w:tl2br w:val="nil"/>
              <w:tr2bl w:val="nil"/>
            </w:tcBorders>
            <w:vAlign w:val="center"/>
          </w:tcPr>
          <w:p>
            <w:pPr>
              <w:pStyle w:val="2"/>
              <w:spacing w:line="360" w:lineRule="exact"/>
              <w:jc w:val="center"/>
              <w:rPr>
                <w:color w:val="auto"/>
                <w:sz w:val="21"/>
              </w:rPr>
            </w:pPr>
            <w:r>
              <w:rPr>
                <w:color w:val="auto"/>
                <w:sz w:val="21"/>
              </w:rPr>
              <w:t>原环评阶段拟建内容</w:t>
            </w:r>
          </w:p>
        </w:tc>
        <w:tc>
          <w:tcPr>
            <w:tcW w:w="2470" w:type="dxa"/>
            <w:tcBorders>
              <w:tl2br w:val="nil"/>
              <w:tr2bl w:val="nil"/>
            </w:tcBorders>
            <w:vAlign w:val="center"/>
          </w:tcPr>
          <w:p>
            <w:pPr>
              <w:pStyle w:val="2"/>
              <w:spacing w:line="360" w:lineRule="exact"/>
              <w:jc w:val="center"/>
              <w:rPr>
                <w:color w:val="auto"/>
                <w:sz w:val="21"/>
              </w:rPr>
            </w:pPr>
            <w:r>
              <w:rPr>
                <w:color w:val="auto"/>
                <w:sz w:val="21"/>
              </w:rPr>
              <w:t>变更后建设内容</w:t>
            </w:r>
          </w:p>
        </w:tc>
        <w:tc>
          <w:tcPr>
            <w:tcW w:w="2490" w:type="dxa"/>
            <w:tcBorders>
              <w:tl2br w:val="nil"/>
              <w:tr2bl w:val="nil"/>
            </w:tcBorders>
            <w:vAlign w:val="center"/>
          </w:tcPr>
          <w:p>
            <w:pPr>
              <w:pStyle w:val="2"/>
              <w:spacing w:line="360" w:lineRule="exact"/>
              <w:jc w:val="center"/>
              <w:rPr>
                <w:color w:val="auto"/>
                <w:sz w:val="21"/>
              </w:rPr>
            </w:pPr>
            <w:r>
              <w:rPr>
                <w:rFonts w:hint="eastAsia"/>
                <w:color w:val="auto"/>
                <w:sz w:val="21"/>
              </w:rPr>
              <w:t>变化情况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91" w:type="dxa"/>
            <w:tcBorders>
              <w:tl2br w:val="nil"/>
              <w:tr2bl w:val="nil"/>
            </w:tcBorders>
            <w:vAlign w:val="center"/>
          </w:tcPr>
          <w:p>
            <w:pPr>
              <w:pStyle w:val="2"/>
              <w:spacing w:line="360" w:lineRule="exact"/>
              <w:jc w:val="center"/>
              <w:rPr>
                <w:color w:val="auto"/>
                <w:sz w:val="21"/>
              </w:rPr>
            </w:pPr>
            <w:r>
              <w:rPr>
                <w:rFonts w:hint="eastAsia"/>
                <w:color w:val="auto"/>
                <w:sz w:val="21"/>
              </w:rPr>
              <w:t>生产蒸汽供应</w:t>
            </w:r>
          </w:p>
        </w:tc>
        <w:tc>
          <w:tcPr>
            <w:tcW w:w="2478" w:type="dxa"/>
            <w:tcBorders>
              <w:tl2br w:val="nil"/>
              <w:tr2bl w:val="nil"/>
            </w:tcBorders>
            <w:vAlign w:val="center"/>
          </w:tcPr>
          <w:p>
            <w:pPr>
              <w:pStyle w:val="2"/>
              <w:spacing w:line="360" w:lineRule="exact"/>
              <w:jc w:val="center"/>
              <w:rPr>
                <w:color w:val="auto"/>
                <w:sz w:val="21"/>
              </w:rPr>
            </w:pPr>
            <w:r>
              <w:rPr>
                <w:rFonts w:hint="eastAsia"/>
                <w:color w:val="auto"/>
                <w:sz w:val="21"/>
              </w:rPr>
              <w:t>将原有燃煤锅炉改造为3台70KW电蒸汽发生器为生产工序提供蒸汽</w:t>
            </w:r>
          </w:p>
        </w:tc>
        <w:tc>
          <w:tcPr>
            <w:tcW w:w="2470" w:type="dxa"/>
            <w:tcBorders>
              <w:tl2br w:val="nil"/>
              <w:tr2bl w:val="nil"/>
            </w:tcBorders>
            <w:vAlign w:val="center"/>
          </w:tcPr>
          <w:p>
            <w:pPr>
              <w:pStyle w:val="2"/>
              <w:spacing w:line="360" w:lineRule="exact"/>
              <w:jc w:val="center"/>
              <w:rPr>
                <w:color w:val="auto"/>
                <w:sz w:val="21"/>
              </w:rPr>
            </w:pPr>
            <w:r>
              <w:rPr>
                <w:rFonts w:hint="eastAsia"/>
                <w:color w:val="auto"/>
                <w:sz w:val="21"/>
              </w:rPr>
              <w:t>拆除原有燃煤锅炉，改造为5台72KW电蒸汽发生器为2台高温蒸汽灭菌设备提供蒸汽</w:t>
            </w:r>
          </w:p>
        </w:tc>
        <w:tc>
          <w:tcPr>
            <w:tcW w:w="2490" w:type="dxa"/>
            <w:tcBorders>
              <w:tl2br w:val="nil"/>
              <w:tr2bl w:val="nil"/>
            </w:tcBorders>
            <w:vAlign w:val="center"/>
          </w:tcPr>
          <w:p>
            <w:pPr>
              <w:pStyle w:val="2"/>
              <w:spacing w:line="360" w:lineRule="exact"/>
              <w:jc w:val="center"/>
              <w:rPr>
                <w:color w:val="auto"/>
                <w:sz w:val="21"/>
              </w:rPr>
            </w:pPr>
            <w:r>
              <w:rPr>
                <w:rFonts w:hint="eastAsia"/>
                <w:color w:val="auto"/>
                <w:sz w:val="21"/>
              </w:rPr>
              <w:t>新增2台72KW电蒸汽发生器为3t/d高温灭菌设备提供蒸汽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91" w:type="dxa"/>
            <w:tcBorders>
              <w:tl2br w:val="nil"/>
              <w:tr2bl w:val="nil"/>
            </w:tcBorders>
            <w:vAlign w:val="center"/>
          </w:tcPr>
          <w:p>
            <w:pPr>
              <w:pStyle w:val="2"/>
              <w:spacing w:line="360" w:lineRule="exact"/>
              <w:jc w:val="center"/>
              <w:rPr>
                <w:color w:val="auto"/>
                <w:sz w:val="21"/>
              </w:rPr>
            </w:pPr>
            <w:r>
              <w:rPr>
                <w:rFonts w:hint="eastAsia"/>
                <w:color w:val="auto"/>
                <w:sz w:val="21"/>
              </w:rPr>
              <w:t>废气环保设施</w:t>
            </w:r>
          </w:p>
        </w:tc>
        <w:tc>
          <w:tcPr>
            <w:tcW w:w="2478" w:type="dxa"/>
            <w:tcBorders>
              <w:tl2br w:val="nil"/>
              <w:tr2bl w:val="nil"/>
            </w:tcBorders>
            <w:vAlign w:val="center"/>
          </w:tcPr>
          <w:p>
            <w:pPr>
              <w:pStyle w:val="2"/>
              <w:spacing w:line="360" w:lineRule="exact"/>
              <w:jc w:val="center"/>
              <w:rPr>
                <w:color w:val="auto"/>
                <w:sz w:val="21"/>
              </w:rPr>
            </w:pPr>
            <w:r>
              <w:rPr>
                <w:rFonts w:hint="eastAsia"/>
                <w:color w:val="auto"/>
                <w:sz w:val="21"/>
              </w:rPr>
              <w:t>1台5t/d</w:t>
            </w:r>
            <w:r>
              <w:rPr>
                <w:color w:val="auto"/>
                <w:sz w:val="21"/>
              </w:rPr>
              <w:t>高温蒸汽灭菌废气先通过设备自带的生物过滤+活性炭吸附进行预处理后，同时在灭菌器上方及破碎机上方设置2个集气罩收集废气后经过“碱洗喷淋+等离子+活性炭”工艺处理，然后通过15m高排气筒排放</w:t>
            </w:r>
          </w:p>
        </w:tc>
        <w:tc>
          <w:tcPr>
            <w:tcW w:w="2470" w:type="dxa"/>
            <w:tcBorders>
              <w:tl2br w:val="nil"/>
              <w:tr2bl w:val="nil"/>
            </w:tcBorders>
            <w:vAlign w:val="center"/>
          </w:tcPr>
          <w:p>
            <w:pPr>
              <w:pStyle w:val="2"/>
              <w:spacing w:line="360" w:lineRule="exact"/>
              <w:jc w:val="center"/>
              <w:rPr>
                <w:color w:val="auto"/>
                <w:sz w:val="21"/>
              </w:rPr>
            </w:pPr>
            <w:r>
              <w:rPr>
                <w:rFonts w:hint="eastAsia"/>
                <w:color w:val="auto"/>
                <w:sz w:val="21"/>
              </w:rPr>
              <w:t>2台</w:t>
            </w:r>
            <w:r>
              <w:rPr>
                <w:color w:val="auto"/>
                <w:sz w:val="21"/>
              </w:rPr>
              <w:t>高温蒸汽灭菌废气先通过</w:t>
            </w:r>
            <w:r>
              <w:rPr>
                <w:rFonts w:hint="eastAsia"/>
                <w:color w:val="auto"/>
                <w:sz w:val="21"/>
              </w:rPr>
              <w:t>各自</w:t>
            </w:r>
            <w:r>
              <w:rPr>
                <w:color w:val="auto"/>
                <w:sz w:val="21"/>
              </w:rPr>
              <w:t>设备自带的生物过滤+活性炭吸附进行预处理后，同时在</w:t>
            </w:r>
            <w:r>
              <w:rPr>
                <w:rFonts w:hint="eastAsia"/>
                <w:color w:val="auto"/>
                <w:sz w:val="21"/>
              </w:rPr>
              <w:t>2台</w:t>
            </w:r>
            <w:r>
              <w:rPr>
                <w:color w:val="auto"/>
                <w:sz w:val="21"/>
              </w:rPr>
              <w:t>灭菌器上方及</w:t>
            </w:r>
            <w:r>
              <w:rPr>
                <w:rFonts w:hint="eastAsia"/>
                <w:color w:val="auto"/>
                <w:sz w:val="21"/>
              </w:rPr>
              <w:t>2台</w:t>
            </w:r>
            <w:r>
              <w:rPr>
                <w:color w:val="auto"/>
                <w:sz w:val="21"/>
              </w:rPr>
              <w:t>破碎机上方</w:t>
            </w:r>
            <w:r>
              <w:rPr>
                <w:rFonts w:hint="eastAsia"/>
                <w:color w:val="auto"/>
                <w:sz w:val="21"/>
              </w:rPr>
              <w:t>各</w:t>
            </w:r>
            <w:r>
              <w:rPr>
                <w:color w:val="auto"/>
                <w:sz w:val="21"/>
              </w:rPr>
              <w:t>设置2个集气罩收集废气后经过“碱洗喷淋+等离子+活性炭”工艺处理，然后通过15m高排气筒排放</w:t>
            </w:r>
          </w:p>
        </w:tc>
        <w:tc>
          <w:tcPr>
            <w:tcW w:w="2490" w:type="dxa"/>
            <w:tcBorders>
              <w:tl2br w:val="nil"/>
              <w:tr2bl w:val="nil"/>
            </w:tcBorders>
            <w:vAlign w:val="center"/>
          </w:tcPr>
          <w:p>
            <w:pPr>
              <w:pStyle w:val="2"/>
              <w:spacing w:line="360" w:lineRule="exact"/>
              <w:jc w:val="center"/>
              <w:rPr>
                <w:color w:val="auto"/>
                <w:sz w:val="21"/>
              </w:rPr>
            </w:pPr>
            <w:r>
              <w:rPr>
                <w:rFonts w:hint="eastAsia"/>
                <w:color w:val="auto"/>
                <w:sz w:val="21"/>
              </w:rPr>
              <w:t>3t/d</w:t>
            </w:r>
            <w:r>
              <w:rPr>
                <w:color w:val="auto"/>
                <w:sz w:val="21"/>
              </w:rPr>
              <w:t>高温蒸汽灭菌废气通过设备自带的生物过滤+活性炭吸附</w:t>
            </w:r>
            <w:r>
              <w:rPr>
                <w:rFonts w:hint="eastAsia"/>
                <w:color w:val="auto"/>
                <w:sz w:val="21"/>
              </w:rPr>
              <w:t>通过7m排气筒排放，改为3t/d高温蒸汽灭菌废气先通过设备自带的生物过滤+活性炭吸附后接入新建“碱洗喷淋+等离子+活性炭”工艺处理，然后通过15m高排气筒排放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91" w:type="dxa"/>
            <w:tcBorders>
              <w:tl2br w:val="nil"/>
              <w:tr2bl w:val="nil"/>
            </w:tcBorders>
            <w:vAlign w:val="center"/>
          </w:tcPr>
          <w:p>
            <w:pPr>
              <w:pStyle w:val="2"/>
              <w:spacing w:line="360" w:lineRule="exact"/>
              <w:jc w:val="center"/>
              <w:rPr>
                <w:color w:val="auto"/>
                <w:sz w:val="21"/>
              </w:rPr>
            </w:pPr>
            <w:r>
              <w:rPr>
                <w:rFonts w:hint="eastAsia"/>
                <w:color w:val="auto"/>
                <w:sz w:val="21"/>
              </w:rPr>
              <w:t>废水环保设施</w:t>
            </w:r>
          </w:p>
        </w:tc>
        <w:tc>
          <w:tcPr>
            <w:tcW w:w="2478" w:type="dxa"/>
            <w:tcBorders>
              <w:tl2br w:val="nil"/>
              <w:tr2bl w:val="nil"/>
            </w:tcBorders>
            <w:vAlign w:val="center"/>
          </w:tcPr>
          <w:p>
            <w:pPr>
              <w:pStyle w:val="2"/>
              <w:spacing w:line="360" w:lineRule="exact"/>
              <w:jc w:val="center"/>
              <w:rPr>
                <w:color w:val="auto"/>
                <w:sz w:val="21"/>
              </w:rPr>
            </w:pPr>
            <w:r>
              <w:rPr>
                <w:rFonts w:hint="eastAsia"/>
                <w:color w:val="auto"/>
                <w:sz w:val="21"/>
              </w:rPr>
              <w:t>5t/d</w:t>
            </w:r>
            <w:r>
              <w:rPr>
                <w:color w:val="auto"/>
                <w:sz w:val="21"/>
              </w:rPr>
              <w:t>高温蒸汽灭菌</w:t>
            </w:r>
            <w:r>
              <w:rPr>
                <w:rFonts w:hint="eastAsia"/>
                <w:color w:val="auto"/>
                <w:sz w:val="21"/>
              </w:rPr>
              <w:t>设备</w:t>
            </w:r>
            <w:r>
              <w:rPr>
                <w:color w:val="auto"/>
                <w:sz w:val="21"/>
              </w:rPr>
              <w:t>生产废水经新建污水处理站（A</w:t>
            </w:r>
            <w:r>
              <w:rPr>
                <w:color w:val="auto"/>
                <w:sz w:val="21"/>
                <w:vertAlign w:val="superscript"/>
              </w:rPr>
              <w:t>2</w:t>
            </w:r>
            <w:r>
              <w:rPr>
                <w:color w:val="auto"/>
                <w:sz w:val="21"/>
              </w:rPr>
              <w:t>O+MBR+消毒工艺），处理规模10m</w:t>
            </w:r>
            <w:r>
              <w:rPr>
                <w:color w:val="auto"/>
                <w:sz w:val="21"/>
                <w:vertAlign w:val="superscript"/>
              </w:rPr>
              <w:t>3</w:t>
            </w:r>
            <w:r>
              <w:rPr>
                <w:color w:val="auto"/>
                <w:sz w:val="21"/>
              </w:rPr>
              <w:t>/d，处理后作为中卫市垃圾填埋场道路抑尘用水，不外排</w:t>
            </w:r>
          </w:p>
        </w:tc>
        <w:tc>
          <w:tcPr>
            <w:tcW w:w="2470" w:type="dxa"/>
            <w:tcBorders>
              <w:tl2br w:val="nil"/>
              <w:tr2bl w:val="nil"/>
            </w:tcBorders>
            <w:vAlign w:val="center"/>
          </w:tcPr>
          <w:p>
            <w:pPr>
              <w:pStyle w:val="2"/>
              <w:spacing w:line="360" w:lineRule="exact"/>
              <w:jc w:val="center"/>
              <w:rPr>
                <w:color w:val="auto"/>
                <w:sz w:val="21"/>
              </w:rPr>
            </w:pPr>
            <w:r>
              <w:rPr>
                <w:rFonts w:hint="eastAsia"/>
                <w:color w:val="auto"/>
                <w:sz w:val="21"/>
              </w:rPr>
              <w:t>2台</w:t>
            </w:r>
            <w:r>
              <w:rPr>
                <w:color w:val="auto"/>
                <w:sz w:val="21"/>
              </w:rPr>
              <w:t>高温蒸汽灭菌</w:t>
            </w:r>
            <w:r>
              <w:rPr>
                <w:rFonts w:hint="eastAsia"/>
                <w:color w:val="auto"/>
                <w:sz w:val="21"/>
              </w:rPr>
              <w:t>设备生产废水经新建污水处理站（A</w:t>
            </w:r>
            <w:r>
              <w:rPr>
                <w:rFonts w:hint="eastAsia"/>
                <w:color w:val="auto"/>
                <w:sz w:val="21"/>
                <w:vertAlign w:val="superscript"/>
              </w:rPr>
              <w:t>2</w:t>
            </w:r>
            <w:r>
              <w:rPr>
                <w:rFonts w:hint="eastAsia"/>
                <w:color w:val="auto"/>
                <w:sz w:val="21"/>
              </w:rPr>
              <w:t>O+MBR+消毒工艺），处理规模10m</w:t>
            </w:r>
            <w:r>
              <w:rPr>
                <w:rFonts w:hint="eastAsia"/>
                <w:color w:val="auto"/>
                <w:sz w:val="21"/>
                <w:vertAlign w:val="superscript"/>
              </w:rPr>
              <w:t>3</w:t>
            </w:r>
            <w:r>
              <w:rPr>
                <w:rFonts w:hint="eastAsia"/>
                <w:color w:val="auto"/>
                <w:sz w:val="21"/>
              </w:rPr>
              <w:t>/d，处理后作为中卫市垃圾填埋场道路抑尘用水，不外排</w:t>
            </w:r>
          </w:p>
        </w:tc>
        <w:tc>
          <w:tcPr>
            <w:tcW w:w="2490" w:type="dxa"/>
            <w:tcBorders>
              <w:tl2br w:val="nil"/>
              <w:tr2bl w:val="nil"/>
            </w:tcBorders>
            <w:vAlign w:val="center"/>
          </w:tcPr>
          <w:p>
            <w:pPr>
              <w:pStyle w:val="2"/>
              <w:spacing w:line="360" w:lineRule="exact"/>
              <w:jc w:val="center"/>
              <w:rPr>
                <w:color w:val="auto"/>
                <w:sz w:val="21"/>
              </w:rPr>
            </w:pPr>
            <w:r>
              <w:rPr>
                <w:rFonts w:hint="eastAsia"/>
                <w:color w:val="auto"/>
                <w:sz w:val="21"/>
              </w:rPr>
              <w:t>现有3t/d</w:t>
            </w:r>
            <w:r>
              <w:rPr>
                <w:color w:val="auto"/>
                <w:sz w:val="21"/>
              </w:rPr>
              <w:t>高温蒸汽灭菌</w:t>
            </w:r>
            <w:r>
              <w:rPr>
                <w:rFonts w:hint="eastAsia"/>
                <w:color w:val="auto"/>
                <w:sz w:val="21"/>
              </w:rPr>
              <w:t>设备生产废水进入厂区化粪池和隔油池处理后通过吸污车送至中卫市生活垃圾填埋场污水处理站调节池内，改为生产废水经新建污水处理站（A</w:t>
            </w:r>
            <w:r>
              <w:rPr>
                <w:rFonts w:hint="eastAsia"/>
                <w:color w:val="auto"/>
                <w:sz w:val="21"/>
                <w:vertAlign w:val="superscript"/>
              </w:rPr>
              <w:t>2</w:t>
            </w:r>
            <w:r>
              <w:rPr>
                <w:rFonts w:hint="eastAsia"/>
                <w:color w:val="auto"/>
                <w:sz w:val="21"/>
              </w:rPr>
              <w:t>O+MBR+消毒工艺），处理后作为中卫市垃圾填埋场道路抑尘用水，不外排</w:t>
            </w:r>
          </w:p>
        </w:tc>
      </w:tr>
    </w:tbl>
    <w:p>
      <w:pPr>
        <w:pStyle w:val="130"/>
        <w:widowControl w:val="0"/>
        <w:spacing w:before="120" w:beforeLines="50"/>
        <w:ind w:firstLine="480"/>
        <w:rPr>
          <w:color w:val="auto"/>
        </w:rPr>
      </w:pPr>
      <w:r>
        <w:rPr>
          <w:rFonts w:hint="eastAsia"/>
          <w:color w:val="auto"/>
        </w:rPr>
        <w:t>由上表可以看出，变更后现有3t/d高温蒸汽灭菌设备生产蒸汽供应由燃煤锅炉改为电蒸汽发生器，减少了废气排放，同时现有3t/d高温蒸汽灭菌废气通过设备自带的生物过滤+活性炭吸附通过7m排气筒排放，7m排气筒不符合环保要求，变更后灭菌废气通过设备自带的生物过滤+活性炭吸附后接入新建“碱洗喷淋+等离子+活性炭”工艺处理，然后通过15m高排气筒排放，减少了废气产生量同时满足《医疗废物处理处置污染控制标准》（GB39707-2020）消毒处理设施应配备尾气净化装置。排气筒高度参照GB16297执行，一般不应低于15m的要求。</w:t>
      </w:r>
    </w:p>
    <w:p>
      <w:pPr>
        <w:pStyle w:val="5"/>
        <w:numPr>
          <w:ilvl w:val="2"/>
          <w:numId w:val="0"/>
        </w:numPr>
        <w:ind w:left="-720" w:leftChars="-343" w:firstLine="723" w:firstLineChars="300"/>
        <w:rPr>
          <w:color w:val="auto"/>
        </w:rPr>
      </w:pPr>
      <w:bookmarkStart w:id="190" w:name="_Toc109398581"/>
      <w:r>
        <w:rPr>
          <w:color w:val="auto"/>
        </w:rPr>
        <w:t>3</w:t>
      </w:r>
      <w:r>
        <w:rPr>
          <w:rFonts w:hint="eastAsia"/>
          <w:color w:val="auto"/>
        </w:rPr>
        <w:t>.2.8全厂污染物排放总量变化</w:t>
      </w:r>
      <w:bookmarkEnd w:id="190"/>
    </w:p>
    <w:p>
      <w:pPr>
        <w:pStyle w:val="130"/>
        <w:ind w:firstLine="480"/>
        <w:rPr>
          <w:color w:val="auto"/>
        </w:rPr>
      </w:pPr>
      <w:r>
        <w:rPr>
          <w:rFonts w:hint="eastAsia"/>
          <w:color w:val="auto"/>
        </w:rPr>
        <w:t>本项目变更前全厂医疗废物处置量5t/d，变更后全厂医疗废物处置量8t/d，本项目污染物排放总量控制因子排放较原方案有一定的增加，具体变化情况见下表。</w:t>
      </w:r>
    </w:p>
    <w:p>
      <w:pPr>
        <w:pStyle w:val="114"/>
        <w:adjustRightInd w:val="0"/>
        <w:snapToGrid w:val="0"/>
        <w:spacing w:before="0" w:beforeLines="0"/>
        <w:rPr>
          <w:color w:val="auto"/>
        </w:rPr>
      </w:pPr>
      <w:r>
        <w:rPr>
          <w:rFonts w:hint="eastAsia"/>
          <w:color w:val="auto"/>
        </w:rPr>
        <w:t>表</w:t>
      </w:r>
      <w:r>
        <w:rPr>
          <w:rFonts w:hint="eastAsia"/>
          <w:color w:val="auto"/>
          <w:lang w:val="en-US" w:eastAsia="zh-CN"/>
        </w:rPr>
        <w:t>3</w:t>
      </w:r>
      <w:r>
        <w:rPr>
          <w:rFonts w:hint="eastAsia"/>
          <w:color w:val="auto"/>
        </w:rPr>
        <w:t>.2-3  项目变更前后全厂污染物排放总量对比表</w:t>
      </w:r>
    </w:p>
    <w:tbl>
      <w:tblPr>
        <w:tblStyle w:val="74"/>
        <w:tblW w:w="874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8"/>
        <w:gridCol w:w="2511"/>
        <w:gridCol w:w="1841"/>
        <w:gridCol w:w="1899"/>
        <w:gridCol w:w="183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blHeader/>
        </w:trPr>
        <w:tc>
          <w:tcPr>
            <w:tcW w:w="3169" w:type="dxa"/>
            <w:gridSpan w:val="2"/>
            <w:tcBorders>
              <w:top w:val="single" w:color="auto" w:sz="12" w:space="0"/>
              <w:left w:val="single" w:color="auto" w:sz="12" w:space="0"/>
              <w:bottom w:val="single" w:color="auto" w:sz="4" w:space="0"/>
              <w:right w:val="single" w:color="auto" w:sz="4" w:space="0"/>
            </w:tcBorders>
            <w:shd w:val="clear" w:color="auto" w:fill="auto"/>
            <w:vAlign w:val="center"/>
          </w:tcPr>
          <w:p>
            <w:pPr>
              <w:widowControl/>
              <w:jc w:val="center"/>
              <w:rPr>
                <w:b/>
                <w:color w:val="auto"/>
                <w:kern w:val="0"/>
                <w:szCs w:val="21"/>
              </w:rPr>
            </w:pPr>
            <w:r>
              <w:rPr>
                <w:rFonts w:hint="eastAsia" w:cs="宋体"/>
                <w:b/>
                <w:color w:val="auto"/>
                <w:kern w:val="0"/>
                <w:szCs w:val="21"/>
                <w:lang w:bidi="ar"/>
              </w:rPr>
              <w:t>污染物名称</w:t>
            </w:r>
          </w:p>
        </w:tc>
        <w:tc>
          <w:tcPr>
            <w:tcW w:w="1841" w:type="dxa"/>
            <w:tcBorders>
              <w:top w:val="single" w:color="auto" w:sz="12" w:space="0"/>
              <w:left w:val="single" w:color="auto" w:sz="4" w:space="0"/>
              <w:bottom w:val="single" w:color="auto" w:sz="4" w:space="0"/>
              <w:right w:val="single" w:color="auto" w:sz="4" w:space="0"/>
            </w:tcBorders>
            <w:shd w:val="clear" w:color="auto" w:fill="auto"/>
            <w:vAlign w:val="center"/>
          </w:tcPr>
          <w:p>
            <w:pPr>
              <w:widowControl/>
              <w:jc w:val="center"/>
              <w:rPr>
                <w:b/>
                <w:color w:val="auto"/>
                <w:kern w:val="0"/>
                <w:szCs w:val="21"/>
              </w:rPr>
            </w:pPr>
            <w:r>
              <w:rPr>
                <w:rFonts w:hint="eastAsia" w:cs="宋体"/>
                <w:b/>
                <w:color w:val="auto"/>
                <w:kern w:val="0"/>
                <w:szCs w:val="21"/>
                <w:lang w:bidi="ar"/>
              </w:rPr>
              <w:t>原方案排放量（</w:t>
            </w:r>
            <w:r>
              <w:rPr>
                <w:b/>
                <w:color w:val="auto"/>
                <w:kern w:val="0"/>
                <w:szCs w:val="21"/>
                <w:lang w:bidi="ar"/>
              </w:rPr>
              <w:t>t/a</w:t>
            </w:r>
            <w:r>
              <w:rPr>
                <w:rFonts w:hint="eastAsia" w:cs="宋体"/>
                <w:b/>
                <w:color w:val="auto"/>
                <w:kern w:val="0"/>
                <w:szCs w:val="21"/>
                <w:lang w:bidi="ar"/>
              </w:rPr>
              <w:t>）</w:t>
            </w:r>
          </w:p>
        </w:tc>
        <w:tc>
          <w:tcPr>
            <w:tcW w:w="1899" w:type="dxa"/>
            <w:tcBorders>
              <w:top w:val="single" w:color="auto" w:sz="12" w:space="0"/>
              <w:left w:val="single" w:color="auto" w:sz="4" w:space="0"/>
              <w:bottom w:val="single" w:color="auto" w:sz="4" w:space="0"/>
              <w:right w:val="single" w:color="auto" w:sz="4" w:space="0"/>
            </w:tcBorders>
            <w:shd w:val="clear" w:color="auto" w:fill="auto"/>
            <w:vAlign w:val="center"/>
          </w:tcPr>
          <w:p>
            <w:pPr>
              <w:widowControl/>
              <w:jc w:val="center"/>
              <w:rPr>
                <w:b/>
                <w:color w:val="auto"/>
                <w:kern w:val="0"/>
                <w:szCs w:val="21"/>
              </w:rPr>
            </w:pPr>
            <w:r>
              <w:rPr>
                <w:rFonts w:hint="eastAsia" w:cs="宋体"/>
                <w:b/>
                <w:color w:val="auto"/>
                <w:kern w:val="0"/>
                <w:szCs w:val="21"/>
                <w:lang w:bidi="ar"/>
              </w:rPr>
              <w:t>变更后排放量（</w:t>
            </w:r>
            <w:r>
              <w:rPr>
                <w:b/>
                <w:color w:val="auto"/>
                <w:kern w:val="0"/>
                <w:szCs w:val="21"/>
                <w:lang w:bidi="ar"/>
              </w:rPr>
              <w:t>t/a</w:t>
            </w:r>
            <w:r>
              <w:rPr>
                <w:rFonts w:hint="eastAsia" w:cs="宋体"/>
                <w:b/>
                <w:color w:val="auto"/>
                <w:kern w:val="0"/>
                <w:szCs w:val="21"/>
                <w:lang w:bidi="ar"/>
              </w:rPr>
              <w:t>）</w:t>
            </w:r>
          </w:p>
        </w:tc>
        <w:tc>
          <w:tcPr>
            <w:tcW w:w="1835" w:type="dxa"/>
            <w:tcBorders>
              <w:top w:val="single" w:color="auto" w:sz="12" w:space="0"/>
              <w:left w:val="single" w:color="auto" w:sz="4" w:space="0"/>
              <w:bottom w:val="single" w:color="auto" w:sz="4" w:space="0"/>
              <w:right w:val="single" w:color="auto" w:sz="12" w:space="0"/>
            </w:tcBorders>
            <w:shd w:val="clear" w:color="auto" w:fill="auto"/>
            <w:vAlign w:val="center"/>
          </w:tcPr>
          <w:p>
            <w:pPr>
              <w:widowControl/>
              <w:jc w:val="center"/>
              <w:rPr>
                <w:b/>
                <w:color w:val="auto"/>
                <w:kern w:val="0"/>
                <w:szCs w:val="21"/>
              </w:rPr>
            </w:pPr>
            <w:r>
              <w:rPr>
                <w:rFonts w:hint="eastAsia" w:cs="宋体"/>
                <w:b/>
                <w:color w:val="auto"/>
                <w:kern w:val="0"/>
                <w:szCs w:val="21"/>
                <w:lang w:bidi="ar"/>
              </w:rPr>
              <w:t>变化情况（</w:t>
            </w:r>
            <w:r>
              <w:rPr>
                <w:b/>
                <w:color w:val="auto"/>
                <w:kern w:val="0"/>
                <w:szCs w:val="21"/>
                <w:lang w:bidi="ar"/>
              </w:rPr>
              <w:t>t/a</w:t>
            </w:r>
            <w:r>
              <w:rPr>
                <w:rFonts w:hint="eastAsia" w:cs="宋体"/>
                <w:b/>
                <w:color w:val="auto"/>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restart"/>
            <w:tcBorders>
              <w:top w:val="single" w:color="auto" w:sz="4" w:space="0"/>
              <w:left w:val="single" w:color="auto" w:sz="12" w:space="0"/>
              <w:bottom w:val="single" w:color="auto" w:sz="4" w:space="0"/>
              <w:right w:val="single" w:color="auto" w:sz="4" w:space="0"/>
            </w:tcBorders>
            <w:shd w:val="clear" w:color="auto" w:fill="auto"/>
            <w:vAlign w:val="center"/>
          </w:tcPr>
          <w:p>
            <w:pPr>
              <w:widowControl/>
              <w:jc w:val="center"/>
              <w:rPr>
                <w:b/>
                <w:color w:val="auto"/>
                <w:kern w:val="0"/>
                <w:szCs w:val="21"/>
              </w:rPr>
            </w:pPr>
            <w:r>
              <w:rPr>
                <w:rFonts w:hint="eastAsia" w:cs="宋体"/>
                <w:b/>
                <w:color w:val="auto"/>
                <w:kern w:val="0"/>
                <w:szCs w:val="21"/>
                <w:lang w:bidi="ar"/>
              </w:rPr>
              <w:t>有</w:t>
            </w:r>
          </w:p>
          <w:p>
            <w:pPr>
              <w:widowControl/>
              <w:jc w:val="center"/>
              <w:rPr>
                <w:b/>
                <w:color w:val="auto"/>
                <w:kern w:val="0"/>
                <w:szCs w:val="21"/>
              </w:rPr>
            </w:pPr>
            <w:r>
              <w:rPr>
                <w:rFonts w:hint="eastAsia" w:cs="宋体"/>
                <w:b/>
                <w:color w:val="auto"/>
                <w:kern w:val="0"/>
                <w:szCs w:val="21"/>
                <w:lang w:bidi="ar"/>
              </w:rPr>
              <w:t>组</w:t>
            </w:r>
          </w:p>
          <w:p>
            <w:pPr>
              <w:widowControl/>
              <w:jc w:val="center"/>
              <w:rPr>
                <w:b/>
                <w:color w:val="auto"/>
                <w:kern w:val="0"/>
                <w:szCs w:val="21"/>
              </w:rPr>
            </w:pPr>
            <w:r>
              <w:rPr>
                <w:rFonts w:hint="eastAsia" w:cs="宋体"/>
                <w:b/>
                <w:color w:val="auto"/>
                <w:kern w:val="0"/>
                <w:szCs w:val="21"/>
                <w:lang w:bidi="ar"/>
              </w:rPr>
              <w:t>织</w:t>
            </w:r>
          </w:p>
          <w:p>
            <w:pPr>
              <w:widowControl/>
              <w:jc w:val="center"/>
              <w:rPr>
                <w:b/>
                <w:color w:val="auto"/>
                <w:kern w:val="0"/>
                <w:szCs w:val="21"/>
              </w:rPr>
            </w:pPr>
            <w:r>
              <w:rPr>
                <w:rFonts w:hint="eastAsia" w:cs="宋体"/>
                <w:b/>
                <w:color w:val="auto"/>
                <w:kern w:val="0"/>
                <w:szCs w:val="21"/>
                <w:lang w:bidi="ar"/>
              </w:rPr>
              <w:t>废</w:t>
            </w:r>
          </w:p>
          <w:p>
            <w:pPr>
              <w:widowControl/>
              <w:jc w:val="center"/>
              <w:rPr>
                <w:b/>
                <w:color w:val="auto"/>
                <w:kern w:val="0"/>
                <w:szCs w:val="21"/>
              </w:rPr>
            </w:pPr>
            <w:r>
              <w:rPr>
                <w:rFonts w:hint="eastAsia" w:cs="宋体"/>
                <w:b/>
                <w:color w:val="auto"/>
                <w:kern w:val="0"/>
                <w:szCs w:val="21"/>
                <w:lang w:bidi="ar"/>
              </w:rPr>
              <w:t>气</w:t>
            </w: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s="宋体"/>
                <w:color w:val="auto"/>
                <w:kern w:val="0"/>
                <w:szCs w:val="21"/>
                <w:lang w:bidi="ar"/>
              </w:rPr>
              <w:t>颗粒物</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0.0515</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0.0</w:t>
            </w:r>
            <w:r>
              <w:rPr>
                <w:color w:val="auto"/>
                <w:kern w:val="0"/>
                <w:szCs w:val="21"/>
                <w:lang w:bidi="ar"/>
              </w:rPr>
              <w:t>846</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rPr>
                <w:color w:val="auto"/>
                <w:kern w:val="0"/>
                <w:szCs w:val="21"/>
              </w:rPr>
            </w:pPr>
            <w:r>
              <w:rPr>
                <w:rFonts w:hint="eastAsia"/>
                <w:color w:val="auto"/>
                <w:kern w:val="0"/>
                <w:szCs w:val="21"/>
              </w:rPr>
              <w:t>+</w:t>
            </w:r>
            <w:r>
              <w:rPr>
                <w:color w:val="auto"/>
                <w:kern w:val="0"/>
                <w:szCs w:val="21"/>
              </w:rPr>
              <w:t>0</w:t>
            </w:r>
            <w:r>
              <w:rPr>
                <w:rFonts w:hint="eastAsia"/>
                <w:color w:val="auto"/>
                <w:kern w:val="0"/>
                <w:szCs w:val="21"/>
              </w:rPr>
              <w:t>.0</w:t>
            </w:r>
            <w:r>
              <w:rPr>
                <w:color w:val="auto"/>
                <w:kern w:val="0"/>
                <w:szCs w:val="21"/>
              </w:rPr>
              <w:t>331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rFonts w:ascii="Calibri" w:hAnsi="Calibri" w:cs="Calibri"/>
                <w:color w:val="auto"/>
                <w:sz w:val="20"/>
                <w:szCs w:val="20"/>
              </w:rPr>
            </w:pP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s="宋体"/>
                <w:color w:val="auto"/>
                <w:kern w:val="0"/>
                <w:szCs w:val="21"/>
                <w:lang w:bidi="ar"/>
              </w:rPr>
              <w:t>非甲烷总烃</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0.0118</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0.0193</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rPr>
                <w:color w:val="auto"/>
                <w:kern w:val="0"/>
                <w:szCs w:val="21"/>
              </w:rPr>
            </w:pPr>
            <w:r>
              <w:rPr>
                <w:rFonts w:hint="eastAsia"/>
                <w:color w:val="auto"/>
                <w:kern w:val="0"/>
                <w:szCs w:val="21"/>
              </w:rPr>
              <w:t>+0.0075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rFonts w:ascii="Calibri" w:hAnsi="Calibri" w:cs="Calibri"/>
                <w:color w:val="auto"/>
                <w:sz w:val="20"/>
                <w:szCs w:val="20"/>
              </w:rPr>
            </w:pP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color w:val="auto"/>
                <w:szCs w:val="21"/>
                <w:lang w:bidi="ar"/>
              </w:rPr>
              <w:t>NH</w:t>
            </w:r>
            <w:r>
              <w:rPr>
                <w:color w:val="auto"/>
                <w:szCs w:val="21"/>
                <w:vertAlign w:val="subscript"/>
                <w:lang w:bidi="ar"/>
              </w:rPr>
              <w:t>3</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rPr>
              <w:t>0.0709</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rPr>
              <w:t>0.116</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textAlignment w:val="center"/>
              <w:rPr>
                <w:color w:val="auto"/>
                <w:kern w:val="0"/>
                <w:szCs w:val="21"/>
              </w:rPr>
            </w:pPr>
            <w:r>
              <w:rPr>
                <w:rFonts w:hint="eastAsia"/>
                <w:color w:val="auto"/>
                <w:kern w:val="0"/>
                <w:szCs w:val="21"/>
                <w:lang w:bidi="ar"/>
              </w:rPr>
              <w:t>+</w:t>
            </w:r>
            <w:r>
              <w:rPr>
                <w:color w:val="auto"/>
                <w:kern w:val="0"/>
                <w:szCs w:val="21"/>
                <w:lang w:bidi="ar"/>
              </w:rPr>
              <w:t>0.0451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rFonts w:ascii="Calibri" w:hAnsi="Calibri" w:cs="Calibri"/>
                <w:color w:val="auto"/>
                <w:sz w:val="20"/>
                <w:szCs w:val="20"/>
              </w:rPr>
            </w:pP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szCs w:val="21"/>
                <w:lang w:bidi="ar"/>
              </w:rPr>
              <w:t>0.0004</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rPr>
              <w:t>0.0006</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textAlignment w:val="center"/>
              <w:rPr>
                <w:color w:val="auto"/>
                <w:kern w:val="0"/>
                <w:szCs w:val="21"/>
              </w:rPr>
            </w:pPr>
            <w:r>
              <w:rPr>
                <w:rFonts w:hint="eastAsia"/>
                <w:color w:val="auto"/>
                <w:kern w:val="0"/>
                <w:szCs w:val="21"/>
                <w:lang w:bidi="ar"/>
              </w:rPr>
              <w:t>+</w:t>
            </w:r>
            <w:r>
              <w:rPr>
                <w:color w:val="auto"/>
                <w:kern w:val="0"/>
                <w:szCs w:val="21"/>
                <w:lang w:bidi="ar"/>
              </w:rPr>
              <w:t>0.0002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restart"/>
            <w:tcBorders>
              <w:top w:val="single" w:color="auto" w:sz="4" w:space="0"/>
              <w:left w:val="single" w:color="auto" w:sz="12" w:space="0"/>
              <w:bottom w:val="single" w:color="auto" w:sz="4" w:space="0"/>
              <w:right w:val="single" w:color="auto" w:sz="4" w:space="0"/>
            </w:tcBorders>
            <w:shd w:val="clear" w:color="auto" w:fill="auto"/>
            <w:vAlign w:val="center"/>
          </w:tcPr>
          <w:p>
            <w:pPr>
              <w:widowControl/>
              <w:jc w:val="center"/>
              <w:rPr>
                <w:b/>
                <w:color w:val="auto"/>
                <w:kern w:val="0"/>
                <w:szCs w:val="21"/>
              </w:rPr>
            </w:pPr>
            <w:r>
              <w:rPr>
                <w:rFonts w:hint="eastAsia" w:cs="宋体"/>
                <w:b/>
                <w:color w:val="auto"/>
                <w:kern w:val="0"/>
                <w:szCs w:val="21"/>
                <w:lang w:bidi="ar"/>
              </w:rPr>
              <w:t>无</w:t>
            </w:r>
          </w:p>
          <w:p>
            <w:pPr>
              <w:widowControl/>
              <w:jc w:val="center"/>
              <w:rPr>
                <w:b/>
                <w:color w:val="auto"/>
                <w:kern w:val="0"/>
                <w:szCs w:val="21"/>
              </w:rPr>
            </w:pPr>
            <w:r>
              <w:rPr>
                <w:rFonts w:hint="eastAsia" w:cs="宋体"/>
                <w:b/>
                <w:color w:val="auto"/>
                <w:kern w:val="0"/>
                <w:szCs w:val="21"/>
                <w:lang w:bidi="ar"/>
              </w:rPr>
              <w:t>组</w:t>
            </w:r>
          </w:p>
          <w:p>
            <w:pPr>
              <w:widowControl/>
              <w:jc w:val="center"/>
              <w:rPr>
                <w:b/>
                <w:color w:val="auto"/>
                <w:kern w:val="0"/>
                <w:szCs w:val="21"/>
              </w:rPr>
            </w:pPr>
            <w:r>
              <w:rPr>
                <w:rFonts w:hint="eastAsia" w:cs="宋体"/>
                <w:b/>
                <w:color w:val="auto"/>
                <w:kern w:val="0"/>
                <w:szCs w:val="21"/>
                <w:lang w:bidi="ar"/>
              </w:rPr>
              <w:t>织</w:t>
            </w:r>
          </w:p>
          <w:p>
            <w:pPr>
              <w:widowControl/>
              <w:jc w:val="center"/>
              <w:rPr>
                <w:b/>
                <w:color w:val="auto"/>
                <w:kern w:val="0"/>
                <w:szCs w:val="21"/>
              </w:rPr>
            </w:pPr>
            <w:r>
              <w:rPr>
                <w:rFonts w:hint="eastAsia" w:cs="宋体"/>
                <w:b/>
                <w:color w:val="auto"/>
                <w:kern w:val="0"/>
                <w:szCs w:val="21"/>
                <w:lang w:bidi="ar"/>
              </w:rPr>
              <w:t>废</w:t>
            </w:r>
          </w:p>
          <w:p>
            <w:pPr>
              <w:widowControl/>
              <w:jc w:val="center"/>
              <w:rPr>
                <w:b/>
                <w:color w:val="auto"/>
                <w:kern w:val="0"/>
                <w:szCs w:val="21"/>
              </w:rPr>
            </w:pPr>
            <w:r>
              <w:rPr>
                <w:rFonts w:hint="eastAsia" w:cs="宋体"/>
                <w:b/>
                <w:color w:val="auto"/>
                <w:kern w:val="0"/>
                <w:szCs w:val="21"/>
                <w:lang w:bidi="ar"/>
              </w:rPr>
              <w:t>气</w:t>
            </w: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s="宋体"/>
                <w:color w:val="auto"/>
                <w:kern w:val="0"/>
                <w:szCs w:val="21"/>
                <w:lang w:bidi="ar"/>
              </w:rPr>
              <w:t>非甲烷总烃</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rPr>
              <w:t>0.0022</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rPr>
              <w:t>0.0039</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textAlignment w:val="center"/>
              <w:rPr>
                <w:color w:val="auto"/>
                <w:kern w:val="0"/>
                <w:szCs w:val="21"/>
              </w:rPr>
            </w:pPr>
            <w:r>
              <w:rPr>
                <w:rFonts w:hint="eastAsia"/>
                <w:color w:val="auto"/>
                <w:kern w:val="0"/>
                <w:szCs w:val="21"/>
                <w:lang w:bidi="ar"/>
              </w:rPr>
              <w:t>+</w:t>
            </w:r>
            <w:r>
              <w:rPr>
                <w:color w:val="auto"/>
                <w:kern w:val="0"/>
                <w:szCs w:val="21"/>
                <w:lang w:bidi="ar"/>
              </w:rPr>
              <w:t>0.0017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rFonts w:ascii="Calibri" w:hAnsi="Calibri" w:cs="Calibri"/>
                <w:color w:val="auto"/>
                <w:sz w:val="20"/>
                <w:szCs w:val="20"/>
              </w:rPr>
            </w:pP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color w:val="auto"/>
                <w:szCs w:val="21"/>
                <w:lang w:bidi="ar"/>
              </w:rPr>
              <w:t>NH</w:t>
            </w:r>
            <w:r>
              <w:rPr>
                <w:color w:val="auto"/>
                <w:szCs w:val="21"/>
                <w:vertAlign w:val="subscript"/>
                <w:lang w:bidi="ar"/>
              </w:rPr>
              <w:t>3</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rPr>
              <w:t>0.0124</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rPr>
              <w:t>0.0195</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textAlignment w:val="center"/>
              <w:rPr>
                <w:color w:val="auto"/>
                <w:kern w:val="0"/>
                <w:szCs w:val="21"/>
              </w:rPr>
            </w:pPr>
            <w:r>
              <w:rPr>
                <w:rFonts w:hint="eastAsia"/>
                <w:color w:val="auto"/>
                <w:kern w:val="0"/>
                <w:szCs w:val="21"/>
                <w:lang w:bidi="ar"/>
              </w:rPr>
              <w:t>+</w:t>
            </w:r>
            <w:r>
              <w:rPr>
                <w:color w:val="auto"/>
                <w:kern w:val="0"/>
                <w:szCs w:val="21"/>
                <w:lang w:bidi="ar"/>
              </w:rPr>
              <w:t>0.0071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rFonts w:ascii="Calibri" w:hAnsi="Calibri" w:cs="Calibri"/>
                <w:color w:val="auto"/>
                <w:sz w:val="20"/>
                <w:szCs w:val="20"/>
              </w:rPr>
            </w:pP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rPr>
              <w:t>0.000123</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rPr>
              <w:t>0.000188</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textAlignment w:val="center"/>
              <w:rPr>
                <w:color w:val="auto"/>
                <w:kern w:val="0"/>
                <w:szCs w:val="21"/>
              </w:rPr>
            </w:pPr>
            <w:r>
              <w:rPr>
                <w:rFonts w:hint="eastAsia"/>
                <w:color w:val="auto"/>
                <w:kern w:val="0"/>
                <w:szCs w:val="21"/>
                <w:lang w:bidi="ar"/>
              </w:rPr>
              <w:t>+</w:t>
            </w:r>
            <w:r>
              <w:rPr>
                <w:color w:val="auto"/>
                <w:kern w:val="0"/>
                <w:szCs w:val="21"/>
                <w:lang w:bidi="ar"/>
              </w:rPr>
              <w:t>0.000065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tcBorders>
              <w:top w:val="single" w:color="auto" w:sz="4" w:space="0"/>
              <w:left w:val="single" w:color="auto" w:sz="12" w:space="0"/>
              <w:bottom w:val="single" w:color="auto" w:sz="4" w:space="0"/>
              <w:right w:val="single" w:color="auto" w:sz="4" w:space="0"/>
            </w:tcBorders>
            <w:shd w:val="clear" w:color="auto" w:fill="auto"/>
            <w:vAlign w:val="center"/>
          </w:tcPr>
          <w:p>
            <w:pPr>
              <w:widowControl/>
              <w:jc w:val="center"/>
              <w:rPr>
                <w:b/>
                <w:color w:val="auto"/>
                <w:kern w:val="0"/>
                <w:szCs w:val="21"/>
              </w:rPr>
            </w:pPr>
            <w:r>
              <w:rPr>
                <w:rFonts w:hint="eastAsia" w:cs="宋体"/>
                <w:b/>
                <w:color w:val="auto"/>
                <w:kern w:val="0"/>
                <w:szCs w:val="21"/>
                <w:lang w:bidi="ar"/>
              </w:rPr>
              <w:t>废水</w:t>
            </w: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s="宋体"/>
                <w:color w:val="auto"/>
                <w:kern w:val="0"/>
                <w:szCs w:val="21"/>
                <w:lang w:bidi="ar"/>
              </w:rPr>
              <w:t>总废水产生量（</w:t>
            </w:r>
            <w:r>
              <w:rPr>
                <w:color w:val="auto"/>
                <w:kern w:val="0"/>
                <w:szCs w:val="21"/>
                <w:lang w:bidi="ar"/>
              </w:rPr>
              <w:t>m</w:t>
            </w:r>
            <w:r>
              <w:rPr>
                <w:color w:val="auto"/>
                <w:kern w:val="0"/>
                <w:szCs w:val="21"/>
                <w:vertAlign w:val="superscript"/>
                <w:lang w:bidi="ar"/>
              </w:rPr>
              <w:t>3</w:t>
            </w:r>
            <w:r>
              <w:rPr>
                <w:color w:val="auto"/>
                <w:kern w:val="0"/>
                <w:szCs w:val="21"/>
                <w:lang w:bidi="ar"/>
              </w:rPr>
              <w:t>/a</w:t>
            </w:r>
            <w:r>
              <w:rPr>
                <w:rFonts w:hint="eastAsia" w:cs="宋体"/>
                <w:color w:val="auto"/>
                <w:kern w:val="0"/>
                <w:szCs w:val="21"/>
                <w:lang w:bidi="ar"/>
              </w:rPr>
              <w:t>）</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2900.64</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3521.0</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textAlignment w:val="center"/>
              <w:rPr>
                <w:color w:val="auto"/>
                <w:kern w:val="0"/>
                <w:szCs w:val="21"/>
              </w:rPr>
            </w:pPr>
            <w:r>
              <w:rPr>
                <w:rFonts w:hint="eastAsia"/>
                <w:color w:val="auto"/>
                <w:kern w:val="0"/>
                <w:szCs w:val="21"/>
                <w:lang w:bidi="ar"/>
              </w:rPr>
              <w:t>+</w:t>
            </w:r>
            <w:r>
              <w:rPr>
                <w:color w:val="auto"/>
                <w:kern w:val="0"/>
                <w:szCs w:val="21"/>
                <w:lang w:bidi="ar"/>
              </w:rPr>
              <w:t>620.36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restart"/>
            <w:tcBorders>
              <w:top w:val="single" w:color="auto" w:sz="4" w:space="0"/>
              <w:left w:val="single" w:color="auto" w:sz="12" w:space="0"/>
              <w:bottom w:val="single" w:color="auto" w:sz="4" w:space="0"/>
              <w:right w:val="single" w:color="auto" w:sz="4" w:space="0"/>
            </w:tcBorders>
            <w:shd w:val="clear" w:color="auto" w:fill="auto"/>
            <w:vAlign w:val="center"/>
          </w:tcPr>
          <w:p>
            <w:pPr>
              <w:widowControl/>
              <w:jc w:val="center"/>
              <w:rPr>
                <w:b/>
                <w:color w:val="auto"/>
                <w:kern w:val="0"/>
                <w:szCs w:val="21"/>
              </w:rPr>
            </w:pPr>
            <w:r>
              <w:rPr>
                <w:rFonts w:hint="eastAsia" w:cs="宋体"/>
                <w:b/>
                <w:color w:val="auto"/>
                <w:kern w:val="0"/>
                <w:szCs w:val="21"/>
                <w:lang w:bidi="ar"/>
              </w:rPr>
              <w:t>固体</w:t>
            </w:r>
          </w:p>
          <w:p>
            <w:pPr>
              <w:jc w:val="center"/>
              <w:rPr>
                <w:b/>
                <w:color w:val="auto"/>
                <w:kern w:val="0"/>
                <w:szCs w:val="21"/>
              </w:rPr>
            </w:pPr>
            <w:r>
              <w:rPr>
                <w:rFonts w:hint="eastAsia" w:cs="宋体"/>
                <w:b/>
                <w:color w:val="auto"/>
                <w:kern w:val="0"/>
                <w:szCs w:val="21"/>
                <w:lang w:bidi="ar"/>
              </w:rPr>
              <w:t>废物</w:t>
            </w: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s="宋体"/>
                <w:color w:val="auto"/>
                <w:kern w:val="0"/>
                <w:szCs w:val="21"/>
                <w:lang w:bidi="ar"/>
              </w:rPr>
              <w:t>危险废物</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1521.3</w:t>
            </w:r>
            <w:r>
              <w:rPr>
                <w:color w:val="auto"/>
                <w:kern w:val="0"/>
                <w:szCs w:val="21"/>
                <w:lang w:bidi="ar"/>
              </w:rPr>
              <w:t>4</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color w:val="auto"/>
                <w:kern w:val="0"/>
                <w:szCs w:val="21"/>
                <w:lang w:bidi="ar"/>
              </w:rPr>
              <w:t>2434.078</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textAlignment w:val="center"/>
              <w:rPr>
                <w:color w:val="auto"/>
                <w:kern w:val="0"/>
                <w:szCs w:val="21"/>
              </w:rPr>
            </w:pPr>
            <w:r>
              <w:rPr>
                <w:rFonts w:hint="eastAsia"/>
                <w:color w:val="auto"/>
                <w:kern w:val="0"/>
                <w:szCs w:val="21"/>
                <w:lang w:bidi="ar"/>
              </w:rPr>
              <w:t>+</w:t>
            </w:r>
            <w:r>
              <w:rPr>
                <w:color w:val="auto"/>
                <w:kern w:val="0"/>
                <w:szCs w:val="21"/>
                <w:lang w:bidi="ar"/>
              </w:rPr>
              <w:t>912.738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continue"/>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rFonts w:ascii="Calibri" w:hAnsi="Calibri" w:cs="Calibri"/>
                <w:color w:val="auto"/>
                <w:sz w:val="20"/>
                <w:szCs w:val="20"/>
              </w:rPr>
            </w:pPr>
          </w:p>
        </w:tc>
        <w:tc>
          <w:tcPr>
            <w:tcW w:w="251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s="宋体"/>
                <w:color w:val="auto"/>
                <w:kern w:val="0"/>
                <w:szCs w:val="21"/>
                <w:lang w:bidi="ar"/>
              </w:rPr>
              <w:t>一般废物</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0.06</w:t>
            </w:r>
          </w:p>
        </w:tc>
        <w:tc>
          <w:tcPr>
            <w:tcW w:w="18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0.95</w:t>
            </w:r>
          </w:p>
        </w:tc>
        <w:tc>
          <w:tcPr>
            <w:tcW w:w="1835" w:type="dxa"/>
            <w:tcBorders>
              <w:top w:val="single" w:color="auto" w:sz="4" w:space="0"/>
              <w:left w:val="single" w:color="auto" w:sz="4" w:space="0"/>
              <w:bottom w:val="single" w:color="auto" w:sz="4" w:space="0"/>
              <w:right w:val="single" w:color="auto" w:sz="12" w:space="0"/>
            </w:tcBorders>
            <w:shd w:val="clear" w:color="auto" w:fill="auto"/>
            <w:vAlign w:val="center"/>
          </w:tcPr>
          <w:p>
            <w:pPr>
              <w:widowControl/>
              <w:jc w:val="center"/>
              <w:textAlignment w:val="center"/>
              <w:rPr>
                <w:color w:val="auto"/>
                <w:kern w:val="0"/>
                <w:szCs w:val="21"/>
              </w:rPr>
            </w:pPr>
            <w:r>
              <w:rPr>
                <w:rFonts w:hint="eastAsia"/>
                <w:color w:val="auto"/>
                <w:kern w:val="0"/>
                <w:szCs w:val="21"/>
                <w:lang w:bidi="ar"/>
              </w:rPr>
              <w:t>+</w:t>
            </w:r>
            <w:r>
              <w:rPr>
                <w:color w:val="auto"/>
                <w:kern w:val="0"/>
                <w:szCs w:val="21"/>
                <w:lang w:bidi="ar"/>
              </w:rPr>
              <w:t>0.89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trPr>
        <w:tc>
          <w:tcPr>
            <w:tcW w:w="658" w:type="dxa"/>
            <w:vMerge w:val="continue"/>
            <w:tcBorders>
              <w:top w:val="single" w:color="auto" w:sz="4" w:space="0"/>
              <w:left w:val="single" w:color="auto" w:sz="12" w:space="0"/>
              <w:bottom w:val="single" w:color="auto" w:sz="12" w:space="0"/>
              <w:right w:val="single" w:color="auto" w:sz="4" w:space="0"/>
            </w:tcBorders>
            <w:shd w:val="clear" w:color="auto" w:fill="auto"/>
            <w:vAlign w:val="center"/>
          </w:tcPr>
          <w:p>
            <w:pPr>
              <w:jc w:val="center"/>
              <w:rPr>
                <w:rFonts w:ascii="Calibri" w:hAnsi="Calibri" w:cs="Calibri"/>
                <w:color w:val="auto"/>
                <w:sz w:val="20"/>
                <w:szCs w:val="20"/>
              </w:rPr>
            </w:pPr>
          </w:p>
        </w:tc>
        <w:tc>
          <w:tcPr>
            <w:tcW w:w="2511"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jc w:val="center"/>
              <w:rPr>
                <w:color w:val="auto"/>
                <w:kern w:val="0"/>
                <w:szCs w:val="21"/>
              </w:rPr>
            </w:pPr>
            <w:r>
              <w:rPr>
                <w:rFonts w:hint="eastAsia" w:cs="宋体"/>
                <w:color w:val="auto"/>
                <w:kern w:val="0"/>
                <w:szCs w:val="21"/>
                <w:lang w:bidi="ar"/>
              </w:rPr>
              <w:t>生活垃圾</w:t>
            </w:r>
          </w:p>
        </w:tc>
        <w:tc>
          <w:tcPr>
            <w:tcW w:w="1841"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6.6</w:t>
            </w:r>
          </w:p>
        </w:tc>
        <w:tc>
          <w:tcPr>
            <w:tcW w:w="1899"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jc w:val="center"/>
              <w:rPr>
                <w:color w:val="auto"/>
                <w:kern w:val="0"/>
                <w:szCs w:val="21"/>
              </w:rPr>
            </w:pPr>
            <w:r>
              <w:rPr>
                <w:rFonts w:hint="eastAsia"/>
                <w:color w:val="auto"/>
                <w:kern w:val="0"/>
                <w:szCs w:val="21"/>
                <w:lang w:bidi="ar"/>
              </w:rPr>
              <w:t>6.6</w:t>
            </w:r>
          </w:p>
        </w:tc>
        <w:tc>
          <w:tcPr>
            <w:tcW w:w="1835" w:type="dxa"/>
            <w:tcBorders>
              <w:top w:val="single" w:color="auto" w:sz="4" w:space="0"/>
              <w:left w:val="single" w:color="auto" w:sz="4" w:space="0"/>
              <w:bottom w:val="single" w:color="auto" w:sz="12" w:space="0"/>
              <w:right w:val="single" w:color="auto" w:sz="12" w:space="0"/>
            </w:tcBorders>
            <w:shd w:val="clear" w:color="auto" w:fill="auto"/>
            <w:vAlign w:val="center"/>
          </w:tcPr>
          <w:p>
            <w:pPr>
              <w:widowControl/>
              <w:jc w:val="center"/>
              <w:rPr>
                <w:color w:val="auto"/>
                <w:kern w:val="0"/>
                <w:szCs w:val="21"/>
              </w:rPr>
            </w:pPr>
            <w:r>
              <w:rPr>
                <w:rFonts w:hint="eastAsia"/>
                <w:color w:val="auto"/>
                <w:kern w:val="0"/>
                <w:szCs w:val="21"/>
              </w:rPr>
              <w:t>0</w:t>
            </w:r>
          </w:p>
        </w:tc>
      </w:tr>
    </w:tbl>
    <w:p>
      <w:pPr>
        <w:pStyle w:val="130"/>
        <w:spacing w:before="120" w:beforeLines="50"/>
        <w:ind w:firstLine="480"/>
        <w:rPr>
          <w:color w:val="auto"/>
        </w:rPr>
      </w:pPr>
      <w:r>
        <w:rPr>
          <w:rFonts w:hint="eastAsia"/>
          <w:color w:val="auto"/>
        </w:rPr>
        <w:t>由上表可以看出，实施变更后全厂污染物排放量较原方案有所增加。</w:t>
      </w:r>
    </w:p>
    <w:p>
      <w:pPr>
        <w:pStyle w:val="4"/>
        <w:numPr>
          <w:ilvl w:val="1"/>
          <w:numId w:val="0"/>
        </w:numPr>
        <w:spacing w:before="120"/>
        <w:rPr>
          <w:color w:val="auto"/>
        </w:rPr>
      </w:pPr>
      <w:bookmarkStart w:id="191" w:name="_Toc109398582"/>
      <w:r>
        <w:rPr>
          <w:color w:val="auto"/>
        </w:rPr>
        <w:t>3</w:t>
      </w:r>
      <w:r>
        <w:rPr>
          <w:rFonts w:hint="eastAsia"/>
          <w:color w:val="auto"/>
        </w:rPr>
        <w:t>.3变更影响分析</w:t>
      </w:r>
      <w:bookmarkEnd w:id="191"/>
    </w:p>
    <w:p>
      <w:pPr>
        <w:pStyle w:val="5"/>
        <w:numPr>
          <w:ilvl w:val="2"/>
          <w:numId w:val="0"/>
        </w:numPr>
        <w:rPr>
          <w:color w:val="auto"/>
        </w:rPr>
      </w:pPr>
      <w:bookmarkStart w:id="192" w:name="_Toc109398583"/>
      <w:r>
        <w:rPr>
          <w:color w:val="auto"/>
        </w:rPr>
        <w:t>3</w:t>
      </w:r>
      <w:r>
        <w:rPr>
          <w:rFonts w:hint="eastAsia"/>
          <w:color w:val="auto"/>
        </w:rPr>
        <w:t>.3.1项目执行标准对比分析</w:t>
      </w:r>
      <w:bookmarkEnd w:id="192"/>
    </w:p>
    <w:p>
      <w:pPr>
        <w:pStyle w:val="130"/>
        <w:ind w:firstLine="480"/>
        <w:rPr>
          <w:color w:val="auto"/>
        </w:rPr>
      </w:pPr>
      <w:r>
        <w:rPr>
          <w:rFonts w:hint="eastAsia"/>
          <w:color w:val="auto"/>
        </w:rPr>
        <w:t>原环评于</w:t>
      </w:r>
      <w:r>
        <w:rPr>
          <w:color w:val="auto"/>
        </w:rPr>
        <w:t>2020年12月10日</w:t>
      </w:r>
      <w:r>
        <w:rPr>
          <w:rFonts w:hint="eastAsia"/>
          <w:color w:val="auto"/>
        </w:rPr>
        <w:t>取得批复文件，</w:t>
      </w:r>
      <w:r>
        <w:rPr>
          <w:color w:val="auto"/>
        </w:rPr>
        <w:t>20</w:t>
      </w:r>
      <w:r>
        <w:rPr>
          <w:rFonts w:hint="eastAsia"/>
          <w:color w:val="auto"/>
        </w:rPr>
        <w:t>20年12月</w:t>
      </w:r>
      <w:r>
        <w:rPr>
          <w:color w:val="auto"/>
        </w:rPr>
        <w:t>~20</w:t>
      </w:r>
      <w:r>
        <w:rPr>
          <w:rFonts w:hint="eastAsia"/>
          <w:color w:val="auto"/>
        </w:rPr>
        <w:t>22年7月期间，部分环境质量标准及与项目有关的污染物排放标准颁布，本次评价均按照现行标准，并结合地方环保主管部门要求执行。本次评价所采用标准与原环评时标准对比情况见下表。</w:t>
      </w:r>
    </w:p>
    <w:p>
      <w:pPr>
        <w:pStyle w:val="2"/>
        <w:jc w:val="center"/>
        <w:rPr>
          <w:b/>
          <w:bCs/>
          <w:color w:val="auto"/>
          <w:kern w:val="2"/>
          <w:sz w:val="24"/>
          <w:szCs w:val="28"/>
        </w:rPr>
      </w:pPr>
      <w:r>
        <w:rPr>
          <w:rFonts w:hint="eastAsia"/>
          <w:b/>
          <w:bCs/>
          <w:color w:val="auto"/>
          <w:kern w:val="2"/>
          <w:sz w:val="24"/>
          <w:szCs w:val="28"/>
        </w:rPr>
        <w:t>表</w:t>
      </w:r>
      <w:r>
        <w:rPr>
          <w:b/>
          <w:bCs/>
          <w:color w:val="auto"/>
          <w:kern w:val="2"/>
          <w:sz w:val="24"/>
          <w:szCs w:val="28"/>
        </w:rPr>
        <w:t>3</w:t>
      </w:r>
      <w:r>
        <w:rPr>
          <w:rFonts w:hint="eastAsia"/>
          <w:b/>
          <w:bCs/>
          <w:color w:val="auto"/>
          <w:kern w:val="2"/>
          <w:sz w:val="24"/>
          <w:szCs w:val="28"/>
        </w:rPr>
        <w:t>.3-1  本次环评与原环评采用标准对比分析表</w:t>
      </w:r>
    </w:p>
    <w:tbl>
      <w:tblPr>
        <w:tblStyle w:val="74"/>
        <w:tblW w:w="8882" w:type="dxa"/>
        <w:tblInd w:w="-15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74"/>
        <w:gridCol w:w="2931"/>
        <w:gridCol w:w="2775"/>
        <w:gridCol w:w="659"/>
        <w:gridCol w:w="19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574" w:type="dxa"/>
            <w:tcBorders>
              <w:top w:val="single" w:color="auto" w:sz="12" w:space="0"/>
              <w:left w:val="single" w:color="auto" w:sz="12" w:space="0"/>
              <w:bottom w:val="single" w:color="auto" w:sz="4" w:space="0"/>
              <w:right w:val="single" w:color="auto" w:sz="4" w:space="0"/>
            </w:tcBorders>
            <w:shd w:val="clear" w:color="auto" w:fill="auto"/>
            <w:vAlign w:val="center"/>
          </w:tcPr>
          <w:p>
            <w:pPr>
              <w:jc w:val="center"/>
              <w:rPr>
                <w:b/>
                <w:color w:val="auto"/>
                <w:szCs w:val="21"/>
              </w:rPr>
            </w:pPr>
            <w:r>
              <w:rPr>
                <w:b/>
                <w:color w:val="auto"/>
                <w:szCs w:val="21"/>
                <w:lang w:bidi="ar"/>
              </w:rPr>
              <w:t>项目</w:t>
            </w:r>
          </w:p>
        </w:tc>
        <w:tc>
          <w:tcPr>
            <w:tcW w:w="2931" w:type="dxa"/>
            <w:tcBorders>
              <w:top w:val="single" w:color="auto" w:sz="12" w:space="0"/>
              <w:left w:val="single" w:color="auto" w:sz="4" w:space="0"/>
              <w:bottom w:val="single" w:color="auto" w:sz="4" w:space="0"/>
              <w:right w:val="single" w:color="auto" w:sz="4" w:space="0"/>
            </w:tcBorders>
            <w:shd w:val="clear" w:color="auto" w:fill="auto"/>
            <w:vAlign w:val="center"/>
          </w:tcPr>
          <w:p>
            <w:pPr>
              <w:jc w:val="center"/>
              <w:rPr>
                <w:b/>
                <w:color w:val="auto"/>
                <w:szCs w:val="21"/>
              </w:rPr>
            </w:pPr>
            <w:r>
              <w:rPr>
                <w:b/>
                <w:color w:val="auto"/>
                <w:szCs w:val="21"/>
                <w:lang w:bidi="ar"/>
              </w:rPr>
              <w:t>原环评</w:t>
            </w:r>
          </w:p>
        </w:tc>
        <w:tc>
          <w:tcPr>
            <w:tcW w:w="2775" w:type="dxa"/>
            <w:tcBorders>
              <w:top w:val="single" w:color="auto" w:sz="12" w:space="0"/>
              <w:left w:val="single" w:color="auto" w:sz="4" w:space="0"/>
              <w:bottom w:val="single" w:color="auto" w:sz="4" w:space="0"/>
              <w:right w:val="single" w:color="auto" w:sz="4" w:space="0"/>
            </w:tcBorders>
            <w:shd w:val="clear" w:color="auto" w:fill="auto"/>
            <w:vAlign w:val="center"/>
          </w:tcPr>
          <w:p>
            <w:pPr>
              <w:jc w:val="center"/>
              <w:rPr>
                <w:b/>
                <w:color w:val="auto"/>
                <w:szCs w:val="21"/>
              </w:rPr>
            </w:pPr>
            <w:r>
              <w:rPr>
                <w:b/>
                <w:color w:val="auto"/>
                <w:szCs w:val="21"/>
                <w:lang w:bidi="ar"/>
              </w:rPr>
              <w:t>本次环评</w:t>
            </w:r>
          </w:p>
        </w:tc>
        <w:tc>
          <w:tcPr>
            <w:tcW w:w="659" w:type="dxa"/>
            <w:tcBorders>
              <w:top w:val="single" w:color="auto" w:sz="12" w:space="0"/>
              <w:left w:val="single" w:color="auto" w:sz="4" w:space="0"/>
              <w:bottom w:val="single" w:color="auto" w:sz="4" w:space="0"/>
              <w:right w:val="single" w:color="auto" w:sz="4" w:space="0"/>
            </w:tcBorders>
            <w:shd w:val="clear" w:color="auto" w:fill="auto"/>
            <w:vAlign w:val="center"/>
          </w:tcPr>
          <w:p>
            <w:pPr>
              <w:jc w:val="center"/>
              <w:rPr>
                <w:b/>
                <w:color w:val="auto"/>
                <w:szCs w:val="21"/>
              </w:rPr>
            </w:pPr>
            <w:r>
              <w:rPr>
                <w:b/>
                <w:color w:val="auto"/>
                <w:szCs w:val="21"/>
                <w:lang w:bidi="ar"/>
              </w:rPr>
              <w:t>是否变化</w:t>
            </w:r>
          </w:p>
        </w:tc>
        <w:tc>
          <w:tcPr>
            <w:tcW w:w="1943" w:type="dxa"/>
            <w:tcBorders>
              <w:top w:val="single" w:color="auto" w:sz="12" w:space="0"/>
              <w:left w:val="single" w:color="auto" w:sz="4" w:space="0"/>
              <w:bottom w:val="single" w:color="auto" w:sz="4" w:space="0"/>
              <w:right w:val="single" w:color="auto" w:sz="12" w:space="0"/>
            </w:tcBorders>
            <w:shd w:val="clear" w:color="auto" w:fill="auto"/>
            <w:vAlign w:val="center"/>
          </w:tcPr>
          <w:p>
            <w:pPr>
              <w:jc w:val="center"/>
              <w:rPr>
                <w:b/>
                <w:color w:val="auto"/>
                <w:szCs w:val="21"/>
              </w:rPr>
            </w:pPr>
            <w:r>
              <w:rPr>
                <w:b/>
                <w:color w:val="auto"/>
                <w:szCs w:val="21"/>
                <w:lang w:bidi="ar"/>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2" w:type="dxa"/>
            <w:gridSpan w:val="5"/>
            <w:tcBorders>
              <w:top w:val="single" w:color="auto" w:sz="4" w:space="0"/>
              <w:left w:val="single" w:color="auto" w:sz="12" w:space="0"/>
              <w:bottom w:val="single" w:color="auto" w:sz="4" w:space="0"/>
              <w:right w:val="single" w:color="auto" w:sz="12" w:space="0"/>
            </w:tcBorders>
            <w:shd w:val="clear" w:color="auto" w:fill="auto"/>
            <w:vAlign w:val="center"/>
          </w:tcPr>
          <w:p>
            <w:pPr>
              <w:jc w:val="center"/>
              <w:rPr>
                <w:color w:val="auto"/>
                <w:szCs w:val="21"/>
              </w:rPr>
            </w:pPr>
            <w:r>
              <w:rPr>
                <w:color w:val="auto"/>
                <w:szCs w:val="21"/>
                <w:lang w:bidi="ar"/>
              </w:rPr>
              <w:t>(一)环境质量标准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74" w:type="dxa"/>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环境</w:t>
            </w:r>
          </w:p>
          <w:p>
            <w:pPr>
              <w:jc w:val="center"/>
              <w:rPr>
                <w:color w:val="auto"/>
                <w:szCs w:val="21"/>
              </w:rPr>
            </w:pPr>
            <w:r>
              <w:rPr>
                <w:color w:val="auto"/>
                <w:szCs w:val="21"/>
                <w:lang w:bidi="ar"/>
              </w:rPr>
              <w:t>空气</w:t>
            </w:r>
          </w:p>
        </w:tc>
        <w:tc>
          <w:tcPr>
            <w:tcW w:w="570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pacing w:val="4"/>
                <w:szCs w:val="21"/>
                <w:lang w:bidi="ar"/>
              </w:rPr>
              <w:t>《环境空气质量标准》(GB3095-2012)及2018年修改单）二级标准；</w:t>
            </w:r>
            <w:r>
              <w:rPr>
                <w:color w:val="auto"/>
                <w:szCs w:val="21"/>
                <w:lang w:bidi="ar"/>
              </w:rPr>
              <w:t>《环境影响评价技术导则·大气环境》(HJ 2.2-2018)中附录D；</w:t>
            </w:r>
          </w:p>
        </w:tc>
        <w:tc>
          <w:tcPr>
            <w:tcW w:w="65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否</w:t>
            </w:r>
          </w:p>
        </w:tc>
        <w:tc>
          <w:tcPr>
            <w:tcW w:w="1943" w:type="dxa"/>
            <w:tcBorders>
              <w:top w:val="single" w:color="auto" w:sz="4" w:space="0"/>
              <w:left w:val="single" w:color="auto" w:sz="4" w:space="0"/>
              <w:bottom w:val="single" w:color="auto" w:sz="4" w:space="0"/>
              <w:right w:val="single" w:color="auto" w:sz="12" w:space="0"/>
            </w:tcBorders>
            <w:shd w:val="clear" w:color="auto" w:fill="auto"/>
            <w:vAlign w:val="center"/>
          </w:tcPr>
          <w:p>
            <w:pPr>
              <w:jc w:val="center"/>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74" w:type="dxa"/>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地表水</w:t>
            </w:r>
          </w:p>
        </w:tc>
        <w:tc>
          <w:tcPr>
            <w:tcW w:w="570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pacing w:val="4"/>
                <w:szCs w:val="21"/>
                <w:lang w:bidi="ar"/>
              </w:rPr>
              <w:t>《地表水环境质量标准》（GB3838-2002）Ⅱ类标准</w:t>
            </w:r>
          </w:p>
        </w:tc>
        <w:tc>
          <w:tcPr>
            <w:tcW w:w="65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否</w:t>
            </w:r>
          </w:p>
        </w:tc>
        <w:tc>
          <w:tcPr>
            <w:tcW w:w="1943" w:type="dxa"/>
            <w:tcBorders>
              <w:top w:val="single" w:color="auto" w:sz="4" w:space="0"/>
              <w:left w:val="single" w:color="auto" w:sz="4" w:space="0"/>
              <w:bottom w:val="single" w:color="auto" w:sz="4" w:space="0"/>
              <w:right w:val="single" w:color="auto" w:sz="12" w:space="0"/>
            </w:tcBorders>
            <w:shd w:val="clear" w:color="auto" w:fill="auto"/>
            <w:vAlign w:val="center"/>
          </w:tcPr>
          <w:p>
            <w:pPr>
              <w:jc w:val="center"/>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74" w:type="dxa"/>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地下水</w:t>
            </w:r>
          </w:p>
        </w:tc>
        <w:tc>
          <w:tcPr>
            <w:tcW w:w="570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pacing w:val="4"/>
                <w:szCs w:val="21"/>
                <w:lang w:bidi="ar"/>
              </w:rPr>
              <w:t>《地下水质量标准》（GB/T14848-2017）中Ⅲ类标准</w:t>
            </w:r>
          </w:p>
        </w:tc>
        <w:tc>
          <w:tcPr>
            <w:tcW w:w="65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否</w:t>
            </w:r>
          </w:p>
        </w:tc>
        <w:tc>
          <w:tcPr>
            <w:tcW w:w="1943" w:type="dxa"/>
            <w:tcBorders>
              <w:top w:val="single" w:color="auto" w:sz="4" w:space="0"/>
              <w:left w:val="single" w:color="auto" w:sz="4" w:space="0"/>
              <w:bottom w:val="single" w:color="auto" w:sz="4" w:space="0"/>
              <w:right w:val="single" w:color="auto" w:sz="12" w:space="0"/>
            </w:tcBorders>
            <w:shd w:val="clear" w:color="auto" w:fill="auto"/>
            <w:vAlign w:val="center"/>
          </w:tcPr>
          <w:p>
            <w:pPr>
              <w:jc w:val="center"/>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74" w:type="dxa"/>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声环境</w:t>
            </w:r>
          </w:p>
        </w:tc>
        <w:tc>
          <w:tcPr>
            <w:tcW w:w="570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pacing w:val="4"/>
                <w:szCs w:val="21"/>
              </w:rPr>
            </w:pPr>
            <w:r>
              <w:rPr>
                <w:bCs/>
                <w:color w:val="auto"/>
                <w:szCs w:val="21"/>
                <w:lang w:bidi="ar"/>
              </w:rPr>
              <w:t>项目区声环境质量执行《声环境质量标准》（GB3096-2008）中2类标准，声环境敏感目标（阳沟村希望小学）执行1类区标准</w:t>
            </w:r>
          </w:p>
        </w:tc>
        <w:tc>
          <w:tcPr>
            <w:tcW w:w="65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否</w:t>
            </w:r>
          </w:p>
        </w:tc>
        <w:tc>
          <w:tcPr>
            <w:tcW w:w="1943" w:type="dxa"/>
            <w:tcBorders>
              <w:top w:val="single" w:color="auto" w:sz="4" w:space="0"/>
              <w:left w:val="single" w:color="auto" w:sz="4" w:space="0"/>
              <w:bottom w:val="single" w:color="auto" w:sz="4" w:space="0"/>
              <w:right w:val="single" w:color="auto" w:sz="12" w:space="0"/>
            </w:tcBorders>
            <w:shd w:val="clear" w:color="auto" w:fill="auto"/>
            <w:vAlign w:val="center"/>
          </w:tcPr>
          <w:p>
            <w:pPr>
              <w:jc w:val="center"/>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74" w:type="dxa"/>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土壤</w:t>
            </w:r>
          </w:p>
        </w:tc>
        <w:tc>
          <w:tcPr>
            <w:tcW w:w="570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bCs/>
                <w:color w:val="auto"/>
                <w:szCs w:val="21"/>
                <w:lang w:bidi="ar"/>
              </w:rPr>
              <w:t>评价区建设用地土壤环境质量执行《土壤环境质量建设用地土壤污染风险管控标准》（GB36600-2018）第二类用地筛选值标准，农用地土壤环境质量执行《土壤环境质量 农用地土壤污染风险管控标准（试行）》（GB15618-2018）风险筛选值</w:t>
            </w:r>
          </w:p>
        </w:tc>
        <w:tc>
          <w:tcPr>
            <w:tcW w:w="65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否</w:t>
            </w:r>
          </w:p>
        </w:tc>
        <w:tc>
          <w:tcPr>
            <w:tcW w:w="1943" w:type="dxa"/>
            <w:tcBorders>
              <w:top w:val="single" w:color="auto" w:sz="4" w:space="0"/>
              <w:left w:val="single" w:color="auto" w:sz="4" w:space="0"/>
              <w:bottom w:val="single" w:color="auto" w:sz="4" w:space="0"/>
              <w:right w:val="single" w:color="auto" w:sz="12" w:space="0"/>
            </w:tcBorders>
            <w:shd w:val="clear" w:color="auto" w:fill="auto"/>
            <w:vAlign w:val="center"/>
          </w:tcPr>
          <w:p>
            <w:pPr>
              <w:jc w:val="center"/>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882" w:type="dxa"/>
            <w:gridSpan w:val="5"/>
            <w:tcBorders>
              <w:top w:val="single" w:color="auto" w:sz="4" w:space="0"/>
              <w:left w:val="single" w:color="auto" w:sz="12" w:space="0"/>
              <w:bottom w:val="single" w:color="auto" w:sz="4" w:space="0"/>
              <w:right w:val="single" w:color="auto" w:sz="12" w:space="0"/>
            </w:tcBorders>
            <w:shd w:val="clear" w:color="auto" w:fill="auto"/>
            <w:vAlign w:val="center"/>
          </w:tcPr>
          <w:p>
            <w:pPr>
              <w:jc w:val="center"/>
              <w:rPr>
                <w:color w:val="auto"/>
                <w:szCs w:val="21"/>
              </w:rPr>
            </w:pPr>
            <w:r>
              <w:rPr>
                <w:color w:val="auto"/>
                <w:szCs w:val="21"/>
                <w:lang w:bidi="ar"/>
              </w:rPr>
              <w:t>(二)污染物排放标准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74" w:type="dxa"/>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废气</w:t>
            </w:r>
          </w:p>
        </w:tc>
        <w:tc>
          <w:tcPr>
            <w:tcW w:w="293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rPr>
              <w:t>运营期高温蒸汽蒸汽灭菌废气中挥发性有机物（VOCs）以非甲烷总烃计，排放执行《大气污染物综合排放标准》（GB16297-1996）表2的二级标准，氨、硫化氢、臭气浓度（无量纲）排放执行《恶臭污染物排放标准》（GB14554-93）二级标准，破碎工序废气中颗粒物执行《大气污染物综合排放标准》（GB16297-1996）表2的二级标准。建议建设单位按照</w:t>
            </w:r>
            <w:r>
              <w:rPr>
                <w:color w:val="auto"/>
                <w:szCs w:val="24"/>
                <w:lang w:val="en"/>
              </w:rPr>
              <w:t>《恶臭污染物排放标准（征求意见稿）》《医疗废物处理处置污染控制标准》（征求意见稿）相关标准限值对废气污</w:t>
            </w:r>
            <w:r>
              <w:rPr>
                <w:color w:val="auto"/>
                <w:szCs w:val="21"/>
              </w:rPr>
              <w:t>染治理设施工程进行设计，待该标准发布后，应严格按照该标准执行；污水处理站周边大气污染物最高允许浓度执行《医疗机构水污染物排放标准》（GB18466-2005）表3限值要求。</w:t>
            </w:r>
          </w:p>
        </w:tc>
        <w:tc>
          <w:tcPr>
            <w:tcW w:w="277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rFonts w:hint="eastAsia"/>
                <w:color w:val="auto"/>
                <w:szCs w:val="21"/>
              </w:rPr>
              <w:t>根据《医疗废物处理处置污染控制标准》（GB39707-2020）中的污染物排放控制要求，本项目高温蒸汽灭菌系统有组织非甲烷总烃排放执行《医疗废物处理处置污染控制标准》（GB39707-2020）中表3消毒处理设施排放废气污染物浓度限值，厂界处非甲烷总烃执行《大气污染物综合排放标准》（GB16297-1996）表2周界外无组织排放监控浓度限值；颗粒物执行《大气污染物综合排放标准》（GB16297-1996）表2的二级标准；氨、硫化氢、臭气浓度（无量纲）执行《恶臭污染物排放标准》（GB14554-93）表1恶臭污染物厂界标准值中的二级标准及表2恶臭污染物排放标准值</w:t>
            </w:r>
          </w:p>
        </w:tc>
        <w:tc>
          <w:tcPr>
            <w:tcW w:w="65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是</w:t>
            </w:r>
          </w:p>
        </w:tc>
        <w:tc>
          <w:tcPr>
            <w:tcW w:w="1943" w:type="dxa"/>
            <w:tcBorders>
              <w:top w:val="single" w:color="auto" w:sz="4" w:space="0"/>
              <w:left w:val="single" w:color="auto" w:sz="4" w:space="0"/>
              <w:bottom w:val="single" w:color="auto" w:sz="4" w:space="0"/>
              <w:right w:val="single" w:color="auto" w:sz="12" w:space="0"/>
            </w:tcBorders>
            <w:shd w:val="clear" w:color="auto" w:fill="auto"/>
            <w:vAlign w:val="center"/>
          </w:tcPr>
          <w:p>
            <w:pPr>
              <w:jc w:val="center"/>
              <w:rPr>
                <w:color w:val="auto"/>
                <w:szCs w:val="21"/>
              </w:rPr>
            </w:pPr>
            <w:r>
              <w:rPr>
                <w:color w:val="auto"/>
                <w:szCs w:val="21"/>
              </w:rPr>
              <w:t>《医疗废物处理处置污染控制标准》（GB39707-2020）2021年7月1日实施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74" w:type="dxa"/>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废水</w:t>
            </w:r>
          </w:p>
        </w:tc>
        <w:tc>
          <w:tcPr>
            <w:tcW w:w="570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rPr>
              <w:t>项目产生废水经污水处理站处理达到《医疗机构水污染物排放标准》（GB18466-2005）综合医疗机构和其他医疗机构水污染物排放限值及《城市污水再生利用 城市杂用水水质》（GB/T18920-2020）中城市绿化、道路清扫、消防、建筑施工用水要求，处理后废水全部回用，用于厂区绿化及中卫市垃圾填埋场道路抑尘，不外排</w:t>
            </w:r>
          </w:p>
        </w:tc>
        <w:tc>
          <w:tcPr>
            <w:tcW w:w="65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lang w:bidi="ar"/>
              </w:rPr>
              <w:t>否</w:t>
            </w:r>
          </w:p>
        </w:tc>
        <w:tc>
          <w:tcPr>
            <w:tcW w:w="1943" w:type="dxa"/>
            <w:tcBorders>
              <w:top w:val="single" w:color="auto" w:sz="4" w:space="0"/>
              <w:left w:val="single" w:color="auto" w:sz="4" w:space="0"/>
              <w:bottom w:val="single" w:color="auto" w:sz="4" w:space="0"/>
              <w:right w:val="single" w:color="auto" w:sz="12" w:space="0"/>
            </w:tcBorders>
            <w:shd w:val="clear" w:color="auto" w:fill="auto"/>
            <w:vAlign w:val="center"/>
          </w:tcPr>
          <w:p>
            <w:pPr>
              <w:jc w:val="center"/>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74" w:type="dxa"/>
            <w:tcBorders>
              <w:top w:val="single" w:color="auto" w:sz="4" w:space="0"/>
              <w:left w:val="single" w:color="auto" w:sz="12" w:space="0"/>
              <w:bottom w:val="single" w:color="auto" w:sz="4" w:space="0"/>
              <w:right w:val="single" w:color="auto" w:sz="4" w:space="0"/>
            </w:tcBorders>
            <w:shd w:val="clear" w:color="auto" w:fill="auto"/>
            <w:vAlign w:val="center"/>
          </w:tcPr>
          <w:p>
            <w:pPr>
              <w:jc w:val="center"/>
              <w:rPr>
                <w:color w:val="auto"/>
                <w:szCs w:val="21"/>
                <w:lang w:bidi="ar"/>
              </w:rPr>
            </w:pPr>
            <w:r>
              <w:rPr>
                <w:color w:val="auto"/>
                <w:szCs w:val="21"/>
                <w:lang w:bidi="ar"/>
              </w:rPr>
              <w:t>噪声</w:t>
            </w:r>
          </w:p>
        </w:tc>
        <w:tc>
          <w:tcPr>
            <w:tcW w:w="293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rPr>
              <w:t>运营期厂界噪声排放执行《工业企业厂界环境噪声排放标准》（GB12348-2008）2类标准、施工期厂界噪声执行《建筑施工场界环境噪声排放标准》（GB12523-2011）</w:t>
            </w:r>
          </w:p>
        </w:tc>
        <w:tc>
          <w:tcPr>
            <w:tcW w:w="277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rPr>
            </w:pPr>
            <w:r>
              <w:rPr>
                <w:color w:val="auto"/>
                <w:szCs w:val="21"/>
              </w:rPr>
              <w:t>运营期厂界噪声排放执行《工业企业厂界环境噪声排放标准》（GB12348-2008）2类标准</w:t>
            </w:r>
          </w:p>
        </w:tc>
        <w:tc>
          <w:tcPr>
            <w:tcW w:w="65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color w:val="auto"/>
                <w:szCs w:val="21"/>
                <w:lang w:bidi="ar"/>
              </w:rPr>
            </w:pPr>
            <w:r>
              <w:rPr>
                <w:color w:val="auto"/>
                <w:szCs w:val="21"/>
                <w:lang w:bidi="ar"/>
              </w:rPr>
              <w:t>是</w:t>
            </w:r>
          </w:p>
        </w:tc>
        <w:tc>
          <w:tcPr>
            <w:tcW w:w="1943" w:type="dxa"/>
            <w:tcBorders>
              <w:top w:val="single" w:color="auto" w:sz="4" w:space="0"/>
              <w:left w:val="single" w:color="auto" w:sz="4" w:space="0"/>
              <w:bottom w:val="single" w:color="auto" w:sz="4" w:space="0"/>
              <w:right w:val="single" w:color="auto" w:sz="12" w:space="0"/>
            </w:tcBorders>
            <w:shd w:val="clear" w:color="auto" w:fill="auto"/>
            <w:vAlign w:val="center"/>
          </w:tcPr>
          <w:p>
            <w:pPr>
              <w:jc w:val="center"/>
              <w:rPr>
                <w:color w:val="auto"/>
                <w:szCs w:val="21"/>
              </w:rPr>
            </w:pPr>
            <w:r>
              <w:rPr>
                <w:color w:val="auto"/>
                <w:szCs w:val="21"/>
              </w:rPr>
              <w:t>企业已建成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74" w:type="dxa"/>
            <w:tcBorders>
              <w:top w:val="single" w:color="auto" w:sz="4" w:space="0"/>
              <w:left w:val="single" w:color="auto" w:sz="12" w:space="0"/>
              <w:bottom w:val="single" w:color="auto" w:sz="12" w:space="0"/>
              <w:right w:val="single" w:color="auto" w:sz="4" w:space="0"/>
            </w:tcBorders>
            <w:shd w:val="clear" w:color="auto" w:fill="auto"/>
            <w:vAlign w:val="center"/>
          </w:tcPr>
          <w:p>
            <w:pPr>
              <w:jc w:val="center"/>
              <w:rPr>
                <w:color w:val="auto"/>
                <w:szCs w:val="21"/>
                <w:lang w:bidi="ar"/>
              </w:rPr>
            </w:pPr>
            <w:r>
              <w:rPr>
                <w:color w:val="auto"/>
                <w:szCs w:val="21"/>
                <w:lang w:bidi="ar"/>
              </w:rPr>
              <w:t>固废</w:t>
            </w:r>
          </w:p>
        </w:tc>
        <w:tc>
          <w:tcPr>
            <w:tcW w:w="5706" w:type="dxa"/>
            <w:gridSpan w:val="2"/>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Cs w:val="21"/>
              </w:rPr>
            </w:pPr>
            <w:r>
              <w:rPr>
                <w:color w:val="auto"/>
                <w:szCs w:val="21"/>
              </w:rPr>
              <w:t>运营期一般工业固体废物临时贮存执行《一般工业固体废物贮存和填埋污染控制标准》（GB18559-2020）；危险废物执行《危险废物贮存污染控制标准》（GB18597-2001）及2013修改单；污水处理站污泥执行《医疗机构水污染物排放标准》（GB18466-2005）表4医疗机构污泥控制标准</w:t>
            </w:r>
          </w:p>
        </w:tc>
        <w:tc>
          <w:tcPr>
            <w:tcW w:w="659"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color w:val="auto"/>
                <w:szCs w:val="21"/>
                <w:lang w:bidi="ar"/>
              </w:rPr>
            </w:pPr>
            <w:r>
              <w:rPr>
                <w:color w:val="auto"/>
                <w:szCs w:val="21"/>
                <w:lang w:bidi="ar"/>
              </w:rPr>
              <w:t>否</w:t>
            </w:r>
          </w:p>
        </w:tc>
        <w:tc>
          <w:tcPr>
            <w:tcW w:w="1943" w:type="dxa"/>
            <w:tcBorders>
              <w:top w:val="single" w:color="auto" w:sz="4" w:space="0"/>
              <w:left w:val="single" w:color="auto" w:sz="4" w:space="0"/>
              <w:bottom w:val="single" w:color="auto" w:sz="12" w:space="0"/>
              <w:right w:val="single" w:color="auto" w:sz="12" w:space="0"/>
            </w:tcBorders>
            <w:shd w:val="clear" w:color="auto" w:fill="auto"/>
            <w:vAlign w:val="center"/>
          </w:tcPr>
          <w:p>
            <w:pPr>
              <w:jc w:val="center"/>
              <w:rPr>
                <w:color w:val="auto"/>
                <w:szCs w:val="21"/>
              </w:rPr>
            </w:pPr>
            <w:r>
              <w:rPr>
                <w:color w:val="auto"/>
                <w:szCs w:val="21"/>
              </w:rPr>
              <w:t>/</w:t>
            </w:r>
          </w:p>
        </w:tc>
      </w:tr>
    </w:tbl>
    <w:p>
      <w:pPr>
        <w:pStyle w:val="5"/>
        <w:numPr>
          <w:ilvl w:val="2"/>
          <w:numId w:val="0"/>
        </w:numPr>
        <w:spacing w:before="120" w:beforeLines="50"/>
        <w:ind w:left="-720" w:leftChars="-343" w:firstLine="723" w:firstLineChars="300"/>
        <w:rPr>
          <w:color w:val="auto"/>
        </w:rPr>
      </w:pPr>
      <w:bookmarkStart w:id="193" w:name="_Toc109398584"/>
      <w:r>
        <w:rPr>
          <w:color w:val="auto"/>
        </w:rPr>
        <w:t>3</w:t>
      </w:r>
      <w:r>
        <w:rPr>
          <w:rFonts w:hint="eastAsia"/>
          <w:color w:val="auto"/>
        </w:rPr>
        <w:t>.3.2环保措施及环保投资对比分析</w:t>
      </w:r>
      <w:bookmarkEnd w:id="193"/>
    </w:p>
    <w:p>
      <w:pPr>
        <w:pStyle w:val="130"/>
        <w:ind w:firstLine="480"/>
        <w:rPr>
          <w:color w:val="auto"/>
        </w:rPr>
      </w:pPr>
      <w:r>
        <w:rPr>
          <w:rFonts w:hint="eastAsia"/>
          <w:color w:val="auto"/>
        </w:rPr>
        <w:t>通过“</w:t>
      </w:r>
      <w:r>
        <w:rPr>
          <w:color w:val="auto"/>
        </w:rPr>
        <w:t>3</w:t>
      </w:r>
      <w:r>
        <w:rPr>
          <w:rFonts w:hint="eastAsia"/>
          <w:color w:val="auto"/>
        </w:rPr>
        <w:t>.2.7主要环境保护措施对比”分析，本次环评对现状3t/d医疗废物高温灭菌设备废气治理措施进行了优化，减少了废气产生量同时满足《医疗废物处理处置污染控制标准》（GB39707-2020）消毒处理设施应配备尾气净化装置的要求。排气筒高度参照GB16297执行，一般不应低于15m的要求。</w:t>
      </w:r>
    </w:p>
    <w:p>
      <w:pPr>
        <w:pStyle w:val="130"/>
        <w:ind w:firstLine="480"/>
        <w:rPr>
          <w:color w:val="auto"/>
        </w:rPr>
      </w:pPr>
      <w:r>
        <w:rPr>
          <w:rFonts w:hint="eastAsia"/>
          <w:color w:val="auto"/>
        </w:rPr>
        <w:t>项目变更后环保投资估算金额达到1</w:t>
      </w:r>
      <w:r>
        <w:rPr>
          <w:color w:val="auto"/>
        </w:rPr>
        <w:t>1</w:t>
      </w:r>
      <w:r>
        <w:rPr>
          <w:rFonts w:hint="eastAsia"/>
          <w:color w:val="auto"/>
        </w:rPr>
        <w:t>5万元，相比原环评阶段105万元的环保投资而言，稍有提升。</w:t>
      </w:r>
    </w:p>
    <w:p>
      <w:pPr>
        <w:pStyle w:val="5"/>
        <w:numPr>
          <w:ilvl w:val="2"/>
          <w:numId w:val="0"/>
        </w:numPr>
        <w:ind w:left="-720" w:leftChars="-343" w:firstLine="723" w:firstLineChars="300"/>
        <w:rPr>
          <w:color w:val="auto"/>
        </w:rPr>
      </w:pPr>
      <w:bookmarkStart w:id="194" w:name="_Toc109398585"/>
      <w:r>
        <w:rPr>
          <w:color w:val="auto"/>
        </w:rPr>
        <w:t>3</w:t>
      </w:r>
      <w:r>
        <w:rPr>
          <w:rFonts w:hint="eastAsia"/>
          <w:color w:val="auto"/>
        </w:rPr>
        <w:t>.3.3环境质量现状工作内容对比分析</w:t>
      </w:r>
      <w:bookmarkEnd w:id="194"/>
    </w:p>
    <w:p>
      <w:pPr>
        <w:pStyle w:val="130"/>
        <w:ind w:firstLine="480"/>
        <w:rPr>
          <w:color w:val="auto"/>
        </w:rPr>
      </w:pPr>
      <w:r>
        <w:rPr>
          <w:rFonts w:hint="eastAsia"/>
          <w:color w:val="auto"/>
        </w:rPr>
        <w:t>原环评阶段已按照相关标准、规范对项目周边环境空气、地表水、地下水、声环境、土壤环境等各要素环境质量现状进行了调查、评述。本次评价在确定现有监测数据引用可行的基础上，新增了如下工作：</w:t>
      </w:r>
    </w:p>
    <w:p>
      <w:pPr>
        <w:pStyle w:val="130"/>
        <w:ind w:firstLine="480"/>
        <w:rPr>
          <w:color w:val="auto"/>
        </w:rPr>
      </w:pPr>
      <w:r>
        <w:rPr>
          <w:rFonts w:hint="eastAsia"/>
          <w:color w:val="auto"/>
        </w:rPr>
        <w:t>（1）由于项目已建成，本次评价引用企业委托宁夏中科精科检测技术有限公司2021年12月21日~2021年12月21日对现状污染源废气环保设施“碱洗喷淋+等离子+活性炭”进出口氨、硫化氢、臭气浓度、非甲烷总烃、颗粒物进行了检测，采样2天，每天3次。对项目厂界无组织氨、硫化氢、臭气浓度、非甲烷总烃、颗粒物进行了检测，采样2天，每天4次。</w:t>
      </w:r>
    </w:p>
    <w:p>
      <w:pPr>
        <w:pStyle w:val="130"/>
        <w:ind w:firstLine="480"/>
        <w:rPr>
          <w:color w:val="auto"/>
        </w:rPr>
      </w:pPr>
      <w:r>
        <w:rPr>
          <w:rFonts w:hint="eastAsia"/>
          <w:color w:val="auto"/>
        </w:rPr>
        <w:t>（2）本次评价引用企业委托宁夏中科精科检测技术有限公司</w:t>
      </w:r>
      <w:r>
        <w:rPr>
          <w:color w:val="auto"/>
        </w:rPr>
        <w:t>20</w:t>
      </w:r>
      <w:r>
        <w:rPr>
          <w:rFonts w:hint="eastAsia"/>
          <w:color w:val="auto"/>
        </w:rPr>
        <w:t>21年</w:t>
      </w:r>
      <w:r>
        <w:rPr>
          <w:color w:val="auto"/>
        </w:rPr>
        <w:t>12</w:t>
      </w:r>
      <w:r>
        <w:rPr>
          <w:rFonts w:hint="eastAsia"/>
          <w:color w:val="auto"/>
        </w:rPr>
        <w:t>月</w:t>
      </w:r>
      <w:r>
        <w:rPr>
          <w:color w:val="auto"/>
        </w:rPr>
        <w:t>21</w:t>
      </w:r>
      <w:r>
        <w:rPr>
          <w:rFonts w:hint="eastAsia"/>
          <w:color w:val="auto"/>
        </w:rPr>
        <w:t>日</w:t>
      </w:r>
      <w:r>
        <w:rPr>
          <w:color w:val="auto"/>
        </w:rPr>
        <w:t>~20</w:t>
      </w:r>
      <w:r>
        <w:rPr>
          <w:rFonts w:hint="eastAsia"/>
          <w:color w:val="auto"/>
        </w:rPr>
        <w:t>21年</w:t>
      </w:r>
      <w:r>
        <w:rPr>
          <w:color w:val="auto"/>
        </w:rPr>
        <w:t>12</w:t>
      </w:r>
      <w:r>
        <w:rPr>
          <w:rFonts w:hint="eastAsia"/>
          <w:color w:val="auto"/>
        </w:rPr>
        <w:t>月</w:t>
      </w:r>
      <w:r>
        <w:rPr>
          <w:color w:val="auto"/>
        </w:rPr>
        <w:t>21</w:t>
      </w:r>
      <w:r>
        <w:rPr>
          <w:rFonts w:hint="eastAsia"/>
          <w:color w:val="auto"/>
        </w:rPr>
        <w:t>日对现状厂界四周噪声的检测。</w:t>
      </w:r>
    </w:p>
    <w:p>
      <w:pPr>
        <w:pStyle w:val="130"/>
        <w:ind w:firstLine="480"/>
        <w:rPr>
          <w:color w:val="auto"/>
        </w:rPr>
      </w:pPr>
      <w:r>
        <w:rPr>
          <w:rFonts w:hint="eastAsia"/>
          <w:color w:val="auto"/>
        </w:rPr>
        <w:t>（3）本次评价引用宁夏中科精科检测技术有限公司</w:t>
      </w:r>
      <w:r>
        <w:rPr>
          <w:color w:val="auto"/>
        </w:rPr>
        <w:t>20</w:t>
      </w:r>
      <w:r>
        <w:rPr>
          <w:rFonts w:hint="eastAsia"/>
          <w:color w:val="auto"/>
        </w:rPr>
        <w:t>2</w:t>
      </w:r>
      <w:r>
        <w:rPr>
          <w:color w:val="auto"/>
        </w:rPr>
        <w:t>2</w:t>
      </w:r>
      <w:r>
        <w:rPr>
          <w:rFonts w:hint="eastAsia"/>
          <w:color w:val="auto"/>
        </w:rPr>
        <w:t>年5月6日</w:t>
      </w:r>
      <w:r>
        <w:rPr>
          <w:color w:val="auto"/>
        </w:rPr>
        <w:t>~2012</w:t>
      </w:r>
      <w:r>
        <w:rPr>
          <w:rFonts w:hint="eastAsia"/>
          <w:color w:val="auto"/>
        </w:rPr>
        <w:t>年5月7日对厂区生产污水处理设施进出口pH、悬浮物、五日生化需氧量、化学需氧量、氨氮、总余氯的检测，采样2天，每天4次。</w:t>
      </w:r>
    </w:p>
    <w:p>
      <w:pPr>
        <w:pStyle w:val="130"/>
        <w:ind w:firstLine="480"/>
        <w:rPr>
          <w:color w:val="auto"/>
        </w:rPr>
      </w:pPr>
      <w:r>
        <w:rPr>
          <w:rFonts w:hint="eastAsia"/>
          <w:color w:val="auto"/>
        </w:rPr>
        <w:t>通过对现状污染源的检测，对厂区污染源产排污分析进行确定。</w:t>
      </w:r>
    </w:p>
    <w:p>
      <w:pPr>
        <w:pStyle w:val="5"/>
        <w:numPr>
          <w:ilvl w:val="2"/>
          <w:numId w:val="0"/>
        </w:numPr>
        <w:ind w:left="-720" w:leftChars="-343" w:firstLine="723" w:firstLineChars="300"/>
        <w:rPr>
          <w:color w:val="auto"/>
        </w:rPr>
      </w:pPr>
      <w:bookmarkStart w:id="195" w:name="_Toc109398586"/>
      <w:r>
        <w:rPr>
          <w:color w:val="auto"/>
        </w:rPr>
        <w:t>3</w:t>
      </w:r>
      <w:r>
        <w:rPr>
          <w:rFonts w:hint="eastAsia"/>
          <w:color w:val="auto"/>
        </w:rPr>
        <w:t>.3.4环境保护目标对比</w:t>
      </w:r>
      <w:bookmarkEnd w:id="195"/>
    </w:p>
    <w:p>
      <w:pPr>
        <w:pStyle w:val="130"/>
        <w:ind w:firstLine="480"/>
        <w:rPr>
          <w:color w:val="auto"/>
        </w:rPr>
      </w:pPr>
      <w:r>
        <w:rPr>
          <w:rFonts w:hint="eastAsia"/>
          <w:color w:val="auto"/>
        </w:rPr>
        <w:t>较原环评阶段而言，本项目实施变更后所涉及的环境保护目标未发生变化。</w:t>
      </w:r>
    </w:p>
    <w:p>
      <w:pPr>
        <w:pStyle w:val="5"/>
        <w:numPr>
          <w:ilvl w:val="2"/>
          <w:numId w:val="0"/>
        </w:numPr>
        <w:ind w:left="-720" w:leftChars="-343" w:firstLine="723" w:firstLineChars="300"/>
        <w:rPr>
          <w:color w:val="auto"/>
        </w:rPr>
      </w:pPr>
      <w:bookmarkStart w:id="196" w:name="_Toc109398587"/>
      <w:r>
        <w:rPr>
          <w:color w:val="auto"/>
        </w:rPr>
        <w:t>3</w:t>
      </w:r>
      <w:r>
        <w:rPr>
          <w:rFonts w:hint="eastAsia"/>
          <w:color w:val="auto"/>
        </w:rPr>
        <w:t>.3.5环境影响对比分析</w:t>
      </w:r>
      <w:bookmarkEnd w:id="196"/>
    </w:p>
    <w:p>
      <w:pPr>
        <w:pStyle w:val="130"/>
        <w:ind w:firstLine="480"/>
        <w:rPr>
          <w:color w:val="auto"/>
        </w:rPr>
      </w:pPr>
      <w:r>
        <w:rPr>
          <w:rFonts w:hint="eastAsia"/>
          <w:color w:val="auto"/>
        </w:rPr>
        <w:t>原环评及本次评价均进行了大气、地表水、地下水、土壤、生态、声环境及环境风险的影响分析或预测、评价。两次环境影响分析或预测、评价主要结论对比分析见下表。</w:t>
      </w:r>
    </w:p>
    <w:p>
      <w:pPr>
        <w:jc w:val="center"/>
        <w:rPr>
          <w:rFonts w:eastAsiaTheme="minorEastAsia"/>
          <w:b/>
          <w:color w:val="auto"/>
          <w:sz w:val="24"/>
          <w:szCs w:val="21"/>
        </w:rPr>
      </w:pPr>
      <w:r>
        <w:rPr>
          <w:rFonts w:hint="eastAsia" w:eastAsiaTheme="minorEastAsia"/>
          <w:b/>
          <w:color w:val="auto"/>
          <w:sz w:val="24"/>
          <w:szCs w:val="21"/>
        </w:rPr>
        <w:t>表</w:t>
      </w:r>
      <w:r>
        <w:rPr>
          <w:rFonts w:eastAsiaTheme="minorEastAsia"/>
          <w:b/>
          <w:color w:val="auto"/>
          <w:sz w:val="24"/>
          <w:szCs w:val="21"/>
        </w:rPr>
        <w:t>3</w:t>
      </w:r>
      <w:r>
        <w:rPr>
          <w:rFonts w:hint="eastAsia" w:eastAsiaTheme="minorEastAsia"/>
          <w:b/>
          <w:color w:val="auto"/>
          <w:sz w:val="24"/>
          <w:szCs w:val="21"/>
        </w:rPr>
        <w:t>.3-2  本次环评与原环评环境影响分析或预测、评价对比表</w:t>
      </w:r>
    </w:p>
    <w:tbl>
      <w:tblPr>
        <w:tblStyle w:val="74"/>
        <w:tblW w:w="888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0"/>
        <w:gridCol w:w="1368"/>
        <w:gridCol w:w="3389"/>
        <w:gridCol w:w="33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Align w:val="center"/>
          </w:tcPr>
          <w:p>
            <w:pPr>
              <w:jc w:val="center"/>
              <w:rPr>
                <w:rFonts w:ascii="Calibri" w:hAnsi="Calibri"/>
                <w:b/>
                <w:color w:val="auto"/>
                <w:szCs w:val="21"/>
              </w:rPr>
            </w:pPr>
            <w:r>
              <w:rPr>
                <w:rFonts w:hint="eastAsia" w:cs="宋体"/>
                <w:b/>
                <w:color w:val="auto"/>
                <w:szCs w:val="21"/>
                <w:lang w:bidi="ar"/>
              </w:rPr>
              <w:t>环境要素</w:t>
            </w:r>
          </w:p>
        </w:tc>
        <w:tc>
          <w:tcPr>
            <w:tcW w:w="1368" w:type="dxa"/>
            <w:vAlign w:val="center"/>
          </w:tcPr>
          <w:p>
            <w:pPr>
              <w:jc w:val="center"/>
              <w:rPr>
                <w:rFonts w:ascii="Calibri" w:hAnsi="Calibri"/>
                <w:b/>
                <w:color w:val="auto"/>
                <w:szCs w:val="21"/>
              </w:rPr>
            </w:pPr>
            <w:r>
              <w:rPr>
                <w:rFonts w:hint="eastAsia" w:cs="宋体"/>
                <w:b/>
                <w:color w:val="auto"/>
                <w:szCs w:val="21"/>
                <w:lang w:bidi="ar"/>
              </w:rPr>
              <w:t>项目</w:t>
            </w:r>
          </w:p>
        </w:tc>
        <w:tc>
          <w:tcPr>
            <w:tcW w:w="3389" w:type="dxa"/>
            <w:vAlign w:val="center"/>
          </w:tcPr>
          <w:p>
            <w:pPr>
              <w:jc w:val="center"/>
              <w:rPr>
                <w:rFonts w:ascii="Calibri" w:hAnsi="Calibri"/>
                <w:b/>
                <w:color w:val="auto"/>
                <w:szCs w:val="21"/>
              </w:rPr>
            </w:pPr>
            <w:r>
              <w:rPr>
                <w:rFonts w:hint="eastAsia" w:cs="宋体"/>
                <w:b/>
                <w:color w:val="auto"/>
                <w:szCs w:val="21"/>
                <w:lang w:bidi="ar"/>
              </w:rPr>
              <w:t>原环评</w:t>
            </w:r>
          </w:p>
        </w:tc>
        <w:tc>
          <w:tcPr>
            <w:tcW w:w="3395" w:type="dxa"/>
            <w:vAlign w:val="center"/>
          </w:tcPr>
          <w:p>
            <w:pPr>
              <w:jc w:val="center"/>
              <w:rPr>
                <w:rFonts w:ascii="Calibri" w:hAnsi="Calibri"/>
                <w:b/>
                <w:color w:val="auto"/>
                <w:szCs w:val="21"/>
              </w:rPr>
            </w:pPr>
            <w:r>
              <w:rPr>
                <w:rFonts w:hint="eastAsia" w:cs="宋体"/>
                <w:b/>
                <w:color w:val="auto"/>
                <w:szCs w:val="21"/>
                <w:lang w:bidi="ar"/>
              </w:rPr>
              <w:t>本次评价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restart"/>
            <w:vAlign w:val="center"/>
          </w:tcPr>
          <w:p>
            <w:pPr>
              <w:jc w:val="center"/>
              <w:rPr>
                <w:rFonts w:ascii="Calibri" w:hAnsi="Calibri"/>
                <w:color w:val="auto"/>
                <w:szCs w:val="21"/>
              </w:rPr>
            </w:pPr>
            <w:r>
              <w:rPr>
                <w:rFonts w:hint="eastAsia" w:cs="宋体"/>
                <w:color w:val="auto"/>
                <w:szCs w:val="21"/>
                <w:lang w:bidi="ar"/>
              </w:rPr>
              <w:t>大气</w:t>
            </w:r>
          </w:p>
        </w:tc>
        <w:tc>
          <w:tcPr>
            <w:tcW w:w="1368" w:type="dxa"/>
            <w:vAlign w:val="center"/>
          </w:tcPr>
          <w:p>
            <w:pPr>
              <w:jc w:val="center"/>
              <w:rPr>
                <w:rFonts w:ascii="Calibri" w:hAnsi="Calibri"/>
                <w:color w:val="auto"/>
                <w:szCs w:val="21"/>
              </w:rPr>
            </w:pPr>
            <w:r>
              <w:rPr>
                <w:rFonts w:hint="eastAsia" w:cs="宋体"/>
                <w:color w:val="auto"/>
                <w:szCs w:val="21"/>
                <w:lang w:bidi="ar"/>
              </w:rPr>
              <w:t>评价等级及预测结论</w:t>
            </w:r>
          </w:p>
        </w:tc>
        <w:tc>
          <w:tcPr>
            <w:tcW w:w="3389" w:type="dxa"/>
            <w:vAlign w:val="center"/>
          </w:tcPr>
          <w:p>
            <w:pPr>
              <w:jc w:val="center"/>
              <w:rPr>
                <w:rFonts w:ascii="Calibri" w:hAnsi="Calibri"/>
                <w:color w:val="auto"/>
                <w:szCs w:val="21"/>
              </w:rPr>
            </w:pPr>
            <w:r>
              <w:rPr>
                <w:rFonts w:hint="eastAsia" w:cs="宋体"/>
                <w:color w:val="auto"/>
                <w:szCs w:val="21"/>
                <w:lang w:bidi="ar"/>
              </w:rPr>
              <w:t>二级评价，厂界和敏感目标（</w:t>
            </w:r>
            <w:r>
              <w:rPr>
                <w:color w:val="auto"/>
              </w:rPr>
              <w:t>永康镇阳沟村希望小学</w:t>
            </w:r>
            <w:r>
              <w:rPr>
                <w:rFonts w:hint="eastAsia" w:cs="宋体"/>
                <w:color w:val="auto"/>
                <w:szCs w:val="21"/>
                <w:lang w:bidi="ar"/>
              </w:rPr>
              <w:t>）均满足相应标准要求，环境影响可接受</w:t>
            </w:r>
          </w:p>
        </w:tc>
        <w:tc>
          <w:tcPr>
            <w:tcW w:w="3395" w:type="dxa"/>
            <w:vAlign w:val="center"/>
          </w:tcPr>
          <w:p>
            <w:pPr>
              <w:jc w:val="center"/>
              <w:rPr>
                <w:rFonts w:ascii="Calibri" w:hAnsi="Calibri"/>
                <w:color w:val="auto"/>
                <w:szCs w:val="21"/>
              </w:rPr>
            </w:pPr>
            <w:r>
              <w:rPr>
                <w:rFonts w:hint="eastAsia" w:cs="宋体"/>
                <w:color w:val="auto"/>
                <w:szCs w:val="21"/>
                <w:lang w:bidi="ar"/>
              </w:rPr>
              <w:t>二级评价，厂界和敏感目标（</w:t>
            </w:r>
            <w:r>
              <w:rPr>
                <w:color w:val="auto"/>
              </w:rPr>
              <w:t>永康镇阳沟村希望小学</w:t>
            </w:r>
            <w:r>
              <w:rPr>
                <w:rFonts w:hint="eastAsia" w:cs="宋体"/>
                <w:color w:val="auto"/>
                <w:szCs w:val="21"/>
                <w:lang w:bidi="ar"/>
              </w:rPr>
              <w:t>）均满足相应标准要求，环境影响可接受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continue"/>
            <w:vAlign w:val="center"/>
          </w:tcPr>
          <w:p>
            <w:pPr>
              <w:rPr>
                <w:rFonts w:ascii="Calibri" w:hAnsi="Calibri" w:cs="Calibri"/>
                <w:color w:val="auto"/>
                <w:sz w:val="20"/>
                <w:szCs w:val="20"/>
              </w:rPr>
            </w:pPr>
          </w:p>
        </w:tc>
        <w:tc>
          <w:tcPr>
            <w:tcW w:w="1368" w:type="dxa"/>
            <w:vAlign w:val="center"/>
          </w:tcPr>
          <w:p>
            <w:pPr>
              <w:jc w:val="center"/>
              <w:rPr>
                <w:rFonts w:ascii="Calibri" w:hAnsi="Calibri"/>
                <w:color w:val="auto"/>
                <w:szCs w:val="21"/>
              </w:rPr>
            </w:pPr>
            <w:r>
              <w:rPr>
                <w:rFonts w:hint="eastAsia" w:cs="宋体"/>
                <w:color w:val="auto"/>
                <w:szCs w:val="21"/>
                <w:lang w:bidi="ar"/>
              </w:rPr>
              <w:t>大气防护距离</w:t>
            </w:r>
          </w:p>
        </w:tc>
        <w:tc>
          <w:tcPr>
            <w:tcW w:w="3389" w:type="dxa"/>
            <w:vAlign w:val="center"/>
          </w:tcPr>
          <w:p>
            <w:pPr>
              <w:jc w:val="center"/>
              <w:rPr>
                <w:rFonts w:ascii="Calibri" w:hAnsi="Calibri"/>
                <w:color w:val="auto"/>
                <w:szCs w:val="21"/>
              </w:rPr>
            </w:pPr>
            <w:r>
              <w:rPr>
                <w:rFonts w:hint="eastAsia" w:cs="宋体"/>
                <w:color w:val="auto"/>
                <w:szCs w:val="21"/>
                <w:lang w:bidi="ar"/>
              </w:rPr>
              <w:t>1</w:t>
            </w:r>
            <w:r>
              <w:rPr>
                <w:rFonts w:cs="宋体"/>
                <w:color w:val="auto"/>
                <w:szCs w:val="21"/>
                <w:lang w:bidi="ar"/>
              </w:rPr>
              <w:t>00m</w:t>
            </w:r>
          </w:p>
        </w:tc>
        <w:tc>
          <w:tcPr>
            <w:tcW w:w="3395" w:type="dxa"/>
            <w:vAlign w:val="center"/>
          </w:tcPr>
          <w:p>
            <w:pPr>
              <w:jc w:val="center"/>
              <w:rPr>
                <w:rFonts w:ascii="Calibri" w:hAnsi="Calibri"/>
                <w:color w:val="auto"/>
                <w:szCs w:val="21"/>
              </w:rPr>
            </w:pPr>
            <w:r>
              <w:rPr>
                <w:rFonts w:hint="eastAsia" w:cs="宋体"/>
                <w:color w:val="auto"/>
                <w:szCs w:val="21"/>
                <w:lang w:bidi="ar"/>
              </w:rPr>
              <w:t>1</w:t>
            </w:r>
            <w:r>
              <w:rPr>
                <w:rFonts w:cs="宋体"/>
                <w:color w:val="auto"/>
                <w:szCs w:val="21"/>
                <w:lang w:bidi="ar"/>
              </w:rPr>
              <w:t>00m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6" w:hRule="atLeast"/>
          <w:jc w:val="center"/>
        </w:trPr>
        <w:tc>
          <w:tcPr>
            <w:tcW w:w="730" w:type="dxa"/>
            <w:vMerge w:val="restart"/>
            <w:vAlign w:val="center"/>
          </w:tcPr>
          <w:p>
            <w:pPr>
              <w:jc w:val="center"/>
              <w:rPr>
                <w:rFonts w:cs="宋体"/>
                <w:color w:val="auto"/>
                <w:szCs w:val="21"/>
                <w:lang w:bidi="ar"/>
              </w:rPr>
            </w:pPr>
            <w:r>
              <w:rPr>
                <w:rFonts w:hint="eastAsia" w:cs="宋体"/>
                <w:color w:val="auto"/>
                <w:szCs w:val="21"/>
                <w:lang w:bidi="ar"/>
              </w:rPr>
              <w:t>地表水</w:t>
            </w:r>
          </w:p>
        </w:tc>
        <w:tc>
          <w:tcPr>
            <w:tcW w:w="1368" w:type="dxa"/>
            <w:vAlign w:val="center"/>
          </w:tcPr>
          <w:p>
            <w:pPr>
              <w:jc w:val="center"/>
              <w:rPr>
                <w:rFonts w:cs="宋体"/>
                <w:color w:val="auto"/>
                <w:szCs w:val="21"/>
                <w:lang w:bidi="ar"/>
              </w:rPr>
            </w:pPr>
            <w:r>
              <w:rPr>
                <w:rFonts w:hint="eastAsia" w:cs="宋体"/>
                <w:color w:val="auto"/>
                <w:szCs w:val="21"/>
                <w:lang w:bidi="ar"/>
              </w:rPr>
              <w:t>评价等级</w:t>
            </w:r>
          </w:p>
        </w:tc>
        <w:tc>
          <w:tcPr>
            <w:tcW w:w="3389" w:type="dxa"/>
            <w:vAlign w:val="center"/>
          </w:tcPr>
          <w:p>
            <w:pPr>
              <w:jc w:val="center"/>
              <w:rPr>
                <w:rFonts w:cs="宋体"/>
                <w:color w:val="auto"/>
                <w:szCs w:val="21"/>
                <w:lang w:bidi="ar"/>
              </w:rPr>
            </w:pPr>
            <w:r>
              <w:rPr>
                <w:color w:val="auto"/>
              </w:rPr>
              <w:t>三级B</w:t>
            </w:r>
          </w:p>
        </w:tc>
        <w:tc>
          <w:tcPr>
            <w:tcW w:w="3395" w:type="dxa"/>
            <w:vAlign w:val="center"/>
          </w:tcPr>
          <w:p>
            <w:pPr>
              <w:jc w:val="center"/>
              <w:rPr>
                <w:rFonts w:cs="宋体"/>
                <w:color w:val="auto"/>
                <w:szCs w:val="21"/>
                <w:lang w:bidi="ar"/>
              </w:rPr>
            </w:pPr>
            <w:r>
              <w:rPr>
                <w:color w:val="auto"/>
              </w:rPr>
              <w:t>三级B</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continue"/>
            <w:vAlign w:val="center"/>
          </w:tcPr>
          <w:p>
            <w:pPr>
              <w:jc w:val="center"/>
              <w:rPr>
                <w:rFonts w:ascii="Calibri" w:hAnsi="Calibri"/>
                <w:color w:val="auto"/>
                <w:szCs w:val="21"/>
              </w:rPr>
            </w:pPr>
          </w:p>
        </w:tc>
        <w:tc>
          <w:tcPr>
            <w:tcW w:w="1368" w:type="dxa"/>
            <w:vAlign w:val="center"/>
          </w:tcPr>
          <w:p>
            <w:pPr>
              <w:jc w:val="center"/>
              <w:rPr>
                <w:rFonts w:ascii="Calibri" w:hAnsi="Calibri"/>
                <w:color w:val="auto"/>
                <w:szCs w:val="21"/>
              </w:rPr>
            </w:pPr>
            <w:r>
              <w:rPr>
                <w:rFonts w:hint="eastAsia" w:cs="宋体"/>
                <w:color w:val="auto"/>
                <w:szCs w:val="21"/>
                <w:lang w:bidi="ar"/>
              </w:rPr>
              <w:t>分析结论</w:t>
            </w:r>
          </w:p>
        </w:tc>
        <w:tc>
          <w:tcPr>
            <w:tcW w:w="3389" w:type="dxa"/>
            <w:vAlign w:val="center"/>
          </w:tcPr>
          <w:p>
            <w:pPr>
              <w:jc w:val="center"/>
              <w:rPr>
                <w:rFonts w:cs="宋体"/>
                <w:color w:val="auto"/>
                <w:szCs w:val="21"/>
                <w:lang w:bidi="ar"/>
              </w:rPr>
            </w:pPr>
            <w:r>
              <w:rPr>
                <w:rFonts w:hint="eastAsia" w:cs="宋体"/>
                <w:color w:val="auto"/>
                <w:szCs w:val="21"/>
                <w:lang w:bidi="ar"/>
              </w:rPr>
              <w:t>生产废水经厂区新建10m</w:t>
            </w:r>
            <w:r>
              <w:rPr>
                <w:rFonts w:hint="eastAsia" w:cs="宋体"/>
                <w:color w:val="auto"/>
                <w:szCs w:val="21"/>
                <w:vertAlign w:val="superscript"/>
                <w:lang w:bidi="ar"/>
              </w:rPr>
              <w:t>3</w:t>
            </w:r>
            <w:r>
              <w:rPr>
                <w:rFonts w:hint="eastAsia" w:cs="宋体"/>
                <w:color w:val="auto"/>
                <w:szCs w:val="21"/>
                <w:lang w:bidi="ar"/>
              </w:rPr>
              <w:t>/d一体化污水处理站（A</w:t>
            </w:r>
            <w:r>
              <w:rPr>
                <w:rFonts w:hint="eastAsia" w:cs="宋体"/>
                <w:color w:val="auto"/>
                <w:szCs w:val="21"/>
                <w:vertAlign w:val="superscript"/>
                <w:lang w:bidi="ar"/>
              </w:rPr>
              <w:t>2</w:t>
            </w:r>
            <w:r>
              <w:rPr>
                <w:rFonts w:hint="eastAsia" w:cs="宋体"/>
                <w:color w:val="auto"/>
                <w:szCs w:val="21"/>
                <w:lang w:bidi="ar"/>
              </w:rPr>
              <w:t>O+MBR+消毒）处理后达到《医疗机构水污染物排放标准》（GB18466-2005）综合医疗机构和其他医疗机构水污染物排放限值及《城市污水再生利用 城市杂用水水质》（GB/T18920-2020）中城市绿化、道路清扫、消防、建筑施工用水要求，处理后废水全部回用于中卫市生活垃圾填埋场道路抑尘，不外排；</w:t>
            </w:r>
          </w:p>
          <w:p>
            <w:pPr>
              <w:jc w:val="center"/>
              <w:rPr>
                <w:rFonts w:cs="宋体"/>
                <w:color w:val="auto"/>
                <w:szCs w:val="21"/>
                <w:lang w:bidi="ar"/>
              </w:rPr>
            </w:pPr>
            <w:r>
              <w:rPr>
                <w:color w:val="auto"/>
              </w:rPr>
              <w:t>生活污水依托现有化粪池处理，化粪池满后用吸污车运送至中卫市生活垃圾填埋场的渗滤液调蓄池</w:t>
            </w:r>
          </w:p>
        </w:tc>
        <w:tc>
          <w:tcPr>
            <w:tcW w:w="3395" w:type="dxa"/>
            <w:vAlign w:val="center"/>
          </w:tcPr>
          <w:p>
            <w:pPr>
              <w:jc w:val="center"/>
              <w:rPr>
                <w:rFonts w:cs="宋体"/>
                <w:color w:val="auto"/>
                <w:szCs w:val="21"/>
                <w:lang w:bidi="ar"/>
              </w:rPr>
            </w:pPr>
            <w:r>
              <w:rPr>
                <w:rFonts w:hint="eastAsia" w:cs="宋体"/>
                <w:color w:val="auto"/>
                <w:szCs w:val="21"/>
                <w:lang w:bidi="ar"/>
              </w:rPr>
              <w:t>全厂生产废水经厂区新建10m</w:t>
            </w:r>
            <w:r>
              <w:rPr>
                <w:rFonts w:hint="eastAsia" w:cs="宋体"/>
                <w:color w:val="auto"/>
                <w:szCs w:val="21"/>
                <w:vertAlign w:val="superscript"/>
                <w:lang w:bidi="ar"/>
              </w:rPr>
              <w:t>3</w:t>
            </w:r>
            <w:r>
              <w:rPr>
                <w:rFonts w:hint="eastAsia" w:cs="宋体"/>
                <w:color w:val="auto"/>
                <w:szCs w:val="21"/>
                <w:lang w:bidi="ar"/>
              </w:rPr>
              <w:t>/d一体化污水处理站（A</w:t>
            </w:r>
            <w:r>
              <w:rPr>
                <w:rFonts w:hint="eastAsia" w:cs="宋体"/>
                <w:color w:val="auto"/>
                <w:szCs w:val="21"/>
                <w:vertAlign w:val="superscript"/>
                <w:lang w:bidi="ar"/>
              </w:rPr>
              <w:t>2</w:t>
            </w:r>
            <w:r>
              <w:rPr>
                <w:rFonts w:hint="eastAsia" w:cs="宋体"/>
                <w:color w:val="auto"/>
                <w:szCs w:val="21"/>
                <w:lang w:bidi="ar"/>
              </w:rPr>
              <w:t>O+MBR+消毒）处理后达到《医疗机构水污染物排放标准》（GB18466-2005）综合医疗机构和其他医疗机构水污染物排放限值及《城市污水再生利用 城市杂用水水质》（GB/T18920-2020）中城市绿化、道路清扫、消防、建筑施工用水要求，处理后废水全部回用于中卫市生活垃圾填埋场道路抑尘，不外排；</w:t>
            </w:r>
          </w:p>
          <w:p>
            <w:pPr>
              <w:jc w:val="center"/>
              <w:rPr>
                <w:rFonts w:ascii="Calibri" w:hAnsi="Calibri"/>
                <w:color w:val="auto"/>
                <w:szCs w:val="21"/>
              </w:rPr>
            </w:pPr>
            <w:r>
              <w:rPr>
                <w:color w:val="auto"/>
              </w:rPr>
              <w:t>生活污水依托现有化粪池处理，化粪池满后用吸污车运送至中卫市生活垃圾填埋场的渗滤液调蓄池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Align w:val="center"/>
          </w:tcPr>
          <w:p>
            <w:pPr>
              <w:jc w:val="center"/>
              <w:rPr>
                <w:rFonts w:ascii="Calibri" w:hAnsi="Calibri"/>
                <w:color w:val="auto"/>
                <w:szCs w:val="21"/>
              </w:rPr>
            </w:pPr>
            <w:r>
              <w:rPr>
                <w:rFonts w:hint="eastAsia" w:cs="宋体"/>
                <w:color w:val="auto"/>
                <w:szCs w:val="21"/>
                <w:lang w:bidi="ar"/>
              </w:rPr>
              <w:t>地下水</w:t>
            </w:r>
          </w:p>
        </w:tc>
        <w:tc>
          <w:tcPr>
            <w:tcW w:w="1368" w:type="dxa"/>
            <w:vAlign w:val="center"/>
          </w:tcPr>
          <w:p>
            <w:pPr>
              <w:jc w:val="center"/>
              <w:rPr>
                <w:rFonts w:ascii="Calibri" w:hAnsi="Calibri"/>
                <w:color w:val="auto"/>
                <w:szCs w:val="21"/>
              </w:rPr>
            </w:pPr>
            <w:r>
              <w:rPr>
                <w:rFonts w:hint="eastAsia" w:cs="宋体"/>
                <w:color w:val="auto"/>
                <w:szCs w:val="21"/>
                <w:lang w:bidi="ar"/>
              </w:rPr>
              <w:t>评价等级及预测结论</w:t>
            </w:r>
          </w:p>
        </w:tc>
        <w:tc>
          <w:tcPr>
            <w:tcW w:w="3389" w:type="dxa"/>
            <w:vAlign w:val="center"/>
          </w:tcPr>
          <w:p>
            <w:pPr>
              <w:jc w:val="center"/>
              <w:rPr>
                <w:rFonts w:ascii="Calibri" w:hAnsi="Calibri"/>
                <w:color w:val="auto"/>
                <w:szCs w:val="21"/>
              </w:rPr>
            </w:pPr>
            <w:r>
              <w:rPr>
                <w:rFonts w:hint="eastAsia" w:cs="宋体"/>
                <w:color w:val="auto"/>
                <w:szCs w:val="21"/>
                <w:lang w:bidi="ar"/>
              </w:rPr>
              <w:t>二级评价，采取防渗措施后，对区域地下水影响较小</w:t>
            </w:r>
          </w:p>
        </w:tc>
        <w:tc>
          <w:tcPr>
            <w:tcW w:w="3395" w:type="dxa"/>
            <w:vAlign w:val="center"/>
          </w:tcPr>
          <w:p>
            <w:pPr>
              <w:jc w:val="center"/>
              <w:rPr>
                <w:rFonts w:ascii="Calibri" w:hAnsi="Calibri"/>
                <w:color w:val="auto"/>
                <w:szCs w:val="21"/>
              </w:rPr>
            </w:pPr>
            <w:r>
              <w:rPr>
                <w:rFonts w:hint="eastAsia" w:cs="宋体"/>
                <w:color w:val="auto"/>
                <w:szCs w:val="21"/>
                <w:lang w:bidi="ar"/>
              </w:rPr>
              <w:t>二级评价，采取防渗措施后，对区域地下水影响较小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restart"/>
            <w:vAlign w:val="center"/>
          </w:tcPr>
          <w:p>
            <w:pPr>
              <w:jc w:val="center"/>
              <w:rPr>
                <w:rFonts w:ascii="Calibri" w:hAnsi="Calibri"/>
                <w:color w:val="auto"/>
                <w:szCs w:val="21"/>
              </w:rPr>
            </w:pPr>
            <w:r>
              <w:rPr>
                <w:rFonts w:hint="eastAsia" w:cs="宋体"/>
                <w:color w:val="auto"/>
                <w:szCs w:val="21"/>
                <w:lang w:bidi="ar"/>
              </w:rPr>
              <w:t>土壤</w:t>
            </w:r>
          </w:p>
        </w:tc>
        <w:tc>
          <w:tcPr>
            <w:tcW w:w="1368" w:type="dxa"/>
            <w:vAlign w:val="center"/>
          </w:tcPr>
          <w:p>
            <w:pPr>
              <w:jc w:val="center"/>
              <w:rPr>
                <w:rFonts w:ascii="Calibri" w:hAnsi="Calibri"/>
                <w:color w:val="auto"/>
                <w:szCs w:val="21"/>
              </w:rPr>
            </w:pPr>
            <w:r>
              <w:rPr>
                <w:rFonts w:hint="eastAsia" w:cs="宋体"/>
                <w:color w:val="auto"/>
                <w:szCs w:val="21"/>
                <w:lang w:bidi="ar"/>
              </w:rPr>
              <w:t>评价等级</w:t>
            </w:r>
          </w:p>
        </w:tc>
        <w:tc>
          <w:tcPr>
            <w:tcW w:w="3389" w:type="dxa"/>
            <w:vAlign w:val="center"/>
          </w:tcPr>
          <w:p>
            <w:pPr>
              <w:jc w:val="center"/>
              <w:rPr>
                <w:rFonts w:ascii="Calibri" w:hAnsi="Calibri"/>
                <w:color w:val="auto"/>
                <w:szCs w:val="21"/>
              </w:rPr>
            </w:pPr>
            <w:r>
              <w:rPr>
                <w:rFonts w:hint="eastAsia" w:cs="宋体"/>
                <w:color w:val="auto"/>
                <w:szCs w:val="21"/>
                <w:lang w:bidi="ar"/>
              </w:rPr>
              <w:t>一级评价</w:t>
            </w:r>
          </w:p>
        </w:tc>
        <w:tc>
          <w:tcPr>
            <w:tcW w:w="3395" w:type="dxa"/>
            <w:vAlign w:val="center"/>
          </w:tcPr>
          <w:p>
            <w:pPr>
              <w:jc w:val="center"/>
              <w:rPr>
                <w:rFonts w:ascii="Calibri" w:hAnsi="Calibri"/>
                <w:color w:val="auto"/>
                <w:szCs w:val="21"/>
              </w:rPr>
            </w:pPr>
            <w:r>
              <w:rPr>
                <w:rFonts w:hint="eastAsia" w:cs="宋体"/>
                <w:color w:val="auto"/>
                <w:szCs w:val="21"/>
                <w:lang w:bidi="ar"/>
              </w:rPr>
              <w:t>一级评价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continue"/>
            <w:vAlign w:val="center"/>
          </w:tcPr>
          <w:p>
            <w:pPr>
              <w:rPr>
                <w:rFonts w:ascii="Calibri" w:hAnsi="Calibri" w:cs="Calibri"/>
                <w:color w:val="auto"/>
                <w:sz w:val="20"/>
                <w:szCs w:val="20"/>
              </w:rPr>
            </w:pPr>
          </w:p>
        </w:tc>
        <w:tc>
          <w:tcPr>
            <w:tcW w:w="1368" w:type="dxa"/>
            <w:vAlign w:val="center"/>
          </w:tcPr>
          <w:p>
            <w:pPr>
              <w:jc w:val="center"/>
              <w:rPr>
                <w:rFonts w:ascii="Calibri" w:hAnsi="Calibri"/>
                <w:color w:val="auto"/>
                <w:szCs w:val="21"/>
              </w:rPr>
            </w:pPr>
            <w:r>
              <w:rPr>
                <w:rFonts w:hint="eastAsia" w:cs="宋体"/>
                <w:color w:val="auto"/>
                <w:szCs w:val="21"/>
                <w:lang w:bidi="ar"/>
              </w:rPr>
              <w:t>大气沉降预测结论</w:t>
            </w:r>
          </w:p>
        </w:tc>
        <w:tc>
          <w:tcPr>
            <w:tcW w:w="3389" w:type="dxa"/>
            <w:vAlign w:val="center"/>
          </w:tcPr>
          <w:p>
            <w:pPr>
              <w:jc w:val="center"/>
              <w:rPr>
                <w:rFonts w:ascii="Calibri" w:hAnsi="Calibri"/>
                <w:color w:val="auto"/>
                <w:szCs w:val="21"/>
              </w:rPr>
            </w:pPr>
            <w:r>
              <w:rPr>
                <w:color w:val="auto"/>
                <w:szCs w:val="21"/>
              </w:rPr>
              <w:t>运营期产生的大气污染物</w:t>
            </w:r>
            <w:r>
              <w:rPr>
                <w:rFonts w:hint="eastAsia" w:ascii="Calibri" w:hAnsi="Calibri"/>
                <w:color w:val="auto"/>
                <w:szCs w:val="21"/>
              </w:rPr>
              <w:t>不涉及土壤污染因子，对土壤环境影响较小</w:t>
            </w:r>
          </w:p>
        </w:tc>
        <w:tc>
          <w:tcPr>
            <w:tcW w:w="3395" w:type="dxa"/>
            <w:vAlign w:val="center"/>
          </w:tcPr>
          <w:p>
            <w:pPr>
              <w:jc w:val="center"/>
              <w:rPr>
                <w:color w:val="auto"/>
                <w:szCs w:val="21"/>
              </w:rPr>
            </w:pPr>
            <w:r>
              <w:rPr>
                <w:rFonts w:hint="eastAsia"/>
                <w:color w:val="auto"/>
                <w:szCs w:val="21"/>
              </w:rPr>
              <w:t>全厂</w:t>
            </w:r>
            <w:r>
              <w:rPr>
                <w:color w:val="auto"/>
                <w:szCs w:val="21"/>
              </w:rPr>
              <w:t>运营期产生的大气污染物主要是氨气、硫化氢、VOCs、颗粒物，以气态形式存在，沉降性较差，且不涉及土壤污染重点污染物（重金属及多环芳烃有机物），因此不会对土壤产生明显的污染，在达标排放的情况下对土壤环境影响较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continue"/>
            <w:vAlign w:val="center"/>
          </w:tcPr>
          <w:p>
            <w:pPr>
              <w:rPr>
                <w:rFonts w:ascii="Calibri" w:hAnsi="Calibri" w:cs="Calibri"/>
                <w:color w:val="auto"/>
                <w:sz w:val="20"/>
                <w:szCs w:val="20"/>
              </w:rPr>
            </w:pPr>
          </w:p>
        </w:tc>
        <w:tc>
          <w:tcPr>
            <w:tcW w:w="1368" w:type="dxa"/>
            <w:vAlign w:val="center"/>
          </w:tcPr>
          <w:p>
            <w:pPr>
              <w:jc w:val="center"/>
              <w:rPr>
                <w:rFonts w:ascii="Calibri" w:hAnsi="Calibri"/>
                <w:color w:val="auto"/>
                <w:szCs w:val="21"/>
              </w:rPr>
            </w:pPr>
            <w:r>
              <w:rPr>
                <w:rFonts w:hint="eastAsia" w:cs="宋体"/>
                <w:color w:val="auto"/>
                <w:szCs w:val="21"/>
                <w:lang w:bidi="ar"/>
              </w:rPr>
              <w:t>垂直入渗预测结论</w:t>
            </w:r>
          </w:p>
        </w:tc>
        <w:tc>
          <w:tcPr>
            <w:tcW w:w="3389" w:type="dxa"/>
            <w:vAlign w:val="center"/>
          </w:tcPr>
          <w:p>
            <w:pPr>
              <w:rPr>
                <w:rFonts w:ascii="Calibri" w:hAnsi="Calibri" w:cs="Calibri"/>
                <w:color w:val="auto"/>
                <w:szCs w:val="21"/>
              </w:rPr>
            </w:pPr>
            <w:r>
              <w:rPr>
                <w:rFonts w:hint="eastAsia" w:ascii="Calibri" w:hAnsi="Calibri" w:cs="Calibri"/>
                <w:color w:val="auto"/>
                <w:szCs w:val="21"/>
              </w:rPr>
              <w:t>采用类比分析法，经类比本项目现有工程及同类型已建成运行的医疗废物处理项目的土壤环境质量监测结果，对区域土壤环境的影响较小，在可接受的范围内</w:t>
            </w:r>
          </w:p>
        </w:tc>
        <w:tc>
          <w:tcPr>
            <w:tcW w:w="3395" w:type="dxa"/>
            <w:vAlign w:val="center"/>
          </w:tcPr>
          <w:p>
            <w:pPr>
              <w:jc w:val="center"/>
              <w:rPr>
                <w:rFonts w:ascii="Calibri" w:hAnsi="Calibri"/>
                <w:color w:val="auto"/>
                <w:kern w:val="0"/>
                <w:szCs w:val="21"/>
              </w:rPr>
            </w:pPr>
            <w:r>
              <w:rPr>
                <w:rFonts w:hint="eastAsia" w:ascii="Calibri" w:hAnsi="Calibri" w:cs="Calibri"/>
                <w:color w:val="auto"/>
                <w:szCs w:val="21"/>
              </w:rPr>
              <w:t>采用类比分析法，经类比本项目现有工程及同类型已建成运行的医疗废物处理项目的土壤环境质量监测结果，对区域土壤环境的影响较小，在可接受的范围内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restart"/>
            <w:vAlign w:val="center"/>
          </w:tcPr>
          <w:p>
            <w:pPr>
              <w:jc w:val="center"/>
              <w:rPr>
                <w:rFonts w:ascii="Calibri" w:hAnsi="Calibri"/>
                <w:color w:val="auto"/>
                <w:szCs w:val="21"/>
              </w:rPr>
            </w:pPr>
            <w:r>
              <w:rPr>
                <w:rFonts w:hint="eastAsia" w:cs="宋体"/>
                <w:color w:val="auto"/>
                <w:szCs w:val="21"/>
                <w:lang w:bidi="ar"/>
              </w:rPr>
              <w:t>声环境</w:t>
            </w:r>
          </w:p>
        </w:tc>
        <w:tc>
          <w:tcPr>
            <w:tcW w:w="1368" w:type="dxa"/>
            <w:vAlign w:val="center"/>
          </w:tcPr>
          <w:p>
            <w:pPr>
              <w:jc w:val="center"/>
              <w:rPr>
                <w:rFonts w:ascii="Calibri" w:hAnsi="Calibri"/>
                <w:color w:val="auto"/>
                <w:szCs w:val="21"/>
              </w:rPr>
            </w:pPr>
            <w:r>
              <w:rPr>
                <w:rFonts w:hint="eastAsia" w:ascii="Calibri" w:hAnsi="Calibri"/>
                <w:color w:val="auto"/>
                <w:szCs w:val="21"/>
              </w:rPr>
              <w:t>评价依据</w:t>
            </w:r>
          </w:p>
        </w:tc>
        <w:tc>
          <w:tcPr>
            <w:tcW w:w="3389" w:type="dxa"/>
            <w:vAlign w:val="center"/>
          </w:tcPr>
          <w:p>
            <w:pPr>
              <w:jc w:val="center"/>
              <w:rPr>
                <w:rFonts w:ascii="Calibri" w:hAnsi="Calibri"/>
                <w:color w:val="auto"/>
                <w:szCs w:val="21"/>
              </w:rPr>
            </w:pPr>
            <w:r>
              <w:rPr>
                <w:rFonts w:eastAsiaTheme="minorEastAsia"/>
                <w:color w:val="auto"/>
                <w:szCs w:val="21"/>
              </w:rPr>
              <w:t>《环境影响评价技术导则 声环境》（HJ2.4-2009）</w:t>
            </w:r>
          </w:p>
        </w:tc>
        <w:tc>
          <w:tcPr>
            <w:tcW w:w="3395" w:type="dxa"/>
            <w:vAlign w:val="center"/>
          </w:tcPr>
          <w:p>
            <w:pPr>
              <w:jc w:val="center"/>
              <w:rPr>
                <w:rFonts w:ascii="Calibri" w:hAnsi="Calibri"/>
                <w:color w:val="auto"/>
                <w:szCs w:val="21"/>
              </w:rPr>
            </w:pPr>
            <w:r>
              <w:rPr>
                <w:rFonts w:eastAsiaTheme="minorEastAsia"/>
                <w:color w:val="auto"/>
                <w:szCs w:val="21"/>
              </w:rPr>
              <w:t>《环境影响评价技术导则 声环境》（HJ2.4-2021）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0" w:hRule="atLeast"/>
          <w:jc w:val="center"/>
        </w:trPr>
        <w:tc>
          <w:tcPr>
            <w:tcW w:w="730" w:type="dxa"/>
            <w:vMerge w:val="continue"/>
            <w:vAlign w:val="center"/>
          </w:tcPr>
          <w:p>
            <w:pPr>
              <w:jc w:val="center"/>
              <w:rPr>
                <w:rFonts w:cs="宋体"/>
                <w:color w:val="auto"/>
                <w:szCs w:val="21"/>
                <w:lang w:bidi="ar"/>
              </w:rPr>
            </w:pPr>
          </w:p>
        </w:tc>
        <w:tc>
          <w:tcPr>
            <w:tcW w:w="1368" w:type="dxa"/>
            <w:vAlign w:val="center"/>
          </w:tcPr>
          <w:p>
            <w:pPr>
              <w:jc w:val="center"/>
              <w:rPr>
                <w:rFonts w:ascii="Calibri" w:hAnsi="Calibri"/>
                <w:color w:val="auto"/>
                <w:szCs w:val="21"/>
              </w:rPr>
            </w:pPr>
            <w:r>
              <w:rPr>
                <w:rFonts w:hint="eastAsia" w:ascii="Calibri" w:hAnsi="Calibri"/>
                <w:color w:val="auto"/>
                <w:szCs w:val="21"/>
              </w:rPr>
              <w:t>评价等级</w:t>
            </w:r>
          </w:p>
        </w:tc>
        <w:tc>
          <w:tcPr>
            <w:tcW w:w="3389" w:type="dxa"/>
            <w:vAlign w:val="center"/>
          </w:tcPr>
          <w:p>
            <w:pPr>
              <w:jc w:val="center"/>
              <w:rPr>
                <w:rFonts w:ascii="Calibri" w:hAnsi="Calibri"/>
                <w:color w:val="auto"/>
                <w:szCs w:val="21"/>
              </w:rPr>
            </w:pPr>
            <w:r>
              <w:rPr>
                <w:rFonts w:hint="eastAsia" w:ascii="Calibri" w:hAnsi="Calibri"/>
                <w:color w:val="auto"/>
                <w:szCs w:val="21"/>
              </w:rPr>
              <w:t>二级评价</w:t>
            </w:r>
          </w:p>
        </w:tc>
        <w:tc>
          <w:tcPr>
            <w:tcW w:w="3395" w:type="dxa"/>
            <w:vAlign w:val="center"/>
          </w:tcPr>
          <w:p>
            <w:pPr>
              <w:jc w:val="center"/>
              <w:rPr>
                <w:rFonts w:ascii="Calibri" w:hAnsi="Calibri"/>
                <w:color w:val="auto"/>
                <w:szCs w:val="21"/>
              </w:rPr>
            </w:pPr>
            <w:r>
              <w:rPr>
                <w:rFonts w:hint="eastAsia" w:ascii="Calibri" w:hAnsi="Calibri"/>
                <w:color w:val="auto"/>
                <w:szCs w:val="21"/>
              </w:rPr>
              <w:t>二级评价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continue"/>
            <w:vAlign w:val="center"/>
          </w:tcPr>
          <w:p>
            <w:pPr>
              <w:jc w:val="center"/>
              <w:rPr>
                <w:rFonts w:cs="宋体"/>
                <w:color w:val="auto"/>
                <w:szCs w:val="21"/>
                <w:lang w:bidi="ar"/>
              </w:rPr>
            </w:pPr>
          </w:p>
        </w:tc>
        <w:tc>
          <w:tcPr>
            <w:tcW w:w="1368" w:type="dxa"/>
            <w:vAlign w:val="center"/>
          </w:tcPr>
          <w:p>
            <w:pPr>
              <w:jc w:val="center"/>
              <w:rPr>
                <w:rFonts w:cs="宋体"/>
                <w:color w:val="auto"/>
                <w:szCs w:val="21"/>
                <w:lang w:bidi="ar"/>
              </w:rPr>
            </w:pPr>
            <w:r>
              <w:rPr>
                <w:rFonts w:hint="eastAsia" w:cs="宋体"/>
                <w:color w:val="auto"/>
                <w:szCs w:val="21"/>
                <w:lang w:bidi="ar"/>
              </w:rPr>
              <w:t>预测结果</w:t>
            </w:r>
          </w:p>
        </w:tc>
        <w:tc>
          <w:tcPr>
            <w:tcW w:w="3389" w:type="dxa"/>
            <w:vAlign w:val="center"/>
          </w:tcPr>
          <w:p>
            <w:pPr>
              <w:jc w:val="center"/>
              <w:rPr>
                <w:rFonts w:cs="宋体"/>
                <w:color w:val="auto"/>
                <w:szCs w:val="21"/>
                <w:lang w:bidi="ar"/>
              </w:rPr>
            </w:pPr>
            <w:r>
              <w:rPr>
                <w:rFonts w:hint="eastAsia" w:cs="宋体"/>
                <w:color w:val="auto"/>
                <w:szCs w:val="21"/>
                <w:lang w:bidi="ar"/>
              </w:rPr>
              <w:t>各厂界噪声可满足《工业企业厂界噪声排放标准》（</w:t>
            </w:r>
            <w:r>
              <w:rPr>
                <w:color w:val="auto"/>
                <w:szCs w:val="21"/>
                <w:lang w:bidi="ar"/>
              </w:rPr>
              <w:t>GB12348-2008</w:t>
            </w:r>
            <w:r>
              <w:rPr>
                <w:rFonts w:hint="eastAsia" w:cs="宋体"/>
                <w:color w:val="auto"/>
                <w:szCs w:val="21"/>
                <w:lang w:bidi="ar"/>
              </w:rPr>
              <w:t>）中的</w:t>
            </w:r>
            <w:r>
              <w:rPr>
                <w:color w:val="auto"/>
                <w:szCs w:val="21"/>
                <w:lang w:bidi="ar"/>
              </w:rPr>
              <w:t>2</w:t>
            </w:r>
            <w:r>
              <w:rPr>
                <w:rFonts w:hint="eastAsia" w:cs="宋体"/>
                <w:color w:val="auto"/>
                <w:szCs w:val="21"/>
                <w:lang w:bidi="ar"/>
              </w:rPr>
              <w:t>类标准要求，对敏感目标的贡献值较小</w:t>
            </w:r>
          </w:p>
        </w:tc>
        <w:tc>
          <w:tcPr>
            <w:tcW w:w="3395" w:type="dxa"/>
            <w:vAlign w:val="center"/>
          </w:tcPr>
          <w:p>
            <w:pPr>
              <w:jc w:val="center"/>
              <w:rPr>
                <w:rFonts w:cs="宋体"/>
                <w:color w:val="auto"/>
                <w:szCs w:val="21"/>
                <w:lang w:bidi="ar"/>
              </w:rPr>
            </w:pPr>
            <w:r>
              <w:rPr>
                <w:rFonts w:hint="eastAsia" w:cs="宋体"/>
                <w:color w:val="auto"/>
                <w:szCs w:val="21"/>
                <w:lang w:bidi="ar"/>
              </w:rPr>
              <w:t>各厂界噪声可满足《工业企业厂界环境噪声排放标准》（GB12348-2008）2类标准，最近的环境敏感目标（西侧阳沟村希望小学）可满足《声环境质量标准》（GB3096-2008）1类标准要求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Align w:val="center"/>
          </w:tcPr>
          <w:p>
            <w:pPr>
              <w:jc w:val="center"/>
              <w:rPr>
                <w:rFonts w:ascii="Calibri" w:hAnsi="Calibri"/>
                <w:color w:val="auto"/>
                <w:szCs w:val="21"/>
              </w:rPr>
            </w:pPr>
            <w:r>
              <w:rPr>
                <w:rFonts w:hint="eastAsia" w:cs="宋体"/>
                <w:color w:val="auto"/>
                <w:szCs w:val="21"/>
                <w:lang w:bidi="ar"/>
              </w:rPr>
              <w:t>固体废物</w:t>
            </w:r>
          </w:p>
        </w:tc>
        <w:tc>
          <w:tcPr>
            <w:tcW w:w="1368" w:type="dxa"/>
            <w:vAlign w:val="center"/>
          </w:tcPr>
          <w:p>
            <w:pPr>
              <w:jc w:val="center"/>
              <w:rPr>
                <w:rFonts w:ascii="Calibri" w:hAnsi="Calibri"/>
                <w:color w:val="auto"/>
                <w:szCs w:val="21"/>
              </w:rPr>
            </w:pPr>
            <w:r>
              <w:rPr>
                <w:rFonts w:hint="eastAsia" w:cs="宋体"/>
                <w:color w:val="auto"/>
                <w:szCs w:val="21"/>
                <w:lang w:bidi="ar"/>
              </w:rPr>
              <w:t>评价结论</w:t>
            </w:r>
          </w:p>
        </w:tc>
        <w:tc>
          <w:tcPr>
            <w:tcW w:w="3389" w:type="dxa"/>
            <w:vAlign w:val="center"/>
          </w:tcPr>
          <w:p>
            <w:pPr>
              <w:jc w:val="center"/>
              <w:rPr>
                <w:rFonts w:ascii="Calibri" w:hAnsi="Calibri"/>
                <w:color w:val="auto"/>
                <w:szCs w:val="21"/>
              </w:rPr>
            </w:pPr>
            <w:r>
              <w:rPr>
                <w:rFonts w:hint="eastAsia" w:cs="宋体"/>
                <w:color w:val="auto"/>
                <w:szCs w:val="21"/>
                <w:lang w:bidi="ar"/>
              </w:rPr>
              <w:t>妥善处置，对区域影响较小</w:t>
            </w:r>
          </w:p>
        </w:tc>
        <w:tc>
          <w:tcPr>
            <w:tcW w:w="3395" w:type="dxa"/>
            <w:vAlign w:val="center"/>
          </w:tcPr>
          <w:p>
            <w:pPr>
              <w:jc w:val="center"/>
              <w:rPr>
                <w:rFonts w:ascii="Calibri" w:hAnsi="Calibri"/>
                <w:color w:val="auto"/>
                <w:szCs w:val="21"/>
              </w:rPr>
            </w:pPr>
            <w:r>
              <w:rPr>
                <w:rFonts w:hint="eastAsia" w:cs="宋体"/>
                <w:color w:val="auto"/>
                <w:szCs w:val="21"/>
                <w:lang w:bidi="ar"/>
              </w:rPr>
              <w:t>妥善处置，对区域影响较小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restart"/>
            <w:vAlign w:val="center"/>
          </w:tcPr>
          <w:p>
            <w:pPr>
              <w:jc w:val="center"/>
              <w:rPr>
                <w:rFonts w:ascii="Calibri" w:hAnsi="Calibri"/>
                <w:color w:val="auto"/>
                <w:szCs w:val="21"/>
              </w:rPr>
            </w:pPr>
            <w:r>
              <w:rPr>
                <w:rFonts w:hint="eastAsia" w:cs="宋体"/>
                <w:color w:val="auto"/>
                <w:szCs w:val="21"/>
                <w:lang w:bidi="ar"/>
              </w:rPr>
              <w:t>生态环境</w:t>
            </w:r>
          </w:p>
        </w:tc>
        <w:tc>
          <w:tcPr>
            <w:tcW w:w="1368" w:type="dxa"/>
            <w:vAlign w:val="center"/>
          </w:tcPr>
          <w:p>
            <w:pPr>
              <w:jc w:val="center"/>
              <w:rPr>
                <w:rFonts w:ascii="Calibri" w:hAnsi="Calibri"/>
                <w:color w:val="auto"/>
                <w:szCs w:val="21"/>
              </w:rPr>
            </w:pPr>
            <w:r>
              <w:rPr>
                <w:rFonts w:hint="eastAsia" w:ascii="Calibri" w:hAnsi="Calibri"/>
                <w:color w:val="auto"/>
                <w:szCs w:val="21"/>
              </w:rPr>
              <w:t>评价依据</w:t>
            </w:r>
          </w:p>
        </w:tc>
        <w:tc>
          <w:tcPr>
            <w:tcW w:w="3389" w:type="dxa"/>
            <w:vAlign w:val="center"/>
          </w:tcPr>
          <w:p>
            <w:pPr>
              <w:jc w:val="center"/>
              <w:rPr>
                <w:rFonts w:ascii="Calibri" w:hAnsi="Calibri"/>
                <w:color w:val="auto"/>
                <w:szCs w:val="21"/>
              </w:rPr>
            </w:pPr>
            <w:r>
              <w:rPr>
                <w:color w:val="auto"/>
                <w:szCs w:val="21"/>
              </w:rPr>
              <w:t>《环境影响评价技术导则 生态影响》（HJ19-2011）</w:t>
            </w:r>
          </w:p>
        </w:tc>
        <w:tc>
          <w:tcPr>
            <w:tcW w:w="3395" w:type="dxa"/>
            <w:vAlign w:val="center"/>
          </w:tcPr>
          <w:p>
            <w:pPr>
              <w:jc w:val="center"/>
              <w:rPr>
                <w:color w:val="auto"/>
                <w:szCs w:val="21"/>
              </w:rPr>
            </w:pPr>
            <w:r>
              <w:rPr>
                <w:color w:val="auto"/>
                <w:szCs w:val="21"/>
              </w:rPr>
              <w:t>《环境影响评价技术导则 生态影响》（HJ19-2022）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01" w:hRule="atLeast"/>
          <w:jc w:val="center"/>
        </w:trPr>
        <w:tc>
          <w:tcPr>
            <w:tcW w:w="730" w:type="dxa"/>
            <w:vMerge w:val="continue"/>
            <w:vAlign w:val="center"/>
          </w:tcPr>
          <w:p>
            <w:pPr>
              <w:jc w:val="center"/>
              <w:rPr>
                <w:rFonts w:cs="宋体"/>
                <w:color w:val="auto"/>
                <w:szCs w:val="21"/>
                <w:lang w:bidi="ar"/>
              </w:rPr>
            </w:pPr>
          </w:p>
        </w:tc>
        <w:tc>
          <w:tcPr>
            <w:tcW w:w="1368" w:type="dxa"/>
            <w:vAlign w:val="center"/>
          </w:tcPr>
          <w:p>
            <w:pPr>
              <w:jc w:val="center"/>
              <w:rPr>
                <w:rFonts w:ascii="Calibri" w:hAnsi="Calibri"/>
                <w:color w:val="auto"/>
                <w:szCs w:val="21"/>
              </w:rPr>
            </w:pPr>
            <w:r>
              <w:rPr>
                <w:rFonts w:hint="eastAsia" w:ascii="Calibri" w:hAnsi="Calibri"/>
                <w:color w:val="auto"/>
                <w:szCs w:val="21"/>
              </w:rPr>
              <w:t>评价等级</w:t>
            </w:r>
          </w:p>
        </w:tc>
        <w:tc>
          <w:tcPr>
            <w:tcW w:w="3389" w:type="dxa"/>
            <w:vAlign w:val="center"/>
          </w:tcPr>
          <w:p>
            <w:pPr>
              <w:jc w:val="center"/>
              <w:rPr>
                <w:color w:val="auto"/>
                <w:szCs w:val="21"/>
              </w:rPr>
            </w:pPr>
            <w:r>
              <w:rPr>
                <w:color w:val="auto"/>
              </w:rPr>
              <w:t>生态环境影响简单分析</w:t>
            </w:r>
          </w:p>
        </w:tc>
        <w:tc>
          <w:tcPr>
            <w:tcW w:w="3395" w:type="dxa"/>
            <w:vAlign w:val="center"/>
          </w:tcPr>
          <w:p>
            <w:pPr>
              <w:jc w:val="center"/>
              <w:rPr>
                <w:color w:val="auto"/>
                <w:szCs w:val="21"/>
              </w:rPr>
            </w:pPr>
            <w:r>
              <w:rPr>
                <w:color w:val="auto"/>
              </w:rPr>
              <w:t>生态环境影响简单分析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continue"/>
            <w:vAlign w:val="center"/>
          </w:tcPr>
          <w:p>
            <w:pPr>
              <w:rPr>
                <w:rFonts w:ascii="Calibri" w:hAnsi="Calibri" w:cs="Calibri"/>
                <w:color w:val="auto"/>
                <w:sz w:val="20"/>
                <w:szCs w:val="20"/>
              </w:rPr>
            </w:pPr>
          </w:p>
        </w:tc>
        <w:tc>
          <w:tcPr>
            <w:tcW w:w="1368" w:type="dxa"/>
            <w:vAlign w:val="center"/>
          </w:tcPr>
          <w:p>
            <w:pPr>
              <w:jc w:val="center"/>
              <w:rPr>
                <w:rFonts w:ascii="Calibri" w:hAnsi="Calibri"/>
                <w:color w:val="auto"/>
                <w:szCs w:val="21"/>
              </w:rPr>
            </w:pPr>
            <w:r>
              <w:rPr>
                <w:rFonts w:hint="eastAsia" w:cs="宋体"/>
                <w:color w:val="auto"/>
                <w:szCs w:val="21"/>
                <w:lang w:bidi="ar"/>
              </w:rPr>
              <w:t>运营期</w:t>
            </w:r>
          </w:p>
        </w:tc>
        <w:tc>
          <w:tcPr>
            <w:tcW w:w="3389" w:type="dxa"/>
            <w:vAlign w:val="center"/>
          </w:tcPr>
          <w:p>
            <w:pPr>
              <w:jc w:val="center"/>
              <w:rPr>
                <w:rFonts w:ascii="Calibri" w:hAnsi="Calibri"/>
                <w:color w:val="auto"/>
                <w:szCs w:val="21"/>
              </w:rPr>
            </w:pPr>
            <w:r>
              <w:rPr>
                <w:color w:val="auto"/>
                <w:szCs w:val="21"/>
              </w:rPr>
              <w:t>评价区土壤及</w:t>
            </w:r>
            <w:r>
              <w:rPr>
                <w:rFonts w:hint="eastAsia"/>
                <w:color w:val="auto"/>
                <w:szCs w:val="21"/>
              </w:rPr>
              <w:t>动植物</w:t>
            </w:r>
            <w:r>
              <w:rPr>
                <w:color w:val="auto"/>
                <w:szCs w:val="21"/>
              </w:rPr>
              <w:t>，保护生态环境良性循环</w:t>
            </w:r>
            <w:r>
              <w:rPr>
                <w:rFonts w:hint="eastAsia" w:cs="宋体"/>
                <w:color w:val="auto"/>
                <w:szCs w:val="21"/>
                <w:lang w:bidi="ar"/>
              </w:rPr>
              <w:t>，厂区绿化</w:t>
            </w:r>
          </w:p>
        </w:tc>
        <w:tc>
          <w:tcPr>
            <w:tcW w:w="3395" w:type="dxa"/>
            <w:vAlign w:val="center"/>
          </w:tcPr>
          <w:p>
            <w:pPr>
              <w:jc w:val="center"/>
              <w:rPr>
                <w:rFonts w:ascii="Calibri" w:hAnsi="Calibri"/>
                <w:color w:val="auto"/>
                <w:szCs w:val="21"/>
              </w:rPr>
            </w:pPr>
            <w:r>
              <w:rPr>
                <w:color w:val="auto"/>
                <w:szCs w:val="21"/>
              </w:rPr>
              <w:t>评价区土壤及</w:t>
            </w:r>
            <w:r>
              <w:rPr>
                <w:rFonts w:hint="eastAsia"/>
                <w:color w:val="auto"/>
                <w:szCs w:val="21"/>
              </w:rPr>
              <w:t>动植物</w:t>
            </w:r>
            <w:r>
              <w:rPr>
                <w:color w:val="auto"/>
                <w:szCs w:val="21"/>
              </w:rPr>
              <w:t>，保护生态环境良性循环</w:t>
            </w:r>
            <w:r>
              <w:rPr>
                <w:rFonts w:hint="eastAsia" w:cs="宋体"/>
                <w:color w:val="auto"/>
                <w:szCs w:val="21"/>
                <w:lang w:bidi="ar"/>
              </w:rPr>
              <w:t>，厂区绿化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3" w:hRule="atLeast"/>
          <w:jc w:val="center"/>
        </w:trPr>
        <w:tc>
          <w:tcPr>
            <w:tcW w:w="730" w:type="dxa"/>
            <w:vMerge w:val="restart"/>
            <w:vAlign w:val="center"/>
          </w:tcPr>
          <w:p>
            <w:pPr>
              <w:jc w:val="center"/>
              <w:rPr>
                <w:rFonts w:ascii="Calibri" w:hAnsi="Calibri"/>
                <w:color w:val="auto"/>
                <w:szCs w:val="21"/>
              </w:rPr>
            </w:pPr>
            <w:r>
              <w:rPr>
                <w:rFonts w:hint="eastAsia" w:cs="宋体"/>
                <w:color w:val="auto"/>
                <w:szCs w:val="21"/>
                <w:lang w:bidi="ar"/>
              </w:rPr>
              <w:t>环境风险</w:t>
            </w:r>
          </w:p>
        </w:tc>
        <w:tc>
          <w:tcPr>
            <w:tcW w:w="1368" w:type="dxa"/>
            <w:vAlign w:val="center"/>
          </w:tcPr>
          <w:p>
            <w:pPr>
              <w:jc w:val="center"/>
              <w:rPr>
                <w:rFonts w:ascii="Calibri" w:hAnsi="Calibri"/>
                <w:color w:val="auto"/>
                <w:szCs w:val="21"/>
              </w:rPr>
            </w:pPr>
            <w:r>
              <w:rPr>
                <w:rFonts w:hint="eastAsia" w:cs="宋体"/>
                <w:color w:val="auto"/>
                <w:szCs w:val="21"/>
                <w:lang w:bidi="ar"/>
              </w:rPr>
              <w:t>评价等级</w:t>
            </w:r>
          </w:p>
        </w:tc>
        <w:tc>
          <w:tcPr>
            <w:tcW w:w="3389" w:type="dxa"/>
            <w:vAlign w:val="center"/>
          </w:tcPr>
          <w:p>
            <w:pPr>
              <w:jc w:val="center"/>
              <w:rPr>
                <w:rFonts w:ascii="Calibri" w:hAnsi="Calibri"/>
                <w:color w:val="auto"/>
                <w:szCs w:val="21"/>
              </w:rPr>
            </w:pPr>
            <w:r>
              <w:rPr>
                <w:color w:val="auto"/>
              </w:rPr>
              <w:t>简单分析</w:t>
            </w:r>
          </w:p>
        </w:tc>
        <w:tc>
          <w:tcPr>
            <w:tcW w:w="3395" w:type="dxa"/>
            <w:vAlign w:val="center"/>
          </w:tcPr>
          <w:p>
            <w:pPr>
              <w:jc w:val="center"/>
              <w:rPr>
                <w:rFonts w:ascii="Calibri" w:hAnsi="Calibri"/>
                <w:color w:val="auto"/>
                <w:szCs w:val="21"/>
              </w:rPr>
            </w:pPr>
            <w:r>
              <w:rPr>
                <w:color w:val="auto"/>
              </w:rPr>
              <w:t>简单分析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30" w:type="dxa"/>
            <w:vMerge w:val="continue"/>
            <w:vAlign w:val="center"/>
          </w:tcPr>
          <w:p>
            <w:pPr>
              <w:rPr>
                <w:rFonts w:ascii="Calibri" w:hAnsi="Calibri" w:cs="Calibri"/>
                <w:color w:val="auto"/>
                <w:sz w:val="20"/>
                <w:szCs w:val="20"/>
              </w:rPr>
            </w:pPr>
          </w:p>
        </w:tc>
        <w:tc>
          <w:tcPr>
            <w:tcW w:w="1368" w:type="dxa"/>
            <w:vAlign w:val="center"/>
          </w:tcPr>
          <w:p>
            <w:pPr>
              <w:jc w:val="center"/>
              <w:rPr>
                <w:rFonts w:ascii="Calibri" w:hAnsi="Calibri"/>
                <w:color w:val="auto"/>
                <w:szCs w:val="21"/>
              </w:rPr>
            </w:pPr>
            <w:r>
              <w:rPr>
                <w:rFonts w:hint="eastAsia" w:cs="宋体"/>
                <w:color w:val="auto"/>
                <w:szCs w:val="21"/>
                <w:lang w:bidi="ar"/>
              </w:rPr>
              <w:t>评价结论</w:t>
            </w:r>
          </w:p>
        </w:tc>
        <w:tc>
          <w:tcPr>
            <w:tcW w:w="3389" w:type="dxa"/>
            <w:vAlign w:val="center"/>
          </w:tcPr>
          <w:p>
            <w:pPr>
              <w:jc w:val="center"/>
              <w:rPr>
                <w:rFonts w:ascii="Calibri" w:hAnsi="Calibri"/>
                <w:color w:val="auto"/>
                <w:szCs w:val="21"/>
              </w:rPr>
            </w:pPr>
            <w:r>
              <w:rPr>
                <w:color w:val="auto"/>
              </w:rPr>
              <w:t>在企业提高风险管理水平和强化风险防范措施的前提下，项目的</w:t>
            </w:r>
            <w:r>
              <w:rPr>
                <w:rFonts w:hint="eastAsia"/>
                <w:color w:val="auto"/>
              </w:rPr>
              <w:t>环境</w:t>
            </w:r>
            <w:r>
              <w:rPr>
                <w:color w:val="auto"/>
              </w:rPr>
              <w:t>风险</w:t>
            </w:r>
            <w:r>
              <w:rPr>
                <w:rFonts w:hint="eastAsia"/>
                <w:color w:val="auto"/>
              </w:rPr>
              <w:t>可防可控</w:t>
            </w:r>
          </w:p>
        </w:tc>
        <w:tc>
          <w:tcPr>
            <w:tcW w:w="3395" w:type="dxa"/>
            <w:vAlign w:val="center"/>
          </w:tcPr>
          <w:p>
            <w:pPr>
              <w:jc w:val="center"/>
              <w:rPr>
                <w:rFonts w:ascii="Calibri" w:hAnsi="Calibri"/>
                <w:color w:val="auto"/>
                <w:szCs w:val="21"/>
              </w:rPr>
            </w:pPr>
            <w:r>
              <w:rPr>
                <w:color w:val="auto"/>
              </w:rPr>
              <w:t>在企业提高风险管理水平和强化风险防范措施的前提下，项目的</w:t>
            </w:r>
            <w:r>
              <w:rPr>
                <w:rFonts w:hint="eastAsia"/>
                <w:color w:val="auto"/>
              </w:rPr>
              <w:t>环境</w:t>
            </w:r>
            <w:r>
              <w:rPr>
                <w:color w:val="auto"/>
              </w:rPr>
              <w:t>风险</w:t>
            </w:r>
            <w:r>
              <w:rPr>
                <w:rFonts w:hint="eastAsia"/>
                <w:color w:val="auto"/>
              </w:rPr>
              <w:t>可防可控</w:t>
            </w:r>
          </w:p>
        </w:tc>
      </w:tr>
    </w:tbl>
    <w:p>
      <w:pPr>
        <w:pStyle w:val="4"/>
        <w:numPr>
          <w:ilvl w:val="0"/>
          <w:numId w:val="0"/>
        </w:numPr>
        <w:spacing w:before="120"/>
        <w:rPr>
          <w:color w:val="auto"/>
        </w:rPr>
      </w:pPr>
      <w:bookmarkStart w:id="197" w:name="_Toc109398588"/>
      <w:r>
        <w:rPr>
          <w:color w:val="auto"/>
        </w:rPr>
        <w:t>3</w:t>
      </w:r>
      <w:r>
        <w:rPr>
          <w:rFonts w:hint="eastAsia"/>
          <w:color w:val="auto"/>
        </w:rPr>
        <w:t>.</w:t>
      </w:r>
      <w:r>
        <w:rPr>
          <w:color w:val="auto"/>
        </w:rPr>
        <w:t>4</w:t>
      </w:r>
      <w:r>
        <w:rPr>
          <w:rFonts w:hint="eastAsia"/>
          <w:color w:val="auto"/>
        </w:rPr>
        <w:t>本次评价内容界定</w:t>
      </w:r>
      <w:bookmarkEnd w:id="197"/>
    </w:p>
    <w:p>
      <w:pPr>
        <w:spacing w:line="360" w:lineRule="auto"/>
        <w:ind w:firstLine="480" w:firstLineChars="200"/>
        <w:rPr>
          <w:color w:val="auto"/>
          <w:sz w:val="24"/>
          <w:szCs w:val="24"/>
        </w:rPr>
      </w:pPr>
      <w:r>
        <w:rPr>
          <w:rFonts w:hint="eastAsia"/>
          <w:color w:val="auto"/>
          <w:sz w:val="24"/>
          <w:szCs w:val="24"/>
        </w:rPr>
        <w:t>据建设单位与环评单位多次沟通、协调，并结合相关规范文件，界定本次环境影响评价工作内容，包括实施重大变动后的全部建设项目及其配套公辅工程、储运工程、环保工程等，医疗废物处置规模由原来的5t/d增加到8t/d。</w:t>
      </w:r>
    </w:p>
    <w:p>
      <w:pPr>
        <w:rPr>
          <w:color w:val="auto"/>
        </w:rPr>
        <w:sectPr>
          <w:pgSz w:w="11906" w:h="16838"/>
          <w:pgMar w:top="1701" w:right="1701" w:bottom="1701" w:left="1701" w:header="851" w:footer="851" w:gutter="0"/>
          <w:cols w:space="720" w:num="1"/>
          <w:docGrid w:linePitch="466" w:charSpace="0"/>
        </w:sectPr>
      </w:pPr>
    </w:p>
    <w:p>
      <w:pPr>
        <w:pStyle w:val="3"/>
        <w:numPr>
          <w:ilvl w:val="0"/>
          <w:numId w:val="0"/>
        </w:numPr>
        <w:spacing w:before="120" w:after="120"/>
        <w:jc w:val="center"/>
        <w:rPr>
          <w:rFonts w:ascii="Times New Roman" w:hAnsi="Times New Roman"/>
          <w:color w:val="auto"/>
        </w:rPr>
      </w:pPr>
      <w:bookmarkStart w:id="198" w:name="_Toc11595250"/>
      <w:bookmarkStart w:id="199" w:name="_Toc109398589"/>
      <w:r>
        <w:rPr>
          <w:rFonts w:ascii="Times New Roman" w:hAnsi="Times New Roman"/>
          <w:color w:val="auto"/>
        </w:rPr>
        <w:t>4工程分析</w:t>
      </w:r>
      <w:bookmarkEnd w:id="198"/>
      <w:bookmarkEnd w:id="199"/>
    </w:p>
    <w:p>
      <w:pPr>
        <w:pStyle w:val="4"/>
        <w:numPr>
          <w:ilvl w:val="1"/>
          <w:numId w:val="0"/>
        </w:numPr>
        <w:spacing w:before="120"/>
        <w:rPr>
          <w:color w:val="auto"/>
          <w:szCs w:val="30"/>
        </w:rPr>
      </w:pPr>
      <w:bookmarkStart w:id="200" w:name="_Toc109398590"/>
      <w:bookmarkStart w:id="201" w:name="_Toc58849417"/>
      <w:bookmarkStart w:id="202" w:name="_Toc11595251"/>
      <w:r>
        <w:rPr>
          <w:color w:val="auto"/>
        </w:rPr>
        <w:t>4.1建设项目概况</w:t>
      </w:r>
      <w:bookmarkEnd w:id="200"/>
      <w:bookmarkEnd w:id="201"/>
    </w:p>
    <w:p>
      <w:pPr>
        <w:pStyle w:val="5"/>
        <w:numPr>
          <w:ilvl w:val="2"/>
          <w:numId w:val="0"/>
        </w:numPr>
        <w:ind w:left="-720" w:leftChars="-343" w:firstLine="723" w:firstLineChars="300"/>
        <w:rPr>
          <w:color w:val="auto"/>
        </w:rPr>
      </w:pPr>
      <w:bookmarkStart w:id="203" w:name="_Toc58849418"/>
      <w:bookmarkStart w:id="204" w:name="_Toc109398591"/>
      <w:r>
        <w:rPr>
          <w:color w:val="auto"/>
        </w:rPr>
        <w:t>4.1.1项目基本情况</w:t>
      </w:r>
      <w:bookmarkEnd w:id="203"/>
      <w:bookmarkEnd w:id="204"/>
    </w:p>
    <w:p>
      <w:pPr>
        <w:pStyle w:val="130"/>
        <w:ind w:firstLine="482"/>
        <w:rPr>
          <w:color w:val="auto"/>
          <w:lang w:val="zh-CN"/>
        </w:rPr>
      </w:pPr>
      <w:r>
        <w:rPr>
          <w:b/>
          <w:color w:val="auto"/>
          <w:lang w:val="zh-CN"/>
        </w:rPr>
        <w:t>项目名称：</w:t>
      </w:r>
      <w:r>
        <w:rPr>
          <w:color w:val="auto"/>
          <w:lang w:val="zh-CN"/>
        </w:rPr>
        <w:t>中卫医疗废物处置中心改造项目</w:t>
      </w:r>
    </w:p>
    <w:p>
      <w:pPr>
        <w:pStyle w:val="130"/>
        <w:ind w:firstLine="482"/>
        <w:rPr>
          <w:color w:val="auto"/>
          <w:lang w:val="zh-CN"/>
        </w:rPr>
      </w:pPr>
      <w:r>
        <w:rPr>
          <w:b/>
          <w:color w:val="auto"/>
          <w:lang w:val="zh-CN"/>
        </w:rPr>
        <w:t>建设性质：</w:t>
      </w:r>
      <w:r>
        <w:rPr>
          <w:color w:val="auto"/>
          <w:lang w:val="zh-CN"/>
        </w:rPr>
        <w:t>改扩建</w:t>
      </w:r>
    </w:p>
    <w:p>
      <w:pPr>
        <w:pStyle w:val="130"/>
        <w:ind w:firstLine="482"/>
        <w:rPr>
          <w:color w:val="auto"/>
          <w:lang w:val="zh-CN"/>
        </w:rPr>
      </w:pPr>
      <w:r>
        <w:rPr>
          <w:b/>
          <w:color w:val="auto"/>
          <w:lang w:val="zh-CN"/>
        </w:rPr>
        <w:t>建设单位：</w:t>
      </w:r>
      <w:r>
        <w:rPr>
          <w:color w:val="auto"/>
        </w:rPr>
        <w:t>中卫市应理城乡市政产业（集团）有限公司</w:t>
      </w:r>
    </w:p>
    <w:p>
      <w:pPr>
        <w:pStyle w:val="130"/>
        <w:ind w:firstLine="482"/>
        <w:rPr>
          <w:color w:val="auto"/>
        </w:rPr>
      </w:pPr>
      <w:r>
        <w:rPr>
          <w:b/>
          <w:color w:val="auto"/>
          <w:lang w:val="zh-CN"/>
        </w:rPr>
        <w:t>建设地点：</w:t>
      </w:r>
      <w:r>
        <w:rPr>
          <w:color w:val="auto"/>
          <w:lang w:val="zh-CN"/>
        </w:rPr>
        <w:t>中卫市永康镇阳沟村中卫市生活垃圾</w:t>
      </w:r>
      <w:r>
        <w:rPr>
          <w:color w:val="auto"/>
        </w:rPr>
        <w:t>填埋场</w:t>
      </w:r>
      <w:r>
        <w:rPr>
          <w:color w:val="auto"/>
          <w:lang w:val="zh-CN"/>
        </w:rPr>
        <w:t>西侧</w:t>
      </w:r>
      <w:r>
        <w:rPr>
          <w:color w:val="auto"/>
        </w:rPr>
        <w:t>，项目中心地理坐标为东经105°15'26.87"，北纬37°26'32.17"。</w:t>
      </w:r>
    </w:p>
    <w:p>
      <w:pPr>
        <w:pStyle w:val="130"/>
        <w:ind w:firstLine="482"/>
        <w:rPr>
          <w:b/>
          <w:color w:val="auto"/>
        </w:rPr>
      </w:pPr>
      <w:r>
        <w:rPr>
          <w:b/>
          <w:bCs w:val="0"/>
          <w:color w:val="auto"/>
          <w:lang w:val="zh-CN"/>
        </w:rPr>
        <w:t>劳动定员：</w:t>
      </w:r>
      <w:r>
        <w:rPr>
          <w:color w:val="auto"/>
        </w:rPr>
        <w:t>本项目劳动定员22人，不新增，从现有工程员工中调剂</w:t>
      </w:r>
    </w:p>
    <w:p>
      <w:pPr>
        <w:pStyle w:val="130"/>
        <w:ind w:firstLine="482"/>
        <w:rPr>
          <w:color w:val="auto"/>
          <w:lang w:val="zh-CN"/>
        </w:rPr>
      </w:pPr>
      <w:r>
        <w:rPr>
          <w:b/>
          <w:color w:val="auto"/>
          <w:lang w:val="zh-CN"/>
        </w:rPr>
        <w:t>工作制度：</w:t>
      </w:r>
      <w:r>
        <w:rPr>
          <w:color w:val="auto"/>
          <w:lang w:val="zh-CN"/>
        </w:rPr>
        <w:t>两班制、每班8小时，全年工作330天，全年工作时间5280小时</w:t>
      </w:r>
    </w:p>
    <w:p>
      <w:pPr>
        <w:pStyle w:val="130"/>
        <w:ind w:firstLine="482"/>
        <w:rPr>
          <w:color w:val="auto"/>
          <w:lang w:val="zh-CN"/>
        </w:rPr>
      </w:pPr>
      <w:r>
        <w:rPr>
          <w:b/>
          <w:color w:val="auto"/>
          <w:lang w:val="zh-CN"/>
        </w:rPr>
        <w:t>项目总投资：</w:t>
      </w:r>
      <w:r>
        <w:rPr>
          <w:color w:val="auto"/>
          <w:lang w:val="zh-CN"/>
        </w:rPr>
        <w:t>投资估算总额为1479.15万元，其中环保投资为115万元，占总投资的7.8%</w:t>
      </w:r>
    </w:p>
    <w:p>
      <w:pPr>
        <w:pStyle w:val="130"/>
        <w:ind w:firstLine="482"/>
        <w:rPr>
          <w:bCs w:val="0"/>
          <w:color w:val="auto"/>
          <w:lang w:val="zh-CN"/>
        </w:rPr>
      </w:pPr>
      <w:r>
        <w:rPr>
          <w:b/>
          <w:color w:val="auto"/>
          <w:lang w:val="zh-CN"/>
        </w:rPr>
        <w:t>建设现状：</w:t>
      </w:r>
      <w:r>
        <w:rPr>
          <w:bCs w:val="0"/>
          <w:color w:val="auto"/>
          <w:lang w:val="zh-CN"/>
        </w:rPr>
        <w:t>已建成</w:t>
      </w:r>
    </w:p>
    <w:p>
      <w:pPr>
        <w:pStyle w:val="5"/>
        <w:numPr>
          <w:ilvl w:val="2"/>
          <w:numId w:val="0"/>
        </w:numPr>
        <w:ind w:left="-720" w:leftChars="-343" w:firstLine="723" w:firstLineChars="300"/>
        <w:rPr>
          <w:color w:val="auto"/>
        </w:rPr>
      </w:pPr>
      <w:bookmarkStart w:id="205" w:name="_Toc109398592"/>
      <w:bookmarkStart w:id="206" w:name="_Toc58849419"/>
      <w:r>
        <w:rPr>
          <w:color w:val="auto"/>
        </w:rPr>
        <w:t>4.1.2建设内容及规模</w:t>
      </w:r>
      <w:bookmarkEnd w:id="205"/>
      <w:bookmarkEnd w:id="206"/>
    </w:p>
    <w:p>
      <w:pPr>
        <w:pStyle w:val="130"/>
        <w:ind w:firstLine="480"/>
        <w:rPr>
          <w:color w:val="auto"/>
        </w:rPr>
      </w:pPr>
      <w:r>
        <w:rPr>
          <w:color w:val="auto"/>
        </w:rPr>
        <w:t>保留现有工程3t/d高温蒸汽灭菌设备</w:t>
      </w:r>
      <w:r>
        <w:rPr>
          <w:rFonts w:hint="eastAsia"/>
          <w:color w:val="auto"/>
        </w:rPr>
        <w:t>，</w:t>
      </w:r>
      <w:r>
        <w:rPr>
          <w:color w:val="auto"/>
        </w:rPr>
        <w:t>新增一套5t/d医疗废物高温蒸汽灭菌器及配套设备，10m</w:t>
      </w:r>
      <w:r>
        <w:rPr>
          <w:color w:val="auto"/>
          <w:vertAlign w:val="superscript"/>
        </w:rPr>
        <w:t>3</w:t>
      </w:r>
      <w:r>
        <w:rPr>
          <w:color w:val="auto"/>
        </w:rPr>
        <w:t>/d污水处理站一座及相关配套设施；厂区北侧车库中的东侧1间改造为水处理间，其中：新增医疗废物高温蒸汽灭菌器、破碎系统、冷却水循环辅助单元、除臭系统、生活供暖电热水锅炉、地轨及转盘各1套，新增医疗废物灭菌小车12辆、医疗废物转运用车7辆、垃圾转运车1辆、生产用蒸汽发生器5台，新建车库一座，改造破碎机1套，本项目</w:t>
      </w:r>
      <w:r>
        <w:rPr>
          <w:rFonts w:hint="eastAsia"/>
          <w:color w:val="auto"/>
        </w:rPr>
        <w:t>建成后全厂</w:t>
      </w:r>
      <w:r>
        <w:rPr>
          <w:color w:val="auto"/>
        </w:rPr>
        <w:t>工程组成情况见表4.1-1。</w:t>
      </w:r>
    </w:p>
    <w:p>
      <w:pPr>
        <w:jc w:val="center"/>
        <w:rPr>
          <w:rFonts w:eastAsiaTheme="minorEastAsia"/>
          <w:b/>
          <w:color w:val="auto"/>
          <w:sz w:val="24"/>
          <w:szCs w:val="21"/>
        </w:rPr>
      </w:pPr>
      <w:r>
        <w:rPr>
          <w:rFonts w:eastAsiaTheme="minorEastAsia"/>
          <w:b/>
          <w:color w:val="auto"/>
          <w:sz w:val="24"/>
          <w:szCs w:val="21"/>
        </w:rPr>
        <w:t>表4.1-1 本项目</w:t>
      </w:r>
      <w:r>
        <w:rPr>
          <w:rFonts w:hint="eastAsia" w:eastAsiaTheme="minorEastAsia"/>
          <w:b/>
          <w:color w:val="auto"/>
          <w:sz w:val="24"/>
          <w:szCs w:val="21"/>
        </w:rPr>
        <w:t>建成后全厂</w:t>
      </w:r>
      <w:r>
        <w:rPr>
          <w:rFonts w:eastAsiaTheme="minorEastAsia"/>
          <w:b/>
          <w:color w:val="auto"/>
          <w:sz w:val="24"/>
          <w:szCs w:val="21"/>
        </w:rPr>
        <w:t>工程组成一览表</w:t>
      </w:r>
    </w:p>
    <w:tbl>
      <w:tblPr>
        <w:tblStyle w:val="74"/>
        <w:tblW w:w="872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4"/>
        <w:gridCol w:w="685"/>
        <w:gridCol w:w="1784"/>
        <w:gridCol w:w="4524"/>
        <w:gridCol w:w="100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724" w:type="dxa"/>
            <w:vAlign w:val="center"/>
          </w:tcPr>
          <w:p>
            <w:pPr>
              <w:pStyle w:val="164"/>
              <w:rPr>
                <w:color w:val="auto"/>
              </w:rPr>
            </w:pPr>
            <w:r>
              <w:rPr>
                <w:color w:val="auto"/>
              </w:rPr>
              <w:t>类别</w:t>
            </w:r>
          </w:p>
        </w:tc>
        <w:tc>
          <w:tcPr>
            <w:tcW w:w="2469" w:type="dxa"/>
            <w:gridSpan w:val="2"/>
            <w:vAlign w:val="center"/>
          </w:tcPr>
          <w:p>
            <w:pPr>
              <w:pStyle w:val="164"/>
              <w:rPr>
                <w:color w:val="auto"/>
              </w:rPr>
            </w:pPr>
            <w:r>
              <w:rPr>
                <w:color w:val="auto"/>
              </w:rPr>
              <w:t>建设内容</w:t>
            </w:r>
          </w:p>
        </w:tc>
        <w:tc>
          <w:tcPr>
            <w:tcW w:w="4524" w:type="dxa"/>
            <w:vAlign w:val="center"/>
          </w:tcPr>
          <w:p>
            <w:pPr>
              <w:pStyle w:val="164"/>
              <w:rPr>
                <w:color w:val="auto"/>
              </w:rPr>
            </w:pPr>
            <w:r>
              <w:rPr>
                <w:color w:val="auto"/>
              </w:rPr>
              <w:t>建设内容</w:t>
            </w:r>
          </w:p>
        </w:tc>
        <w:tc>
          <w:tcPr>
            <w:tcW w:w="1003" w:type="dxa"/>
            <w:vAlign w:val="center"/>
          </w:tcPr>
          <w:p>
            <w:pPr>
              <w:pStyle w:val="164"/>
              <w:ind w:left="-105" w:leftChars="-50" w:right="-105" w:rightChars="-50"/>
              <w:rPr>
                <w:color w:val="auto"/>
              </w:rPr>
            </w:pPr>
            <w:r>
              <w:rPr>
                <w:color w:val="auto"/>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29" w:hRule="atLeast"/>
          <w:jc w:val="center"/>
        </w:trPr>
        <w:tc>
          <w:tcPr>
            <w:tcW w:w="724" w:type="dxa"/>
            <w:vMerge w:val="restart"/>
            <w:tcBorders>
              <w:top w:val="single" w:color="auto" w:sz="4" w:space="0"/>
            </w:tcBorders>
            <w:vAlign w:val="center"/>
          </w:tcPr>
          <w:p>
            <w:pPr>
              <w:pStyle w:val="164"/>
              <w:rPr>
                <w:color w:val="auto"/>
              </w:rPr>
            </w:pPr>
            <w:r>
              <w:rPr>
                <w:color w:val="auto"/>
              </w:rPr>
              <w:t>主体</w:t>
            </w:r>
          </w:p>
          <w:p>
            <w:pPr>
              <w:pStyle w:val="164"/>
              <w:rPr>
                <w:color w:val="auto"/>
              </w:rPr>
            </w:pPr>
            <w:r>
              <w:rPr>
                <w:color w:val="auto"/>
              </w:rPr>
              <w:t>工程</w:t>
            </w:r>
          </w:p>
        </w:tc>
        <w:tc>
          <w:tcPr>
            <w:tcW w:w="685" w:type="dxa"/>
            <w:vMerge w:val="restart"/>
            <w:tcBorders>
              <w:right w:val="single" w:color="auto" w:sz="4" w:space="0"/>
            </w:tcBorders>
            <w:vAlign w:val="center"/>
          </w:tcPr>
          <w:p>
            <w:pPr>
              <w:pStyle w:val="164"/>
              <w:rPr>
                <w:color w:val="auto"/>
              </w:rPr>
            </w:pPr>
            <w:r>
              <w:rPr>
                <w:color w:val="auto"/>
              </w:rPr>
              <w:t>高温蒸煮厂房</w:t>
            </w:r>
          </w:p>
        </w:tc>
        <w:tc>
          <w:tcPr>
            <w:tcW w:w="1784" w:type="dxa"/>
            <w:vMerge w:val="restart"/>
            <w:tcBorders>
              <w:left w:val="single" w:color="auto" w:sz="4" w:space="0"/>
            </w:tcBorders>
            <w:vAlign w:val="center"/>
          </w:tcPr>
          <w:p>
            <w:pPr>
              <w:pStyle w:val="164"/>
              <w:rPr>
                <w:color w:val="auto"/>
              </w:rPr>
            </w:pPr>
            <w:r>
              <w:rPr>
                <w:color w:val="auto"/>
              </w:rPr>
              <w:t>高温蒸煮车间</w:t>
            </w:r>
          </w:p>
        </w:tc>
        <w:tc>
          <w:tcPr>
            <w:tcW w:w="4524" w:type="dxa"/>
            <w:vAlign w:val="center"/>
          </w:tcPr>
          <w:p>
            <w:pPr>
              <w:pStyle w:val="164"/>
              <w:rPr>
                <w:color w:val="auto"/>
              </w:rPr>
            </w:pPr>
            <w:r>
              <w:rPr>
                <w:color w:val="auto"/>
              </w:rPr>
              <w:t>建筑面积为256m</w:t>
            </w:r>
            <w:r>
              <w:rPr>
                <w:color w:val="auto"/>
                <w:vertAlign w:val="superscript"/>
              </w:rPr>
              <w:t>2</w:t>
            </w:r>
            <w:r>
              <w:rPr>
                <w:color w:val="auto"/>
              </w:rPr>
              <w:t>，保留现有工程3t/d高温蒸汽灭菌系统，对现有工程破碎机进行升级改造，对刀片、控制系统等进行统一维修升级。</w:t>
            </w:r>
          </w:p>
        </w:tc>
        <w:tc>
          <w:tcPr>
            <w:tcW w:w="1003" w:type="dxa"/>
            <w:vAlign w:val="center"/>
          </w:tcPr>
          <w:p>
            <w:pPr>
              <w:pStyle w:val="164"/>
              <w:ind w:left="-105" w:leftChars="-50" w:right="-105" w:rightChars="-50"/>
              <w:rPr>
                <w:color w:val="auto"/>
              </w:rPr>
            </w:pPr>
            <w:r>
              <w:rPr>
                <w:color w:val="auto"/>
              </w:rPr>
              <w:t>改造，</w:t>
            </w:r>
          </w:p>
          <w:p>
            <w:pPr>
              <w:pStyle w:val="164"/>
              <w:ind w:left="-105" w:leftChars="-50" w:right="-105" w:rightChars="-50"/>
              <w:rPr>
                <w:color w:val="auto"/>
              </w:rPr>
            </w:pPr>
            <w:r>
              <w:rPr>
                <w:color w:val="auto"/>
              </w:rPr>
              <w:t>已完成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4" w:hRule="atLeast"/>
          <w:jc w:val="center"/>
        </w:trPr>
        <w:tc>
          <w:tcPr>
            <w:tcW w:w="724" w:type="dxa"/>
            <w:vMerge w:val="continue"/>
            <w:tcBorders>
              <w:top w:val="single" w:color="auto" w:sz="4" w:space="0"/>
            </w:tcBorders>
            <w:vAlign w:val="center"/>
          </w:tcPr>
          <w:p>
            <w:pPr>
              <w:pStyle w:val="164"/>
              <w:rPr>
                <w:color w:val="auto"/>
              </w:rPr>
            </w:pPr>
          </w:p>
        </w:tc>
        <w:tc>
          <w:tcPr>
            <w:tcW w:w="685" w:type="dxa"/>
            <w:vMerge w:val="continue"/>
            <w:tcBorders>
              <w:right w:val="single" w:color="auto" w:sz="4" w:space="0"/>
            </w:tcBorders>
            <w:vAlign w:val="center"/>
          </w:tcPr>
          <w:p>
            <w:pPr>
              <w:pStyle w:val="164"/>
              <w:rPr>
                <w:color w:val="auto"/>
              </w:rPr>
            </w:pPr>
          </w:p>
        </w:tc>
        <w:tc>
          <w:tcPr>
            <w:tcW w:w="1784" w:type="dxa"/>
            <w:vMerge w:val="continue"/>
            <w:tcBorders>
              <w:left w:val="single" w:color="auto" w:sz="4" w:space="0"/>
            </w:tcBorders>
            <w:vAlign w:val="center"/>
          </w:tcPr>
          <w:p>
            <w:pPr>
              <w:pStyle w:val="164"/>
              <w:rPr>
                <w:color w:val="auto"/>
              </w:rPr>
            </w:pPr>
          </w:p>
        </w:tc>
        <w:tc>
          <w:tcPr>
            <w:tcW w:w="4524" w:type="dxa"/>
            <w:vAlign w:val="center"/>
          </w:tcPr>
          <w:p>
            <w:pPr>
              <w:pStyle w:val="164"/>
              <w:rPr>
                <w:color w:val="auto"/>
              </w:rPr>
            </w:pPr>
            <w:r>
              <w:rPr>
                <w:color w:val="auto"/>
              </w:rPr>
              <w:t>高温蒸煮车间北侧新建一套5t/d高温蒸汽灭菌系统1套，用于处理损伤性及感染性医疗废物。</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685" w:type="dxa"/>
            <w:vMerge w:val="continue"/>
            <w:tcBorders>
              <w:right w:val="single" w:color="auto" w:sz="4" w:space="0"/>
            </w:tcBorders>
            <w:vAlign w:val="center"/>
          </w:tcPr>
          <w:p>
            <w:pPr>
              <w:pStyle w:val="164"/>
              <w:rPr>
                <w:color w:val="auto"/>
              </w:rPr>
            </w:pPr>
          </w:p>
        </w:tc>
        <w:tc>
          <w:tcPr>
            <w:tcW w:w="1784" w:type="dxa"/>
            <w:tcBorders>
              <w:left w:val="single" w:color="auto" w:sz="4" w:space="0"/>
            </w:tcBorders>
            <w:vAlign w:val="center"/>
          </w:tcPr>
          <w:p>
            <w:pPr>
              <w:pStyle w:val="164"/>
              <w:rPr>
                <w:color w:val="auto"/>
              </w:rPr>
            </w:pPr>
            <w:r>
              <w:rPr>
                <w:color w:val="auto"/>
              </w:rPr>
              <w:t>卸料区</w:t>
            </w:r>
          </w:p>
        </w:tc>
        <w:tc>
          <w:tcPr>
            <w:tcW w:w="4524" w:type="dxa"/>
            <w:vAlign w:val="center"/>
          </w:tcPr>
          <w:p>
            <w:pPr>
              <w:pStyle w:val="164"/>
              <w:rPr>
                <w:color w:val="auto"/>
              </w:rPr>
            </w:pPr>
            <w:r>
              <w:rPr>
                <w:color w:val="auto"/>
              </w:rPr>
              <w:t>建筑面积144.9m</w:t>
            </w:r>
            <w:r>
              <w:rPr>
                <w:color w:val="auto"/>
                <w:vertAlign w:val="superscript"/>
              </w:rPr>
              <w:t>2</w:t>
            </w:r>
            <w:r>
              <w:rPr>
                <w:color w:val="auto"/>
              </w:rPr>
              <w:t>，用于卸除拉运的医疗废物。</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685" w:type="dxa"/>
            <w:vMerge w:val="continue"/>
            <w:tcBorders>
              <w:right w:val="single" w:color="auto" w:sz="4" w:space="0"/>
            </w:tcBorders>
            <w:vAlign w:val="center"/>
          </w:tcPr>
          <w:p>
            <w:pPr>
              <w:pStyle w:val="164"/>
              <w:rPr>
                <w:color w:val="auto"/>
              </w:rPr>
            </w:pPr>
          </w:p>
        </w:tc>
        <w:tc>
          <w:tcPr>
            <w:tcW w:w="1784" w:type="dxa"/>
            <w:tcBorders>
              <w:left w:val="single" w:color="auto" w:sz="4" w:space="0"/>
            </w:tcBorders>
            <w:vAlign w:val="center"/>
          </w:tcPr>
          <w:p>
            <w:pPr>
              <w:pStyle w:val="164"/>
              <w:rPr>
                <w:color w:val="auto"/>
              </w:rPr>
            </w:pPr>
            <w:r>
              <w:rPr>
                <w:color w:val="auto"/>
              </w:rPr>
              <w:t>医废冷藏车间</w:t>
            </w:r>
          </w:p>
        </w:tc>
        <w:tc>
          <w:tcPr>
            <w:tcW w:w="4524" w:type="dxa"/>
            <w:vAlign w:val="center"/>
          </w:tcPr>
          <w:p>
            <w:pPr>
              <w:pStyle w:val="164"/>
              <w:rPr>
                <w:color w:val="auto"/>
              </w:rPr>
            </w:pPr>
            <w:r>
              <w:rPr>
                <w:color w:val="auto"/>
              </w:rPr>
              <w:t>建筑面积54m</w:t>
            </w:r>
            <w:r>
              <w:rPr>
                <w:color w:val="auto"/>
                <w:vertAlign w:val="superscript"/>
              </w:rPr>
              <w:t>2</w:t>
            </w:r>
            <w:r>
              <w:rPr>
                <w:color w:val="auto"/>
              </w:rPr>
              <w:t>，用于医疗废物冷藏</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685" w:type="dxa"/>
            <w:vMerge w:val="continue"/>
            <w:tcBorders>
              <w:right w:val="single" w:color="auto" w:sz="4" w:space="0"/>
            </w:tcBorders>
            <w:vAlign w:val="center"/>
          </w:tcPr>
          <w:p>
            <w:pPr>
              <w:pStyle w:val="164"/>
              <w:rPr>
                <w:color w:val="auto"/>
              </w:rPr>
            </w:pPr>
          </w:p>
        </w:tc>
        <w:tc>
          <w:tcPr>
            <w:tcW w:w="1784" w:type="dxa"/>
            <w:tcBorders>
              <w:left w:val="single" w:color="auto" w:sz="4" w:space="0"/>
            </w:tcBorders>
            <w:vAlign w:val="center"/>
          </w:tcPr>
          <w:p>
            <w:pPr>
              <w:pStyle w:val="164"/>
              <w:rPr>
                <w:color w:val="auto"/>
              </w:rPr>
            </w:pPr>
            <w:r>
              <w:rPr>
                <w:color w:val="auto"/>
              </w:rPr>
              <w:t>更衣室、卫生间</w:t>
            </w:r>
          </w:p>
        </w:tc>
        <w:tc>
          <w:tcPr>
            <w:tcW w:w="4524" w:type="dxa"/>
            <w:vAlign w:val="center"/>
          </w:tcPr>
          <w:p>
            <w:pPr>
              <w:pStyle w:val="164"/>
              <w:rPr>
                <w:color w:val="auto"/>
              </w:rPr>
            </w:pPr>
            <w:r>
              <w:rPr>
                <w:color w:val="auto"/>
              </w:rPr>
              <w:t>建筑面积41.4m</w:t>
            </w:r>
            <w:r>
              <w:rPr>
                <w:color w:val="auto"/>
                <w:vertAlign w:val="superscript"/>
              </w:rPr>
              <w:t>2</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685" w:type="dxa"/>
            <w:vMerge w:val="continue"/>
            <w:tcBorders>
              <w:right w:val="single" w:color="auto" w:sz="4" w:space="0"/>
            </w:tcBorders>
            <w:vAlign w:val="center"/>
          </w:tcPr>
          <w:p>
            <w:pPr>
              <w:pStyle w:val="164"/>
              <w:rPr>
                <w:color w:val="auto"/>
              </w:rPr>
            </w:pPr>
          </w:p>
        </w:tc>
        <w:tc>
          <w:tcPr>
            <w:tcW w:w="1784" w:type="dxa"/>
            <w:tcBorders>
              <w:left w:val="single" w:color="auto" w:sz="4" w:space="0"/>
            </w:tcBorders>
            <w:vAlign w:val="center"/>
          </w:tcPr>
          <w:p>
            <w:pPr>
              <w:pStyle w:val="164"/>
              <w:rPr>
                <w:color w:val="auto"/>
              </w:rPr>
            </w:pPr>
            <w:r>
              <w:rPr>
                <w:color w:val="auto"/>
              </w:rPr>
              <w:t>蒸汽锅炉房</w:t>
            </w:r>
          </w:p>
        </w:tc>
        <w:tc>
          <w:tcPr>
            <w:tcW w:w="4524" w:type="dxa"/>
            <w:vAlign w:val="center"/>
          </w:tcPr>
          <w:p>
            <w:pPr>
              <w:pStyle w:val="164"/>
              <w:rPr>
                <w:color w:val="auto"/>
              </w:rPr>
            </w:pPr>
            <w:r>
              <w:rPr>
                <w:rFonts w:hint="eastAsia"/>
                <w:color w:val="auto"/>
              </w:rPr>
              <w:t>建筑面积2</w:t>
            </w:r>
            <w:r>
              <w:rPr>
                <w:color w:val="auto"/>
              </w:rPr>
              <w:t>7m</w:t>
            </w:r>
            <w:r>
              <w:rPr>
                <w:color w:val="auto"/>
                <w:vertAlign w:val="superscript"/>
              </w:rPr>
              <w:t>2</w:t>
            </w:r>
            <w:r>
              <w:rPr>
                <w:rFonts w:hint="eastAsia"/>
                <w:color w:val="auto"/>
              </w:rPr>
              <w:t>，</w:t>
            </w:r>
            <w:r>
              <w:rPr>
                <w:color w:val="auto"/>
              </w:rPr>
              <w:t>新增5台额定蒸汽量103kg/h电加热蒸汽发生器</w:t>
            </w:r>
            <w:r>
              <w:rPr>
                <w:rFonts w:hint="eastAsia"/>
                <w:color w:val="auto"/>
              </w:rPr>
              <w:t>，已建成3台</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rFonts w:hint="eastAsia"/>
                <w:color w:val="auto"/>
              </w:rPr>
              <w:t>部分</w:t>
            </w:r>
            <w:r>
              <w:rPr>
                <w:color w:val="auto"/>
              </w:rPr>
              <w:t>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685" w:type="dxa"/>
            <w:vMerge w:val="continue"/>
            <w:tcBorders>
              <w:right w:val="single" w:color="auto" w:sz="4" w:space="0"/>
            </w:tcBorders>
            <w:vAlign w:val="center"/>
          </w:tcPr>
          <w:p>
            <w:pPr>
              <w:pStyle w:val="164"/>
              <w:rPr>
                <w:color w:val="auto"/>
              </w:rPr>
            </w:pPr>
          </w:p>
        </w:tc>
        <w:tc>
          <w:tcPr>
            <w:tcW w:w="1784" w:type="dxa"/>
            <w:tcBorders>
              <w:left w:val="single" w:color="auto" w:sz="4" w:space="0"/>
            </w:tcBorders>
            <w:vAlign w:val="center"/>
          </w:tcPr>
          <w:p>
            <w:pPr>
              <w:pStyle w:val="164"/>
              <w:rPr>
                <w:color w:val="auto"/>
              </w:rPr>
            </w:pPr>
            <w:r>
              <w:rPr>
                <w:color w:val="auto"/>
              </w:rPr>
              <w:t>热水锅炉房</w:t>
            </w:r>
          </w:p>
        </w:tc>
        <w:tc>
          <w:tcPr>
            <w:tcW w:w="4524" w:type="dxa"/>
            <w:vAlign w:val="center"/>
          </w:tcPr>
          <w:p>
            <w:pPr>
              <w:pStyle w:val="164"/>
              <w:rPr>
                <w:color w:val="auto"/>
              </w:rPr>
            </w:pPr>
            <w:r>
              <w:rPr>
                <w:rFonts w:hint="eastAsia"/>
                <w:color w:val="auto"/>
              </w:rPr>
              <w:t>建筑面积2</w:t>
            </w:r>
            <w:r>
              <w:rPr>
                <w:color w:val="auto"/>
              </w:rPr>
              <w:t>7m</w:t>
            </w:r>
            <w:r>
              <w:rPr>
                <w:color w:val="auto"/>
                <w:vertAlign w:val="superscript"/>
              </w:rPr>
              <w:t>2</w:t>
            </w:r>
            <w:r>
              <w:rPr>
                <w:rFonts w:hint="eastAsia"/>
                <w:color w:val="auto"/>
              </w:rPr>
              <w:t>，</w:t>
            </w:r>
            <w:r>
              <w:rPr>
                <w:color w:val="auto"/>
              </w:rPr>
              <w:t>新增3台80KW全自动电加热热水锅炉</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685" w:type="dxa"/>
            <w:vMerge w:val="continue"/>
            <w:tcBorders>
              <w:right w:val="single" w:color="auto" w:sz="4" w:space="0"/>
            </w:tcBorders>
            <w:vAlign w:val="center"/>
          </w:tcPr>
          <w:p>
            <w:pPr>
              <w:pStyle w:val="164"/>
              <w:rPr>
                <w:color w:val="auto"/>
              </w:rPr>
            </w:pPr>
          </w:p>
        </w:tc>
        <w:tc>
          <w:tcPr>
            <w:tcW w:w="1784" w:type="dxa"/>
            <w:tcBorders>
              <w:left w:val="single" w:color="auto" w:sz="4" w:space="0"/>
            </w:tcBorders>
            <w:vAlign w:val="center"/>
          </w:tcPr>
          <w:p>
            <w:pPr>
              <w:pStyle w:val="164"/>
              <w:rPr>
                <w:color w:val="auto"/>
              </w:rPr>
            </w:pPr>
            <w:r>
              <w:rPr>
                <w:color w:val="auto"/>
              </w:rPr>
              <w:t>附属设施</w:t>
            </w:r>
          </w:p>
        </w:tc>
        <w:tc>
          <w:tcPr>
            <w:tcW w:w="4524" w:type="dxa"/>
            <w:vAlign w:val="center"/>
          </w:tcPr>
          <w:p>
            <w:pPr>
              <w:pStyle w:val="164"/>
              <w:rPr>
                <w:color w:val="auto"/>
              </w:rPr>
            </w:pPr>
            <w:r>
              <w:rPr>
                <w:color w:val="auto"/>
              </w:rPr>
              <w:t>包括冷却设备间、配电室、控制室、空桶存放间、车辆冲洗间等</w:t>
            </w:r>
            <w:r>
              <w:rPr>
                <w:rFonts w:hint="eastAsia"/>
                <w:color w:val="auto"/>
              </w:rPr>
              <w:t>，建筑面积</w:t>
            </w:r>
            <w:r>
              <w:rPr>
                <w:color w:val="auto"/>
              </w:rPr>
              <w:t>190.8m</w:t>
            </w:r>
            <w:r>
              <w:rPr>
                <w:color w:val="auto"/>
                <w:vertAlign w:val="superscript"/>
              </w:rPr>
              <w:t>2</w:t>
            </w:r>
            <w:r>
              <w:rPr>
                <w:color w:val="auto"/>
              </w:rPr>
              <w:t>。</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restart"/>
            <w:vAlign w:val="center"/>
          </w:tcPr>
          <w:p>
            <w:pPr>
              <w:pStyle w:val="164"/>
              <w:rPr>
                <w:color w:val="auto"/>
              </w:rPr>
            </w:pPr>
            <w:r>
              <w:rPr>
                <w:color w:val="auto"/>
              </w:rPr>
              <w:t>辅助工程</w:t>
            </w:r>
          </w:p>
        </w:tc>
        <w:tc>
          <w:tcPr>
            <w:tcW w:w="2469" w:type="dxa"/>
            <w:gridSpan w:val="2"/>
            <w:vAlign w:val="center"/>
          </w:tcPr>
          <w:p>
            <w:pPr>
              <w:pStyle w:val="164"/>
              <w:rPr>
                <w:color w:val="auto"/>
              </w:rPr>
            </w:pPr>
            <w:r>
              <w:rPr>
                <w:color w:val="auto"/>
              </w:rPr>
              <w:t>燃煤锅炉房</w:t>
            </w:r>
          </w:p>
        </w:tc>
        <w:tc>
          <w:tcPr>
            <w:tcW w:w="4524" w:type="dxa"/>
            <w:vAlign w:val="center"/>
          </w:tcPr>
          <w:p>
            <w:pPr>
              <w:pStyle w:val="164"/>
              <w:rPr>
                <w:color w:val="auto"/>
              </w:rPr>
            </w:pPr>
            <w:r>
              <w:rPr>
                <w:color w:val="auto"/>
              </w:rPr>
              <w:t>位于1号车库西侧，建筑面积54m</w:t>
            </w:r>
            <w:r>
              <w:rPr>
                <w:color w:val="auto"/>
                <w:vertAlign w:val="superscript"/>
              </w:rPr>
              <w:t>2</w:t>
            </w:r>
            <w:r>
              <w:rPr>
                <w:color w:val="auto"/>
              </w:rPr>
              <w:t>，一台0.5t/h燃煤锅炉。</w:t>
            </w:r>
          </w:p>
        </w:tc>
        <w:tc>
          <w:tcPr>
            <w:tcW w:w="1003" w:type="dxa"/>
            <w:vAlign w:val="center"/>
          </w:tcPr>
          <w:p>
            <w:pPr>
              <w:pStyle w:val="164"/>
              <w:ind w:left="-105" w:leftChars="-50" w:right="-105" w:rightChars="-50"/>
              <w:rPr>
                <w:color w:val="auto"/>
              </w:rPr>
            </w:pPr>
            <w:r>
              <w:rPr>
                <w:color w:val="auto"/>
              </w:rPr>
              <w:t>燃煤锅炉将拆除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1号车库</w:t>
            </w:r>
          </w:p>
        </w:tc>
        <w:tc>
          <w:tcPr>
            <w:tcW w:w="4524" w:type="dxa"/>
            <w:vAlign w:val="center"/>
          </w:tcPr>
          <w:p>
            <w:pPr>
              <w:pStyle w:val="164"/>
              <w:rPr>
                <w:color w:val="auto"/>
              </w:rPr>
            </w:pPr>
            <w:r>
              <w:rPr>
                <w:color w:val="auto"/>
              </w:rPr>
              <w:t>位于厂区北侧，1层4间，占地面积312.7m</w:t>
            </w:r>
            <w:r>
              <w:rPr>
                <w:color w:val="auto"/>
                <w:vertAlign w:val="superscript"/>
              </w:rPr>
              <w:t>2</w:t>
            </w:r>
            <w:r>
              <w:rPr>
                <w:color w:val="auto"/>
              </w:rPr>
              <w:t>，从西到东依次为1间设备维修间、2间车库、车库东侧1间改造为污水处理间，采用A²O+MBR+消毒工艺，处理规模为10m³/d。</w:t>
            </w:r>
          </w:p>
        </w:tc>
        <w:tc>
          <w:tcPr>
            <w:tcW w:w="1003" w:type="dxa"/>
            <w:vAlign w:val="center"/>
          </w:tcPr>
          <w:p>
            <w:pPr>
              <w:pStyle w:val="164"/>
              <w:ind w:left="-105" w:leftChars="-50" w:right="-105" w:rightChars="-50"/>
              <w:rPr>
                <w:color w:val="auto"/>
              </w:rPr>
            </w:pPr>
            <w:r>
              <w:rPr>
                <w:color w:val="auto"/>
              </w:rPr>
              <w:t>污水处理间新增污水处理设施一套，已建成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2号车库</w:t>
            </w:r>
          </w:p>
        </w:tc>
        <w:tc>
          <w:tcPr>
            <w:tcW w:w="4524" w:type="dxa"/>
            <w:vAlign w:val="center"/>
          </w:tcPr>
          <w:p>
            <w:pPr>
              <w:pStyle w:val="164"/>
              <w:rPr>
                <w:color w:val="auto"/>
              </w:rPr>
            </w:pPr>
            <w:r>
              <w:rPr>
                <w:color w:val="auto"/>
              </w:rPr>
              <w:t>位于厂区西侧，占地面积280m</w:t>
            </w:r>
            <w:r>
              <w:rPr>
                <w:color w:val="auto"/>
                <w:vertAlign w:val="superscript"/>
              </w:rPr>
              <w:t>2</w:t>
            </w:r>
            <w:r>
              <w:rPr>
                <w:color w:val="auto"/>
              </w:rPr>
              <w:t>，用于运输车辆停放</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运输车辆</w:t>
            </w:r>
          </w:p>
        </w:tc>
        <w:tc>
          <w:tcPr>
            <w:tcW w:w="4524" w:type="dxa"/>
            <w:vAlign w:val="center"/>
          </w:tcPr>
          <w:p>
            <w:pPr>
              <w:pStyle w:val="164"/>
              <w:rPr>
                <w:color w:val="auto"/>
              </w:rPr>
            </w:pPr>
            <w:r>
              <w:rPr>
                <w:color w:val="auto"/>
              </w:rPr>
              <w:t>现有5辆1.5t运输车辆（国三标准，</w:t>
            </w:r>
            <w:r>
              <w:rPr>
                <w:rFonts w:hint="eastAsia"/>
                <w:color w:val="auto"/>
              </w:rPr>
              <w:t>备用</w:t>
            </w:r>
            <w:r>
              <w:rPr>
                <w:color w:val="auto"/>
              </w:rPr>
              <w:t>），新增7辆3t医疗废物转运车，1辆垃圾转运车。</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医疗废物灭菌小车</w:t>
            </w:r>
          </w:p>
        </w:tc>
        <w:tc>
          <w:tcPr>
            <w:tcW w:w="4524" w:type="dxa"/>
            <w:vAlign w:val="center"/>
          </w:tcPr>
          <w:p>
            <w:pPr>
              <w:pStyle w:val="164"/>
              <w:rPr>
                <w:color w:val="auto"/>
              </w:rPr>
            </w:pPr>
            <w:r>
              <w:rPr>
                <w:color w:val="auto"/>
              </w:rPr>
              <w:t>新增12辆医疗废物灭菌小车，承重400kg。</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83"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灭菌车输送系统</w:t>
            </w:r>
          </w:p>
        </w:tc>
        <w:tc>
          <w:tcPr>
            <w:tcW w:w="4524" w:type="dxa"/>
            <w:vAlign w:val="center"/>
          </w:tcPr>
          <w:p>
            <w:pPr>
              <w:pStyle w:val="164"/>
              <w:rPr>
                <w:color w:val="auto"/>
              </w:rPr>
            </w:pPr>
            <w:r>
              <w:rPr>
                <w:color w:val="auto"/>
              </w:rPr>
              <w:t>地轨输送系统采用全不锈钢结构，灭菌车在轨道上实现直线行走和转向。</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2"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医疗废物周转箱</w:t>
            </w:r>
          </w:p>
        </w:tc>
        <w:tc>
          <w:tcPr>
            <w:tcW w:w="4524" w:type="dxa"/>
            <w:vAlign w:val="center"/>
          </w:tcPr>
          <w:p>
            <w:pPr>
              <w:pStyle w:val="164"/>
              <w:rPr>
                <w:color w:val="auto"/>
              </w:rPr>
            </w:pPr>
            <w:r>
              <w:rPr>
                <w:color w:val="auto"/>
              </w:rPr>
              <w:t>现有工程700个，本次新增300个，共1000个。</w:t>
            </w:r>
          </w:p>
        </w:tc>
        <w:tc>
          <w:tcPr>
            <w:tcW w:w="1003" w:type="dxa"/>
            <w:vAlign w:val="center"/>
          </w:tcPr>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restart"/>
            <w:vAlign w:val="center"/>
          </w:tcPr>
          <w:p>
            <w:pPr>
              <w:pStyle w:val="164"/>
              <w:rPr>
                <w:color w:val="auto"/>
              </w:rPr>
            </w:pPr>
            <w:r>
              <w:rPr>
                <w:color w:val="auto"/>
              </w:rPr>
              <w:t>公用</w:t>
            </w:r>
          </w:p>
          <w:p>
            <w:pPr>
              <w:pStyle w:val="164"/>
              <w:rPr>
                <w:color w:val="auto"/>
              </w:rPr>
            </w:pPr>
            <w:r>
              <w:rPr>
                <w:color w:val="auto"/>
              </w:rPr>
              <w:t>工程</w:t>
            </w:r>
          </w:p>
        </w:tc>
        <w:tc>
          <w:tcPr>
            <w:tcW w:w="2469" w:type="dxa"/>
            <w:gridSpan w:val="2"/>
            <w:vAlign w:val="center"/>
          </w:tcPr>
          <w:p>
            <w:pPr>
              <w:pStyle w:val="164"/>
              <w:rPr>
                <w:color w:val="auto"/>
              </w:rPr>
            </w:pPr>
            <w:r>
              <w:rPr>
                <w:color w:val="auto"/>
              </w:rPr>
              <w:t>供电</w:t>
            </w:r>
          </w:p>
        </w:tc>
        <w:tc>
          <w:tcPr>
            <w:tcW w:w="4524" w:type="dxa"/>
            <w:vAlign w:val="center"/>
          </w:tcPr>
          <w:p>
            <w:pPr>
              <w:pStyle w:val="164"/>
              <w:rPr>
                <w:color w:val="auto"/>
              </w:rPr>
            </w:pPr>
            <w:r>
              <w:rPr>
                <w:color w:val="auto"/>
              </w:rPr>
              <w:t>由市政供电管网提供</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供水</w:t>
            </w:r>
          </w:p>
        </w:tc>
        <w:tc>
          <w:tcPr>
            <w:tcW w:w="4524" w:type="dxa"/>
            <w:vAlign w:val="center"/>
          </w:tcPr>
          <w:p>
            <w:pPr>
              <w:pStyle w:val="164"/>
              <w:rPr>
                <w:color w:val="auto"/>
              </w:rPr>
            </w:pPr>
            <w:r>
              <w:rPr>
                <w:color w:val="auto"/>
              </w:rPr>
              <w:t>由市政供水管网提供</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22" w:hRule="atLeast"/>
          <w:jc w:val="center"/>
        </w:trPr>
        <w:tc>
          <w:tcPr>
            <w:tcW w:w="724" w:type="dxa"/>
            <w:vMerge w:val="continue"/>
            <w:vAlign w:val="center"/>
          </w:tcPr>
          <w:p>
            <w:pPr>
              <w:pStyle w:val="164"/>
              <w:rPr>
                <w:color w:val="auto"/>
              </w:rPr>
            </w:pPr>
          </w:p>
        </w:tc>
        <w:tc>
          <w:tcPr>
            <w:tcW w:w="2469" w:type="dxa"/>
            <w:gridSpan w:val="2"/>
            <w:vMerge w:val="restart"/>
            <w:vAlign w:val="center"/>
          </w:tcPr>
          <w:p>
            <w:pPr>
              <w:pStyle w:val="164"/>
              <w:rPr>
                <w:color w:val="auto"/>
              </w:rPr>
            </w:pPr>
            <w:r>
              <w:rPr>
                <w:color w:val="auto"/>
              </w:rPr>
              <w:t>排水</w:t>
            </w:r>
          </w:p>
        </w:tc>
        <w:tc>
          <w:tcPr>
            <w:tcW w:w="4524" w:type="dxa"/>
            <w:vAlign w:val="center"/>
          </w:tcPr>
          <w:p>
            <w:pPr>
              <w:pStyle w:val="164"/>
              <w:rPr>
                <w:color w:val="auto"/>
              </w:rPr>
            </w:pPr>
            <w:r>
              <w:rPr>
                <w:color w:val="auto"/>
              </w:rPr>
              <w:t>生活污水依托现有化粪池（10m</w:t>
            </w:r>
            <w:r>
              <w:rPr>
                <w:color w:val="auto"/>
                <w:vertAlign w:val="superscript"/>
              </w:rPr>
              <w:t>3</w:t>
            </w:r>
            <w:r>
              <w:rPr>
                <w:color w:val="auto"/>
              </w:rPr>
              <w:t>）处理，化粪池满后用吸污车运送至中卫市生活垃圾填埋场的渗滤液调蓄池进一步处理。</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Merge w:val="continue"/>
            <w:vAlign w:val="center"/>
          </w:tcPr>
          <w:p>
            <w:pPr>
              <w:pStyle w:val="164"/>
              <w:rPr>
                <w:color w:val="auto"/>
              </w:rPr>
            </w:pPr>
          </w:p>
        </w:tc>
        <w:tc>
          <w:tcPr>
            <w:tcW w:w="4524" w:type="dxa"/>
            <w:vAlign w:val="center"/>
          </w:tcPr>
          <w:p>
            <w:pPr>
              <w:pStyle w:val="164"/>
              <w:rPr>
                <w:color w:val="auto"/>
              </w:rPr>
            </w:pPr>
            <w:r>
              <w:rPr>
                <w:color w:val="auto"/>
              </w:rPr>
              <w:t>生产废水经新建污水处理站（A²O+MBR+消毒工艺，处理规模10m</w:t>
            </w:r>
            <w:r>
              <w:rPr>
                <w:color w:val="auto"/>
                <w:vertAlign w:val="superscript"/>
              </w:rPr>
              <w:t>3</w:t>
            </w:r>
            <w:r>
              <w:rPr>
                <w:color w:val="auto"/>
              </w:rPr>
              <w:t>/d）处理，处理达标后作为厂区东侧中卫市垃圾填埋场道路抑尘用水，不外排。</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83"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供暖</w:t>
            </w:r>
          </w:p>
        </w:tc>
        <w:tc>
          <w:tcPr>
            <w:tcW w:w="4524" w:type="dxa"/>
            <w:vAlign w:val="center"/>
          </w:tcPr>
          <w:p>
            <w:pPr>
              <w:pStyle w:val="164"/>
              <w:rPr>
                <w:color w:val="auto"/>
              </w:rPr>
            </w:pPr>
            <w:r>
              <w:rPr>
                <w:color w:val="auto"/>
              </w:rPr>
              <w:t>厂区冬季生活供暖由3台新建80KW电热水锅炉提供，进出水温度80/65</w:t>
            </w:r>
            <w:r>
              <w:rPr>
                <w:color w:val="auto"/>
                <w:lang w:eastAsia="ja-JP"/>
              </w:rPr>
              <w:t>℃</w:t>
            </w:r>
            <w:r>
              <w:rPr>
                <w:color w:val="auto"/>
              </w:rPr>
              <w:t>。</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38"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供蒸汽</w:t>
            </w:r>
          </w:p>
        </w:tc>
        <w:tc>
          <w:tcPr>
            <w:tcW w:w="4524" w:type="dxa"/>
            <w:vAlign w:val="center"/>
          </w:tcPr>
          <w:p>
            <w:pPr>
              <w:pStyle w:val="164"/>
              <w:rPr>
                <w:color w:val="auto"/>
              </w:rPr>
            </w:pPr>
            <w:r>
              <w:rPr>
                <w:color w:val="auto"/>
              </w:rPr>
              <w:t>新建5台103kg/h电蒸汽发生器为生产工序提供蒸汽</w:t>
            </w:r>
          </w:p>
        </w:tc>
        <w:tc>
          <w:tcPr>
            <w:tcW w:w="1003" w:type="dxa"/>
            <w:vAlign w:val="center"/>
          </w:tcPr>
          <w:p>
            <w:pPr>
              <w:pStyle w:val="164"/>
              <w:ind w:left="-105" w:leftChars="-50" w:right="-105" w:rightChars="-50"/>
              <w:rPr>
                <w:color w:val="auto"/>
              </w:rPr>
            </w:pPr>
            <w:r>
              <w:rPr>
                <w:rFonts w:hint="eastAsia"/>
                <w:color w:val="auto"/>
              </w:rPr>
              <w:t>已建成3台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制冷</w:t>
            </w:r>
          </w:p>
        </w:tc>
        <w:tc>
          <w:tcPr>
            <w:tcW w:w="4524" w:type="dxa"/>
            <w:vAlign w:val="center"/>
          </w:tcPr>
          <w:p>
            <w:pPr>
              <w:pStyle w:val="164"/>
              <w:rPr>
                <w:color w:val="auto"/>
              </w:rPr>
            </w:pPr>
            <w:r>
              <w:rPr>
                <w:color w:val="auto"/>
              </w:rPr>
              <w:t>采用R134a作为制冷剂</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419" w:hRule="atLeast"/>
          <w:jc w:val="center"/>
        </w:trPr>
        <w:tc>
          <w:tcPr>
            <w:tcW w:w="724" w:type="dxa"/>
            <w:vMerge w:val="restart"/>
            <w:vAlign w:val="center"/>
          </w:tcPr>
          <w:p>
            <w:pPr>
              <w:pStyle w:val="164"/>
              <w:rPr>
                <w:color w:val="auto"/>
              </w:rPr>
            </w:pPr>
            <w:r>
              <w:rPr>
                <w:color w:val="auto"/>
              </w:rPr>
              <w:t>环保</w:t>
            </w:r>
          </w:p>
          <w:p>
            <w:pPr>
              <w:pStyle w:val="164"/>
              <w:rPr>
                <w:color w:val="auto"/>
              </w:rPr>
            </w:pPr>
            <w:r>
              <w:rPr>
                <w:color w:val="auto"/>
              </w:rPr>
              <w:t>工程</w:t>
            </w:r>
          </w:p>
        </w:tc>
        <w:tc>
          <w:tcPr>
            <w:tcW w:w="2469" w:type="dxa"/>
            <w:gridSpan w:val="2"/>
            <w:vMerge w:val="restart"/>
            <w:vAlign w:val="center"/>
          </w:tcPr>
          <w:p>
            <w:pPr>
              <w:pStyle w:val="164"/>
              <w:rPr>
                <w:color w:val="auto"/>
              </w:rPr>
            </w:pPr>
            <w:r>
              <w:rPr>
                <w:color w:val="auto"/>
              </w:rPr>
              <w:t>废气治理措施</w:t>
            </w:r>
          </w:p>
        </w:tc>
        <w:tc>
          <w:tcPr>
            <w:tcW w:w="4524" w:type="dxa"/>
            <w:tcBorders>
              <w:bottom w:val="single" w:color="auto" w:sz="4" w:space="0"/>
            </w:tcBorders>
            <w:vAlign w:val="center"/>
          </w:tcPr>
          <w:p>
            <w:pPr>
              <w:pStyle w:val="164"/>
              <w:rPr>
                <w:color w:val="auto"/>
              </w:rPr>
            </w:pPr>
            <w:r>
              <w:rPr>
                <w:rFonts w:hint="eastAsia"/>
                <w:color w:val="auto"/>
              </w:rPr>
              <w:t>2套高温蒸汽灭菌系统废气先通过各自设备自带的生物过滤+活性炭吸附进行预处理后，同时在2台灭菌器上方及2台破碎机上方各设置2个集气罩收集废气后经过“碱洗喷淋+等离子+活性炭”工艺处理，然后通过15m高排气筒排放</w:t>
            </w:r>
            <w:r>
              <w:rPr>
                <w:color w:val="auto"/>
              </w:rPr>
              <w:t>。</w:t>
            </w:r>
          </w:p>
        </w:tc>
        <w:tc>
          <w:tcPr>
            <w:tcW w:w="1003" w:type="dxa"/>
            <w:tcBorders>
              <w:bottom w:val="single" w:color="auto" w:sz="4" w:space="0"/>
            </w:tcBorders>
            <w:vAlign w:val="center"/>
          </w:tcPr>
          <w:p>
            <w:pPr>
              <w:pStyle w:val="164"/>
              <w:ind w:left="-105" w:leftChars="-50" w:right="-105" w:rightChars="-50"/>
              <w:rPr>
                <w:color w:val="auto"/>
              </w:rPr>
            </w:pPr>
            <w:r>
              <w:rPr>
                <w:color w:val="auto"/>
              </w:rPr>
              <w:t>改造，</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783" w:hRule="atLeast"/>
          <w:jc w:val="center"/>
        </w:trPr>
        <w:tc>
          <w:tcPr>
            <w:tcW w:w="724" w:type="dxa"/>
            <w:vMerge w:val="continue"/>
            <w:vAlign w:val="center"/>
          </w:tcPr>
          <w:p>
            <w:pPr>
              <w:pStyle w:val="164"/>
              <w:rPr>
                <w:color w:val="auto"/>
              </w:rPr>
            </w:pPr>
          </w:p>
        </w:tc>
        <w:tc>
          <w:tcPr>
            <w:tcW w:w="2469" w:type="dxa"/>
            <w:gridSpan w:val="2"/>
            <w:vMerge w:val="continue"/>
            <w:vAlign w:val="center"/>
          </w:tcPr>
          <w:p>
            <w:pPr>
              <w:pStyle w:val="164"/>
              <w:rPr>
                <w:color w:val="auto"/>
              </w:rPr>
            </w:pPr>
          </w:p>
        </w:tc>
        <w:tc>
          <w:tcPr>
            <w:tcW w:w="4524" w:type="dxa"/>
            <w:tcBorders>
              <w:top w:val="single" w:color="auto" w:sz="4" w:space="0"/>
            </w:tcBorders>
            <w:vAlign w:val="center"/>
          </w:tcPr>
          <w:p>
            <w:pPr>
              <w:pStyle w:val="164"/>
              <w:rPr>
                <w:color w:val="auto"/>
              </w:rPr>
            </w:pPr>
            <w:r>
              <w:rPr>
                <w:color w:val="auto"/>
              </w:rPr>
              <w:t>医疗废物暂存冷库设置微负压及通风装置，排风口产生的废气经换气设施收集后引至“碱喷淋+等离子+活性炭”进行处理，处理后通过15m高排气筒排放</w:t>
            </w:r>
          </w:p>
        </w:tc>
        <w:tc>
          <w:tcPr>
            <w:tcW w:w="1003" w:type="dxa"/>
            <w:tcBorders>
              <w:top w:val="single" w:color="auto" w:sz="4" w:space="0"/>
            </w:tcBorders>
            <w:vAlign w:val="center"/>
          </w:tcPr>
          <w:p>
            <w:pPr>
              <w:pStyle w:val="164"/>
              <w:ind w:left="-105" w:leftChars="-50" w:right="-105" w:rightChars="-50"/>
              <w:rPr>
                <w:color w:val="auto"/>
              </w:rPr>
            </w:pPr>
            <w:r>
              <w:rPr>
                <w:color w:val="auto"/>
              </w:rPr>
              <w:t>未建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Merge w:val="restart"/>
            <w:vAlign w:val="center"/>
          </w:tcPr>
          <w:p>
            <w:pPr>
              <w:pStyle w:val="164"/>
              <w:rPr>
                <w:color w:val="auto"/>
              </w:rPr>
            </w:pPr>
            <w:r>
              <w:rPr>
                <w:color w:val="auto"/>
              </w:rPr>
              <w:t>废水治理措施</w:t>
            </w:r>
          </w:p>
        </w:tc>
        <w:tc>
          <w:tcPr>
            <w:tcW w:w="4524" w:type="dxa"/>
            <w:vAlign w:val="center"/>
          </w:tcPr>
          <w:p>
            <w:pPr>
              <w:pStyle w:val="164"/>
              <w:rPr>
                <w:color w:val="auto"/>
              </w:rPr>
            </w:pPr>
            <w:r>
              <w:rPr>
                <w:color w:val="auto"/>
              </w:rPr>
              <w:t>生产废水经新建污水处理站（A²O+MBR+消毒工艺），处理规模10m</w:t>
            </w:r>
            <w:r>
              <w:rPr>
                <w:color w:val="auto"/>
                <w:vertAlign w:val="superscript"/>
              </w:rPr>
              <w:t>3</w:t>
            </w:r>
            <w:r>
              <w:rPr>
                <w:color w:val="auto"/>
              </w:rPr>
              <w:t>/d，处理后作为</w:t>
            </w:r>
            <w:r>
              <w:rPr>
                <w:color w:val="auto"/>
                <w:lang w:bidi="en-GB"/>
              </w:rPr>
              <w:t>中卫市垃圾填埋场道路抑尘用水</w:t>
            </w:r>
            <w:r>
              <w:rPr>
                <w:color w:val="auto"/>
              </w:rPr>
              <w:t>，不外排</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Merge w:val="continue"/>
            <w:vAlign w:val="center"/>
          </w:tcPr>
          <w:p>
            <w:pPr>
              <w:pStyle w:val="164"/>
              <w:rPr>
                <w:color w:val="auto"/>
              </w:rPr>
            </w:pPr>
          </w:p>
        </w:tc>
        <w:tc>
          <w:tcPr>
            <w:tcW w:w="4524" w:type="dxa"/>
            <w:vAlign w:val="center"/>
          </w:tcPr>
          <w:p>
            <w:pPr>
              <w:pStyle w:val="164"/>
              <w:rPr>
                <w:color w:val="auto"/>
              </w:rPr>
            </w:pPr>
            <w:r>
              <w:rPr>
                <w:color w:val="auto"/>
              </w:rPr>
              <w:t>生活污水依托现有化粪池处理，化粪池满后用吸污车运送至中卫市生活垃圾填埋场的渗滤液调蓄池</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Merge w:val="continue"/>
            <w:vAlign w:val="center"/>
          </w:tcPr>
          <w:p>
            <w:pPr>
              <w:pStyle w:val="164"/>
              <w:rPr>
                <w:color w:val="auto"/>
              </w:rPr>
            </w:pPr>
          </w:p>
        </w:tc>
        <w:tc>
          <w:tcPr>
            <w:tcW w:w="4524" w:type="dxa"/>
            <w:vAlign w:val="center"/>
          </w:tcPr>
          <w:p>
            <w:pPr>
              <w:pStyle w:val="164"/>
              <w:rPr>
                <w:color w:val="auto"/>
              </w:rPr>
            </w:pPr>
            <w:r>
              <w:rPr>
                <w:color w:val="auto"/>
              </w:rPr>
              <w:t>初期雨水收集池一座50m</w:t>
            </w:r>
            <w:r>
              <w:rPr>
                <w:color w:val="auto"/>
                <w:vertAlign w:val="superscript"/>
              </w:rPr>
              <w:t>3</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Merge w:val="continue"/>
            <w:vAlign w:val="center"/>
          </w:tcPr>
          <w:p>
            <w:pPr>
              <w:pStyle w:val="164"/>
              <w:rPr>
                <w:color w:val="auto"/>
              </w:rPr>
            </w:pPr>
          </w:p>
        </w:tc>
        <w:tc>
          <w:tcPr>
            <w:tcW w:w="4524" w:type="dxa"/>
            <w:vAlign w:val="center"/>
          </w:tcPr>
          <w:p>
            <w:pPr>
              <w:pStyle w:val="164"/>
              <w:rPr>
                <w:color w:val="auto"/>
              </w:rPr>
            </w:pPr>
            <w:r>
              <w:rPr>
                <w:color w:val="auto"/>
              </w:rPr>
              <w:t>事故水池一座30m</w:t>
            </w:r>
            <w:r>
              <w:rPr>
                <w:color w:val="auto"/>
                <w:vertAlign w:val="superscript"/>
              </w:rPr>
              <w:t>3</w:t>
            </w:r>
          </w:p>
        </w:tc>
        <w:tc>
          <w:tcPr>
            <w:tcW w:w="1003" w:type="dxa"/>
            <w:vAlign w:val="center"/>
          </w:tcPr>
          <w:p>
            <w:pPr>
              <w:pStyle w:val="164"/>
              <w:ind w:left="-105" w:leftChars="-50" w:right="-105" w:rightChars="-50"/>
              <w:rPr>
                <w:color w:val="auto"/>
              </w:rPr>
            </w:pPr>
            <w:r>
              <w:rPr>
                <w:rFonts w:hint="eastAsia"/>
                <w:color w:val="auto"/>
              </w:rPr>
              <w:t>已建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噪声治理措施</w:t>
            </w:r>
          </w:p>
        </w:tc>
        <w:tc>
          <w:tcPr>
            <w:tcW w:w="4524" w:type="dxa"/>
            <w:vAlign w:val="center"/>
          </w:tcPr>
          <w:p>
            <w:pPr>
              <w:pStyle w:val="164"/>
              <w:rPr>
                <w:color w:val="auto"/>
              </w:rPr>
            </w:pPr>
            <w:r>
              <w:rPr>
                <w:color w:val="auto"/>
              </w:rPr>
              <w:t>隔声、消声、减振措施，加强车辆疏导管理</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固废治理措施</w:t>
            </w:r>
          </w:p>
        </w:tc>
        <w:tc>
          <w:tcPr>
            <w:tcW w:w="4524" w:type="dxa"/>
            <w:vAlign w:val="center"/>
          </w:tcPr>
          <w:p>
            <w:pPr>
              <w:pStyle w:val="164"/>
              <w:rPr>
                <w:color w:val="auto"/>
              </w:rPr>
            </w:pPr>
            <w:r>
              <w:rPr>
                <w:color w:val="auto"/>
              </w:rPr>
              <w:t>设置医疗废物暂存间冷库（54m</w:t>
            </w:r>
            <w:r>
              <w:rPr>
                <w:color w:val="auto"/>
                <w:vertAlign w:val="superscript"/>
              </w:rPr>
              <w:t>2</w:t>
            </w:r>
            <w:r>
              <w:rPr>
                <w:color w:val="auto"/>
              </w:rPr>
              <w:t>）一座用于存放医疗废物及生产过程中产生的危险废物，医疗废物和生产过程中产生的危险废物分区存放，危险废物暂存间位于冷库东北角约3平方。</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Merge w:val="restart"/>
            <w:vAlign w:val="center"/>
          </w:tcPr>
          <w:p>
            <w:pPr>
              <w:pStyle w:val="164"/>
              <w:rPr>
                <w:color w:val="auto"/>
              </w:rPr>
            </w:pPr>
            <w:r>
              <w:rPr>
                <w:color w:val="auto"/>
              </w:rPr>
              <w:t>地下水防治措施</w:t>
            </w:r>
          </w:p>
        </w:tc>
        <w:tc>
          <w:tcPr>
            <w:tcW w:w="4524" w:type="dxa"/>
            <w:vAlign w:val="center"/>
          </w:tcPr>
          <w:p>
            <w:pPr>
              <w:pStyle w:val="164"/>
              <w:rPr>
                <w:color w:val="auto"/>
              </w:rPr>
            </w:pPr>
            <w:r>
              <w:rPr>
                <w:color w:val="auto"/>
              </w:rPr>
              <w:t>高温蒸煮厂房、医疗废物卸料区、冷库、车辆冲洗间、初期雨水收集池进行重点防渗； 1号车库、雨水收集沟进行一般防渗，配电间、控制室、锅炉房、设备间、更衣室、生产区道路、锅炉房进行简单防渗。</w:t>
            </w:r>
          </w:p>
        </w:tc>
        <w:tc>
          <w:tcPr>
            <w:tcW w:w="1003" w:type="dxa"/>
            <w:vAlign w:val="center"/>
          </w:tcPr>
          <w:p>
            <w:pPr>
              <w:pStyle w:val="164"/>
              <w:ind w:left="-105" w:leftChars="-50" w:right="-105" w:rightChars="-50"/>
              <w:rPr>
                <w:color w:val="auto"/>
              </w:rPr>
            </w:pPr>
            <w:r>
              <w:rPr>
                <w:color w:val="auto"/>
              </w:rPr>
              <w:t>依托现有工程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Merge w:val="continue"/>
            <w:vAlign w:val="center"/>
          </w:tcPr>
          <w:p>
            <w:pPr>
              <w:pStyle w:val="164"/>
              <w:rPr>
                <w:color w:val="auto"/>
              </w:rPr>
            </w:pPr>
          </w:p>
        </w:tc>
        <w:tc>
          <w:tcPr>
            <w:tcW w:w="4524" w:type="dxa"/>
            <w:vAlign w:val="center"/>
          </w:tcPr>
          <w:p>
            <w:pPr>
              <w:pStyle w:val="164"/>
              <w:rPr>
                <w:color w:val="auto"/>
              </w:rPr>
            </w:pPr>
            <w:r>
              <w:rPr>
                <w:color w:val="auto"/>
              </w:rPr>
              <w:t>污水处理间、污水收集管网、事故水池进行重点防渗；2号车库进行一般防渗</w:t>
            </w:r>
          </w:p>
        </w:tc>
        <w:tc>
          <w:tcPr>
            <w:tcW w:w="1003" w:type="dxa"/>
            <w:vAlign w:val="center"/>
          </w:tcPr>
          <w:p>
            <w:pPr>
              <w:pStyle w:val="164"/>
              <w:ind w:left="-105" w:leftChars="-50" w:right="-105" w:rightChars="-50"/>
              <w:rPr>
                <w:color w:val="auto"/>
              </w:rPr>
            </w:pPr>
            <w:r>
              <w:rPr>
                <w:color w:val="auto"/>
              </w:rPr>
              <w:t>新建，</w:t>
            </w:r>
          </w:p>
          <w:p>
            <w:pPr>
              <w:pStyle w:val="164"/>
              <w:ind w:left="-105" w:leftChars="-50" w:right="-105" w:rightChars="-50"/>
              <w:rPr>
                <w:color w:val="auto"/>
              </w:rPr>
            </w:pPr>
            <w:r>
              <w:rPr>
                <w:color w:val="auto"/>
              </w:rPr>
              <w:t>已建成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724" w:type="dxa"/>
            <w:vMerge w:val="continue"/>
            <w:vAlign w:val="center"/>
          </w:tcPr>
          <w:p>
            <w:pPr>
              <w:pStyle w:val="164"/>
              <w:rPr>
                <w:color w:val="auto"/>
              </w:rPr>
            </w:pPr>
          </w:p>
        </w:tc>
        <w:tc>
          <w:tcPr>
            <w:tcW w:w="2469" w:type="dxa"/>
            <w:gridSpan w:val="2"/>
            <w:vAlign w:val="center"/>
          </w:tcPr>
          <w:p>
            <w:pPr>
              <w:pStyle w:val="164"/>
              <w:rPr>
                <w:color w:val="auto"/>
              </w:rPr>
            </w:pPr>
            <w:r>
              <w:rPr>
                <w:color w:val="auto"/>
              </w:rPr>
              <w:t>绿化</w:t>
            </w:r>
          </w:p>
        </w:tc>
        <w:tc>
          <w:tcPr>
            <w:tcW w:w="4524" w:type="dxa"/>
            <w:vAlign w:val="center"/>
          </w:tcPr>
          <w:p>
            <w:pPr>
              <w:pStyle w:val="164"/>
              <w:rPr>
                <w:color w:val="auto"/>
              </w:rPr>
            </w:pPr>
            <w:r>
              <w:rPr>
                <w:color w:val="auto"/>
              </w:rPr>
              <w:t>绿化面积1000m</w:t>
            </w:r>
            <w:r>
              <w:rPr>
                <w:color w:val="auto"/>
                <w:vertAlign w:val="superscript"/>
              </w:rPr>
              <w:t>2</w:t>
            </w:r>
          </w:p>
        </w:tc>
        <w:tc>
          <w:tcPr>
            <w:tcW w:w="1003" w:type="dxa"/>
            <w:vAlign w:val="center"/>
          </w:tcPr>
          <w:p>
            <w:pPr>
              <w:pStyle w:val="164"/>
              <w:ind w:left="-105" w:leftChars="-50" w:right="-105" w:rightChars="-50"/>
              <w:rPr>
                <w:color w:val="auto"/>
              </w:rPr>
            </w:pPr>
            <w:r>
              <w:rPr>
                <w:color w:val="auto"/>
              </w:rPr>
              <w:t>依托现有工程</w:t>
            </w:r>
          </w:p>
        </w:tc>
      </w:tr>
    </w:tbl>
    <w:p>
      <w:pPr>
        <w:pStyle w:val="5"/>
        <w:numPr>
          <w:ilvl w:val="2"/>
          <w:numId w:val="0"/>
        </w:numPr>
        <w:spacing w:before="120" w:beforeLines="50"/>
        <w:ind w:left="-720" w:leftChars="-343" w:firstLine="723" w:firstLineChars="300"/>
        <w:rPr>
          <w:color w:val="auto"/>
        </w:rPr>
      </w:pPr>
      <w:bookmarkStart w:id="207" w:name="_Toc109398593"/>
      <w:bookmarkStart w:id="208" w:name="_Toc58849420"/>
      <w:r>
        <w:rPr>
          <w:color w:val="auto"/>
        </w:rPr>
        <w:t>4.1.3公用工程依托可行性分析</w:t>
      </w:r>
      <w:bookmarkEnd w:id="207"/>
      <w:bookmarkEnd w:id="208"/>
    </w:p>
    <w:p>
      <w:pPr>
        <w:pStyle w:val="130"/>
        <w:ind w:firstLine="480"/>
        <w:rPr>
          <w:color w:val="auto"/>
        </w:rPr>
      </w:pPr>
      <w:r>
        <w:rPr>
          <w:color w:val="auto"/>
        </w:rPr>
        <w:t>公用工程依托可行性分析见表4.1-2。</w:t>
      </w:r>
    </w:p>
    <w:p>
      <w:pPr>
        <w:pStyle w:val="114"/>
        <w:adjustRightInd w:val="0"/>
        <w:snapToGrid w:val="0"/>
        <w:spacing w:before="0" w:beforeLines="0"/>
        <w:rPr>
          <w:color w:val="auto"/>
        </w:rPr>
      </w:pPr>
      <w:r>
        <w:rPr>
          <w:color w:val="auto"/>
        </w:rPr>
        <w:t>表4.1-2  依托工程可行性一览表</w:t>
      </w:r>
    </w:p>
    <w:tbl>
      <w:tblPr>
        <w:tblStyle w:val="74"/>
        <w:tblW w:w="872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51"/>
        <w:gridCol w:w="2042"/>
        <w:gridCol w:w="55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jc w:val="center"/>
        </w:trPr>
        <w:tc>
          <w:tcPr>
            <w:tcW w:w="1151" w:type="dxa"/>
            <w:vAlign w:val="center"/>
          </w:tcPr>
          <w:p>
            <w:pPr>
              <w:pStyle w:val="164"/>
              <w:rPr>
                <w:color w:val="auto"/>
              </w:rPr>
            </w:pPr>
            <w:r>
              <w:rPr>
                <w:color w:val="auto"/>
              </w:rPr>
              <w:t>依托设施</w:t>
            </w:r>
          </w:p>
        </w:tc>
        <w:tc>
          <w:tcPr>
            <w:tcW w:w="2042" w:type="dxa"/>
            <w:vAlign w:val="center"/>
          </w:tcPr>
          <w:p>
            <w:pPr>
              <w:pStyle w:val="164"/>
              <w:rPr>
                <w:color w:val="auto"/>
              </w:rPr>
            </w:pPr>
            <w:r>
              <w:rPr>
                <w:color w:val="auto"/>
              </w:rPr>
              <w:t>建设内容</w:t>
            </w:r>
          </w:p>
        </w:tc>
        <w:tc>
          <w:tcPr>
            <w:tcW w:w="5527" w:type="dxa"/>
            <w:vAlign w:val="center"/>
          </w:tcPr>
          <w:p>
            <w:pPr>
              <w:pStyle w:val="164"/>
              <w:rPr>
                <w:color w:val="auto"/>
              </w:rPr>
            </w:pPr>
            <w:r>
              <w:rPr>
                <w:color w:val="auto"/>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51" w:type="dxa"/>
            <w:vAlign w:val="center"/>
          </w:tcPr>
          <w:p>
            <w:pPr>
              <w:pStyle w:val="164"/>
              <w:rPr>
                <w:color w:val="auto"/>
              </w:rPr>
            </w:pPr>
            <w:r>
              <w:rPr>
                <w:color w:val="auto"/>
              </w:rPr>
              <w:t>卸料区</w:t>
            </w:r>
          </w:p>
        </w:tc>
        <w:tc>
          <w:tcPr>
            <w:tcW w:w="2042" w:type="dxa"/>
            <w:vAlign w:val="center"/>
          </w:tcPr>
          <w:p>
            <w:pPr>
              <w:pStyle w:val="164"/>
              <w:rPr>
                <w:color w:val="auto"/>
              </w:rPr>
            </w:pPr>
            <w:r>
              <w:rPr>
                <w:color w:val="auto"/>
              </w:rPr>
              <w:t>建筑面积144.9m</w:t>
            </w:r>
            <w:r>
              <w:rPr>
                <w:color w:val="auto"/>
                <w:vertAlign w:val="superscript"/>
              </w:rPr>
              <w:t>2</w:t>
            </w:r>
          </w:p>
        </w:tc>
        <w:tc>
          <w:tcPr>
            <w:tcW w:w="5527" w:type="dxa"/>
            <w:vAlign w:val="center"/>
          </w:tcPr>
          <w:p>
            <w:pPr>
              <w:pStyle w:val="164"/>
              <w:rPr>
                <w:color w:val="auto"/>
              </w:rPr>
            </w:pPr>
            <w:r>
              <w:rPr>
                <w:color w:val="auto"/>
              </w:rPr>
              <w:t>本项目</w:t>
            </w:r>
            <w:r>
              <w:rPr>
                <w:rFonts w:hint="eastAsia"/>
                <w:color w:val="auto"/>
              </w:rPr>
              <w:t>建成后全厂</w:t>
            </w:r>
            <w:r>
              <w:rPr>
                <w:color w:val="auto"/>
              </w:rPr>
              <w:t>处理能力</w:t>
            </w:r>
            <w:r>
              <w:rPr>
                <w:rFonts w:hint="eastAsia"/>
                <w:color w:val="auto"/>
              </w:rPr>
              <w:t>增加到最大8</w:t>
            </w:r>
            <w:r>
              <w:rPr>
                <w:color w:val="auto"/>
              </w:rPr>
              <w:t>t/d，通过</w:t>
            </w:r>
            <w:r>
              <w:rPr>
                <w:rFonts w:hint="eastAsia"/>
                <w:color w:val="auto"/>
              </w:rPr>
              <w:t>合理安排卸料顺序</w:t>
            </w:r>
            <w:r>
              <w:rPr>
                <w:color w:val="auto"/>
              </w:rPr>
              <w:t>增加卸料次数可满足处理需求，依托可行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94" w:hRule="atLeast"/>
          <w:jc w:val="center"/>
        </w:trPr>
        <w:tc>
          <w:tcPr>
            <w:tcW w:w="1151" w:type="dxa"/>
            <w:vAlign w:val="center"/>
          </w:tcPr>
          <w:p>
            <w:pPr>
              <w:pStyle w:val="164"/>
              <w:rPr>
                <w:color w:val="auto"/>
              </w:rPr>
            </w:pPr>
            <w:r>
              <w:rPr>
                <w:color w:val="auto"/>
              </w:rPr>
              <w:t>医废冷藏车间</w:t>
            </w:r>
          </w:p>
        </w:tc>
        <w:tc>
          <w:tcPr>
            <w:tcW w:w="2042" w:type="dxa"/>
            <w:vAlign w:val="center"/>
          </w:tcPr>
          <w:p>
            <w:pPr>
              <w:pStyle w:val="164"/>
              <w:rPr>
                <w:color w:val="auto"/>
              </w:rPr>
            </w:pPr>
            <w:r>
              <w:rPr>
                <w:color w:val="auto"/>
              </w:rPr>
              <w:t>医废冷藏车间建筑面积54m</w:t>
            </w:r>
            <w:r>
              <w:rPr>
                <w:color w:val="auto"/>
                <w:vertAlign w:val="superscript"/>
              </w:rPr>
              <w:t>2</w:t>
            </w:r>
          </w:p>
        </w:tc>
        <w:tc>
          <w:tcPr>
            <w:tcW w:w="5527" w:type="dxa"/>
            <w:vAlign w:val="center"/>
          </w:tcPr>
          <w:p>
            <w:pPr>
              <w:pStyle w:val="164"/>
              <w:rPr>
                <w:color w:val="auto"/>
              </w:rPr>
            </w:pPr>
            <w:r>
              <w:rPr>
                <w:color w:val="auto"/>
              </w:rPr>
              <w:t>根据医疗废物存储的相关要求，医疗废物在暂存冷藏间贮存温度≥5℃时，贮存不得超过24小时；医疗废物在暂存冷藏间贮存温度＜5℃时，冷藏不得超过72小时，现有工程项目医废冷藏车间设计贮存温度＜5℃</w:t>
            </w:r>
            <w:r>
              <w:rPr>
                <w:rFonts w:hint="eastAsia"/>
                <w:color w:val="auto"/>
              </w:rPr>
              <w:t>，</w:t>
            </w:r>
            <w:r>
              <w:rPr>
                <w:color w:val="auto"/>
              </w:rPr>
              <w:t>24小时最大可储存为10t</w:t>
            </w:r>
            <w:r>
              <w:rPr>
                <w:rFonts w:hint="eastAsia"/>
                <w:color w:val="auto"/>
              </w:rPr>
              <w:t>，</w:t>
            </w:r>
            <w:r>
              <w:rPr>
                <w:color w:val="auto"/>
              </w:rPr>
              <w:t>且现有工程3t/d高温蒸汽灭菌系统</w:t>
            </w:r>
            <w:r>
              <w:rPr>
                <w:rFonts w:hint="eastAsia"/>
                <w:color w:val="auto"/>
              </w:rPr>
              <w:t>本次评价保留</w:t>
            </w:r>
            <w:r>
              <w:rPr>
                <w:color w:val="auto"/>
              </w:rPr>
              <w:t>，</w:t>
            </w:r>
            <w:r>
              <w:rPr>
                <w:rFonts w:hint="eastAsia"/>
                <w:color w:val="auto"/>
              </w:rPr>
              <w:t>疫情期间最大设计量8t/d可当天处理完，</w:t>
            </w:r>
            <w:r>
              <w:rPr>
                <w:color w:val="auto"/>
              </w:rPr>
              <w:t>满足本项目医疗废物暂存要求，依托可行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51" w:type="dxa"/>
            <w:vAlign w:val="center"/>
          </w:tcPr>
          <w:p>
            <w:pPr>
              <w:pStyle w:val="164"/>
              <w:rPr>
                <w:color w:val="auto"/>
              </w:rPr>
            </w:pPr>
            <w:r>
              <w:rPr>
                <w:color w:val="auto"/>
              </w:rPr>
              <w:t>更衣室、卫生间</w:t>
            </w:r>
          </w:p>
        </w:tc>
        <w:tc>
          <w:tcPr>
            <w:tcW w:w="2042" w:type="dxa"/>
            <w:vAlign w:val="center"/>
          </w:tcPr>
          <w:p>
            <w:pPr>
              <w:pStyle w:val="164"/>
              <w:rPr>
                <w:color w:val="auto"/>
              </w:rPr>
            </w:pPr>
            <w:r>
              <w:rPr>
                <w:color w:val="auto"/>
              </w:rPr>
              <w:t>建筑面积41.4m</w:t>
            </w:r>
            <w:r>
              <w:rPr>
                <w:color w:val="auto"/>
                <w:vertAlign w:val="superscript"/>
              </w:rPr>
              <w:t>2</w:t>
            </w:r>
          </w:p>
        </w:tc>
        <w:tc>
          <w:tcPr>
            <w:tcW w:w="5527" w:type="dxa"/>
            <w:vAlign w:val="center"/>
          </w:tcPr>
          <w:p>
            <w:pPr>
              <w:pStyle w:val="164"/>
              <w:rPr>
                <w:color w:val="auto"/>
              </w:rPr>
            </w:pPr>
            <w:r>
              <w:rPr>
                <w:color w:val="auto"/>
              </w:rPr>
              <w:t>不新增劳动定员，现有工程更衣室及卫生间可以需求，依托可行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51" w:type="dxa"/>
            <w:vAlign w:val="center"/>
          </w:tcPr>
          <w:p>
            <w:pPr>
              <w:pStyle w:val="164"/>
              <w:rPr>
                <w:color w:val="auto"/>
              </w:rPr>
            </w:pPr>
            <w:r>
              <w:rPr>
                <w:color w:val="auto"/>
              </w:rPr>
              <w:t>附属设施</w:t>
            </w:r>
          </w:p>
        </w:tc>
        <w:tc>
          <w:tcPr>
            <w:tcW w:w="2042" w:type="dxa"/>
            <w:vAlign w:val="center"/>
          </w:tcPr>
          <w:p>
            <w:pPr>
              <w:pStyle w:val="164"/>
              <w:rPr>
                <w:color w:val="auto"/>
              </w:rPr>
            </w:pPr>
            <w:r>
              <w:rPr>
                <w:color w:val="auto"/>
              </w:rPr>
              <w:t>包括冷却设备间、配电室、控制室、空桶存放间、车辆冲洗间等</w:t>
            </w:r>
          </w:p>
        </w:tc>
        <w:tc>
          <w:tcPr>
            <w:tcW w:w="5527" w:type="dxa"/>
            <w:vAlign w:val="center"/>
          </w:tcPr>
          <w:p>
            <w:pPr>
              <w:pStyle w:val="164"/>
              <w:rPr>
                <w:color w:val="auto"/>
              </w:rPr>
            </w:pPr>
            <w:r>
              <w:rPr>
                <w:rFonts w:hint="eastAsia"/>
                <w:color w:val="auto"/>
              </w:rPr>
              <w:t>本项目建成后全厂</w:t>
            </w:r>
            <w:r>
              <w:rPr>
                <w:color w:val="auto"/>
              </w:rPr>
              <w:t>处理能力</w:t>
            </w:r>
            <w:r>
              <w:rPr>
                <w:rFonts w:hint="eastAsia"/>
                <w:color w:val="auto"/>
              </w:rPr>
              <w:t>增加到最大</w:t>
            </w:r>
            <w:r>
              <w:rPr>
                <w:color w:val="auto"/>
              </w:rPr>
              <w:t>8t/d，现有附属设施满足需求，依托可行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51" w:type="dxa"/>
            <w:vAlign w:val="center"/>
          </w:tcPr>
          <w:p>
            <w:pPr>
              <w:pStyle w:val="164"/>
              <w:rPr>
                <w:color w:val="auto"/>
              </w:rPr>
            </w:pPr>
            <w:r>
              <w:rPr>
                <w:color w:val="auto"/>
              </w:rPr>
              <w:t>化粪池</w:t>
            </w:r>
          </w:p>
        </w:tc>
        <w:tc>
          <w:tcPr>
            <w:tcW w:w="2042" w:type="dxa"/>
            <w:vAlign w:val="center"/>
          </w:tcPr>
          <w:p>
            <w:pPr>
              <w:pStyle w:val="164"/>
              <w:rPr>
                <w:color w:val="auto"/>
              </w:rPr>
            </w:pPr>
            <w:r>
              <w:rPr>
                <w:color w:val="auto"/>
              </w:rPr>
              <w:t>化粪池一座10m</w:t>
            </w:r>
            <w:r>
              <w:rPr>
                <w:color w:val="auto"/>
                <w:vertAlign w:val="superscript"/>
              </w:rPr>
              <w:t>3</w:t>
            </w:r>
          </w:p>
        </w:tc>
        <w:tc>
          <w:tcPr>
            <w:tcW w:w="5527" w:type="dxa"/>
            <w:vAlign w:val="center"/>
          </w:tcPr>
          <w:p>
            <w:pPr>
              <w:pStyle w:val="164"/>
              <w:rPr>
                <w:color w:val="auto"/>
              </w:rPr>
            </w:pPr>
            <w:r>
              <w:rPr>
                <w:color w:val="auto"/>
              </w:rPr>
              <w:t>现有工程项目生产废水及生活污水均经过化粪池处理后由吸污车送至中卫市生活垃圾填埋场污水处理站调节池内，本项目不新增劳动定员，生活污水产生量不发生改变，依托可行；</w:t>
            </w:r>
            <w:r>
              <w:rPr>
                <w:rFonts w:hint="eastAsia"/>
                <w:color w:val="auto"/>
              </w:rPr>
              <w:t>全厂</w:t>
            </w:r>
            <w:r>
              <w:rPr>
                <w:color w:val="auto"/>
              </w:rPr>
              <w:t>生产废水经新建污水处理站处理后作为厂区东侧</w:t>
            </w:r>
            <w:r>
              <w:rPr>
                <w:color w:val="auto"/>
                <w:lang w:bidi="en-GB"/>
              </w:rPr>
              <w:t>中卫市垃圾填埋场道路抑尘用水</w:t>
            </w:r>
            <w:r>
              <w:rPr>
                <w:color w:val="auto"/>
              </w:rPr>
              <w:t>，不外排。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51" w:type="dxa"/>
            <w:vAlign w:val="center"/>
          </w:tcPr>
          <w:p>
            <w:pPr>
              <w:pStyle w:val="164"/>
              <w:rPr>
                <w:color w:val="auto"/>
              </w:rPr>
            </w:pPr>
            <w:r>
              <w:rPr>
                <w:color w:val="auto"/>
              </w:rPr>
              <w:t>初期雨水收集池</w:t>
            </w:r>
          </w:p>
        </w:tc>
        <w:tc>
          <w:tcPr>
            <w:tcW w:w="2042" w:type="dxa"/>
            <w:vAlign w:val="center"/>
          </w:tcPr>
          <w:p>
            <w:pPr>
              <w:pStyle w:val="164"/>
              <w:rPr>
                <w:color w:val="auto"/>
              </w:rPr>
            </w:pPr>
            <w:r>
              <w:rPr>
                <w:color w:val="auto"/>
              </w:rPr>
              <w:t>初期雨水收集池一座50m</w:t>
            </w:r>
            <w:r>
              <w:rPr>
                <w:color w:val="auto"/>
                <w:vertAlign w:val="superscript"/>
              </w:rPr>
              <w:t>3</w:t>
            </w:r>
          </w:p>
        </w:tc>
        <w:tc>
          <w:tcPr>
            <w:tcW w:w="5527" w:type="dxa"/>
            <w:vAlign w:val="center"/>
          </w:tcPr>
          <w:p>
            <w:pPr>
              <w:pStyle w:val="164"/>
              <w:rPr>
                <w:color w:val="auto"/>
              </w:rPr>
            </w:pPr>
            <w:r>
              <w:rPr>
                <w:color w:val="auto"/>
              </w:rPr>
              <w:t>新增车库位于厂区西南侧，利用厂区现有工程闲置用地进行建设，不新增用地，初期雨水的产生量不发生变化，现有工程项目初期雨水收集池满足本项目初期雨水的收集要求，依托可行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151" w:type="dxa"/>
            <w:vAlign w:val="center"/>
          </w:tcPr>
          <w:p>
            <w:pPr>
              <w:pStyle w:val="164"/>
              <w:rPr>
                <w:color w:val="auto"/>
              </w:rPr>
            </w:pPr>
            <w:r>
              <w:rPr>
                <w:color w:val="auto"/>
              </w:rPr>
              <w:t>绿化</w:t>
            </w:r>
          </w:p>
        </w:tc>
        <w:tc>
          <w:tcPr>
            <w:tcW w:w="2042" w:type="dxa"/>
            <w:vAlign w:val="center"/>
          </w:tcPr>
          <w:p>
            <w:pPr>
              <w:pStyle w:val="164"/>
              <w:rPr>
                <w:color w:val="auto"/>
              </w:rPr>
            </w:pPr>
            <w:r>
              <w:rPr>
                <w:color w:val="auto"/>
              </w:rPr>
              <w:t>绿化面积1000m</w:t>
            </w:r>
            <w:r>
              <w:rPr>
                <w:color w:val="auto"/>
                <w:vertAlign w:val="superscript"/>
              </w:rPr>
              <w:t>2</w:t>
            </w:r>
          </w:p>
        </w:tc>
        <w:tc>
          <w:tcPr>
            <w:tcW w:w="5527" w:type="dxa"/>
            <w:vAlign w:val="center"/>
          </w:tcPr>
          <w:p>
            <w:pPr>
              <w:pStyle w:val="164"/>
              <w:rPr>
                <w:color w:val="auto"/>
              </w:rPr>
            </w:pPr>
            <w:r>
              <w:rPr>
                <w:color w:val="auto"/>
              </w:rPr>
              <w:t>绿化面积不发生变化</w:t>
            </w:r>
          </w:p>
        </w:tc>
      </w:tr>
    </w:tbl>
    <w:p>
      <w:pPr>
        <w:pStyle w:val="5"/>
        <w:numPr>
          <w:ilvl w:val="2"/>
          <w:numId w:val="0"/>
        </w:numPr>
        <w:spacing w:before="120" w:beforeLines="50"/>
        <w:ind w:left="-720" w:leftChars="-343" w:firstLine="723" w:firstLineChars="300"/>
        <w:rPr>
          <w:color w:val="auto"/>
        </w:rPr>
      </w:pPr>
      <w:bookmarkStart w:id="209" w:name="_Toc109398594"/>
      <w:bookmarkStart w:id="210" w:name="_Toc58849421"/>
      <w:r>
        <w:rPr>
          <w:color w:val="auto"/>
        </w:rPr>
        <w:t>4.1.4设备清单</w:t>
      </w:r>
      <w:bookmarkEnd w:id="209"/>
      <w:bookmarkEnd w:id="210"/>
    </w:p>
    <w:p>
      <w:pPr>
        <w:spacing w:line="360" w:lineRule="auto"/>
        <w:ind w:firstLine="480" w:firstLineChars="200"/>
        <w:rPr>
          <w:rFonts w:eastAsiaTheme="minorEastAsia"/>
          <w:color w:val="auto"/>
          <w:sz w:val="24"/>
          <w:szCs w:val="24"/>
        </w:rPr>
      </w:pPr>
      <w:r>
        <w:rPr>
          <w:rFonts w:eastAsiaTheme="minorEastAsia"/>
          <w:color w:val="auto"/>
          <w:sz w:val="24"/>
          <w:szCs w:val="24"/>
        </w:rPr>
        <w:t>本项目</w:t>
      </w:r>
      <w:r>
        <w:rPr>
          <w:rFonts w:hint="eastAsia" w:eastAsiaTheme="minorEastAsia"/>
          <w:color w:val="auto"/>
          <w:sz w:val="24"/>
          <w:szCs w:val="24"/>
        </w:rPr>
        <w:t>建成后全厂设备</w:t>
      </w:r>
      <w:r>
        <w:rPr>
          <w:rFonts w:eastAsiaTheme="minorEastAsia"/>
          <w:color w:val="auto"/>
          <w:sz w:val="24"/>
          <w:szCs w:val="24"/>
        </w:rPr>
        <w:t>一览表见表4.1-3。</w:t>
      </w:r>
    </w:p>
    <w:p>
      <w:pPr>
        <w:pStyle w:val="114"/>
        <w:spacing w:before="0" w:beforeLines="0"/>
        <w:rPr>
          <w:color w:val="auto"/>
        </w:rPr>
      </w:pPr>
      <w:r>
        <w:rPr>
          <w:color w:val="auto"/>
        </w:rPr>
        <w:t>表4.1-3  本项目</w:t>
      </w:r>
      <w:r>
        <w:rPr>
          <w:rFonts w:hint="eastAsia"/>
          <w:color w:val="auto"/>
        </w:rPr>
        <w:t>建成后全厂设备</w:t>
      </w:r>
      <w:r>
        <w:rPr>
          <w:color w:val="auto"/>
        </w:rPr>
        <w:t>一览表</w:t>
      </w:r>
    </w:p>
    <w:tbl>
      <w:tblPr>
        <w:tblStyle w:val="512"/>
        <w:tblW w:w="8474"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970"/>
        <w:gridCol w:w="900"/>
        <w:gridCol w:w="2644"/>
        <w:gridCol w:w="1984"/>
        <w:gridCol w:w="97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8" w:hRule="atLeast"/>
          <w:tblHeader/>
          <w:jc w:val="center"/>
        </w:trPr>
        <w:tc>
          <w:tcPr>
            <w:tcW w:w="1970" w:type="dxa"/>
            <w:vAlign w:val="center"/>
          </w:tcPr>
          <w:p>
            <w:pPr>
              <w:pStyle w:val="164"/>
              <w:rPr>
                <w:rFonts w:ascii="Times New Roman" w:hAnsi="Times New Roman"/>
                <w:color w:val="auto"/>
              </w:rPr>
            </w:pPr>
            <w:r>
              <w:rPr>
                <w:rFonts w:ascii="Times New Roman" w:hAnsi="Times New Roman"/>
                <w:color w:val="auto"/>
              </w:rPr>
              <w:t>设备名称</w:t>
            </w:r>
          </w:p>
        </w:tc>
        <w:tc>
          <w:tcPr>
            <w:tcW w:w="3544" w:type="dxa"/>
            <w:gridSpan w:val="2"/>
            <w:vAlign w:val="center"/>
          </w:tcPr>
          <w:p>
            <w:pPr>
              <w:pStyle w:val="164"/>
              <w:rPr>
                <w:rFonts w:ascii="Times New Roman" w:hAnsi="Times New Roman"/>
                <w:color w:val="auto"/>
              </w:rPr>
            </w:pPr>
            <w:r>
              <w:rPr>
                <w:rFonts w:ascii="Times New Roman" w:hAnsi="Times New Roman"/>
                <w:color w:val="auto"/>
              </w:rPr>
              <w:t>新增</w:t>
            </w:r>
          </w:p>
        </w:tc>
        <w:tc>
          <w:tcPr>
            <w:tcW w:w="1984" w:type="dxa"/>
            <w:vAlign w:val="center"/>
          </w:tcPr>
          <w:p>
            <w:pPr>
              <w:pStyle w:val="164"/>
              <w:rPr>
                <w:rFonts w:ascii="Times New Roman" w:hAnsi="Times New Roman"/>
                <w:color w:val="auto"/>
              </w:rPr>
            </w:pPr>
            <w:r>
              <w:rPr>
                <w:rFonts w:ascii="Times New Roman" w:hAnsi="Times New Roman"/>
                <w:color w:val="auto"/>
              </w:rPr>
              <w:t>现有</w:t>
            </w:r>
          </w:p>
        </w:tc>
        <w:tc>
          <w:tcPr>
            <w:tcW w:w="976" w:type="dxa"/>
            <w:vAlign w:val="center"/>
          </w:tcPr>
          <w:p>
            <w:pPr>
              <w:pStyle w:val="164"/>
              <w:rPr>
                <w:rFonts w:ascii="Times New Roman" w:hAnsi="Times New Roman"/>
                <w:color w:val="auto"/>
              </w:rPr>
            </w:pPr>
            <w:r>
              <w:rPr>
                <w:rFonts w:ascii="Times New Roman" w:hAnsi="Times New Roman"/>
                <w:color w:val="auto"/>
              </w:rPr>
              <w:t>合计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医疗废物高温蒸汽灭菌器</w:t>
            </w:r>
          </w:p>
        </w:tc>
        <w:tc>
          <w:tcPr>
            <w:tcW w:w="900" w:type="dxa"/>
            <w:vAlign w:val="center"/>
          </w:tcPr>
          <w:p>
            <w:pPr>
              <w:pStyle w:val="164"/>
              <w:rPr>
                <w:rFonts w:ascii="Times New Roman" w:hAnsi="Times New Roman"/>
                <w:color w:val="auto"/>
              </w:rPr>
            </w:pPr>
            <w:r>
              <w:rPr>
                <w:rFonts w:ascii="Times New Roman" w:hAnsi="Times New Roman"/>
                <w:color w:val="auto"/>
              </w:rPr>
              <w:t>1套</w:t>
            </w:r>
          </w:p>
        </w:tc>
        <w:tc>
          <w:tcPr>
            <w:tcW w:w="2644" w:type="dxa"/>
            <w:vAlign w:val="center"/>
          </w:tcPr>
          <w:p>
            <w:pPr>
              <w:pStyle w:val="164"/>
              <w:rPr>
                <w:rFonts w:ascii="Times New Roman" w:hAnsi="Times New Roman"/>
                <w:color w:val="auto"/>
              </w:rPr>
            </w:pPr>
            <w:r>
              <w:rPr>
                <w:rFonts w:ascii="Times New Roman" w:hAnsi="Times New Roman"/>
                <w:color w:val="auto"/>
              </w:rPr>
              <w:t>处理能力5t/d，7.5KW</w:t>
            </w:r>
          </w:p>
        </w:tc>
        <w:tc>
          <w:tcPr>
            <w:tcW w:w="1984" w:type="dxa"/>
            <w:vAlign w:val="center"/>
          </w:tcPr>
          <w:p>
            <w:pPr>
              <w:pStyle w:val="164"/>
              <w:rPr>
                <w:rFonts w:ascii="Times New Roman" w:hAnsi="Times New Roman"/>
                <w:color w:val="auto"/>
              </w:rPr>
            </w:pPr>
            <w:r>
              <w:rPr>
                <w:rFonts w:ascii="Times New Roman" w:hAnsi="Times New Roman"/>
                <w:color w:val="auto"/>
              </w:rPr>
              <w:t>1套处理能力3t/d</w:t>
            </w:r>
          </w:p>
        </w:tc>
        <w:tc>
          <w:tcPr>
            <w:tcW w:w="976" w:type="dxa"/>
            <w:vAlign w:val="center"/>
          </w:tcPr>
          <w:p>
            <w:pPr>
              <w:pStyle w:val="164"/>
              <w:rPr>
                <w:rFonts w:ascii="Times New Roman" w:hAnsi="Times New Roman"/>
                <w:color w:val="auto"/>
              </w:rPr>
            </w:pPr>
            <w:r>
              <w:rPr>
                <w:rFonts w:ascii="Times New Roman" w:hAnsi="Times New Roman"/>
                <w:color w:val="auto"/>
              </w:rPr>
              <w:t>2套</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医疗废物转运用车</w:t>
            </w:r>
          </w:p>
        </w:tc>
        <w:tc>
          <w:tcPr>
            <w:tcW w:w="900" w:type="dxa"/>
            <w:vAlign w:val="center"/>
          </w:tcPr>
          <w:p>
            <w:pPr>
              <w:pStyle w:val="164"/>
              <w:rPr>
                <w:rFonts w:ascii="Times New Roman" w:hAnsi="Times New Roman"/>
                <w:color w:val="auto"/>
              </w:rPr>
            </w:pPr>
            <w:r>
              <w:rPr>
                <w:rFonts w:ascii="Times New Roman" w:hAnsi="Times New Roman"/>
                <w:color w:val="auto"/>
              </w:rPr>
              <w:t>7辆</w:t>
            </w:r>
          </w:p>
        </w:tc>
        <w:tc>
          <w:tcPr>
            <w:tcW w:w="2644" w:type="dxa"/>
            <w:vAlign w:val="center"/>
          </w:tcPr>
          <w:p>
            <w:pPr>
              <w:pStyle w:val="164"/>
              <w:rPr>
                <w:rFonts w:ascii="Times New Roman" w:hAnsi="Times New Roman"/>
                <w:color w:val="auto"/>
              </w:rPr>
            </w:pPr>
            <w:r>
              <w:rPr>
                <w:rFonts w:ascii="Times New Roman" w:hAnsi="Times New Roman"/>
                <w:color w:val="auto"/>
              </w:rPr>
              <w:t>3t医疗废物转运用车</w:t>
            </w:r>
          </w:p>
        </w:tc>
        <w:tc>
          <w:tcPr>
            <w:tcW w:w="1984" w:type="dxa"/>
            <w:vAlign w:val="center"/>
          </w:tcPr>
          <w:p>
            <w:pPr>
              <w:pStyle w:val="164"/>
              <w:rPr>
                <w:rFonts w:ascii="Times New Roman" w:hAnsi="Times New Roman"/>
                <w:color w:val="auto"/>
              </w:rPr>
            </w:pPr>
            <w:r>
              <w:rPr>
                <w:rFonts w:ascii="Times New Roman" w:hAnsi="Times New Roman"/>
                <w:color w:val="auto"/>
              </w:rPr>
              <w:t>5辆（1.5t，备用）</w:t>
            </w:r>
          </w:p>
        </w:tc>
        <w:tc>
          <w:tcPr>
            <w:tcW w:w="976" w:type="dxa"/>
            <w:vAlign w:val="center"/>
          </w:tcPr>
          <w:p>
            <w:pPr>
              <w:pStyle w:val="164"/>
              <w:rPr>
                <w:rFonts w:ascii="Times New Roman" w:hAnsi="Times New Roman"/>
                <w:color w:val="auto"/>
              </w:rPr>
            </w:pPr>
            <w:r>
              <w:rPr>
                <w:rFonts w:ascii="Times New Roman" w:hAnsi="Times New Roman"/>
                <w:color w:val="auto"/>
              </w:rPr>
              <w:t>12辆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16"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垃圾转运车</w:t>
            </w:r>
          </w:p>
        </w:tc>
        <w:tc>
          <w:tcPr>
            <w:tcW w:w="900" w:type="dxa"/>
            <w:vAlign w:val="center"/>
          </w:tcPr>
          <w:p>
            <w:pPr>
              <w:pStyle w:val="164"/>
              <w:rPr>
                <w:rFonts w:ascii="Times New Roman" w:hAnsi="Times New Roman"/>
                <w:color w:val="auto"/>
              </w:rPr>
            </w:pPr>
            <w:r>
              <w:rPr>
                <w:rFonts w:ascii="Times New Roman" w:hAnsi="Times New Roman"/>
                <w:color w:val="auto"/>
              </w:rPr>
              <w:t>1辆</w:t>
            </w:r>
          </w:p>
        </w:tc>
        <w:tc>
          <w:tcPr>
            <w:tcW w:w="2644" w:type="dxa"/>
            <w:vAlign w:val="center"/>
          </w:tcPr>
          <w:p>
            <w:pPr>
              <w:pStyle w:val="164"/>
              <w:rPr>
                <w:rFonts w:ascii="Times New Roman" w:hAnsi="Times New Roman"/>
                <w:color w:val="auto"/>
              </w:rPr>
            </w:pPr>
            <w:r>
              <w:rPr>
                <w:rFonts w:ascii="Times New Roman" w:hAnsi="Times New Roman"/>
                <w:color w:val="auto"/>
              </w:rPr>
              <w:t>3t垃圾转运车</w:t>
            </w:r>
          </w:p>
        </w:tc>
        <w:tc>
          <w:tcPr>
            <w:tcW w:w="1984" w:type="dxa"/>
            <w:vAlign w:val="center"/>
          </w:tcPr>
          <w:p>
            <w:pPr>
              <w:pStyle w:val="164"/>
              <w:rPr>
                <w:rFonts w:ascii="Times New Roman" w:hAnsi="Times New Roman"/>
                <w:color w:val="auto"/>
              </w:rPr>
            </w:pPr>
            <w:r>
              <w:rPr>
                <w:rFonts w:ascii="Times New Roman" w:hAnsi="Times New Roman"/>
                <w:color w:val="auto"/>
              </w:rPr>
              <w:t>/</w:t>
            </w:r>
          </w:p>
        </w:tc>
        <w:tc>
          <w:tcPr>
            <w:tcW w:w="976" w:type="dxa"/>
            <w:vAlign w:val="center"/>
          </w:tcPr>
          <w:p>
            <w:pPr>
              <w:pStyle w:val="164"/>
              <w:rPr>
                <w:rFonts w:ascii="Times New Roman" w:hAnsi="Times New Roman"/>
                <w:color w:val="auto"/>
              </w:rPr>
            </w:pPr>
            <w:r>
              <w:rPr>
                <w:rFonts w:ascii="Times New Roman" w:hAnsi="Times New Roman"/>
                <w:color w:val="auto"/>
              </w:rPr>
              <w:t>1辆</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12"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医疗废物灭菌小车</w:t>
            </w:r>
          </w:p>
        </w:tc>
        <w:tc>
          <w:tcPr>
            <w:tcW w:w="900" w:type="dxa"/>
            <w:vAlign w:val="center"/>
          </w:tcPr>
          <w:p>
            <w:pPr>
              <w:pStyle w:val="164"/>
              <w:rPr>
                <w:rFonts w:ascii="Times New Roman" w:hAnsi="Times New Roman"/>
                <w:color w:val="auto"/>
              </w:rPr>
            </w:pPr>
            <w:r>
              <w:rPr>
                <w:rFonts w:ascii="Times New Roman" w:hAnsi="Times New Roman"/>
                <w:color w:val="auto"/>
              </w:rPr>
              <w:t>12辆</w:t>
            </w:r>
          </w:p>
        </w:tc>
        <w:tc>
          <w:tcPr>
            <w:tcW w:w="2644" w:type="dxa"/>
            <w:vAlign w:val="center"/>
          </w:tcPr>
          <w:p>
            <w:pPr>
              <w:pStyle w:val="164"/>
              <w:rPr>
                <w:rFonts w:ascii="Times New Roman" w:hAnsi="Times New Roman"/>
                <w:color w:val="auto"/>
              </w:rPr>
            </w:pPr>
            <w:r>
              <w:rPr>
                <w:rFonts w:ascii="Times New Roman" w:hAnsi="Times New Roman"/>
                <w:color w:val="auto"/>
              </w:rPr>
              <w:t>尺寸：660×940×1056mm</w:t>
            </w:r>
          </w:p>
        </w:tc>
        <w:tc>
          <w:tcPr>
            <w:tcW w:w="1984" w:type="dxa"/>
            <w:vAlign w:val="center"/>
          </w:tcPr>
          <w:p>
            <w:pPr>
              <w:pStyle w:val="164"/>
              <w:rPr>
                <w:rFonts w:ascii="Times New Roman" w:hAnsi="Times New Roman"/>
                <w:color w:val="auto"/>
              </w:rPr>
            </w:pPr>
            <w:r>
              <w:rPr>
                <w:rFonts w:ascii="Times New Roman" w:hAnsi="Times New Roman"/>
                <w:color w:val="auto"/>
              </w:rPr>
              <w:t>8辆</w:t>
            </w:r>
          </w:p>
        </w:tc>
        <w:tc>
          <w:tcPr>
            <w:tcW w:w="976" w:type="dxa"/>
            <w:vAlign w:val="center"/>
          </w:tcPr>
          <w:p>
            <w:pPr>
              <w:pStyle w:val="164"/>
              <w:rPr>
                <w:rFonts w:ascii="Times New Roman" w:hAnsi="Times New Roman"/>
                <w:color w:val="auto"/>
              </w:rPr>
            </w:pPr>
            <w:r>
              <w:rPr>
                <w:rFonts w:ascii="Times New Roman" w:hAnsi="Times New Roman"/>
                <w:color w:val="auto"/>
              </w:rPr>
              <w:t>20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灭菌车输送系统</w:t>
            </w:r>
          </w:p>
        </w:tc>
        <w:tc>
          <w:tcPr>
            <w:tcW w:w="900" w:type="dxa"/>
            <w:vAlign w:val="center"/>
          </w:tcPr>
          <w:p>
            <w:pPr>
              <w:pStyle w:val="164"/>
              <w:rPr>
                <w:rFonts w:ascii="Times New Roman" w:hAnsi="Times New Roman"/>
                <w:color w:val="auto"/>
              </w:rPr>
            </w:pPr>
            <w:r>
              <w:rPr>
                <w:rFonts w:ascii="Times New Roman" w:hAnsi="Times New Roman"/>
                <w:color w:val="auto"/>
              </w:rPr>
              <w:t>1套</w:t>
            </w:r>
          </w:p>
        </w:tc>
        <w:tc>
          <w:tcPr>
            <w:tcW w:w="2644" w:type="dxa"/>
            <w:vAlign w:val="center"/>
          </w:tcPr>
          <w:p>
            <w:pPr>
              <w:pStyle w:val="164"/>
              <w:rPr>
                <w:rFonts w:ascii="Times New Roman" w:hAnsi="Times New Roman"/>
                <w:color w:val="auto"/>
              </w:rPr>
            </w:pPr>
            <w:r>
              <w:rPr>
                <w:rFonts w:ascii="Times New Roman" w:hAnsi="Times New Roman"/>
                <w:color w:val="auto"/>
              </w:rPr>
              <w:t>灭菌车在轨道上实现直线行走和转向</w:t>
            </w:r>
          </w:p>
        </w:tc>
        <w:tc>
          <w:tcPr>
            <w:tcW w:w="1984" w:type="dxa"/>
            <w:vAlign w:val="center"/>
          </w:tcPr>
          <w:p>
            <w:pPr>
              <w:pStyle w:val="164"/>
              <w:rPr>
                <w:rFonts w:ascii="Times New Roman" w:hAnsi="Times New Roman"/>
                <w:color w:val="auto"/>
              </w:rPr>
            </w:pPr>
            <w:r>
              <w:rPr>
                <w:rFonts w:ascii="Times New Roman" w:hAnsi="Times New Roman"/>
                <w:color w:val="auto"/>
              </w:rPr>
              <w:t>/</w:t>
            </w:r>
          </w:p>
        </w:tc>
        <w:tc>
          <w:tcPr>
            <w:tcW w:w="976" w:type="dxa"/>
            <w:vAlign w:val="center"/>
          </w:tcPr>
          <w:p>
            <w:pPr>
              <w:pStyle w:val="164"/>
              <w:rPr>
                <w:rFonts w:ascii="Times New Roman" w:hAnsi="Times New Roman"/>
                <w:color w:val="auto"/>
              </w:rPr>
            </w:pPr>
            <w:r>
              <w:rPr>
                <w:rFonts w:ascii="Times New Roman" w:hAnsi="Times New Roman"/>
                <w:color w:val="auto"/>
              </w:rPr>
              <w:t>1套</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破碎系统</w:t>
            </w:r>
          </w:p>
        </w:tc>
        <w:tc>
          <w:tcPr>
            <w:tcW w:w="900" w:type="dxa"/>
            <w:vAlign w:val="center"/>
          </w:tcPr>
          <w:p>
            <w:pPr>
              <w:pStyle w:val="164"/>
              <w:rPr>
                <w:rFonts w:ascii="Times New Roman" w:hAnsi="Times New Roman"/>
                <w:color w:val="auto"/>
              </w:rPr>
            </w:pPr>
            <w:r>
              <w:rPr>
                <w:rFonts w:ascii="Times New Roman" w:hAnsi="Times New Roman"/>
                <w:color w:val="auto"/>
              </w:rPr>
              <w:t>1套</w:t>
            </w:r>
          </w:p>
        </w:tc>
        <w:tc>
          <w:tcPr>
            <w:tcW w:w="2644" w:type="dxa"/>
            <w:vAlign w:val="center"/>
          </w:tcPr>
          <w:p>
            <w:pPr>
              <w:pStyle w:val="164"/>
              <w:rPr>
                <w:rFonts w:ascii="Times New Roman" w:hAnsi="Times New Roman"/>
                <w:color w:val="auto"/>
              </w:rPr>
            </w:pPr>
            <w:r>
              <w:rPr>
                <w:rFonts w:ascii="Times New Roman" w:hAnsi="Times New Roman"/>
                <w:color w:val="auto"/>
              </w:rPr>
              <w:t>包括卸料机、进料斗、破碎机</w:t>
            </w:r>
          </w:p>
        </w:tc>
        <w:tc>
          <w:tcPr>
            <w:tcW w:w="1984" w:type="dxa"/>
            <w:vAlign w:val="center"/>
          </w:tcPr>
          <w:p>
            <w:pPr>
              <w:pStyle w:val="164"/>
              <w:rPr>
                <w:rFonts w:ascii="Times New Roman" w:hAnsi="Times New Roman"/>
                <w:color w:val="auto"/>
              </w:rPr>
            </w:pPr>
            <w:r>
              <w:rPr>
                <w:rFonts w:ascii="Times New Roman" w:hAnsi="Times New Roman"/>
                <w:color w:val="auto"/>
              </w:rPr>
              <w:t>1套</w:t>
            </w:r>
          </w:p>
        </w:tc>
        <w:tc>
          <w:tcPr>
            <w:tcW w:w="976" w:type="dxa"/>
            <w:vAlign w:val="center"/>
          </w:tcPr>
          <w:p>
            <w:pPr>
              <w:pStyle w:val="164"/>
              <w:rPr>
                <w:rFonts w:ascii="Times New Roman" w:hAnsi="Times New Roman"/>
                <w:color w:val="auto"/>
              </w:rPr>
            </w:pPr>
            <w:r>
              <w:rPr>
                <w:rFonts w:ascii="Times New Roman" w:hAnsi="Times New Roman"/>
                <w:color w:val="auto"/>
              </w:rPr>
              <w:t>2套</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冷却水循环泵</w:t>
            </w:r>
          </w:p>
        </w:tc>
        <w:tc>
          <w:tcPr>
            <w:tcW w:w="900" w:type="dxa"/>
            <w:vAlign w:val="center"/>
          </w:tcPr>
          <w:p>
            <w:pPr>
              <w:pStyle w:val="164"/>
              <w:rPr>
                <w:rFonts w:ascii="Times New Roman" w:hAnsi="Times New Roman"/>
                <w:color w:val="auto"/>
              </w:rPr>
            </w:pPr>
            <w:r>
              <w:rPr>
                <w:rFonts w:ascii="Times New Roman" w:hAnsi="Times New Roman"/>
                <w:color w:val="auto"/>
              </w:rPr>
              <w:t>2台</w:t>
            </w:r>
          </w:p>
        </w:tc>
        <w:tc>
          <w:tcPr>
            <w:tcW w:w="2644" w:type="dxa"/>
            <w:vAlign w:val="center"/>
          </w:tcPr>
          <w:p>
            <w:pPr>
              <w:pStyle w:val="164"/>
              <w:rPr>
                <w:rFonts w:ascii="Times New Roman" w:hAnsi="Times New Roman"/>
                <w:color w:val="auto"/>
              </w:rPr>
            </w:pPr>
            <w:r>
              <w:rPr>
                <w:rFonts w:ascii="Times New Roman" w:hAnsi="Times New Roman"/>
                <w:color w:val="auto"/>
              </w:rPr>
              <w:t>1用1备, 型号：IRG50-160A，流量：11.7m</w:t>
            </w:r>
            <w:r>
              <w:rPr>
                <w:rFonts w:ascii="Times New Roman" w:hAnsi="Times New Roman"/>
                <w:color w:val="auto"/>
                <w:vertAlign w:val="superscript"/>
              </w:rPr>
              <w:t>3</w:t>
            </w:r>
            <w:r>
              <w:rPr>
                <w:rFonts w:ascii="Times New Roman" w:hAnsi="Times New Roman"/>
                <w:color w:val="auto"/>
              </w:rPr>
              <w:t>/h</w:t>
            </w:r>
          </w:p>
        </w:tc>
        <w:tc>
          <w:tcPr>
            <w:tcW w:w="1984" w:type="dxa"/>
            <w:vAlign w:val="center"/>
          </w:tcPr>
          <w:p>
            <w:pPr>
              <w:pStyle w:val="164"/>
              <w:rPr>
                <w:rFonts w:ascii="Times New Roman" w:hAnsi="Times New Roman"/>
                <w:color w:val="auto"/>
              </w:rPr>
            </w:pPr>
            <w:r>
              <w:rPr>
                <w:rFonts w:ascii="Times New Roman" w:hAnsi="Times New Roman"/>
                <w:color w:val="auto"/>
              </w:rPr>
              <w:t>2台，1用1备</w:t>
            </w:r>
          </w:p>
        </w:tc>
        <w:tc>
          <w:tcPr>
            <w:tcW w:w="976" w:type="dxa"/>
            <w:vAlign w:val="center"/>
          </w:tcPr>
          <w:p>
            <w:pPr>
              <w:pStyle w:val="164"/>
              <w:rPr>
                <w:rFonts w:ascii="Times New Roman" w:hAnsi="Times New Roman"/>
                <w:color w:val="auto"/>
              </w:rPr>
            </w:pPr>
            <w:r>
              <w:rPr>
                <w:rFonts w:ascii="Times New Roman" w:hAnsi="Times New Roman"/>
                <w:color w:val="auto"/>
              </w:rPr>
              <w:t>4台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2"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凉水塔</w:t>
            </w:r>
          </w:p>
        </w:tc>
        <w:tc>
          <w:tcPr>
            <w:tcW w:w="900" w:type="dxa"/>
            <w:vAlign w:val="center"/>
          </w:tcPr>
          <w:p>
            <w:pPr>
              <w:pStyle w:val="164"/>
              <w:rPr>
                <w:rFonts w:ascii="Times New Roman" w:hAnsi="Times New Roman"/>
                <w:color w:val="auto"/>
              </w:rPr>
            </w:pPr>
            <w:r>
              <w:rPr>
                <w:rFonts w:ascii="Times New Roman" w:hAnsi="Times New Roman"/>
                <w:color w:val="auto"/>
              </w:rPr>
              <w:t>1座</w:t>
            </w:r>
          </w:p>
        </w:tc>
        <w:tc>
          <w:tcPr>
            <w:tcW w:w="2644" w:type="dxa"/>
            <w:vAlign w:val="center"/>
          </w:tcPr>
          <w:p>
            <w:pPr>
              <w:pStyle w:val="164"/>
              <w:rPr>
                <w:rFonts w:ascii="Times New Roman" w:hAnsi="Times New Roman"/>
                <w:color w:val="auto"/>
              </w:rPr>
            </w:pPr>
            <w:r>
              <w:rPr>
                <w:rFonts w:ascii="Times New Roman" w:hAnsi="Times New Roman"/>
                <w:color w:val="auto"/>
              </w:rPr>
              <w:t>DBNL3-20，玻璃钢材质</w:t>
            </w:r>
          </w:p>
        </w:tc>
        <w:tc>
          <w:tcPr>
            <w:tcW w:w="1984" w:type="dxa"/>
            <w:vAlign w:val="center"/>
          </w:tcPr>
          <w:p>
            <w:pPr>
              <w:pStyle w:val="164"/>
              <w:rPr>
                <w:rFonts w:ascii="Times New Roman" w:hAnsi="Times New Roman"/>
                <w:color w:val="auto"/>
              </w:rPr>
            </w:pPr>
            <w:r>
              <w:rPr>
                <w:rFonts w:ascii="Times New Roman" w:hAnsi="Times New Roman"/>
                <w:color w:val="auto"/>
              </w:rPr>
              <w:t>1座</w:t>
            </w:r>
          </w:p>
        </w:tc>
        <w:tc>
          <w:tcPr>
            <w:tcW w:w="976" w:type="dxa"/>
            <w:vAlign w:val="center"/>
          </w:tcPr>
          <w:p>
            <w:pPr>
              <w:pStyle w:val="164"/>
              <w:rPr>
                <w:rFonts w:ascii="Times New Roman" w:hAnsi="Times New Roman"/>
                <w:color w:val="auto"/>
              </w:rPr>
            </w:pPr>
            <w:r>
              <w:rPr>
                <w:rFonts w:ascii="Times New Roman" w:hAnsi="Times New Roman"/>
                <w:color w:val="auto"/>
              </w:rPr>
              <w:t>2座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蒸汽发</w:t>
            </w:r>
            <w:bookmarkStart w:id="211" w:name="OLE_LINK1"/>
            <w:r>
              <w:rPr>
                <w:rFonts w:ascii="Times New Roman" w:hAnsi="Times New Roman"/>
                <w:color w:val="auto"/>
              </w:rPr>
              <w:t>生器</w:t>
            </w:r>
          </w:p>
        </w:tc>
        <w:tc>
          <w:tcPr>
            <w:tcW w:w="900" w:type="dxa"/>
            <w:vAlign w:val="center"/>
          </w:tcPr>
          <w:p>
            <w:pPr>
              <w:pStyle w:val="164"/>
              <w:rPr>
                <w:rFonts w:ascii="Times New Roman" w:hAnsi="Times New Roman"/>
                <w:color w:val="auto"/>
              </w:rPr>
            </w:pPr>
            <w:r>
              <w:rPr>
                <w:rFonts w:ascii="Times New Roman" w:hAnsi="Times New Roman"/>
                <w:color w:val="auto"/>
              </w:rPr>
              <w:t>5台</w:t>
            </w:r>
          </w:p>
        </w:tc>
        <w:tc>
          <w:tcPr>
            <w:tcW w:w="2644" w:type="dxa"/>
            <w:vAlign w:val="center"/>
          </w:tcPr>
          <w:p>
            <w:pPr>
              <w:pStyle w:val="164"/>
              <w:rPr>
                <w:rFonts w:ascii="Times New Roman" w:hAnsi="Times New Roman" w:eastAsia="MS Mincho"/>
                <w:color w:val="auto"/>
                <w:lang w:eastAsia="ja-JP"/>
              </w:rPr>
            </w:pPr>
            <w:r>
              <w:rPr>
                <w:rFonts w:ascii="Times New Roman" w:hAnsi="Times New Roman"/>
                <w:color w:val="auto"/>
              </w:rPr>
              <w:t>额定蒸汽量1</w:t>
            </w:r>
            <w:bookmarkEnd w:id="211"/>
            <w:r>
              <w:rPr>
                <w:rFonts w:ascii="Times New Roman" w:hAnsi="Times New Roman"/>
                <w:color w:val="auto"/>
              </w:rPr>
              <w:t>03kg/h，额定温度：175</w:t>
            </w:r>
            <w:r>
              <w:rPr>
                <w:rFonts w:ascii="Times New Roman" w:hAnsi="Times New Roman"/>
                <w:color w:val="auto"/>
                <w:lang w:eastAsia="ja-JP"/>
              </w:rPr>
              <w:t>℃</w:t>
            </w:r>
          </w:p>
        </w:tc>
        <w:tc>
          <w:tcPr>
            <w:tcW w:w="1984" w:type="dxa"/>
            <w:vAlign w:val="center"/>
          </w:tcPr>
          <w:p>
            <w:pPr>
              <w:pStyle w:val="164"/>
              <w:rPr>
                <w:rFonts w:ascii="Times New Roman" w:hAnsi="Times New Roman"/>
                <w:color w:val="auto"/>
              </w:rPr>
            </w:pPr>
            <w:r>
              <w:rPr>
                <w:rFonts w:ascii="Times New Roman" w:hAnsi="Times New Roman"/>
                <w:color w:val="auto"/>
              </w:rPr>
              <w:t>/</w:t>
            </w:r>
          </w:p>
        </w:tc>
        <w:tc>
          <w:tcPr>
            <w:tcW w:w="976" w:type="dxa"/>
            <w:vAlign w:val="center"/>
          </w:tcPr>
          <w:p>
            <w:pPr>
              <w:pStyle w:val="164"/>
              <w:rPr>
                <w:rFonts w:ascii="Times New Roman" w:hAnsi="Times New Roman"/>
                <w:color w:val="auto"/>
              </w:rPr>
            </w:pPr>
            <w:r>
              <w:rPr>
                <w:rFonts w:ascii="Times New Roman" w:hAnsi="Times New Roman"/>
                <w:color w:val="auto"/>
              </w:rPr>
              <w:t>5台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电热水锅炉</w:t>
            </w:r>
          </w:p>
        </w:tc>
        <w:tc>
          <w:tcPr>
            <w:tcW w:w="900" w:type="dxa"/>
            <w:vAlign w:val="center"/>
          </w:tcPr>
          <w:p>
            <w:pPr>
              <w:pStyle w:val="164"/>
              <w:rPr>
                <w:rFonts w:ascii="Times New Roman" w:hAnsi="Times New Roman"/>
                <w:color w:val="auto"/>
              </w:rPr>
            </w:pPr>
            <w:r>
              <w:rPr>
                <w:rFonts w:ascii="Times New Roman" w:hAnsi="Times New Roman"/>
                <w:color w:val="auto"/>
              </w:rPr>
              <w:t>3台</w:t>
            </w:r>
          </w:p>
        </w:tc>
        <w:tc>
          <w:tcPr>
            <w:tcW w:w="2644" w:type="dxa"/>
            <w:vAlign w:val="center"/>
          </w:tcPr>
          <w:p>
            <w:pPr>
              <w:pStyle w:val="164"/>
              <w:rPr>
                <w:rFonts w:ascii="Times New Roman" w:hAnsi="Times New Roman"/>
                <w:color w:val="auto"/>
              </w:rPr>
            </w:pPr>
            <w:r>
              <w:rPr>
                <w:rFonts w:ascii="Times New Roman" w:hAnsi="Times New Roman"/>
                <w:color w:val="auto"/>
              </w:rPr>
              <w:t>额定电功率：80KW，型号：LDR0.08-0.09-85/60</w:t>
            </w:r>
          </w:p>
        </w:tc>
        <w:tc>
          <w:tcPr>
            <w:tcW w:w="1984" w:type="dxa"/>
            <w:vAlign w:val="center"/>
          </w:tcPr>
          <w:p>
            <w:pPr>
              <w:pStyle w:val="164"/>
              <w:rPr>
                <w:rFonts w:ascii="Times New Roman" w:hAnsi="Times New Roman"/>
                <w:color w:val="auto"/>
              </w:rPr>
            </w:pPr>
            <w:r>
              <w:rPr>
                <w:rFonts w:ascii="Times New Roman" w:hAnsi="Times New Roman"/>
                <w:color w:val="auto"/>
              </w:rPr>
              <w:t>/</w:t>
            </w:r>
          </w:p>
        </w:tc>
        <w:tc>
          <w:tcPr>
            <w:tcW w:w="976" w:type="dxa"/>
            <w:vAlign w:val="center"/>
          </w:tcPr>
          <w:p>
            <w:pPr>
              <w:pStyle w:val="164"/>
              <w:rPr>
                <w:rFonts w:ascii="Times New Roman" w:hAnsi="Times New Roman"/>
                <w:color w:val="auto"/>
              </w:rPr>
            </w:pPr>
            <w:r>
              <w:rPr>
                <w:rFonts w:ascii="Times New Roman" w:hAnsi="Times New Roman"/>
                <w:color w:val="auto"/>
              </w:rPr>
              <w:t>3台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污水处理站</w:t>
            </w:r>
          </w:p>
        </w:tc>
        <w:tc>
          <w:tcPr>
            <w:tcW w:w="900" w:type="dxa"/>
            <w:vAlign w:val="center"/>
          </w:tcPr>
          <w:p>
            <w:pPr>
              <w:pStyle w:val="164"/>
              <w:rPr>
                <w:rFonts w:ascii="Times New Roman" w:hAnsi="Times New Roman"/>
                <w:color w:val="auto"/>
              </w:rPr>
            </w:pPr>
            <w:r>
              <w:rPr>
                <w:rFonts w:ascii="Times New Roman" w:hAnsi="Times New Roman"/>
                <w:color w:val="auto"/>
              </w:rPr>
              <w:t>1套</w:t>
            </w:r>
          </w:p>
        </w:tc>
        <w:tc>
          <w:tcPr>
            <w:tcW w:w="2644" w:type="dxa"/>
            <w:vAlign w:val="center"/>
          </w:tcPr>
          <w:p>
            <w:pPr>
              <w:pStyle w:val="164"/>
              <w:rPr>
                <w:rFonts w:ascii="Times New Roman" w:hAnsi="Times New Roman"/>
                <w:color w:val="auto"/>
              </w:rPr>
            </w:pPr>
            <w:r>
              <w:rPr>
                <w:rFonts w:ascii="Times New Roman" w:hAnsi="Times New Roman"/>
                <w:color w:val="auto"/>
              </w:rPr>
              <w:t>10m</w:t>
            </w:r>
            <w:r>
              <w:rPr>
                <w:rFonts w:ascii="Times New Roman" w:hAnsi="Times New Roman"/>
                <w:color w:val="auto"/>
                <w:vertAlign w:val="superscript"/>
              </w:rPr>
              <w:t>3</w:t>
            </w:r>
            <w:r>
              <w:rPr>
                <w:rFonts w:ascii="Times New Roman" w:hAnsi="Times New Roman"/>
                <w:color w:val="auto"/>
              </w:rPr>
              <w:t>/d，A</w:t>
            </w:r>
            <w:r>
              <w:rPr>
                <w:rFonts w:ascii="Times New Roman" w:hAnsi="Times New Roman"/>
                <w:color w:val="auto"/>
                <w:vertAlign w:val="superscript"/>
              </w:rPr>
              <w:t>2</w:t>
            </w:r>
            <w:r>
              <w:rPr>
                <w:rFonts w:ascii="Times New Roman" w:hAnsi="Times New Roman"/>
                <w:color w:val="auto"/>
              </w:rPr>
              <w:t>O+MBR+消毒工艺</w:t>
            </w:r>
          </w:p>
        </w:tc>
        <w:tc>
          <w:tcPr>
            <w:tcW w:w="1984" w:type="dxa"/>
            <w:vAlign w:val="center"/>
          </w:tcPr>
          <w:p>
            <w:pPr>
              <w:pStyle w:val="164"/>
              <w:rPr>
                <w:rFonts w:ascii="Times New Roman" w:hAnsi="Times New Roman"/>
                <w:color w:val="auto"/>
              </w:rPr>
            </w:pPr>
            <w:r>
              <w:rPr>
                <w:rFonts w:ascii="Times New Roman" w:hAnsi="Times New Roman"/>
                <w:color w:val="auto"/>
              </w:rPr>
              <w:t>/</w:t>
            </w:r>
          </w:p>
        </w:tc>
        <w:tc>
          <w:tcPr>
            <w:tcW w:w="976" w:type="dxa"/>
            <w:vAlign w:val="center"/>
          </w:tcPr>
          <w:p>
            <w:pPr>
              <w:pStyle w:val="164"/>
              <w:rPr>
                <w:rFonts w:ascii="Times New Roman" w:hAnsi="Times New Roman"/>
                <w:color w:val="auto"/>
              </w:rPr>
            </w:pPr>
            <w:r>
              <w:rPr>
                <w:rFonts w:ascii="Times New Roman" w:hAnsi="Times New Roman"/>
                <w:color w:val="auto"/>
              </w:rPr>
              <w:t>1套</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7"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软水机</w:t>
            </w:r>
          </w:p>
        </w:tc>
        <w:tc>
          <w:tcPr>
            <w:tcW w:w="900" w:type="dxa"/>
            <w:vAlign w:val="center"/>
          </w:tcPr>
          <w:p>
            <w:pPr>
              <w:pStyle w:val="164"/>
              <w:rPr>
                <w:rFonts w:ascii="Times New Roman" w:hAnsi="Times New Roman"/>
                <w:color w:val="auto"/>
              </w:rPr>
            </w:pPr>
            <w:r>
              <w:rPr>
                <w:rFonts w:ascii="Times New Roman" w:hAnsi="Times New Roman"/>
                <w:color w:val="auto"/>
              </w:rPr>
              <w:t>1台</w:t>
            </w:r>
          </w:p>
        </w:tc>
        <w:tc>
          <w:tcPr>
            <w:tcW w:w="2644" w:type="dxa"/>
            <w:vAlign w:val="center"/>
          </w:tcPr>
          <w:p>
            <w:pPr>
              <w:pStyle w:val="164"/>
              <w:rPr>
                <w:rFonts w:ascii="Times New Roman" w:hAnsi="Times New Roman"/>
                <w:color w:val="auto"/>
              </w:rPr>
            </w:pPr>
            <w:r>
              <w:rPr>
                <w:rFonts w:ascii="Times New Roman" w:hAnsi="Times New Roman"/>
                <w:color w:val="auto"/>
              </w:rPr>
              <w:t>最大额定流量：1.5</w:t>
            </w:r>
            <w:r>
              <w:rPr>
                <w:rFonts w:hint="eastAsia" w:ascii="Times New Roman" w:hAnsi="Times New Roman"/>
                <w:color w:val="auto"/>
              </w:rPr>
              <w:t>t</w:t>
            </w:r>
            <w:r>
              <w:rPr>
                <w:rFonts w:ascii="Times New Roman" w:hAnsi="Times New Roman"/>
                <w:color w:val="auto"/>
              </w:rPr>
              <w:t>/h</w:t>
            </w:r>
          </w:p>
        </w:tc>
        <w:tc>
          <w:tcPr>
            <w:tcW w:w="1984" w:type="dxa"/>
            <w:vAlign w:val="center"/>
          </w:tcPr>
          <w:p>
            <w:pPr>
              <w:pStyle w:val="164"/>
              <w:rPr>
                <w:rFonts w:ascii="Times New Roman" w:hAnsi="Times New Roman"/>
                <w:color w:val="auto"/>
              </w:rPr>
            </w:pPr>
            <w:r>
              <w:rPr>
                <w:rFonts w:ascii="Times New Roman" w:hAnsi="Times New Roman"/>
                <w:color w:val="auto"/>
              </w:rPr>
              <w:t>1台</w:t>
            </w:r>
          </w:p>
        </w:tc>
        <w:tc>
          <w:tcPr>
            <w:tcW w:w="976" w:type="dxa"/>
            <w:vAlign w:val="center"/>
          </w:tcPr>
          <w:p>
            <w:pPr>
              <w:pStyle w:val="164"/>
              <w:rPr>
                <w:rFonts w:ascii="Times New Roman" w:hAnsi="Times New Roman"/>
                <w:color w:val="auto"/>
              </w:rPr>
            </w:pPr>
            <w:r>
              <w:rPr>
                <w:rFonts w:ascii="Times New Roman" w:hAnsi="Times New Roman"/>
                <w:color w:val="auto"/>
              </w:rPr>
              <w:t>2台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3" w:hRule="atLeast"/>
          <w:jc w:val="center"/>
        </w:trPr>
        <w:tc>
          <w:tcPr>
            <w:tcW w:w="1970" w:type="dxa"/>
            <w:vAlign w:val="center"/>
          </w:tcPr>
          <w:p>
            <w:pPr>
              <w:pStyle w:val="164"/>
              <w:rPr>
                <w:rFonts w:ascii="Times New Roman" w:hAnsi="Times New Roman"/>
                <w:color w:val="auto"/>
              </w:rPr>
            </w:pPr>
            <w:r>
              <w:rPr>
                <w:rFonts w:ascii="Times New Roman" w:hAnsi="Times New Roman"/>
                <w:color w:val="auto"/>
              </w:rPr>
              <w:t>周转箱自动清洗设备</w:t>
            </w:r>
          </w:p>
        </w:tc>
        <w:tc>
          <w:tcPr>
            <w:tcW w:w="900" w:type="dxa"/>
            <w:vAlign w:val="center"/>
          </w:tcPr>
          <w:p>
            <w:pPr>
              <w:pStyle w:val="164"/>
              <w:rPr>
                <w:rFonts w:ascii="Times New Roman" w:hAnsi="Times New Roman"/>
                <w:color w:val="auto"/>
              </w:rPr>
            </w:pPr>
            <w:r>
              <w:rPr>
                <w:rFonts w:ascii="Times New Roman" w:hAnsi="Times New Roman"/>
                <w:color w:val="auto"/>
              </w:rPr>
              <w:t>/</w:t>
            </w:r>
          </w:p>
        </w:tc>
        <w:tc>
          <w:tcPr>
            <w:tcW w:w="2644" w:type="dxa"/>
            <w:vAlign w:val="center"/>
          </w:tcPr>
          <w:p>
            <w:pPr>
              <w:pStyle w:val="164"/>
              <w:rPr>
                <w:rFonts w:ascii="Times New Roman" w:hAnsi="Times New Roman"/>
                <w:color w:val="auto"/>
              </w:rPr>
            </w:pPr>
            <w:r>
              <w:rPr>
                <w:rFonts w:ascii="Times New Roman" w:hAnsi="Times New Roman"/>
                <w:color w:val="auto"/>
              </w:rPr>
              <w:t>/</w:t>
            </w:r>
          </w:p>
        </w:tc>
        <w:tc>
          <w:tcPr>
            <w:tcW w:w="1984" w:type="dxa"/>
            <w:vAlign w:val="center"/>
          </w:tcPr>
          <w:p>
            <w:pPr>
              <w:pStyle w:val="164"/>
              <w:rPr>
                <w:rFonts w:ascii="Times New Roman" w:hAnsi="Times New Roman"/>
                <w:color w:val="auto"/>
              </w:rPr>
            </w:pPr>
            <w:r>
              <w:rPr>
                <w:rFonts w:ascii="Times New Roman" w:hAnsi="Times New Roman"/>
                <w:color w:val="auto"/>
              </w:rPr>
              <w:t>1台</w:t>
            </w:r>
          </w:p>
        </w:tc>
        <w:tc>
          <w:tcPr>
            <w:tcW w:w="976" w:type="dxa"/>
            <w:vAlign w:val="center"/>
          </w:tcPr>
          <w:p>
            <w:pPr>
              <w:pStyle w:val="164"/>
              <w:rPr>
                <w:rFonts w:ascii="Times New Roman" w:hAnsi="Times New Roman"/>
                <w:color w:val="auto"/>
              </w:rPr>
            </w:pPr>
            <w:r>
              <w:rPr>
                <w:rFonts w:ascii="Times New Roman" w:hAnsi="Times New Roman"/>
                <w:color w:val="auto"/>
              </w:rPr>
              <w:t>1台</w:t>
            </w:r>
          </w:p>
        </w:tc>
      </w:tr>
    </w:tbl>
    <w:p>
      <w:pPr>
        <w:pStyle w:val="5"/>
        <w:numPr>
          <w:ilvl w:val="2"/>
          <w:numId w:val="0"/>
        </w:numPr>
        <w:spacing w:before="120" w:beforeLines="50"/>
        <w:ind w:left="-720" w:leftChars="-343" w:firstLine="723" w:firstLineChars="300"/>
        <w:rPr>
          <w:color w:val="auto"/>
        </w:rPr>
      </w:pPr>
      <w:bookmarkStart w:id="212" w:name="_Toc58849422"/>
      <w:bookmarkStart w:id="213" w:name="_Toc109398595"/>
      <w:r>
        <w:rPr>
          <w:color w:val="auto"/>
        </w:rPr>
        <w:t>4.1.5原辅材料消耗情况</w:t>
      </w:r>
      <w:bookmarkEnd w:id="212"/>
      <w:bookmarkEnd w:id="213"/>
    </w:p>
    <w:p>
      <w:pPr>
        <w:spacing w:line="360" w:lineRule="auto"/>
        <w:ind w:firstLine="480" w:firstLineChars="200"/>
        <w:rPr>
          <w:rFonts w:eastAsiaTheme="minorEastAsia"/>
          <w:color w:val="auto"/>
          <w:sz w:val="24"/>
          <w:szCs w:val="24"/>
        </w:rPr>
      </w:pPr>
      <w:r>
        <w:rPr>
          <w:rFonts w:eastAsiaTheme="minorEastAsia"/>
          <w:color w:val="auto"/>
          <w:sz w:val="24"/>
          <w:szCs w:val="24"/>
        </w:rPr>
        <w:t>本项目</w:t>
      </w:r>
      <w:r>
        <w:rPr>
          <w:rFonts w:hint="eastAsia" w:eastAsiaTheme="minorEastAsia"/>
          <w:color w:val="auto"/>
          <w:sz w:val="24"/>
          <w:szCs w:val="24"/>
        </w:rPr>
        <w:t>建成后全厂主要</w:t>
      </w:r>
      <w:r>
        <w:rPr>
          <w:rFonts w:eastAsiaTheme="minorEastAsia"/>
          <w:color w:val="auto"/>
          <w:sz w:val="24"/>
          <w:szCs w:val="24"/>
        </w:rPr>
        <w:t>原辅材料消耗情况见表4.1-4。</w:t>
      </w:r>
    </w:p>
    <w:p>
      <w:pPr>
        <w:pStyle w:val="114"/>
        <w:spacing w:before="0" w:beforeLines="0"/>
        <w:rPr>
          <w:color w:val="auto"/>
        </w:rPr>
      </w:pPr>
      <w:r>
        <w:rPr>
          <w:color w:val="auto"/>
        </w:rPr>
        <w:t>表4.1-4  本项目</w:t>
      </w:r>
      <w:r>
        <w:rPr>
          <w:rFonts w:hint="eastAsia"/>
          <w:color w:val="auto"/>
        </w:rPr>
        <w:t>建成后全厂主要</w:t>
      </w:r>
      <w:r>
        <w:rPr>
          <w:color w:val="auto"/>
        </w:rPr>
        <w:t>原辅材料消耗情况一览表</w:t>
      </w:r>
    </w:p>
    <w:tbl>
      <w:tblPr>
        <w:tblStyle w:val="75"/>
        <w:tblW w:w="8999"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59"/>
        <w:gridCol w:w="1181"/>
        <w:gridCol w:w="1507"/>
        <w:gridCol w:w="2286"/>
        <w:gridCol w:w="1399"/>
        <w:gridCol w:w="18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1" w:hRule="atLeast"/>
          <w:jc w:val="center"/>
        </w:trPr>
        <w:tc>
          <w:tcPr>
            <w:tcW w:w="759" w:type="dxa"/>
            <w:vAlign w:val="center"/>
          </w:tcPr>
          <w:p>
            <w:pPr>
              <w:pStyle w:val="164"/>
              <w:rPr>
                <w:rStyle w:val="573"/>
                <w:b w:val="0"/>
                <w:bCs w:val="0"/>
                <w:i w:val="0"/>
                <w:iCs w:val="0"/>
                <w:color w:val="auto"/>
              </w:rPr>
            </w:pPr>
            <w:r>
              <w:rPr>
                <w:rStyle w:val="573"/>
                <w:b w:val="0"/>
                <w:bCs w:val="0"/>
                <w:i w:val="0"/>
                <w:iCs w:val="0"/>
                <w:color w:val="auto"/>
              </w:rPr>
              <w:t>序号</w:t>
            </w:r>
          </w:p>
        </w:tc>
        <w:tc>
          <w:tcPr>
            <w:tcW w:w="1181" w:type="dxa"/>
            <w:vAlign w:val="center"/>
          </w:tcPr>
          <w:p>
            <w:pPr>
              <w:pStyle w:val="164"/>
              <w:rPr>
                <w:rStyle w:val="573"/>
                <w:b w:val="0"/>
                <w:bCs w:val="0"/>
                <w:i w:val="0"/>
                <w:iCs w:val="0"/>
                <w:color w:val="auto"/>
              </w:rPr>
            </w:pPr>
            <w:r>
              <w:rPr>
                <w:rStyle w:val="573"/>
                <w:b w:val="0"/>
                <w:bCs w:val="0"/>
                <w:i w:val="0"/>
                <w:iCs w:val="0"/>
                <w:color w:val="auto"/>
              </w:rPr>
              <w:t>名称</w:t>
            </w:r>
          </w:p>
        </w:tc>
        <w:tc>
          <w:tcPr>
            <w:tcW w:w="1507" w:type="dxa"/>
            <w:vAlign w:val="center"/>
          </w:tcPr>
          <w:p>
            <w:pPr>
              <w:pStyle w:val="164"/>
              <w:rPr>
                <w:rStyle w:val="573"/>
                <w:b w:val="0"/>
                <w:bCs w:val="0"/>
                <w:i w:val="0"/>
                <w:iCs w:val="0"/>
                <w:color w:val="auto"/>
              </w:rPr>
            </w:pPr>
            <w:r>
              <w:rPr>
                <w:rStyle w:val="573"/>
                <w:b w:val="0"/>
                <w:bCs w:val="0"/>
                <w:i w:val="0"/>
                <w:iCs w:val="0"/>
                <w:color w:val="auto"/>
              </w:rPr>
              <w:t>消耗量</w:t>
            </w:r>
          </w:p>
        </w:tc>
        <w:tc>
          <w:tcPr>
            <w:tcW w:w="2286" w:type="dxa"/>
            <w:vAlign w:val="center"/>
          </w:tcPr>
          <w:p>
            <w:pPr>
              <w:pStyle w:val="164"/>
              <w:rPr>
                <w:rStyle w:val="573"/>
                <w:b w:val="0"/>
                <w:bCs w:val="0"/>
                <w:i w:val="0"/>
                <w:iCs w:val="0"/>
                <w:color w:val="auto"/>
              </w:rPr>
            </w:pPr>
            <w:r>
              <w:rPr>
                <w:rStyle w:val="573"/>
                <w:b w:val="0"/>
                <w:bCs w:val="0"/>
                <w:i w:val="0"/>
                <w:iCs w:val="0"/>
                <w:color w:val="auto"/>
              </w:rPr>
              <w:t>备注</w:t>
            </w:r>
          </w:p>
        </w:tc>
        <w:tc>
          <w:tcPr>
            <w:tcW w:w="1399" w:type="dxa"/>
            <w:vAlign w:val="center"/>
          </w:tcPr>
          <w:p>
            <w:pPr>
              <w:pStyle w:val="164"/>
              <w:rPr>
                <w:rStyle w:val="573"/>
                <w:b w:val="0"/>
                <w:bCs w:val="0"/>
                <w:i w:val="0"/>
                <w:iCs w:val="0"/>
                <w:color w:val="auto"/>
              </w:rPr>
            </w:pPr>
            <w:r>
              <w:rPr>
                <w:rStyle w:val="573"/>
                <w:b w:val="0"/>
                <w:bCs w:val="0"/>
                <w:i w:val="0"/>
                <w:iCs w:val="0"/>
                <w:color w:val="auto"/>
              </w:rPr>
              <w:t>最大储存量</w:t>
            </w:r>
          </w:p>
        </w:tc>
        <w:tc>
          <w:tcPr>
            <w:tcW w:w="1867" w:type="dxa"/>
            <w:vAlign w:val="center"/>
          </w:tcPr>
          <w:p>
            <w:pPr>
              <w:pStyle w:val="164"/>
              <w:rPr>
                <w:rStyle w:val="573"/>
                <w:b w:val="0"/>
                <w:bCs w:val="0"/>
                <w:i w:val="0"/>
                <w:iCs w:val="0"/>
                <w:color w:val="auto"/>
              </w:rPr>
            </w:pPr>
            <w:r>
              <w:rPr>
                <w:rStyle w:val="573"/>
                <w:b w:val="0"/>
                <w:bCs w:val="0"/>
                <w:i w:val="0"/>
                <w:iCs w:val="0"/>
                <w:color w:val="auto"/>
              </w:rPr>
              <w:t>存储及包装方式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8" w:hRule="atLeast"/>
          <w:jc w:val="center"/>
        </w:trPr>
        <w:tc>
          <w:tcPr>
            <w:tcW w:w="759" w:type="dxa"/>
            <w:vAlign w:val="center"/>
          </w:tcPr>
          <w:p>
            <w:pPr>
              <w:pStyle w:val="164"/>
              <w:rPr>
                <w:rStyle w:val="573"/>
                <w:b w:val="0"/>
                <w:bCs w:val="0"/>
                <w:i w:val="0"/>
                <w:iCs w:val="0"/>
                <w:color w:val="auto"/>
              </w:rPr>
            </w:pPr>
            <w:r>
              <w:rPr>
                <w:rStyle w:val="573"/>
                <w:b w:val="0"/>
                <w:bCs w:val="0"/>
                <w:i w:val="0"/>
                <w:iCs w:val="0"/>
                <w:color w:val="auto"/>
              </w:rPr>
              <w:t>1</w:t>
            </w:r>
          </w:p>
        </w:tc>
        <w:tc>
          <w:tcPr>
            <w:tcW w:w="1181" w:type="dxa"/>
            <w:vAlign w:val="center"/>
          </w:tcPr>
          <w:p>
            <w:pPr>
              <w:pStyle w:val="164"/>
              <w:rPr>
                <w:rStyle w:val="573"/>
                <w:b w:val="0"/>
                <w:bCs w:val="0"/>
                <w:i w:val="0"/>
                <w:iCs w:val="0"/>
                <w:color w:val="auto"/>
              </w:rPr>
            </w:pPr>
            <w:r>
              <w:rPr>
                <w:rStyle w:val="573"/>
                <w:b w:val="0"/>
                <w:bCs w:val="0"/>
                <w:i w:val="0"/>
                <w:iCs w:val="0"/>
                <w:color w:val="auto"/>
              </w:rPr>
              <w:t>医疗废物</w:t>
            </w:r>
          </w:p>
        </w:tc>
        <w:tc>
          <w:tcPr>
            <w:tcW w:w="1507" w:type="dxa"/>
            <w:vAlign w:val="center"/>
          </w:tcPr>
          <w:p>
            <w:pPr>
              <w:pStyle w:val="164"/>
              <w:rPr>
                <w:rStyle w:val="573"/>
                <w:b w:val="0"/>
                <w:bCs w:val="0"/>
                <w:i w:val="0"/>
                <w:iCs w:val="0"/>
                <w:color w:val="auto"/>
              </w:rPr>
            </w:pPr>
            <w:r>
              <w:rPr>
                <w:rStyle w:val="573"/>
                <w:b w:val="0"/>
                <w:bCs w:val="0"/>
                <w:i w:val="0"/>
                <w:iCs w:val="0"/>
                <w:color w:val="auto"/>
              </w:rPr>
              <w:t>2640t/a</w:t>
            </w:r>
            <w:r>
              <w:rPr>
                <w:rStyle w:val="573"/>
                <w:rFonts w:hint="eastAsia"/>
                <w:b w:val="0"/>
                <w:bCs w:val="0"/>
                <w:i w:val="0"/>
                <w:iCs w:val="0"/>
                <w:color w:val="auto"/>
              </w:rPr>
              <w:t>（8</w:t>
            </w:r>
            <w:r>
              <w:rPr>
                <w:rStyle w:val="573"/>
                <w:b w:val="0"/>
                <w:bCs w:val="0"/>
                <w:i w:val="0"/>
                <w:iCs w:val="0"/>
                <w:color w:val="auto"/>
              </w:rPr>
              <w:t>t/d</w:t>
            </w:r>
            <w:r>
              <w:rPr>
                <w:rStyle w:val="573"/>
                <w:rFonts w:hint="eastAsia"/>
                <w:b w:val="0"/>
                <w:bCs w:val="0"/>
                <w:i w:val="0"/>
                <w:iCs w:val="0"/>
                <w:color w:val="auto"/>
              </w:rPr>
              <w:t>）</w:t>
            </w:r>
          </w:p>
        </w:tc>
        <w:tc>
          <w:tcPr>
            <w:tcW w:w="2286" w:type="dxa"/>
            <w:vAlign w:val="center"/>
          </w:tcPr>
          <w:p>
            <w:pPr>
              <w:pStyle w:val="164"/>
              <w:rPr>
                <w:rStyle w:val="573"/>
                <w:b w:val="0"/>
                <w:bCs w:val="0"/>
                <w:i w:val="0"/>
                <w:iCs w:val="0"/>
                <w:color w:val="auto"/>
              </w:rPr>
            </w:pPr>
            <w:r>
              <w:rPr>
                <w:rStyle w:val="573"/>
                <w:b w:val="0"/>
                <w:bCs w:val="0"/>
                <w:i w:val="0"/>
                <w:iCs w:val="0"/>
                <w:color w:val="auto"/>
              </w:rPr>
              <w:t>感染性及损伤性医疗废物</w:t>
            </w:r>
          </w:p>
        </w:tc>
        <w:tc>
          <w:tcPr>
            <w:tcW w:w="1399" w:type="dxa"/>
            <w:vAlign w:val="center"/>
          </w:tcPr>
          <w:p>
            <w:pPr>
              <w:pStyle w:val="164"/>
              <w:rPr>
                <w:rStyle w:val="573"/>
                <w:b w:val="0"/>
                <w:bCs w:val="0"/>
                <w:i w:val="0"/>
                <w:iCs w:val="0"/>
                <w:color w:val="auto"/>
              </w:rPr>
            </w:pPr>
            <w:r>
              <w:rPr>
                <w:rStyle w:val="573"/>
                <w:b w:val="0"/>
                <w:bCs w:val="0"/>
                <w:i w:val="0"/>
                <w:iCs w:val="0"/>
                <w:color w:val="auto"/>
              </w:rPr>
              <w:t>10t</w:t>
            </w:r>
          </w:p>
        </w:tc>
        <w:tc>
          <w:tcPr>
            <w:tcW w:w="1867" w:type="dxa"/>
            <w:vAlign w:val="center"/>
          </w:tcPr>
          <w:p>
            <w:pPr>
              <w:pStyle w:val="164"/>
              <w:rPr>
                <w:rStyle w:val="573"/>
                <w:b w:val="0"/>
                <w:bCs w:val="0"/>
                <w:i w:val="0"/>
                <w:iCs w:val="0"/>
                <w:color w:val="auto"/>
              </w:rPr>
            </w:pPr>
            <w:r>
              <w:rPr>
                <w:rStyle w:val="573"/>
                <w:b w:val="0"/>
                <w:bCs w:val="0"/>
                <w:i w:val="0"/>
                <w:iCs w:val="0"/>
                <w:color w:val="auto"/>
              </w:rPr>
              <w:t>周转箱及冷库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1" w:hRule="atLeast"/>
          <w:jc w:val="center"/>
        </w:trPr>
        <w:tc>
          <w:tcPr>
            <w:tcW w:w="759" w:type="dxa"/>
            <w:vAlign w:val="center"/>
          </w:tcPr>
          <w:p>
            <w:pPr>
              <w:pStyle w:val="164"/>
              <w:rPr>
                <w:rStyle w:val="573"/>
                <w:b w:val="0"/>
                <w:bCs w:val="0"/>
                <w:i w:val="0"/>
                <w:iCs w:val="0"/>
                <w:color w:val="auto"/>
              </w:rPr>
            </w:pPr>
            <w:r>
              <w:rPr>
                <w:rStyle w:val="573"/>
                <w:b w:val="0"/>
                <w:bCs w:val="0"/>
                <w:i w:val="0"/>
                <w:iCs w:val="0"/>
                <w:color w:val="auto"/>
              </w:rPr>
              <w:t>2</w:t>
            </w:r>
          </w:p>
        </w:tc>
        <w:tc>
          <w:tcPr>
            <w:tcW w:w="1181" w:type="dxa"/>
            <w:vAlign w:val="center"/>
          </w:tcPr>
          <w:p>
            <w:pPr>
              <w:pStyle w:val="164"/>
              <w:rPr>
                <w:rStyle w:val="573"/>
                <w:b w:val="0"/>
                <w:bCs w:val="0"/>
                <w:i w:val="0"/>
                <w:iCs w:val="0"/>
                <w:color w:val="auto"/>
              </w:rPr>
            </w:pPr>
            <w:r>
              <w:rPr>
                <w:rStyle w:val="573"/>
                <w:b w:val="0"/>
                <w:bCs w:val="0"/>
                <w:i w:val="0"/>
                <w:iCs w:val="0"/>
                <w:color w:val="auto"/>
              </w:rPr>
              <w:t>活性炭</w:t>
            </w:r>
          </w:p>
        </w:tc>
        <w:tc>
          <w:tcPr>
            <w:tcW w:w="1507" w:type="dxa"/>
            <w:vAlign w:val="center"/>
          </w:tcPr>
          <w:p>
            <w:pPr>
              <w:pStyle w:val="164"/>
              <w:rPr>
                <w:rStyle w:val="573"/>
                <w:b w:val="0"/>
                <w:bCs w:val="0"/>
                <w:i w:val="0"/>
                <w:iCs w:val="0"/>
                <w:color w:val="auto"/>
              </w:rPr>
            </w:pPr>
            <w:r>
              <w:rPr>
                <w:color w:val="auto"/>
              </w:rPr>
              <w:t>0.05t/a</w:t>
            </w:r>
          </w:p>
        </w:tc>
        <w:tc>
          <w:tcPr>
            <w:tcW w:w="2286" w:type="dxa"/>
            <w:vAlign w:val="center"/>
          </w:tcPr>
          <w:p>
            <w:pPr>
              <w:pStyle w:val="164"/>
              <w:rPr>
                <w:rStyle w:val="573"/>
                <w:b w:val="0"/>
                <w:bCs w:val="0"/>
                <w:i w:val="0"/>
                <w:iCs w:val="0"/>
                <w:color w:val="auto"/>
              </w:rPr>
            </w:pPr>
            <w:r>
              <w:rPr>
                <w:rStyle w:val="573"/>
                <w:b w:val="0"/>
                <w:bCs w:val="0"/>
                <w:i w:val="0"/>
                <w:iCs w:val="0"/>
                <w:color w:val="auto"/>
              </w:rPr>
              <w:t>用于废气治理</w:t>
            </w:r>
          </w:p>
        </w:tc>
        <w:tc>
          <w:tcPr>
            <w:tcW w:w="1399" w:type="dxa"/>
            <w:vAlign w:val="center"/>
          </w:tcPr>
          <w:p>
            <w:pPr>
              <w:pStyle w:val="164"/>
              <w:rPr>
                <w:rStyle w:val="573"/>
                <w:b w:val="0"/>
                <w:bCs w:val="0"/>
                <w:i w:val="0"/>
                <w:iCs w:val="0"/>
                <w:color w:val="auto"/>
              </w:rPr>
            </w:pPr>
            <w:r>
              <w:rPr>
                <w:rStyle w:val="573"/>
                <w:b w:val="0"/>
                <w:bCs w:val="0"/>
                <w:i w:val="0"/>
                <w:iCs w:val="0"/>
                <w:color w:val="auto"/>
              </w:rPr>
              <w:t>0.025t</w:t>
            </w:r>
          </w:p>
        </w:tc>
        <w:tc>
          <w:tcPr>
            <w:tcW w:w="1867" w:type="dxa"/>
            <w:vAlign w:val="center"/>
          </w:tcPr>
          <w:p>
            <w:pPr>
              <w:pStyle w:val="164"/>
              <w:rPr>
                <w:rStyle w:val="573"/>
                <w:b w:val="0"/>
                <w:bCs w:val="0"/>
                <w:i w:val="0"/>
                <w:iCs w:val="0"/>
                <w:color w:val="auto"/>
              </w:rPr>
            </w:pPr>
            <w:r>
              <w:rPr>
                <w:rStyle w:val="573"/>
                <w:b w:val="0"/>
                <w:bCs w:val="0"/>
                <w:i w:val="0"/>
                <w:iCs w:val="0"/>
                <w:color w:val="auto"/>
              </w:rPr>
              <w:t>废气治理设施内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1" w:hRule="atLeast"/>
          <w:jc w:val="center"/>
        </w:trPr>
        <w:tc>
          <w:tcPr>
            <w:tcW w:w="759" w:type="dxa"/>
            <w:vAlign w:val="center"/>
          </w:tcPr>
          <w:p>
            <w:pPr>
              <w:pStyle w:val="164"/>
              <w:rPr>
                <w:rStyle w:val="573"/>
                <w:b w:val="0"/>
                <w:bCs w:val="0"/>
                <w:i w:val="0"/>
                <w:iCs w:val="0"/>
                <w:color w:val="auto"/>
              </w:rPr>
            </w:pPr>
            <w:r>
              <w:rPr>
                <w:rStyle w:val="573"/>
                <w:b w:val="0"/>
                <w:bCs w:val="0"/>
                <w:i w:val="0"/>
                <w:iCs w:val="0"/>
                <w:color w:val="auto"/>
              </w:rPr>
              <w:t>3</w:t>
            </w:r>
          </w:p>
        </w:tc>
        <w:tc>
          <w:tcPr>
            <w:tcW w:w="1181" w:type="dxa"/>
            <w:vAlign w:val="center"/>
          </w:tcPr>
          <w:p>
            <w:pPr>
              <w:pStyle w:val="164"/>
              <w:rPr>
                <w:rStyle w:val="573"/>
                <w:b w:val="0"/>
                <w:bCs w:val="0"/>
                <w:i w:val="0"/>
                <w:iCs w:val="0"/>
                <w:color w:val="auto"/>
              </w:rPr>
            </w:pPr>
            <w:r>
              <w:rPr>
                <w:color w:val="auto"/>
                <w:szCs w:val="21"/>
              </w:rPr>
              <w:t>氢氧化钠</w:t>
            </w:r>
          </w:p>
        </w:tc>
        <w:tc>
          <w:tcPr>
            <w:tcW w:w="1507" w:type="dxa"/>
            <w:vAlign w:val="center"/>
          </w:tcPr>
          <w:p>
            <w:pPr>
              <w:pStyle w:val="164"/>
              <w:rPr>
                <w:rStyle w:val="573"/>
                <w:b w:val="0"/>
                <w:bCs w:val="0"/>
                <w:i w:val="0"/>
                <w:iCs w:val="0"/>
                <w:color w:val="auto"/>
                <w:szCs w:val="21"/>
              </w:rPr>
            </w:pPr>
            <w:r>
              <w:rPr>
                <w:color w:val="auto"/>
              </w:rPr>
              <w:t>1t/a</w:t>
            </w:r>
          </w:p>
        </w:tc>
        <w:tc>
          <w:tcPr>
            <w:tcW w:w="2286" w:type="dxa"/>
            <w:vAlign w:val="center"/>
          </w:tcPr>
          <w:p>
            <w:pPr>
              <w:pStyle w:val="164"/>
              <w:rPr>
                <w:rStyle w:val="573"/>
                <w:b w:val="0"/>
                <w:bCs w:val="0"/>
                <w:i w:val="0"/>
                <w:iCs w:val="0"/>
                <w:color w:val="auto"/>
              </w:rPr>
            </w:pPr>
            <w:r>
              <w:rPr>
                <w:color w:val="auto"/>
              </w:rPr>
              <w:t>用于碱洗喷淋</w:t>
            </w:r>
          </w:p>
        </w:tc>
        <w:tc>
          <w:tcPr>
            <w:tcW w:w="1399" w:type="dxa"/>
            <w:vAlign w:val="center"/>
          </w:tcPr>
          <w:p>
            <w:pPr>
              <w:pStyle w:val="164"/>
              <w:rPr>
                <w:rStyle w:val="573"/>
                <w:b w:val="0"/>
                <w:bCs w:val="0"/>
                <w:i w:val="0"/>
                <w:iCs w:val="0"/>
                <w:color w:val="auto"/>
              </w:rPr>
            </w:pPr>
            <w:r>
              <w:rPr>
                <w:color w:val="auto"/>
              </w:rPr>
              <w:t>0.2t</w:t>
            </w:r>
          </w:p>
        </w:tc>
        <w:tc>
          <w:tcPr>
            <w:tcW w:w="1867" w:type="dxa"/>
            <w:vAlign w:val="center"/>
          </w:tcPr>
          <w:p>
            <w:pPr>
              <w:pStyle w:val="164"/>
              <w:rPr>
                <w:rStyle w:val="573"/>
                <w:b w:val="0"/>
                <w:bCs w:val="0"/>
                <w:i w:val="0"/>
                <w:iCs w:val="0"/>
                <w:color w:val="auto"/>
              </w:rPr>
            </w:pPr>
            <w:r>
              <w:rPr>
                <w:rStyle w:val="573"/>
                <w:b w:val="0"/>
                <w:bCs w:val="0"/>
                <w:i w:val="0"/>
                <w:iCs w:val="0"/>
                <w:color w:val="auto"/>
              </w:rPr>
              <w:t>袋装、</w:t>
            </w:r>
            <w:r>
              <w:rPr>
                <w:color w:val="auto"/>
              </w:rPr>
              <w:t>制药间及废气治理设施内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1" w:hRule="atLeast"/>
          <w:jc w:val="center"/>
        </w:trPr>
        <w:tc>
          <w:tcPr>
            <w:tcW w:w="759" w:type="dxa"/>
            <w:vAlign w:val="center"/>
          </w:tcPr>
          <w:p>
            <w:pPr>
              <w:pStyle w:val="164"/>
              <w:rPr>
                <w:rStyle w:val="573"/>
                <w:b w:val="0"/>
                <w:bCs w:val="0"/>
                <w:i w:val="0"/>
                <w:iCs w:val="0"/>
                <w:color w:val="auto"/>
              </w:rPr>
            </w:pPr>
            <w:r>
              <w:rPr>
                <w:rStyle w:val="573"/>
                <w:b w:val="0"/>
                <w:bCs w:val="0"/>
                <w:i w:val="0"/>
                <w:iCs w:val="0"/>
                <w:color w:val="auto"/>
              </w:rPr>
              <w:t>4</w:t>
            </w:r>
          </w:p>
        </w:tc>
        <w:tc>
          <w:tcPr>
            <w:tcW w:w="1181" w:type="dxa"/>
            <w:vAlign w:val="center"/>
          </w:tcPr>
          <w:p>
            <w:pPr>
              <w:pStyle w:val="164"/>
              <w:rPr>
                <w:color w:val="auto"/>
                <w:szCs w:val="21"/>
              </w:rPr>
            </w:pPr>
            <w:r>
              <w:rPr>
                <w:color w:val="auto"/>
                <w:szCs w:val="21"/>
              </w:rPr>
              <w:t>NaClO溶液</w:t>
            </w:r>
          </w:p>
        </w:tc>
        <w:tc>
          <w:tcPr>
            <w:tcW w:w="1507" w:type="dxa"/>
            <w:vAlign w:val="center"/>
          </w:tcPr>
          <w:p>
            <w:pPr>
              <w:pStyle w:val="164"/>
              <w:rPr>
                <w:color w:val="auto"/>
              </w:rPr>
            </w:pPr>
            <w:r>
              <w:rPr>
                <w:color w:val="auto"/>
              </w:rPr>
              <w:t>1.3t/a</w:t>
            </w:r>
          </w:p>
        </w:tc>
        <w:tc>
          <w:tcPr>
            <w:tcW w:w="2286" w:type="dxa"/>
            <w:vAlign w:val="center"/>
          </w:tcPr>
          <w:p>
            <w:pPr>
              <w:pStyle w:val="164"/>
              <w:rPr>
                <w:color w:val="auto"/>
              </w:rPr>
            </w:pPr>
            <w:r>
              <w:rPr>
                <w:rStyle w:val="573"/>
                <w:b w:val="0"/>
                <w:bCs w:val="0"/>
                <w:i w:val="0"/>
                <w:iCs w:val="0"/>
                <w:color w:val="auto"/>
              </w:rPr>
              <w:t>车辆、设备</w:t>
            </w:r>
            <w:r>
              <w:rPr>
                <w:color w:val="auto"/>
              </w:rPr>
              <w:t>消菌杀毒</w:t>
            </w:r>
          </w:p>
        </w:tc>
        <w:tc>
          <w:tcPr>
            <w:tcW w:w="1399" w:type="dxa"/>
            <w:vAlign w:val="center"/>
          </w:tcPr>
          <w:p>
            <w:pPr>
              <w:pStyle w:val="164"/>
              <w:rPr>
                <w:rStyle w:val="573"/>
                <w:b w:val="0"/>
                <w:bCs w:val="0"/>
                <w:i w:val="0"/>
                <w:iCs w:val="0"/>
                <w:color w:val="auto"/>
              </w:rPr>
            </w:pPr>
            <w:r>
              <w:rPr>
                <w:color w:val="auto"/>
              </w:rPr>
              <w:t>0.5t</w:t>
            </w:r>
          </w:p>
        </w:tc>
        <w:tc>
          <w:tcPr>
            <w:tcW w:w="1867" w:type="dxa"/>
            <w:vAlign w:val="center"/>
          </w:tcPr>
          <w:p>
            <w:pPr>
              <w:pStyle w:val="164"/>
              <w:rPr>
                <w:rStyle w:val="573"/>
                <w:b w:val="0"/>
                <w:bCs w:val="0"/>
                <w:i w:val="0"/>
                <w:iCs w:val="0"/>
                <w:color w:val="auto"/>
              </w:rPr>
            </w:pPr>
            <w:r>
              <w:rPr>
                <w:rStyle w:val="573"/>
                <w:b w:val="0"/>
                <w:bCs w:val="0"/>
                <w:i w:val="0"/>
                <w:iCs w:val="0"/>
                <w:color w:val="auto"/>
              </w:rPr>
              <w:t>桶装、</w:t>
            </w:r>
            <w:r>
              <w:rPr>
                <w:color w:val="auto"/>
              </w:rPr>
              <w:t>制药间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1" w:hRule="atLeast"/>
          <w:jc w:val="center"/>
        </w:trPr>
        <w:tc>
          <w:tcPr>
            <w:tcW w:w="759" w:type="dxa"/>
            <w:vAlign w:val="center"/>
          </w:tcPr>
          <w:p>
            <w:pPr>
              <w:pStyle w:val="164"/>
              <w:rPr>
                <w:rStyle w:val="573"/>
                <w:b w:val="0"/>
                <w:bCs w:val="0"/>
                <w:i w:val="0"/>
                <w:iCs w:val="0"/>
                <w:color w:val="auto"/>
              </w:rPr>
            </w:pPr>
            <w:r>
              <w:rPr>
                <w:rStyle w:val="573"/>
                <w:b w:val="0"/>
                <w:bCs w:val="0"/>
                <w:i w:val="0"/>
                <w:iCs w:val="0"/>
                <w:color w:val="auto"/>
              </w:rPr>
              <w:t>5</w:t>
            </w:r>
          </w:p>
        </w:tc>
        <w:tc>
          <w:tcPr>
            <w:tcW w:w="1181" w:type="dxa"/>
            <w:vAlign w:val="center"/>
          </w:tcPr>
          <w:p>
            <w:pPr>
              <w:pStyle w:val="164"/>
              <w:rPr>
                <w:rStyle w:val="573"/>
                <w:b w:val="0"/>
                <w:bCs w:val="0"/>
                <w:i w:val="0"/>
                <w:iCs w:val="0"/>
                <w:color w:val="auto"/>
              </w:rPr>
            </w:pPr>
            <w:r>
              <w:rPr>
                <w:rStyle w:val="573"/>
                <w:b w:val="0"/>
                <w:bCs w:val="0"/>
                <w:i w:val="0"/>
                <w:iCs w:val="0"/>
                <w:color w:val="auto"/>
              </w:rPr>
              <w:t>水</w:t>
            </w:r>
          </w:p>
        </w:tc>
        <w:tc>
          <w:tcPr>
            <w:tcW w:w="1507" w:type="dxa"/>
            <w:vAlign w:val="center"/>
          </w:tcPr>
          <w:p>
            <w:pPr>
              <w:pStyle w:val="164"/>
              <w:rPr>
                <w:rStyle w:val="573"/>
                <w:b w:val="0"/>
                <w:bCs w:val="0"/>
                <w:i w:val="0"/>
                <w:iCs w:val="0"/>
                <w:color w:val="auto"/>
              </w:rPr>
            </w:pPr>
            <w:r>
              <w:rPr>
                <w:color w:val="auto"/>
              </w:rPr>
              <w:t>6839.1t/a</w:t>
            </w:r>
          </w:p>
        </w:tc>
        <w:tc>
          <w:tcPr>
            <w:tcW w:w="2286" w:type="dxa"/>
            <w:vAlign w:val="center"/>
          </w:tcPr>
          <w:p>
            <w:pPr>
              <w:pStyle w:val="164"/>
              <w:rPr>
                <w:rStyle w:val="573"/>
                <w:b w:val="0"/>
                <w:bCs w:val="0"/>
                <w:i w:val="0"/>
                <w:iCs w:val="0"/>
                <w:color w:val="auto"/>
              </w:rPr>
            </w:pPr>
            <w:r>
              <w:rPr>
                <w:rStyle w:val="573"/>
                <w:b w:val="0"/>
                <w:bCs w:val="0"/>
                <w:i w:val="0"/>
                <w:iCs w:val="0"/>
                <w:color w:val="auto"/>
              </w:rPr>
              <w:t>市政自来水管网提供</w:t>
            </w:r>
          </w:p>
        </w:tc>
        <w:tc>
          <w:tcPr>
            <w:tcW w:w="1399" w:type="dxa"/>
            <w:vAlign w:val="center"/>
          </w:tcPr>
          <w:p>
            <w:pPr>
              <w:pStyle w:val="164"/>
              <w:rPr>
                <w:rStyle w:val="573"/>
                <w:b w:val="0"/>
                <w:bCs w:val="0"/>
                <w:i w:val="0"/>
                <w:iCs w:val="0"/>
                <w:color w:val="auto"/>
              </w:rPr>
            </w:pPr>
            <w:r>
              <w:rPr>
                <w:rStyle w:val="573"/>
                <w:b w:val="0"/>
                <w:bCs w:val="0"/>
                <w:i w:val="0"/>
                <w:iCs w:val="0"/>
                <w:color w:val="auto"/>
              </w:rPr>
              <w:t>/</w:t>
            </w:r>
          </w:p>
        </w:tc>
        <w:tc>
          <w:tcPr>
            <w:tcW w:w="1867" w:type="dxa"/>
            <w:vAlign w:val="center"/>
          </w:tcPr>
          <w:p>
            <w:pPr>
              <w:pStyle w:val="164"/>
              <w:rPr>
                <w:rStyle w:val="573"/>
                <w:b w:val="0"/>
                <w:bCs w:val="0"/>
                <w:i w:val="0"/>
                <w:iCs w:val="0"/>
                <w:color w:val="auto"/>
              </w:rPr>
            </w:pPr>
            <w:r>
              <w:rPr>
                <w:rStyle w:val="573"/>
                <w:b w:val="0"/>
                <w:bCs w:val="0"/>
                <w:i w:val="0"/>
                <w:iCs w:val="0"/>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1" w:hRule="atLeast"/>
          <w:jc w:val="center"/>
        </w:trPr>
        <w:tc>
          <w:tcPr>
            <w:tcW w:w="759" w:type="dxa"/>
            <w:vAlign w:val="center"/>
          </w:tcPr>
          <w:p>
            <w:pPr>
              <w:pStyle w:val="164"/>
              <w:rPr>
                <w:rStyle w:val="573"/>
                <w:b w:val="0"/>
                <w:bCs w:val="0"/>
                <w:i w:val="0"/>
                <w:iCs w:val="0"/>
                <w:color w:val="auto"/>
              </w:rPr>
            </w:pPr>
            <w:r>
              <w:rPr>
                <w:rStyle w:val="573"/>
                <w:b w:val="0"/>
                <w:bCs w:val="0"/>
                <w:i w:val="0"/>
                <w:iCs w:val="0"/>
                <w:color w:val="auto"/>
              </w:rPr>
              <w:t>6</w:t>
            </w:r>
          </w:p>
        </w:tc>
        <w:tc>
          <w:tcPr>
            <w:tcW w:w="1181" w:type="dxa"/>
            <w:vAlign w:val="center"/>
          </w:tcPr>
          <w:p>
            <w:pPr>
              <w:pStyle w:val="164"/>
              <w:rPr>
                <w:rStyle w:val="573"/>
                <w:b w:val="0"/>
                <w:bCs w:val="0"/>
                <w:i w:val="0"/>
                <w:iCs w:val="0"/>
                <w:color w:val="auto"/>
              </w:rPr>
            </w:pPr>
            <w:r>
              <w:rPr>
                <w:rStyle w:val="573"/>
                <w:b w:val="0"/>
                <w:bCs w:val="0"/>
                <w:i w:val="0"/>
                <w:iCs w:val="0"/>
                <w:color w:val="auto"/>
              </w:rPr>
              <w:t>电</w:t>
            </w:r>
          </w:p>
        </w:tc>
        <w:tc>
          <w:tcPr>
            <w:tcW w:w="1507" w:type="dxa"/>
            <w:vAlign w:val="center"/>
          </w:tcPr>
          <w:p>
            <w:pPr>
              <w:pStyle w:val="164"/>
              <w:rPr>
                <w:rStyle w:val="573"/>
                <w:b w:val="0"/>
                <w:bCs w:val="0"/>
                <w:i w:val="0"/>
                <w:iCs w:val="0"/>
                <w:color w:val="auto"/>
              </w:rPr>
            </w:pPr>
            <w:r>
              <w:rPr>
                <w:rStyle w:val="573"/>
                <w:b w:val="0"/>
                <w:bCs w:val="0"/>
                <w:i w:val="0"/>
                <w:iCs w:val="0"/>
                <w:color w:val="auto"/>
              </w:rPr>
              <w:t>90万kwh/a</w:t>
            </w:r>
          </w:p>
        </w:tc>
        <w:tc>
          <w:tcPr>
            <w:tcW w:w="2286" w:type="dxa"/>
            <w:vAlign w:val="center"/>
          </w:tcPr>
          <w:p>
            <w:pPr>
              <w:pStyle w:val="164"/>
              <w:rPr>
                <w:rStyle w:val="573"/>
                <w:b w:val="0"/>
                <w:bCs w:val="0"/>
                <w:i w:val="0"/>
                <w:iCs w:val="0"/>
                <w:color w:val="auto"/>
              </w:rPr>
            </w:pPr>
            <w:r>
              <w:rPr>
                <w:rStyle w:val="573"/>
                <w:b w:val="0"/>
                <w:bCs w:val="0"/>
                <w:i w:val="0"/>
                <w:iCs w:val="0"/>
                <w:color w:val="auto"/>
              </w:rPr>
              <w:t>市政电网提供</w:t>
            </w:r>
          </w:p>
        </w:tc>
        <w:tc>
          <w:tcPr>
            <w:tcW w:w="1399" w:type="dxa"/>
            <w:vAlign w:val="center"/>
          </w:tcPr>
          <w:p>
            <w:pPr>
              <w:pStyle w:val="164"/>
              <w:rPr>
                <w:rStyle w:val="573"/>
                <w:b w:val="0"/>
                <w:bCs w:val="0"/>
                <w:i w:val="0"/>
                <w:iCs w:val="0"/>
                <w:color w:val="auto"/>
              </w:rPr>
            </w:pPr>
            <w:r>
              <w:rPr>
                <w:rStyle w:val="573"/>
                <w:b w:val="0"/>
                <w:bCs w:val="0"/>
                <w:i w:val="0"/>
                <w:iCs w:val="0"/>
                <w:color w:val="auto"/>
              </w:rPr>
              <w:t>/</w:t>
            </w:r>
          </w:p>
        </w:tc>
        <w:tc>
          <w:tcPr>
            <w:tcW w:w="1867" w:type="dxa"/>
            <w:vAlign w:val="center"/>
          </w:tcPr>
          <w:p>
            <w:pPr>
              <w:pStyle w:val="164"/>
              <w:rPr>
                <w:rStyle w:val="573"/>
                <w:b w:val="0"/>
                <w:bCs w:val="0"/>
                <w:i w:val="0"/>
                <w:iCs w:val="0"/>
                <w:color w:val="auto"/>
              </w:rPr>
            </w:pPr>
            <w:r>
              <w:rPr>
                <w:rStyle w:val="573"/>
                <w:b w:val="0"/>
                <w:bCs w:val="0"/>
                <w:i w:val="0"/>
                <w:iCs w:val="0"/>
                <w:color w:val="auto"/>
              </w:rPr>
              <w:t>/</w:t>
            </w:r>
          </w:p>
        </w:tc>
      </w:tr>
    </w:tbl>
    <w:p>
      <w:pPr>
        <w:pStyle w:val="4"/>
        <w:numPr>
          <w:ilvl w:val="1"/>
          <w:numId w:val="0"/>
        </w:numPr>
        <w:spacing w:before="120"/>
        <w:rPr>
          <w:color w:val="auto"/>
        </w:rPr>
      </w:pPr>
      <w:bookmarkStart w:id="214" w:name="_Toc58849423"/>
      <w:bookmarkStart w:id="215" w:name="_Toc109398596"/>
      <w:r>
        <w:rPr>
          <w:color w:val="auto"/>
        </w:rPr>
        <w:t>4.2公用工程</w:t>
      </w:r>
      <w:bookmarkEnd w:id="214"/>
      <w:bookmarkEnd w:id="215"/>
    </w:p>
    <w:p>
      <w:pPr>
        <w:pStyle w:val="5"/>
        <w:numPr>
          <w:ilvl w:val="2"/>
          <w:numId w:val="0"/>
        </w:numPr>
        <w:ind w:left="-720" w:leftChars="-343" w:firstLine="723" w:firstLineChars="300"/>
        <w:rPr>
          <w:color w:val="auto"/>
        </w:rPr>
      </w:pPr>
      <w:bookmarkStart w:id="216" w:name="_Toc58849424"/>
      <w:bookmarkStart w:id="217" w:name="_Toc109398597"/>
      <w:r>
        <w:rPr>
          <w:color w:val="auto"/>
        </w:rPr>
        <w:t>4.2.1</w:t>
      </w:r>
      <w:r>
        <w:rPr>
          <w:rFonts w:hint="eastAsia"/>
          <w:color w:val="auto"/>
        </w:rPr>
        <w:t>本项目</w:t>
      </w:r>
      <w:r>
        <w:rPr>
          <w:color w:val="auto"/>
        </w:rPr>
        <w:t>给排水</w:t>
      </w:r>
      <w:bookmarkEnd w:id="216"/>
      <w:r>
        <w:rPr>
          <w:rFonts w:hint="eastAsia"/>
          <w:color w:val="auto"/>
        </w:rPr>
        <w:t>情况</w:t>
      </w:r>
      <w:bookmarkEnd w:id="217"/>
    </w:p>
    <w:p>
      <w:pPr>
        <w:pStyle w:val="6"/>
        <w:numPr>
          <w:ilvl w:val="3"/>
          <w:numId w:val="0"/>
        </w:numPr>
        <w:ind w:left="-861" w:leftChars="-410" w:firstLine="964" w:firstLineChars="400"/>
        <w:rPr>
          <w:color w:val="auto"/>
        </w:rPr>
      </w:pPr>
      <w:r>
        <w:rPr>
          <w:color w:val="auto"/>
        </w:rPr>
        <w:t>4.2.1.1给水工程</w:t>
      </w:r>
    </w:p>
    <w:p>
      <w:pPr>
        <w:pStyle w:val="130"/>
        <w:ind w:firstLine="480"/>
        <w:rPr>
          <w:rFonts w:eastAsia="Times New Roman"/>
          <w:color w:val="auto"/>
        </w:rPr>
      </w:pPr>
      <w:r>
        <w:rPr>
          <w:color w:val="auto"/>
        </w:rPr>
        <w:t>本项目供水由市政供水提供，包括冲洗用水（车辆、周转箱、场地冲洗）、冷却循环系统用水、蒸汽发生器及电锅炉用水、碱洗喷淋水箱用水、生活用水、道路和绿化用水等。供水量为冬季18.148m</w:t>
      </w:r>
      <w:r>
        <w:rPr>
          <w:color w:val="auto"/>
          <w:vertAlign w:val="superscript"/>
        </w:rPr>
        <w:t>3</w:t>
      </w:r>
      <w:r>
        <w:rPr>
          <w:color w:val="auto"/>
        </w:rPr>
        <w:t>/d，其他季节16.028m</w:t>
      </w:r>
      <w:r>
        <w:rPr>
          <w:color w:val="auto"/>
          <w:vertAlign w:val="superscript"/>
        </w:rPr>
        <w:t>3</w:t>
      </w:r>
      <w:r>
        <w:rPr>
          <w:color w:val="auto"/>
        </w:rPr>
        <w:t>/d，全年5581.</w:t>
      </w:r>
      <w:r>
        <w:rPr>
          <w:rFonts w:hint="eastAsia"/>
          <w:color w:val="auto"/>
        </w:rPr>
        <w:t>8</w:t>
      </w:r>
      <w:r>
        <w:rPr>
          <w:color w:val="auto"/>
        </w:rPr>
        <w:t>m</w:t>
      </w:r>
      <w:r>
        <w:rPr>
          <w:color w:val="auto"/>
          <w:vertAlign w:val="superscript"/>
        </w:rPr>
        <w:t>3</w:t>
      </w:r>
      <w:r>
        <w:rPr>
          <w:color w:val="auto"/>
        </w:rPr>
        <w:t>/a。</w:t>
      </w:r>
    </w:p>
    <w:p>
      <w:pPr>
        <w:pStyle w:val="130"/>
        <w:ind w:firstLine="480"/>
        <w:rPr>
          <w:color w:val="auto"/>
        </w:rPr>
      </w:pPr>
      <w:r>
        <w:rPr>
          <w:rFonts w:eastAsia="Times New Roman"/>
          <w:color w:val="auto"/>
        </w:rPr>
        <w:t>1</w:t>
      </w:r>
      <w:r>
        <w:rPr>
          <w:color w:val="auto"/>
        </w:rPr>
        <w:t>、冲洗用水</w:t>
      </w:r>
    </w:p>
    <w:p>
      <w:pPr>
        <w:pStyle w:val="130"/>
        <w:ind w:firstLine="480"/>
        <w:rPr>
          <w:color w:val="auto"/>
        </w:rPr>
      </w:pPr>
      <w:r>
        <w:rPr>
          <w:color w:val="auto"/>
        </w:rPr>
        <w:t>⑴车辆冲洗用水</w:t>
      </w:r>
    </w:p>
    <w:p>
      <w:pPr>
        <w:pStyle w:val="130"/>
        <w:ind w:firstLine="480"/>
        <w:rPr>
          <w:color w:val="auto"/>
        </w:rPr>
      </w:pPr>
      <w:r>
        <w:rPr>
          <w:color w:val="auto"/>
        </w:rPr>
        <w:t>本项目现有工程5辆1.5t医疗废物运输车辆（</w:t>
      </w:r>
      <w:r>
        <w:rPr>
          <w:rFonts w:hint="eastAsia"/>
          <w:color w:val="auto"/>
        </w:rPr>
        <w:t>备用</w:t>
      </w:r>
      <w:r>
        <w:rPr>
          <w:color w:val="auto"/>
        </w:rPr>
        <w:t>），新增7辆3t医疗废物运输车辆，1辆垃圾转运车；厂内现有工程8辆医疗废物灭菌小车，新增12辆医疗废物灭菌小车，灭菌小车尺寸：660×940×1056mm。医废转运车、医疗废物灭菌小车每天先用次氯酸钠水溶液进行喷洒消毒，约30min左右，然后再用清水喷洒清洗每天先冲洗1次，每辆运输车冲洗耗水以100L/（车·d）计，每辆灭菌小车冲洗耗水以20L/（车·d）计，则本项目新增车辆冲洗用水量约1.2m</w:t>
      </w:r>
      <w:r>
        <w:rPr>
          <w:color w:val="auto"/>
          <w:vertAlign w:val="superscript"/>
        </w:rPr>
        <w:t>3</w:t>
      </w:r>
      <w:r>
        <w:rPr>
          <w:color w:val="auto"/>
        </w:rPr>
        <w:t>/d（396m</w:t>
      </w:r>
      <w:r>
        <w:rPr>
          <w:color w:val="auto"/>
          <w:vertAlign w:val="superscript"/>
        </w:rPr>
        <w:t>3</w:t>
      </w:r>
      <w:r>
        <w:rPr>
          <w:color w:val="auto"/>
        </w:rPr>
        <w:t>/a）。</w:t>
      </w:r>
    </w:p>
    <w:p>
      <w:pPr>
        <w:pStyle w:val="130"/>
        <w:ind w:firstLine="480"/>
        <w:rPr>
          <w:color w:val="auto"/>
        </w:rPr>
      </w:pPr>
      <w:r>
        <w:rPr>
          <w:color w:val="auto"/>
        </w:rPr>
        <w:t>⑵周转箱冲洗用水</w:t>
      </w:r>
    </w:p>
    <w:p>
      <w:pPr>
        <w:pStyle w:val="130"/>
        <w:ind w:firstLine="480"/>
        <w:rPr>
          <w:color w:val="auto"/>
        </w:rPr>
      </w:pPr>
      <w:r>
        <w:rPr>
          <w:color w:val="auto"/>
        </w:rPr>
        <w:t>现有工程项目可使用周转箱为700个，本次新增周转箱300个。每天先用次氯酸钠水溶液对周转箱进行喷洒消毒，约30min左右，然后再用周转箱自动冲洗机清水喷洒清洗，</w:t>
      </w:r>
      <w:r>
        <w:rPr>
          <w:rFonts w:hint="eastAsia"/>
          <w:color w:val="auto"/>
        </w:rPr>
        <w:t>依托现有</w:t>
      </w:r>
      <w:r>
        <w:rPr>
          <w:color w:val="auto"/>
        </w:rPr>
        <w:t>周转箱自动冲洗机一台，用水量约为2m</w:t>
      </w:r>
      <w:r>
        <w:rPr>
          <w:color w:val="auto"/>
          <w:vertAlign w:val="superscript"/>
        </w:rPr>
        <w:t>3</w:t>
      </w:r>
      <w:r>
        <w:rPr>
          <w:color w:val="auto"/>
        </w:rPr>
        <w:t>/d（660m</w:t>
      </w:r>
      <w:r>
        <w:rPr>
          <w:color w:val="auto"/>
          <w:vertAlign w:val="superscript"/>
        </w:rPr>
        <w:t>3</w:t>
      </w:r>
      <w:r>
        <w:rPr>
          <w:color w:val="auto"/>
        </w:rPr>
        <w:t>/a）。</w:t>
      </w:r>
    </w:p>
    <w:p>
      <w:pPr>
        <w:pStyle w:val="130"/>
        <w:ind w:firstLine="480"/>
        <w:rPr>
          <w:color w:val="auto"/>
        </w:rPr>
      </w:pPr>
      <w:r>
        <w:rPr>
          <w:color w:val="auto"/>
        </w:rPr>
        <w:t>⑶场地冲洗用水</w:t>
      </w:r>
    </w:p>
    <w:p>
      <w:pPr>
        <w:pStyle w:val="130"/>
        <w:ind w:firstLine="480"/>
        <w:rPr>
          <w:color w:val="auto"/>
        </w:rPr>
      </w:pPr>
      <w:r>
        <w:rPr>
          <w:color w:val="auto"/>
        </w:rPr>
        <w:t>医疗废物装卸、储存及处置区地面需要进行冲洗，冲洗过程产生地面消毒冲洗废水，冲洗频率为每天冲洗一次，本项目需要冲洗面积约为456.9m</w:t>
      </w:r>
      <w:r>
        <w:rPr>
          <w:color w:val="auto"/>
          <w:vertAlign w:val="superscript"/>
        </w:rPr>
        <w:t>2</w:t>
      </w:r>
      <w:r>
        <w:rPr>
          <w:color w:val="auto"/>
        </w:rPr>
        <w:t>，单位面积冲洗用水约2.0L/m</w:t>
      </w:r>
      <w:r>
        <w:rPr>
          <w:color w:val="auto"/>
          <w:vertAlign w:val="superscript"/>
        </w:rPr>
        <w:t>2</w:t>
      </w:r>
      <w:r>
        <w:rPr>
          <w:color w:val="auto"/>
        </w:rPr>
        <w:t>·d，场地冲洗用水约0.914m</w:t>
      </w:r>
      <w:r>
        <w:rPr>
          <w:color w:val="auto"/>
          <w:vertAlign w:val="superscript"/>
        </w:rPr>
        <w:t>3</w:t>
      </w:r>
      <w:r>
        <w:rPr>
          <w:color w:val="auto"/>
        </w:rPr>
        <w:t>/d（301.62m</w:t>
      </w:r>
      <w:r>
        <w:rPr>
          <w:color w:val="auto"/>
          <w:vertAlign w:val="superscript"/>
        </w:rPr>
        <w:t>3</w:t>
      </w:r>
      <w:r>
        <w:rPr>
          <w:color w:val="auto"/>
        </w:rPr>
        <w:t>/a）。</w:t>
      </w:r>
    </w:p>
    <w:p>
      <w:pPr>
        <w:pStyle w:val="130"/>
        <w:ind w:firstLine="480"/>
        <w:rPr>
          <w:color w:val="auto"/>
        </w:rPr>
      </w:pPr>
      <w:r>
        <w:rPr>
          <w:color w:val="auto"/>
        </w:rPr>
        <w:t>2、冷却水循环系统用水</w:t>
      </w:r>
    </w:p>
    <w:p>
      <w:pPr>
        <w:pStyle w:val="130"/>
        <w:ind w:firstLine="480"/>
        <w:rPr>
          <w:color w:val="auto"/>
        </w:rPr>
      </w:pPr>
      <w:r>
        <w:rPr>
          <w:color w:val="auto"/>
        </w:rPr>
        <w:t>本项目灭菌器配套设置1套冷却水循环系统，用于冷却高温灭菌产生的高温废气和废水。冷却水循环系统循环水量11.7m</w:t>
      </w:r>
      <w:r>
        <w:rPr>
          <w:color w:val="auto"/>
          <w:vertAlign w:val="superscript"/>
        </w:rPr>
        <w:t>3</w:t>
      </w:r>
      <w:r>
        <w:rPr>
          <w:color w:val="auto"/>
        </w:rPr>
        <w:t>/h，每天运行16h，由于循环冷却自然蒸发过程会损耗，同时定期排污，需要持续补入新鲜水，循环水定期补水量按循环水量的2%计，则补水量3.744m</w:t>
      </w:r>
      <w:r>
        <w:rPr>
          <w:color w:val="auto"/>
          <w:vertAlign w:val="superscript"/>
        </w:rPr>
        <w:t>3</w:t>
      </w:r>
      <w:r>
        <w:rPr>
          <w:color w:val="auto"/>
        </w:rPr>
        <w:t>/d，1235.52m</w:t>
      </w:r>
      <w:r>
        <w:rPr>
          <w:color w:val="auto"/>
          <w:vertAlign w:val="superscript"/>
        </w:rPr>
        <w:t>3</w:t>
      </w:r>
      <w:r>
        <w:rPr>
          <w:color w:val="auto"/>
        </w:rPr>
        <w:t>/a。</w:t>
      </w:r>
    </w:p>
    <w:p>
      <w:pPr>
        <w:pStyle w:val="130"/>
        <w:ind w:firstLine="480"/>
        <w:rPr>
          <w:color w:val="auto"/>
        </w:rPr>
      </w:pPr>
      <w:r>
        <w:rPr>
          <w:rFonts w:eastAsia="Times New Roman"/>
          <w:color w:val="auto"/>
        </w:rPr>
        <w:t>3</w:t>
      </w:r>
      <w:r>
        <w:rPr>
          <w:color w:val="auto"/>
        </w:rPr>
        <w:t>、蒸汽发生器及电锅炉用水</w:t>
      </w:r>
    </w:p>
    <w:p>
      <w:pPr>
        <w:pStyle w:val="130"/>
        <w:ind w:firstLine="480"/>
        <w:rPr>
          <w:color w:val="auto"/>
        </w:rPr>
      </w:pPr>
      <w:r>
        <w:rPr>
          <w:color w:val="auto"/>
        </w:rPr>
        <w:t>本项目使用3台103kg/h的电热蒸汽发生器和3台80KW的电热水锅炉，电热蒸汽发生器用于高温蒸汽处理系统供给蒸汽；电热水锅炉用于员工冬季办公室生活供暖，软水循环使用，不外排，总运行负荷为0.75t/h，出/回水温度为85/60℃。高温蒸煮医疗废物蒸汽使用量约为2t/d（660t/a），直接接触医疗废物，部分蒸发，部分冷凝，部分由医疗废物带走，热水锅炉补水量按用水量的10%计算，电热蒸汽发生器和锅炉补水均由软水提供。软水补充最大量为冬季（每年11月~3月，实际供水138天），补充量为0.2m</w:t>
      </w:r>
      <w:r>
        <w:rPr>
          <w:color w:val="auto"/>
          <w:vertAlign w:val="superscript"/>
        </w:rPr>
        <w:t>3</w:t>
      </w:r>
      <w:r>
        <w:rPr>
          <w:color w:val="auto"/>
        </w:rPr>
        <w:t>/h（其中锅炉补水0.075m</w:t>
      </w:r>
      <w:r>
        <w:rPr>
          <w:color w:val="auto"/>
          <w:vertAlign w:val="superscript"/>
        </w:rPr>
        <w:t>3</w:t>
      </w:r>
      <w:r>
        <w:rPr>
          <w:color w:val="auto"/>
        </w:rPr>
        <w:t>/h，一天运转24h，1.8m</w:t>
      </w:r>
      <w:r>
        <w:rPr>
          <w:color w:val="auto"/>
          <w:vertAlign w:val="superscript"/>
        </w:rPr>
        <w:t>3</w:t>
      </w:r>
      <w:r>
        <w:rPr>
          <w:color w:val="auto"/>
        </w:rPr>
        <w:t>/d，248.4 m</w:t>
      </w:r>
      <w:r>
        <w:rPr>
          <w:color w:val="auto"/>
          <w:vertAlign w:val="superscript"/>
        </w:rPr>
        <w:t>3</w:t>
      </w:r>
      <w:r>
        <w:rPr>
          <w:color w:val="auto"/>
        </w:rPr>
        <w:t>/a，电热蒸汽发生器补水0.125m</w:t>
      </w:r>
      <w:r>
        <w:rPr>
          <w:color w:val="auto"/>
          <w:vertAlign w:val="superscript"/>
        </w:rPr>
        <w:t>3</w:t>
      </w:r>
      <w:r>
        <w:rPr>
          <w:color w:val="auto"/>
        </w:rPr>
        <w:t>/h，一天运转16h，2m</w:t>
      </w:r>
      <w:r>
        <w:rPr>
          <w:color w:val="auto"/>
          <w:vertAlign w:val="superscript"/>
        </w:rPr>
        <w:t>3</w:t>
      </w:r>
      <w:r>
        <w:rPr>
          <w:color w:val="auto"/>
        </w:rPr>
        <w:t>/d，660m</w:t>
      </w:r>
      <w:r>
        <w:rPr>
          <w:color w:val="auto"/>
          <w:vertAlign w:val="superscript"/>
        </w:rPr>
        <w:t>3</w:t>
      </w:r>
      <w:r>
        <w:rPr>
          <w:color w:val="auto"/>
        </w:rPr>
        <w:t>/a），合计3.8m</w:t>
      </w:r>
      <w:r>
        <w:rPr>
          <w:color w:val="auto"/>
          <w:vertAlign w:val="superscript"/>
        </w:rPr>
        <w:t>3</w:t>
      </w:r>
      <w:r>
        <w:rPr>
          <w:color w:val="auto"/>
        </w:rPr>
        <w:t>/d；软水补充其他季节（每年4月~10月），补充量为0.125m</w:t>
      </w:r>
      <w:r>
        <w:rPr>
          <w:color w:val="auto"/>
          <w:vertAlign w:val="superscript"/>
        </w:rPr>
        <w:t>3</w:t>
      </w:r>
      <w:r>
        <w:rPr>
          <w:color w:val="auto"/>
        </w:rPr>
        <w:t>/h，2m</w:t>
      </w:r>
      <w:r>
        <w:rPr>
          <w:color w:val="auto"/>
          <w:vertAlign w:val="superscript"/>
        </w:rPr>
        <w:t>3</w:t>
      </w:r>
      <w:r>
        <w:rPr>
          <w:color w:val="auto"/>
        </w:rPr>
        <w:t>/d、全年330天，则全年软水用水量908.4m</w:t>
      </w:r>
      <w:r>
        <w:rPr>
          <w:color w:val="auto"/>
          <w:vertAlign w:val="superscript"/>
        </w:rPr>
        <w:t>3</w:t>
      </w:r>
      <w:r>
        <w:rPr>
          <w:color w:val="auto"/>
        </w:rPr>
        <w:t>/a。软水由新增软水机制备，最大额定流量1.5t/h，采用离子交换树脂工艺制备，制备效率为85%，则本项目蒸汽发生器及电锅炉冬季新鲜水用水量4.47m</w:t>
      </w:r>
      <w:r>
        <w:rPr>
          <w:color w:val="auto"/>
          <w:vertAlign w:val="superscript"/>
        </w:rPr>
        <w:t>3</w:t>
      </w:r>
      <w:r>
        <w:rPr>
          <w:color w:val="auto"/>
        </w:rPr>
        <w:t>/d、其他季节新鲜水用水量2.35m</w:t>
      </w:r>
      <w:r>
        <w:rPr>
          <w:color w:val="auto"/>
          <w:vertAlign w:val="superscript"/>
        </w:rPr>
        <w:t>3</w:t>
      </w:r>
      <w:r>
        <w:rPr>
          <w:color w:val="auto"/>
        </w:rPr>
        <w:t>/d、全年新鲜水用水量1068.06m</w:t>
      </w:r>
      <w:r>
        <w:rPr>
          <w:color w:val="auto"/>
          <w:vertAlign w:val="superscript"/>
        </w:rPr>
        <w:t>3</w:t>
      </w:r>
      <w:r>
        <w:rPr>
          <w:color w:val="auto"/>
        </w:rPr>
        <w:t>/a，制备软水产生的清洁废水量为159.66m</w:t>
      </w:r>
      <w:r>
        <w:rPr>
          <w:color w:val="auto"/>
          <w:vertAlign w:val="superscript"/>
        </w:rPr>
        <w:t>3</w:t>
      </w:r>
      <w:r>
        <w:rPr>
          <w:color w:val="auto"/>
        </w:rPr>
        <w:t>/a，冬季0.67m</w:t>
      </w:r>
      <w:r>
        <w:rPr>
          <w:color w:val="auto"/>
          <w:vertAlign w:val="superscript"/>
        </w:rPr>
        <w:t>3</w:t>
      </w:r>
      <w:r>
        <w:rPr>
          <w:color w:val="auto"/>
        </w:rPr>
        <w:t>/d、其他季节0.35m</w:t>
      </w:r>
      <w:r>
        <w:rPr>
          <w:color w:val="auto"/>
          <w:vertAlign w:val="superscript"/>
        </w:rPr>
        <w:t>3</w:t>
      </w:r>
      <w:r>
        <w:rPr>
          <w:color w:val="auto"/>
        </w:rPr>
        <w:t>/d。</w:t>
      </w:r>
    </w:p>
    <w:p>
      <w:pPr>
        <w:pStyle w:val="130"/>
        <w:ind w:firstLine="480"/>
        <w:rPr>
          <w:color w:val="auto"/>
        </w:rPr>
      </w:pPr>
      <w:r>
        <w:rPr>
          <w:color w:val="auto"/>
        </w:rPr>
        <w:t>4、碱洗喷淋水箱用水</w:t>
      </w:r>
    </w:p>
    <w:p>
      <w:pPr>
        <w:pStyle w:val="130"/>
        <w:ind w:firstLine="480"/>
        <w:rPr>
          <w:color w:val="auto"/>
        </w:rPr>
      </w:pPr>
      <w:r>
        <w:rPr>
          <w:color w:val="auto"/>
        </w:rPr>
        <w:t>本项目废气采用“碱洗喷淋+等离子+活性炭”工艺进行处理，碱洗喷淋工序需要设置碱洗喷淋水箱，碱洗喷淋水箱一次用水量为6m</w:t>
      </w:r>
      <w:r>
        <w:rPr>
          <w:color w:val="auto"/>
          <w:vertAlign w:val="superscript"/>
        </w:rPr>
        <w:t>3</w:t>
      </w:r>
      <w:r>
        <w:rPr>
          <w:color w:val="auto"/>
        </w:rPr>
        <w:t>，约每15天进行更换，折合0.4m</w:t>
      </w:r>
      <w:r>
        <w:rPr>
          <w:color w:val="auto"/>
          <w:vertAlign w:val="superscript"/>
        </w:rPr>
        <w:t>3</w:t>
      </w:r>
      <w:r>
        <w:rPr>
          <w:color w:val="auto"/>
        </w:rPr>
        <w:t>/d，年用水量132m</w:t>
      </w:r>
      <w:r>
        <w:rPr>
          <w:color w:val="auto"/>
          <w:vertAlign w:val="superscript"/>
        </w:rPr>
        <w:t>3</w:t>
      </w:r>
      <w:r>
        <w:rPr>
          <w:color w:val="auto"/>
        </w:rPr>
        <w:t>。</w:t>
      </w:r>
    </w:p>
    <w:p>
      <w:pPr>
        <w:pStyle w:val="417"/>
        <w:ind w:firstLine="480"/>
        <w:rPr>
          <w:rFonts w:cs="Times New Roman"/>
          <w:color w:val="auto"/>
        </w:rPr>
      </w:pPr>
      <w:r>
        <w:rPr>
          <w:rFonts w:cs="Times New Roman"/>
          <w:color w:val="auto"/>
        </w:rPr>
        <w:t>5、生活用水</w:t>
      </w:r>
    </w:p>
    <w:p>
      <w:pPr>
        <w:pStyle w:val="130"/>
        <w:ind w:firstLine="480"/>
        <w:rPr>
          <w:color w:val="auto"/>
        </w:rPr>
      </w:pPr>
      <w:r>
        <w:rPr>
          <w:color w:val="auto"/>
        </w:rPr>
        <w:t>本项目不新增劳动定员，因此，生活用水量不发生变化，生活用水量为2.42m</w:t>
      </w:r>
      <w:r>
        <w:rPr>
          <w:color w:val="auto"/>
          <w:vertAlign w:val="superscript"/>
        </w:rPr>
        <w:t>3</w:t>
      </w:r>
      <w:r>
        <w:rPr>
          <w:color w:val="auto"/>
        </w:rPr>
        <w:t>/d，798.6m</w:t>
      </w:r>
      <w:r>
        <w:rPr>
          <w:color w:val="auto"/>
          <w:vertAlign w:val="superscript"/>
        </w:rPr>
        <w:t>3</w:t>
      </w:r>
      <w:r>
        <w:rPr>
          <w:color w:val="auto"/>
        </w:rPr>
        <w:t>/a。</w:t>
      </w:r>
    </w:p>
    <w:p>
      <w:pPr>
        <w:pStyle w:val="130"/>
        <w:ind w:firstLine="480"/>
        <w:rPr>
          <w:color w:val="auto"/>
        </w:rPr>
      </w:pPr>
      <w:r>
        <w:rPr>
          <w:color w:val="auto"/>
        </w:rPr>
        <w:t>6、道路和绿化用水</w:t>
      </w:r>
    </w:p>
    <w:p>
      <w:pPr>
        <w:pStyle w:val="130"/>
        <w:ind w:firstLine="480"/>
        <w:rPr>
          <w:color w:val="auto"/>
        </w:rPr>
      </w:pPr>
      <w:r>
        <w:rPr>
          <w:color w:val="auto"/>
        </w:rPr>
        <w:t>本项目道路和绿化面积未发生改变，因此，道路和绿化用水不发生改变，用水量为3m</w:t>
      </w:r>
      <w:r>
        <w:rPr>
          <w:color w:val="auto"/>
          <w:vertAlign w:val="superscript"/>
        </w:rPr>
        <w:t>3</w:t>
      </w:r>
      <w:r>
        <w:rPr>
          <w:color w:val="auto"/>
        </w:rPr>
        <w:t>/d，990m</w:t>
      </w:r>
      <w:r>
        <w:rPr>
          <w:color w:val="auto"/>
          <w:vertAlign w:val="superscript"/>
        </w:rPr>
        <w:t>3</w:t>
      </w:r>
      <w:r>
        <w:rPr>
          <w:color w:val="auto"/>
        </w:rPr>
        <w:t>/a。</w:t>
      </w:r>
    </w:p>
    <w:p>
      <w:pPr>
        <w:pStyle w:val="6"/>
        <w:numPr>
          <w:ilvl w:val="3"/>
          <w:numId w:val="0"/>
        </w:numPr>
        <w:ind w:left="-861" w:leftChars="-410" w:firstLine="723" w:firstLineChars="300"/>
        <w:rPr>
          <w:color w:val="auto"/>
        </w:rPr>
      </w:pPr>
      <w:r>
        <w:rPr>
          <w:color w:val="auto"/>
        </w:rPr>
        <w:t>4.2.1.2排水工程</w:t>
      </w:r>
    </w:p>
    <w:p>
      <w:pPr>
        <w:pStyle w:val="130"/>
        <w:ind w:firstLine="480"/>
        <w:rPr>
          <w:rStyle w:val="131"/>
          <w:bCs/>
          <w:color w:val="auto"/>
        </w:rPr>
      </w:pPr>
      <w:r>
        <w:rPr>
          <w:color w:val="auto"/>
        </w:rPr>
        <w:t>本项目废水包括高温蒸煮冷凝废水及渗滤液、软水制备废水、场地冲洗废水、车辆冲洗废水、周转箱冲洗废水、蒸汽发生器及电锅炉软水制备废水、碱洗喷淋水箱废水和生活污水，项目实行“清污分流，雨污分流”的排水体制。</w:t>
      </w:r>
    </w:p>
    <w:p>
      <w:pPr>
        <w:pStyle w:val="130"/>
        <w:ind w:firstLine="480"/>
        <w:rPr>
          <w:color w:val="auto"/>
        </w:rPr>
      </w:pPr>
      <w:r>
        <w:rPr>
          <w:color w:val="auto"/>
        </w:rPr>
        <w:t>1、高温蒸煮冷凝废水及渗滤液</w:t>
      </w:r>
    </w:p>
    <w:p>
      <w:pPr>
        <w:pStyle w:val="130"/>
        <w:ind w:firstLine="480"/>
        <w:rPr>
          <w:color w:val="auto"/>
        </w:rPr>
      </w:pPr>
      <w:r>
        <w:rPr>
          <w:color w:val="auto"/>
        </w:rPr>
        <w:t>根据《医疗废物处理处置污染防治最佳可行技术指南》（试行）及本项目实际运行情况，处理每吨医疗废物消耗蒸汽300kg～500kg，本项目按每吨医疗废物消耗蒸汽400kg计算，主要用于抽真空、灭菌、排气泄压、后真空干燥、冷凝液灭菌、抽真空废气灭菌等过程，项目日处理医疗废物5t，蒸汽使用量约为2t/d（660t/a）。大部分蒸汽在灭菌器内腔形成冷凝液，部分通过换热器冷凝，最终蒸汽主要以冷凝液的形式排出，部分与废气一同排出，部分通过由医疗废物带出。</w:t>
      </w:r>
    </w:p>
    <w:p>
      <w:pPr>
        <w:pStyle w:val="130"/>
        <w:ind w:firstLine="464"/>
        <w:rPr>
          <w:color w:val="auto"/>
        </w:rPr>
      </w:pPr>
      <w:r>
        <w:rPr>
          <w:color w:val="auto"/>
          <w:spacing w:val="-4"/>
        </w:rPr>
        <w:t>医疗废物有一定的含水率，本环评取</w:t>
      </w:r>
      <w:r>
        <w:rPr>
          <w:color w:val="auto"/>
          <w:spacing w:val="-69"/>
        </w:rPr>
        <w:t xml:space="preserve"> </w:t>
      </w:r>
      <w:r>
        <w:rPr>
          <w:rFonts w:eastAsia="Arial Unicode MS"/>
          <w:color w:val="auto"/>
          <w:spacing w:val="-4"/>
        </w:rPr>
        <w:t>25%</w:t>
      </w:r>
      <w:r>
        <w:rPr>
          <w:color w:val="auto"/>
          <w:spacing w:val="-4"/>
        </w:rPr>
        <w:t>，高温蒸汽处理后医疗废物中含</w:t>
      </w:r>
      <w:r>
        <w:rPr>
          <w:color w:val="auto"/>
        </w:rPr>
        <w:t>水率不大于</w:t>
      </w:r>
      <w:r>
        <w:rPr>
          <w:color w:val="auto"/>
          <w:spacing w:val="-78"/>
        </w:rPr>
        <w:t xml:space="preserve"> </w:t>
      </w:r>
      <w:r>
        <w:rPr>
          <w:rFonts w:eastAsia="Arial Unicode MS"/>
          <w:color w:val="auto"/>
        </w:rPr>
        <w:t>20%</w:t>
      </w:r>
      <w:r>
        <w:rPr>
          <w:color w:val="auto"/>
        </w:rPr>
        <w:t>，则该过程去除的水量（医疗废物渗滤液）约</w:t>
      </w:r>
      <w:r>
        <w:rPr>
          <w:color w:val="auto"/>
          <w:spacing w:val="-78"/>
        </w:rPr>
        <w:t xml:space="preserve"> </w:t>
      </w:r>
      <w:r>
        <w:rPr>
          <w:rFonts w:eastAsia="Arial Unicode MS"/>
          <w:color w:val="auto"/>
        </w:rPr>
        <w:t>0.25t/d</w:t>
      </w:r>
      <w:r>
        <w:rPr>
          <w:color w:val="auto"/>
        </w:rPr>
        <w:t>（</w:t>
      </w:r>
      <w:r>
        <w:rPr>
          <w:rFonts w:eastAsia="Arial Unicode MS"/>
          <w:color w:val="auto"/>
        </w:rPr>
        <w:t>82.5t/a</w:t>
      </w:r>
      <w:r>
        <w:rPr>
          <w:color w:val="auto"/>
        </w:rPr>
        <w:t>），最终主要以冷凝液的形式排出。</w:t>
      </w:r>
    </w:p>
    <w:p>
      <w:pPr>
        <w:pStyle w:val="130"/>
        <w:ind w:firstLine="480"/>
        <w:rPr>
          <w:color w:val="auto"/>
        </w:rPr>
      </w:pPr>
      <w:r>
        <w:rPr>
          <w:color w:val="auto"/>
        </w:rPr>
        <w:t>根据设备供应商提供的数据，整套设备冷凝效果按95%计，则本项目冷凝液产生量约2.14m</w:t>
      </w:r>
      <w:r>
        <w:rPr>
          <w:color w:val="auto"/>
          <w:vertAlign w:val="superscript"/>
        </w:rPr>
        <w:t>3</w:t>
      </w:r>
      <w:r>
        <w:rPr>
          <w:color w:val="auto"/>
        </w:rPr>
        <w:t>/d（706.2m</w:t>
      </w:r>
      <w:r>
        <w:rPr>
          <w:color w:val="auto"/>
          <w:vertAlign w:val="superscript"/>
        </w:rPr>
        <w:t>3</w:t>
      </w:r>
      <w:r>
        <w:rPr>
          <w:color w:val="auto"/>
        </w:rPr>
        <w:t>/a）。</w:t>
      </w:r>
    </w:p>
    <w:p>
      <w:pPr>
        <w:pStyle w:val="130"/>
        <w:ind w:firstLine="480"/>
        <w:rPr>
          <w:color w:val="auto"/>
        </w:rPr>
      </w:pPr>
      <w:r>
        <w:rPr>
          <w:color w:val="auto"/>
        </w:rPr>
        <w:t>本项目卸料、冷库暂存设施及破碎机会有少量渗滤液产生，产生量按处理量的5%计，则产生量约为0.25m</w:t>
      </w:r>
      <w:r>
        <w:rPr>
          <w:color w:val="auto"/>
          <w:vertAlign w:val="superscript"/>
        </w:rPr>
        <w:t>3</w:t>
      </w:r>
      <w:r>
        <w:rPr>
          <w:color w:val="auto"/>
        </w:rPr>
        <w:t>/d、82.5m</w:t>
      </w:r>
      <w:r>
        <w:rPr>
          <w:color w:val="auto"/>
          <w:vertAlign w:val="superscript"/>
        </w:rPr>
        <w:t>3</w:t>
      </w:r>
      <w:r>
        <w:rPr>
          <w:color w:val="auto"/>
        </w:rPr>
        <w:t>/a，经收集灭菌消毒后排入污水处理站处理。</w:t>
      </w:r>
    </w:p>
    <w:p>
      <w:pPr>
        <w:pStyle w:val="130"/>
        <w:ind w:firstLine="480"/>
        <w:rPr>
          <w:color w:val="auto"/>
        </w:rPr>
      </w:pPr>
      <w:r>
        <w:rPr>
          <w:color w:val="auto"/>
        </w:rPr>
        <w:t>综上所述：本项目高温蒸煮冷凝废水及渗滤液产生总量为2.39m</w:t>
      </w:r>
      <w:r>
        <w:rPr>
          <w:color w:val="auto"/>
          <w:vertAlign w:val="superscript"/>
        </w:rPr>
        <w:t>3</w:t>
      </w:r>
      <w:r>
        <w:rPr>
          <w:color w:val="auto"/>
        </w:rPr>
        <w:t>/d、788.7m</w:t>
      </w:r>
      <w:r>
        <w:rPr>
          <w:color w:val="auto"/>
          <w:vertAlign w:val="superscript"/>
        </w:rPr>
        <w:t>3</w:t>
      </w:r>
      <w:r>
        <w:rPr>
          <w:color w:val="auto"/>
        </w:rPr>
        <w:t>/a。</w:t>
      </w:r>
    </w:p>
    <w:p>
      <w:pPr>
        <w:pStyle w:val="130"/>
        <w:ind w:firstLine="480"/>
        <w:rPr>
          <w:color w:val="auto"/>
        </w:rPr>
      </w:pPr>
      <w:r>
        <w:rPr>
          <w:color w:val="auto"/>
        </w:rPr>
        <w:t>2、冲洗废水</w:t>
      </w:r>
    </w:p>
    <w:p>
      <w:pPr>
        <w:pStyle w:val="130"/>
        <w:ind w:firstLine="480"/>
        <w:rPr>
          <w:color w:val="auto"/>
        </w:rPr>
      </w:pPr>
      <w:r>
        <w:rPr>
          <w:color w:val="auto"/>
        </w:rPr>
        <w:t>⑴车辆冲洗废水</w:t>
      </w:r>
    </w:p>
    <w:p>
      <w:pPr>
        <w:pStyle w:val="130"/>
        <w:ind w:firstLine="480"/>
        <w:rPr>
          <w:color w:val="auto"/>
        </w:rPr>
      </w:pPr>
      <w:r>
        <w:rPr>
          <w:color w:val="auto"/>
        </w:rPr>
        <w:t>本项目车辆冲洗用水量约1.2m</w:t>
      </w:r>
      <w:r>
        <w:rPr>
          <w:color w:val="auto"/>
          <w:vertAlign w:val="superscript"/>
        </w:rPr>
        <w:t>3</w:t>
      </w:r>
      <w:r>
        <w:rPr>
          <w:color w:val="auto"/>
        </w:rPr>
        <w:t>/d（396m</w:t>
      </w:r>
      <w:r>
        <w:rPr>
          <w:color w:val="auto"/>
          <w:vertAlign w:val="superscript"/>
        </w:rPr>
        <w:t>3</w:t>
      </w:r>
      <w:r>
        <w:rPr>
          <w:color w:val="auto"/>
        </w:rPr>
        <w:t>/a），排水量按用水量的80%计，则排水量为0.96m</w:t>
      </w:r>
      <w:r>
        <w:rPr>
          <w:color w:val="auto"/>
          <w:vertAlign w:val="superscript"/>
        </w:rPr>
        <w:t>3</w:t>
      </w:r>
      <w:r>
        <w:rPr>
          <w:color w:val="auto"/>
        </w:rPr>
        <w:t>/d（316.8m</w:t>
      </w:r>
      <w:r>
        <w:rPr>
          <w:color w:val="auto"/>
          <w:vertAlign w:val="superscript"/>
        </w:rPr>
        <w:t>3</w:t>
      </w:r>
      <w:r>
        <w:rPr>
          <w:color w:val="auto"/>
        </w:rPr>
        <w:t>/a）。</w:t>
      </w:r>
    </w:p>
    <w:p>
      <w:pPr>
        <w:pStyle w:val="130"/>
        <w:ind w:firstLine="480"/>
        <w:rPr>
          <w:color w:val="auto"/>
        </w:rPr>
      </w:pPr>
      <w:r>
        <w:rPr>
          <w:color w:val="auto"/>
        </w:rPr>
        <w:t>⑵周转箱冲洗废水</w:t>
      </w:r>
    </w:p>
    <w:p>
      <w:pPr>
        <w:pStyle w:val="130"/>
        <w:ind w:firstLine="480"/>
        <w:rPr>
          <w:color w:val="auto"/>
        </w:rPr>
      </w:pPr>
      <w:r>
        <w:rPr>
          <w:color w:val="auto"/>
        </w:rPr>
        <w:t>本项目周转箱冲洗用水量约为2m</w:t>
      </w:r>
      <w:r>
        <w:rPr>
          <w:color w:val="auto"/>
          <w:vertAlign w:val="superscript"/>
        </w:rPr>
        <w:t>3</w:t>
      </w:r>
      <w:r>
        <w:rPr>
          <w:color w:val="auto"/>
        </w:rPr>
        <w:t>/d（660m</w:t>
      </w:r>
      <w:r>
        <w:rPr>
          <w:color w:val="auto"/>
          <w:vertAlign w:val="superscript"/>
        </w:rPr>
        <w:t>3</w:t>
      </w:r>
      <w:r>
        <w:rPr>
          <w:color w:val="auto"/>
        </w:rPr>
        <w:t>/a），排水量按照用水量80%计算，则排水量为1.6m</w:t>
      </w:r>
      <w:r>
        <w:rPr>
          <w:color w:val="auto"/>
          <w:vertAlign w:val="superscript"/>
        </w:rPr>
        <w:t>3</w:t>
      </w:r>
      <w:r>
        <w:rPr>
          <w:color w:val="auto"/>
        </w:rPr>
        <w:t>/d（528m</w:t>
      </w:r>
      <w:r>
        <w:rPr>
          <w:color w:val="auto"/>
          <w:vertAlign w:val="superscript"/>
        </w:rPr>
        <w:t>3</w:t>
      </w:r>
      <w:r>
        <w:rPr>
          <w:color w:val="auto"/>
        </w:rPr>
        <w:t>/a）。</w:t>
      </w:r>
    </w:p>
    <w:p>
      <w:pPr>
        <w:pStyle w:val="130"/>
        <w:ind w:firstLine="480"/>
        <w:rPr>
          <w:color w:val="auto"/>
        </w:rPr>
      </w:pPr>
      <w:r>
        <w:rPr>
          <w:color w:val="auto"/>
        </w:rPr>
        <w:t>⑶场地冲洗废水</w:t>
      </w:r>
    </w:p>
    <w:p>
      <w:pPr>
        <w:pStyle w:val="130"/>
        <w:ind w:firstLine="480"/>
        <w:rPr>
          <w:color w:val="auto"/>
        </w:rPr>
      </w:pPr>
      <w:r>
        <w:rPr>
          <w:color w:val="auto"/>
        </w:rPr>
        <w:t>本项目场地冲洗用水约0.914m</w:t>
      </w:r>
      <w:r>
        <w:rPr>
          <w:color w:val="auto"/>
          <w:vertAlign w:val="superscript"/>
        </w:rPr>
        <w:t>3</w:t>
      </w:r>
      <w:r>
        <w:rPr>
          <w:color w:val="auto"/>
        </w:rPr>
        <w:t>/d（301.62m</w:t>
      </w:r>
      <w:r>
        <w:rPr>
          <w:color w:val="auto"/>
          <w:vertAlign w:val="superscript"/>
        </w:rPr>
        <w:t>3</w:t>
      </w:r>
      <w:r>
        <w:rPr>
          <w:color w:val="auto"/>
        </w:rPr>
        <w:t>/a），排水量按照用水量80%计算，则排水量为0.73m</w:t>
      </w:r>
      <w:r>
        <w:rPr>
          <w:color w:val="auto"/>
          <w:vertAlign w:val="superscript"/>
        </w:rPr>
        <w:t>3</w:t>
      </w:r>
      <w:r>
        <w:rPr>
          <w:color w:val="auto"/>
        </w:rPr>
        <w:t>/d（240.9m</w:t>
      </w:r>
      <w:r>
        <w:rPr>
          <w:color w:val="auto"/>
          <w:vertAlign w:val="superscript"/>
        </w:rPr>
        <w:t>3</w:t>
      </w:r>
      <w:r>
        <w:rPr>
          <w:color w:val="auto"/>
        </w:rPr>
        <w:t>/a）。</w:t>
      </w:r>
    </w:p>
    <w:p>
      <w:pPr>
        <w:pStyle w:val="130"/>
        <w:ind w:firstLine="480"/>
        <w:rPr>
          <w:color w:val="auto"/>
        </w:rPr>
      </w:pPr>
      <w:r>
        <w:rPr>
          <w:color w:val="auto"/>
        </w:rPr>
        <w:t>3、冷却水循环系统排水</w:t>
      </w:r>
    </w:p>
    <w:p>
      <w:pPr>
        <w:pStyle w:val="130"/>
        <w:ind w:firstLine="480"/>
        <w:rPr>
          <w:color w:val="auto"/>
        </w:rPr>
      </w:pPr>
      <w:r>
        <w:rPr>
          <w:color w:val="auto"/>
        </w:rPr>
        <w:t>循环水系统在运行过程存在一定的循环排污水，排水量约为补水量的的10%，则排水量为0.37m</w:t>
      </w:r>
      <w:r>
        <w:rPr>
          <w:color w:val="auto"/>
          <w:vertAlign w:val="superscript"/>
        </w:rPr>
        <w:t>3</w:t>
      </w:r>
      <w:r>
        <w:rPr>
          <w:color w:val="auto"/>
        </w:rPr>
        <w:t>/d（122.1m</w:t>
      </w:r>
      <w:r>
        <w:rPr>
          <w:color w:val="auto"/>
          <w:vertAlign w:val="superscript"/>
        </w:rPr>
        <w:t>3</w:t>
      </w:r>
      <w:r>
        <w:rPr>
          <w:color w:val="auto"/>
        </w:rPr>
        <w:t>/a）。</w:t>
      </w:r>
    </w:p>
    <w:p>
      <w:pPr>
        <w:pStyle w:val="130"/>
        <w:ind w:firstLine="480"/>
        <w:rPr>
          <w:color w:val="auto"/>
        </w:rPr>
      </w:pPr>
      <w:r>
        <w:rPr>
          <w:color w:val="auto"/>
        </w:rPr>
        <w:t>4、蒸汽发生器及电锅炉软水制备废水</w:t>
      </w:r>
    </w:p>
    <w:p>
      <w:pPr>
        <w:pStyle w:val="130"/>
        <w:ind w:firstLine="480"/>
        <w:rPr>
          <w:color w:val="auto"/>
        </w:rPr>
      </w:pPr>
      <w:r>
        <w:rPr>
          <w:color w:val="auto"/>
        </w:rPr>
        <w:t>软水设备排水量为冬季0.67m</w:t>
      </w:r>
      <w:r>
        <w:rPr>
          <w:color w:val="auto"/>
          <w:vertAlign w:val="superscript"/>
        </w:rPr>
        <w:t>3</w:t>
      </w:r>
      <w:r>
        <w:rPr>
          <w:color w:val="auto"/>
        </w:rPr>
        <w:t>/d；其他季节0.35m</w:t>
      </w:r>
      <w:r>
        <w:rPr>
          <w:color w:val="auto"/>
          <w:vertAlign w:val="superscript"/>
        </w:rPr>
        <w:t>3</w:t>
      </w:r>
      <w:r>
        <w:rPr>
          <w:color w:val="auto"/>
        </w:rPr>
        <w:t>/d，全年160.15m</w:t>
      </w:r>
      <w:r>
        <w:rPr>
          <w:color w:val="auto"/>
          <w:vertAlign w:val="superscript"/>
        </w:rPr>
        <w:t>3</w:t>
      </w:r>
      <w:r>
        <w:rPr>
          <w:color w:val="auto"/>
        </w:rPr>
        <w:t>/a。</w:t>
      </w:r>
    </w:p>
    <w:p>
      <w:pPr>
        <w:pStyle w:val="130"/>
        <w:ind w:firstLine="480"/>
        <w:rPr>
          <w:color w:val="auto"/>
        </w:rPr>
      </w:pPr>
      <w:r>
        <w:rPr>
          <w:color w:val="auto"/>
        </w:rPr>
        <w:t>5、碱洗喷淋水箱废水</w:t>
      </w:r>
    </w:p>
    <w:p>
      <w:pPr>
        <w:pStyle w:val="130"/>
        <w:ind w:firstLine="480"/>
        <w:rPr>
          <w:color w:val="auto"/>
        </w:rPr>
      </w:pPr>
      <w:r>
        <w:rPr>
          <w:color w:val="auto"/>
        </w:rPr>
        <w:t>碱洗喷淋水箱用水量为0.4m</w:t>
      </w:r>
      <w:r>
        <w:rPr>
          <w:color w:val="auto"/>
          <w:vertAlign w:val="superscript"/>
        </w:rPr>
        <w:t>3</w:t>
      </w:r>
      <w:r>
        <w:rPr>
          <w:color w:val="auto"/>
        </w:rPr>
        <w:t>/d（132m</w:t>
      </w:r>
      <w:r>
        <w:rPr>
          <w:color w:val="auto"/>
          <w:vertAlign w:val="superscript"/>
        </w:rPr>
        <w:t>3</w:t>
      </w:r>
      <w:r>
        <w:rPr>
          <w:color w:val="auto"/>
        </w:rPr>
        <w:t>/a），排水量为用水量的80%，排水量105.6m</w:t>
      </w:r>
      <w:r>
        <w:rPr>
          <w:color w:val="auto"/>
          <w:vertAlign w:val="superscript"/>
        </w:rPr>
        <w:t>3</w:t>
      </w:r>
      <w:r>
        <w:rPr>
          <w:color w:val="auto"/>
        </w:rPr>
        <w:t>/a（0.32m</w:t>
      </w:r>
      <w:r>
        <w:rPr>
          <w:color w:val="auto"/>
          <w:vertAlign w:val="superscript"/>
        </w:rPr>
        <w:t>3</w:t>
      </w:r>
      <w:r>
        <w:rPr>
          <w:color w:val="auto"/>
        </w:rPr>
        <w:t>/d）。</w:t>
      </w:r>
    </w:p>
    <w:p>
      <w:pPr>
        <w:pStyle w:val="130"/>
        <w:ind w:firstLine="480"/>
        <w:rPr>
          <w:color w:val="auto"/>
        </w:rPr>
      </w:pPr>
      <w:r>
        <w:rPr>
          <w:color w:val="auto"/>
        </w:rPr>
        <w:t>经计算，本项目生产废水排放量为冬季7.04m</w:t>
      </w:r>
      <w:r>
        <w:rPr>
          <w:color w:val="auto"/>
          <w:vertAlign w:val="superscript"/>
        </w:rPr>
        <w:t>3</w:t>
      </w:r>
      <w:r>
        <w:rPr>
          <w:color w:val="auto"/>
        </w:rPr>
        <w:t>/d，其他季节6.72m</w:t>
      </w:r>
      <w:r>
        <w:rPr>
          <w:color w:val="auto"/>
          <w:vertAlign w:val="superscript"/>
        </w:rPr>
        <w:t>3</w:t>
      </w:r>
      <w:r>
        <w:rPr>
          <w:color w:val="auto"/>
        </w:rPr>
        <w:t>/d，全年排放量为2262.25m</w:t>
      </w:r>
      <w:r>
        <w:rPr>
          <w:color w:val="auto"/>
          <w:vertAlign w:val="superscript"/>
        </w:rPr>
        <w:t>3</w:t>
      </w:r>
      <w:r>
        <w:rPr>
          <w:color w:val="auto"/>
        </w:rPr>
        <w:t>/a，生产废水进入污水处理站进行处理达标后用于中卫市垃圾填埋场道路洒水抑尘。</w:t>
      </w:r>
    </w:p>
    <w:p>
      <w:pPr>
        <w:pStyle w:val="130"/>
        <w:ind w:firstLine="480"/>
        <w:rPr>
          <w:color w:val="auto"/>
        </w:rPr>
      </w:pPr>
      <w:r>
        <w:rPr>
          <w:color w:val="auto"/>
        </w:rPr>
        <w:t>6、生活污水</w:t>
      </w:r>
    </w:p>
    <w:p>
      <w:pPr>
        <w:pStyle w:val="130"/>
        <w:ind w:firstLine="480"/>
        <w:rPr>
          <w:color w:val="auto"/>
        </w:rPr>
      </w:pPr>
      <w:r>
        <w:rPr>
          <w:color w:val="auto"/>
        </w:rPr>
        <w:t>生活用水量为2.42m</w:t>
      </w:r>
      <w:r>
        <w:rPr>
          <w:color w:val="auto"/>
          <w:vertAlign w:val="superscript"/>
        </w:rPr>
        <w:t>3</w:t>
      </w:r>
      <w:r>
        <w:rPr>
          <w:color w:val="auto"/>
        </w:rPr>
        <w:t>/d，798.6m</w:t>
      </w:r>
      <w:r>
        <w:rPr>
          <w:color w:val="auto"/>
          <w:vertAlign w:val="superscript"/>
        </w:rPr>
        <w:t>3</w:t>
      </w:r>
      <w:r>
        <w:rPr>
          <w:color w:val="auto"/>
        </w:rPr>
        <w:t>/a，排水系数按80%计，排放量为1.94m</w:t>
      </w:r>
      <w:r>
        <w:rPr>
          <w:color w:val="auto"/>
          <w:vertAlign w:val="superscript"/>
        </w:rPr>
        <w:t>3</w:t>
      </w:r>
      <w:r>
        <w:rPr>
          <w:color w:val="auto"/>
        </w:rPr>
        <w:t>/d，638.88m</w:t>
      </w:r>
      <w:r>
        <w:rPr>
          <w:color w:val="auto"/>
          <w:vertAlign w:val="superscript"/>
        </w:rPr>
        <w:t>3</w:t>
      </w:r>
      <w:r>
        <w:rPr>
          <w:color w:val="auto"/>
        </w:rPr>
        <w:t>/a。生活污水依托现有化粪池处理，化粪池满后用吸污车运送至中卫市生活垃圾填埋场的渗滤液调蓄池。</w:t>
      </w:r>
    </w:p>
    <w:p>
      <w:pPr>
        <w:pStyle w:val="130"/>
        <w:ind w:firstLine="480"/>
        <w:rPr>
          <w:color w:val="auto"/>
        </w:rPr>
      </w:pPr>
      <w:r>
        <w:rPr>
          <w:color w:val="auto"/>
        </w:rPr>
        <w:t xml:space="preserve">本项目用排水情况见表4.2-1，水平衡图见图4.2-1。 </w:t>
      </w:r>
    </w:p>
    <w:p>
      <w:pPr>
        <w:pStyle w:val="114"/>
        <w:spacing w:before="120"/>
        <w:rPr>
          <w:rStyle w:val="115"/>
          <w:b/>
          <w:color w:val="auto"/>
        </w:rPr>
      </w:pPr>
      <w:r>
        <w:rPr>
          <w:color w:val="auto"/>
        </w:rPr>
        <w:t xml:space="preserve">  表 4.2-1  本项目用排水情况表</w:t>
      </w:r>
    </w:p>
    <w:tbl>
      <w:tblPr>
        <w:tblStyle w:val="74"/>
        <w:tblW w:w="9045"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424"/>
        <w:gridCol w:w="462"/>
        <w:gridCol w:w="690"/>
        <w:gridCol w:w="771"/>
        <w:gridCol w:w="998"/>
        <w:gridCol w:w="729"/>
        <w:gridCol w:w="731"/>
        <w:gridCol w:w="1020"/>
        <w:gridCol w:w="878"/>
        <w:gridCol w:w="1022"/>
        <w:gridCol w:w="750"/>
        <w:gridCol w:w="57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5" w:hRule="atLeast"/>
          <w:jc w:val="center"/>
        </w:trPr>
        <w:tc>
          <w:tcPr>
            <w:tcW w:w="886" w:type="dxa"/>
            <w:gridSpan w:val="2"/>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序号</w:t>
            </w:r>
          </w:p>
        </w:tc>
        <w:tc>
          <w:tcPr>
            <w:tcW w:w="690"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用水环节</w:t>
            </w:r>
          </w:p>
        </w:tc>
        <w:tc>
          <w:tcPr>
            <w:tcW w:w="771"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新鲜水</w:t>
            </w:r>
          </w:p>
          <w:p>
            <w:pPr>
              <w:spacing w:line="240" w:lineRule="exact"/>
              <w:jc w:val="center"/>
              <w:rPr>
                <w:rFonts w:cs="宋体"/>
                <w:color w:val="auto"/>
                <w:kern w:val="0"/>
                <w:szCs w:val="21"/>
              </w:rPr>
            </w:pPr>
            <w:r>
              <w:rPr>
                <w:color w:val="auto"/>
                <w:kern w:val="0"/>
                <w:szCs w:val="24"/>
              </w:rPr>
              <w:t>m</w:t>
            </w:r>
            <w:r>
              <w:rPr>
                <w:color w:val="auto"/>
                <w:kern w:val="0"/>
                <w:szCs w:val="24"/>
                <w:vertAlign w:val="superscript"/>
              </w:rPr>
              <w:t>3</w:t>
            </w:r>
            <w:r>
              <w:rPr>
                <w:color w:val="auto"/>
                <w:kern w:val="0"/>
                <w:szCs w:val="24"/>
              </w:rPr>
              <w:t>/a</w:t>
            </w:r>
          </w:p>
        </w:tc>
        <w:tc>
          <w:tcPr>
            <w:tcW w:w="998"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新鲜水</w:t>
            </w:r>
          </w:p>
          <w:p>
            <w:pPr>
              <w:spacing w:line="240" w:lineRule="exact"/>
              <w:jc w:val="center"/>
              <w:rPr>
                <w:rFonts w:cs="宋体"/>
                <w:color w:val="auto"/>
                <w:kern w:val="0"/>
                <w:szCs w:val="21"/>
              </w:rPr>
            </w:pPr>
            <w:r>
              <w:rPr>
                <w:color w:val="auto"/>
                <w:kern w:val="0"/>
                <w:szCs w:val="24"/>
              </w:rPr>
              <w:t>m</w:t>
            </w:r>
            <w:r>
              <w:rPr>
                <w:color w:val="auto"/>
                <w:kern w:val="0"/>
                <w:szCs w:val="24"/>
                <w:vertAlign w:val="superscript"/>
              </w:rPr>
              <w:t>3</w:t>
            </w:r>
            <w:r>
              <w:rPr>
                <w:color w:val="auto"/>
                <w:kern w:val="0"/>
                <w:szCs w:val="24"/>
              </w:rPr>
              <w:t>/d</w:t>
            </w:r>
          </w:p>
        </w:tc>
        <w:tc>
          <w:tcPr>
            <w:tcW w:w="729"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蒸汽</w:t>
            </w:r>
          </w:p>
          <w:p>
            <w:pPr>
              <w:spacing w:line="240" w:lineRule="exact"/>
              <w:jc w:val="center"/>
              <w:rPr>
                <w:rFonts w:cs="宋体"/>
                <w:color w:val="auto"/>
                <w:kern w:val="0"/>
                <w:szCs w:val="21"/>
              </w:rPr>
            </w:pPr>
            <w:r>
              <w:rPr>
                <w:rFonts w:hint="eastAsia" w:cs="宋体"/>
                <w:color w:val="auto"/>
                <w:kern w:val="0"/>
                <w:szCs w:val="21"/>
              </w:rPr>
              <w:t>带入水</w:t>
            </w:r>
            <w:r>
              <w:rPr>
                <w:color w:val="auto"/>
                <w:kern w:val="0"/>
                <w:szCs w:val="24"/>
              </w:rPr>
              <w:t>m</w:t>
            </w:r>
            <w:r>
              <w:rPr>
                <w:color w:val="auto"/>
                <w:kern w:val="0"/>
                <w:szCs w:val="24"/>
                <w:vertAlign w:val="superscript"/>
              </w:rPr>
              <w:t>3</w:t>
            </w:r>
            <w:r>
              <w:rPr>
                <w:color w:val="auto"/>
                <w:kern w:val="0"/>
                <w:szCs w:val="24"/>
              </w:rPr>
              <w:t>/a</w:t>
            </w:r>
          </w:p>
        </w:tc>
        <w:tc>
          <w:tcPr>
            <w:tcW w:w="731"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蒸汽</w:t>
            </w:r>
          </w:p>
          <w:p>
            <w:pPr>
              <w:spacing w:line="240" w:lineRule="exact"/>
              <w:jc w:val="center"/>
              <w:rPr>
                <w:rFonts w:cs="宋体"/>
                <w:color w:val="auto"/>
                <w:kern w:val="0"/>
                <w:szCs w:val="21"/>
              </w:rPr>
            </w:pPr>
            <w:r>
              <w:rPr>
                <w:rFonts w:hint="eastAsia" w:cs="宋体"/>
                <w:color w:val="auto"/>
                <w:kern w:val="0"/>
                <w:szCs w:val="21"/>
              </w:rPr>
              <w:t>带入水</w:t>
            </w:r>
            <w:r>
              <w:rPr>
                <w:color w:val="auto"/>
                <w:kern w:val="0"/>
                <w:szCs w:val="24"/>
              </w:rPr>
              <w:t>m</w:t>
            </w:r>
            <w:r>
              <w:rPr>
                <w:color w:val="auto"/>
                <w:kern w:val="0"/>
                <w:szCs w:val="24"/>
                <w:vertAlign w:val="superscript"/>
              </w:rPr>
              <w:t>3</w:t>
            </w:r>
            <w:r>
              <w:rPr>
                <w:color w:val="auto"/>
                <w:kern w:val="0"/>
                <w:szCs w:val="24"/>
              </w:rPr>
              <w:t>/d</w:t>
            </w:r>
          </w:p>
        </w:tc>
        <w:tc>
          <w:tcPr>
            <w:tcW w:w="1020"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损失量</w:t>
            </w:r>
            <w:r>
              <w:rPr>
                <w:color w:val="auto"/>
                <w:kern w:val="0"/>
                <w:szCs w:val="24"/>
              </w:rPr>
              <w:t>m</w:t>
            </w:r>
            <w:r>
              <w:rPr>
                <w:color w:val="auto"/>
                <w:kern w:val="0"/>
                <w:szCs w:val="24"/>
                <w:vertAlign w:val="superscript"/>
              </w:rPr>
              <w:t>3</w:t>
            </w:r>
            <w:r>
              <w:rPr>
                <w:color w:val="auto"/>
                <w:kern w:val="0"/>
                <w:szCs w:val="24"/>
              </w:rPr>
              <w:t>/a</w:t>
            </w:r>
          </w:p>
        </w:tc>
        <w:tc>
          <w:tcPr>
            <w:tcW w:w="878"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损失量</w:t>
            </w:r>
            <w:r>
              <w:rPr>
                <w:color w:val="auto"/>
                <w:kern w:val="0"/>
                <w:szCs w:val="24"/>
              </w:rPr>
              <w:t>m</w:t>
            </w:r>
            <w:r>
              <w:rPr>
                <w:color w:val="auto"/>
                <w:kern w:val="0"/>
                <w:szCs w:val="24"/>
                <w:vertAlign w:val="superscript"/>
              </w:rPr>
              <w:t>3</w:t>
            </w:r>
            <w:r>
              <w:rPr>
                <w:color w:val="auto"/>
                <w:kern w:val="0"/>
                <w:szCs w:val="24"/>
              </w:rPr>
              <w:t>/d</w:t>
            </w:r>
          </w:p>
        </w:tc>
        <w:tc>
          <w:tcPr>
            <w:tcW w:w="2342" w:type="dxa"/>
            <w:gridSpan w:val="3"/>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废水量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5" w:hRule="atLeast"/>
          <w:jc w:val="center"/>
        </w:trPr>
        <w:tc>
          <w:tcPr>
            <w:tcW w:w="886" w:type="dxa"/>
            <w:gridSpan w:val="2"/>
            <w:vMerge w:val="continue"/>
            <w:shd w:val="clear" w:color="auto" w:fill="auto"/>
            <w:vAlign w:val="center"/>
          </w:tcPr>
          <w:p>
            <w:pPr>
              <w:widowControl/>
              <w:spacing w:line="240" w:lineRule="exact"/>
              <w:jc w:val="center"/>
              <w:rPr>
                <w:rFonts w:cs="宋体"/>
                <w:color w:val="auto"/>
                <w:kern w:val="0"/>
                <w:szCs w:val="21"/>
              </w:rPr>
            </w:pPr>
          </w:p>
        </w:tc>
        <w:tc>
          <w:tcPr>
            <w:tcW w:w="690" w:type="dxa"/>
            <w:vMerge w:val="continue"/>
            <w:shd w:val="clear" w:color="auto" w:fill="auto"/>
            <w:vAlign w:val="center"/>
          </w:tcPr>
          <w:p>
            <w:pPr>
              <w:widowControl/>
              <w:spacing w:line="240" w:lineRule="exact"/>
              <w:jc w:val="center"/>
              <w:rPr>
                <w:rFonts w:cs="宋体"/>
                <w:color w:val="auto"/>
                <w:kern w:val="0"/>
                <w:szCs w:val="21"/>
              </w:rPr>
            </w:pPr>
          </w:p>
        </w:tc>
        <w:tc>
          <w:tcPr>
            <w:tcW w:w="771" w:type="dxa"/>
            <w:vMerge w:val="continue"/>
            <w:shd w:val="clear" w:color="auto" w:fill="auto"/>
            <w:vAlign w:val="center"/>
          </w:tcPr>
          <w:p>
            <w:pPr>
              <w:widowControl/>
              <w:spacing w:line="240" w:lineRule="exact"/>
              <w:jc w:val="center"/>
              <w:rPr>
                <w:color w:val="auto"/>
                <w:kern w:val="0"/>
                <w:szCs w:val="24"/>
              </w:rPr>
            </w:pPr>
          </w:p>
        </w:tc>
        <w:tc>
          <w:tcPr>
            <w:tcW w:w="998" w:type="dxa"/>
            <w:vMerge w:val="continue"/>
            <w:shd w:val="clear" w:color="auto" w:fill="auto"/>
            <w:vAlign w:val="center"/>
          </w:tcPr>
          <w:p>
            <w:pPr>
              <w:widowControl/>
              <w:spacing w:line="240" w:lineRule="exact"/>
              <w:jc w:val="center"/>
              <w:rPr>
                <w:color w:val="auto"/>
                <w:kern w:val="0"/>
                <w:szCs w:val="24"/>
              </w:rPr>
            </w:pPr>
          </w:p>
        </w:tc>
        <w:tc>
          <w:tcPr>
            <w:tcW w:w="729" w:type="dxa"/>
            <w:vMerge w:val="continue"/>
            <w:shd w:val="clear" w:color="auto" w:fill="auto"/>
            <w:vAlign w:val="center"/>
          </w:tcPr>
          <w:p>
            <w:pPr>
              <w:widowControl/>
              <w:spacing w:line="240" w:lineRule="exact"/>
              <w:jc w:val="center"/>
              <w:rPr>
                <w:rFonts w:cs="宋体"/>
                <w:color w:val="auto"/>
                <w:kern w:val="0"/>
                <w:szCs w:val="21"/>
              </w:rPr>
            </w:pPr>
          </w:p>
        </w:tc>
        <w:tc>
          <w:tcPr>
            <w:tcW w:w="731" w:type="dxa"/>
            <w:vMerge w:val="continue"/>
            <w:shd w:val="clear" w:color="auto" w:fill="auto"/>
            <w:vAlign w:val="center"/>
          </w:tcPr>
          <w:p>
            <w:pPr>
              <w:widowControl/>
              <w:spacing w:line="240" w:lineRule="exact"/>
              <w:jc w:val="center"/>
              <w:rPr>
                <w:rFonts w:cs="宋体"/>
                <w:color w:val="auto"/>
                <w:kern w:val="0"/>
                <w:szCs w:val="21"/>
              </w:rPr>
            </w:pPr>
          </w:p>
        </w:tc>
        <w:tc>
          <w:tcPr>
            <w:tcW w:w="1020" w:type="dxa"/>
            <w:vMerge w:val="continue"/>
            <w:shd w:val="clear" w:color="auto" w:fill="auto"/>
            <w:vAlign w:val="center"/>
          </w:tcPr>
          <w:p>
            <w:pPr>
              <w:widowControl/>
              <w:spacing w:line="240" w:lineRule="exact"/>
              <w:jc w:val="center"/>
              <w:rPr>
                <w:rFonts w:cs="宋体"/>
                <w:color w:val="auto"/>
                <w:kern w:val="0"/>
                <w:szCs w:val="21"/>
              </w:rPr>
            </w:pPr>
          </w:p>
        </w:tc>
        <w:tc>
          <w:tcPr>
            <w:tcW w:w="878" w:type="dxa"/>
            <w:vMerge w:val="continue"/>
            <w:shd w:val="clear" w:color="auto" w:fill="auto"/>
            <w:vAlign w:val="center"/>
          </w:tcPr>
          <w:p>
            <w:pPr>
              <w:widowControl/>
              <w:spacing w:line="240" w:lineRule="exact"/>
              <w:jc w:val="center"/>
              <w:rPr>
                <w:rFonts w:cs="宋体"/>
                <w:color w:val="auto"/>
                <w:kern w:val="0"/>
                <w:szCs w:val="21"/>
              </w:rPr>
            </w:pPr>
          </w:p>
        </w:tc>
        <w:tc>
          <w:tcPr>
            <w:tcW w:w="1022"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产生量</w:t>
            </w:r>
            <w:r>
              <w:rPr>
                <w:color w:val="auto"/>
                <w:kern w:val="0"/>
                <w:szCs w:val="24"/>
              </w:rPr>
              <w:t>m</w:t>
            </w:r>
            <w:r>
              <w:rPr>
                <w:color w:val="auto"/>
                <w:kern w:val="0"/>
                <w:szCs w:val="24"/>
                <w:vertAlign w:val="superscript"/>
              </w:rPr>
              <w:t>3</w:t>
            </w:r>
            <w:r>
              <w:rPr>
                <w:color w:val="auto"/>
                <w:kern w:val="0"/>
                <w:szCs w:val="24"/>
              </w:rPr>
              <w:t>/a</w:t>
            </w:r>
          </w:p>
        </w:tc>
        <w:tc>
          <w:tcPr>
            <w:tcW w:w="75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产生量</w:t>
            </w:r>
            <w:r>
              <w:rPr>
                <w:color w:val="auto"/>
                <w:kern w:val="0"/>
                <w:szCs w:val="24"/>
              </w:rPr>
              <w:t>m</w:t>
            </w:r>
            <w:r>
              <w:rPr>
                <w:color w:val="auto"/>
                <w:kern w:val="0"/>
                <w:szCs w:val="24"/>
                <w:vertAlign w:val="superscript"/>
              </w:rPr>
              <w:t>3</w:t>
            </w:r>
            <w:r>
              <w:rPr>
                <w:color w:val="auto"/>
                <w:kern w:val="0"/>
                <w:szCs w:val="24"/>
              </w:rPr>
              <w:t>/d</w:t>
            </w:r>
          </w:p>
        </w:tc>
        <w:tc>
          <w:tcPr>
            <w:tcW w:w="57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排放量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861" w:hRule="atLeast"/>
          <w:jc w:val="center"/>
        </w:trPr>
        <w:tc>
          <w:tcPr>
            <w:tcW w:w="886" w:type="dxa"/>
            <w:gridSpan w:val="2"/>
            <w:shd w:val="clear" w:color="auto" w:fill="auto"/>
            <w:vAlign w:val="center"/>
          </w:tcPr>
          <w:p>
            <w:pPr>
              <w:widowControl/>
              <w:spacing w:line="240" w:lineRule="exact"/>
              <w:jc w:val="center"/>
              <w:rPr>
                <w:color w:val="auto"/>
                <w:kern w:val="0"/>
                <w:szCs w:val="21"/>
              </w:rPr>
            </w:pPr>
            <w:r>
              <w:rPr>
                <w:color w:val="auto"/>
                <w:kern w:val="0"/>
                <w:szCs w:val="21"/>
              </w:rPr>
              <w:t>1</w:t>
            </w: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车辆冲洗用水</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396</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1.2</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79.2</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0.24</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316.8</w:t>
            </w:r>
          </w:p>
        </w:tc>
        <w:tc>
          <w:tcPr>
            <w:tcW w:w="750" w:type="dxa"/>
            <w:shd w:val="clear" w:color="auto" w:fill="auto"/>
            <w:vAlign w:val="center"/>
          </w:tcPr>
          <w:p>
            <w:pPr>
              <w:widowControl/>
              <w:spacing w:line="240" w:lineRule="exact"/>
              <w:jc w:val="center"/>
              <w:rPr>
                <w:color w:val="auto"/>
                <w:kern w:val="0"/>
                <w:szCs w:val="21"/>
              </w:rPr>
            </w:pPr>
            <w:r>
              <w:rPr>
                <w:color w:val="auto"/>
                <w:kern w:val="0"/>
                <w:szCs w:val="21"/>
              </w:rPr>
              <w:t>0.96</w:t>
            </w:r>
          </w:p>
        </w:tc>
        <w:tc>
          <w:tcPr>
            <w:tcW w:w="570"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1114" w:hRule="atLeast"/>
          <w:jc w:val="center"/>
        </w:trPr>
        <w:tc>
          <w:tcPr>
            <w:tcW w:w="886" w:type="dxa"/>
            <w:gridSpan w:val="2"/>
            <w:shd w:val="clear" w:color="auto" w:fill="auto"/>
            <w:vAlign w:val="center"/>
          </w:tcPr>
          <w:p>
            <w:pPr>
              <w:widowControl/>
              <w:spacing w:line="240" w:lineRule="exact"/>
              <w:jc w:val="center"/>
              <w:rPr>
                <w:color w:val="auto"/>
                <w:kern w:val="0"/>
                <w:szCs w:val="21"/>
              </w:rPr>
            </w:pPr>
            <w:r>
              <w:rPr>
                <w:color w:val="auto"/>
                <w:kern w:val="0"/>
                <w:szCs w:val="21"/>
              </w:rPr>
              <w:t>2</w:t>
            </w: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周转箱冲洗用水</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660</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2</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132</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0.4</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528</w:t>
            </w:r>
          </w:p>
        </w:tc>
        <w:tc>
          <w:tcPr>
            <w:tcW w:w="750" w:type="dxa"/>
            <w:shd w:val="clear" w:color="auto" w:fill="auto"/>
            <w:vAlign w:val="center"/>
          </w:tcPr>
          <w:p>
            <w:pPr>
              <w:widowControl/>
              <w:spacing w:line="240" w:lineRule="exact"/>
              <w:jc w:val="center"/>
              <w:rPr>
                <w:color w:val="auto"/>
                <w:kern w:val="0"/>
                <w:szCs w:val="21"/>
              </w:rPr>
            </w:pPr>
            <w:r>
              <w:rPr>
                <w:color w:val="auto"/>
                <w:kern w:val="0"/>
                <w:szCs w:val="21"/>
              </w:rPr>
              <w:t>1.6</w:t>
            </w:r>
          </w:p>
        </w:tc>
        <w:tc>
          <w:tcPr>
            <w:tcW w:w="570"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845" w:hRule="atLeast"/>
          <w:jc w:val="center"/>
        </w:trPr>
        <w:tc>
          <w:tcPr>
            <w:tcW w:w="886" w:type="dxa"/>
            <w:gridSpan w:val="2"/>
            <w:shd w:val="clear" w:color="auto" w:fill="auto"/>
            <w:vAlign w:val="center"/>
          </w:tcPr>
          <w:p>
            <w:pPr>
              <w:widowControl/>
              <w:spacing w:line="240" w:lineRule="exact"/>
              <w:jc w:val="center"/>
              <w:rPr>
                <w:color w:val="auto"/>
                <w:kern w:val="0"/>
                <w:szCs w:val="21"/>
              </w:rPr>
            </w:pPr>
            <w:r>
              <w:rPr>
                <w:color w:val="auto"/>
                <w:kern w:val="0"/>
                <w:szCs w:val="21"/>
              </w:rPr>
              <w:t>3</w:t>
            </w: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场地冲洗用水</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301.62</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0.914</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60.72</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0.184</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240.9</w:t>
            </w:r>
          </w:p>
        </w:tc>
        <w:tc>
          <w:tcPr>
            <w:tcW w:w="750" w:type="dxa"/>
            <w:shd w:val="clear" w:color="auto" w:fill="auto"/>
            <w:vAlign w:val="center"/>
          </w:tcPr>
          <w:p>
            <w:pPr>
              <w:widowControl/>
              <w:spacing w:line="240" w:lineRule="exact"/>
              <w:jc w:val="center"/>
              <w:rPr>
                <w:color w:val="auto"/>
                <w:kern w:val="0"/>
                <w:szCs w:val="21"/>
              </w:rPr>
            </w:pPr>
            <w:r>
              <w:rPr>
                <w:color w:val="auto"/>
                <w:kern w:val="0"/>
                <w:szCs w:val="21"/>
              </w:rPr>
              <w:t>0.73</w:t>
            </w:r>
          </w:p>
        </w:tc>
        <w:tc>
          <w:tcPr>
            <w:tcW w:w="570"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5" w:hRule="atLeast"/>
          <w:jc w:val="center"/>
        </w:trPr>
        <w:tc>
          <w:tcPr>
            <w:tcW w:w="424" w:type="dxa"/>
            <w:tcBorders>
              <w:right w:val="single" w:color="auto" w:sz="4" w:space="0"/>
            </w:tcBorders>
            <w:shd w:val="clear" w:color="auto" w:fill="auto"/>
            <w:vAlign w:val="center"/>
          </w:tcPr>
          <w:p>
            <w:pPr>
              <w:widowControl/>
              <w:spacing w:line="240" w:lineRule="exact"/>
              <w:jc w:val="center"/>
              <w:rPr>
                <w:color w:val="auto"/>
                <w:kern w:val="0"/>
                <w:szCs w:val="21"/>
              </w:rPr>
            </w:pPr>
            <w:r>
              <w:rPr>
                <w:color w:val="auto"/>
                <w:kern w:val="0"/>
                <w:szCs w:val="21"/>
              </w:rPr>
              <w:t>4</w:t>
            </w:r>
          </w:p>
        </w:tc>
        <w:tc>
          <w:tcPr>
            <w:tcW w:w="462" w:type="dxa"/>
            <w:vMerge w:val="restart"/>
            <w:tcBorders>
              <w:left w:val="single" w:color="auto" w:sz="4" w:space="0"/>
            </w:tcBorders>
            <w:shd w:val="clear" w:color="auto" w:fill="auto"/>
            <w:vAlign w:val="center"/>
          </w:tcPr>
          <w:p>
            <w:pPr>
              <w:widowControl/>
              <w:spacing w:line="240" w:lineRule="exact"/>
              <w:jc w:val="center"/>
              <w:rPr>
                <w:color w:val="auto"/>
                <w:kern w:val="0"/>
                <w:szCs w:val="21"/>
              </w:rPr>
            </w:pPr>
            <w:r>
              <w:rPr>
                <w:rFonts w:hint="eastAsia"/>
                <w:color w:val="auto"/>
                <w:kern w:val="0"/>
                <w:szCs w:val="21"/>
              </w:rPr>
              <w:t>5t/d灭菌设备</w:t>
            </w: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冷却水循环系统用水</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1235.52</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3.744</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1113.42</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3.374</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122.1</w:t>
            </w:r>
          </w:p>
        </w:tc>
        <w:tc>
          <w:tcPr>
            <w:tcW w:w="750" w:type="dxa"/>
            <w:shd w:val="clear" w:color="auto" w:fill="auto"/>
            <w:vAlign w:val="center"/>
          </w:tcPr>
          <w:p>
            <w:pPr>
              <w:widowControl/>
              <w:spacing w:line="240" w:lineRule="exact"/>
              <w:jc w:val="center"/>
              <w:rPr>
                <w:color w:val="auto"/>
                <w:kern w:val="0"/>
                <w:szCs w:val="21"/>
              </w:rPr>
            </w:pPr>
            <w:r>
              <w:rPr>
                <w:color w:val="auto"/>
                <w:kern w:val="0"/>
                <w:szCs w:val="21"/>
              </w:rPr>
              <w:t>0.37</w:t>
            </w:r>
          </w:p>
        </w:tc>
        <w:tc>
          <w:tcPr>
            <w:tcW w:w="570"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1167" w:hRule="atLeast"/>
          <w:jc w:val="center"/>
        </w:trPr>
        <w:tc>
          <w:tcPr>
            <w:tcW w:w="424" w:type="dxa"/>
            <w:tcBorders>
              <w:right w:val="single" w:color="auto" w:sz="4" w:space="0"/>
            </w:tcBorders>
            <w:shd w:val="clear" w:color="auto" w:fill="auto"/>
            <w:vAlign w:val="center"/>
          </w:tcPr>
          <w:p>
            <w:pPr>
              <w:widowControl/>
              <w:spacing w:line="240" w:lineRule="exact"/>
              <w:jc w:val="center"/>
              <w:rPr>
                <w:color w:val="auto"/>
                <w:kern w:val="0"/>
                <w:szCs w:val="21"/>
              </w:rPr>
            </w:pPr>
            <w:r>
              <w:rPr>
                <w:color w:val="auto"/>
                <w:kern w:val="0"/>
                <w:szCs w:val="21"/>
              </w:rPr>
              <w:t>5</w:t>
            </w:r>
          </w:p>
        </w:tc>
        <w:tc>
          <w:tcPr>
            <w:tcW w:w="462" w:type="dxa"/>
            <w:vMerge w:val="continue"/>
            <w:tcBorders>
              <w:left w:val="single" w:color="auto" w:sz="4" w:space="0"/>
            </w:tcBorders>
            <w:shd w:val="clear" w:color="auto" w:fill="auto"/>
            <w:vAlign w:val="center"/>
          </w:tcPr>
          <w:p>
            <w:pPr>
              <w:widowControl/>
              <w:spacing w:line="240" w:lineRule="exact"/>
              <w:jc w:val="center"/>
              <w:rPr>
                <w:color w:val="auto"/>
                <w:kern w:val="0"/>
                <w:szCs w:val="21"/>
              </w:rPr>
            </w:pP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蒸汽发生器用水</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775.5</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2.35</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660</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2</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115.5</w:t>
            </w:r>
          </w:p>
        </w:tc>
        <w:tc>
          <w:tcPr>
            <w:tcW w:w="750" w:type="dxa"/>
            <w:shd w:val="clear" w:color="auto" w:fill="auto"/>
            <w:vAlign w:val="center"/>
          </w:tcPr>
          <w:p>
            <w:pPr>
              <w:widowControl/>
              <w:spacing w:line="240" w:lineRule="exact"/>
              <w:jc w:val="center"/>
              <w:rPr>
                <w:color w:val="auto"/>
                <w:kern w:val="0"/>
                <w:szCs w:val="21"/>
              </w:rPr>
            </w:pPr>
            <w:r>
              <w:rPr>
                <w:color w:val="auto"/>
                <w:kern w:val="0"/>
                <w:szCs w:val="21"/>
              </w:rPr>
              <w:t>0.35</w:t>
            </w:r>
          </w:p>
        </w:tc>
        <w:tc>
          <w:tcPr>
            <w:tcW w:w="570"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897" w:hRule="atLeast"/>
          <w:jc w:val="center"/>
        </w:trPr>
        <w:tc>
          <w:tcPr>
            <w:tcW w:w="424" w:type="dxa"/>
            <w:tcBorders>
              <w:right w:val="single" w:color="auto" w:sz="4" w:space="0"/>
            </w:tcBorders>
            <w:shd w:val="clear" w:color="auto" w:fill="auto"/>
            <w:vAlign w:val="center"/>
          </w:tcPr>
          <w:p>
            <w:pPr>
              <w:widowControl/>
              <w:spacing w:line="240" w:lineRule="exact"/>
              <w:jc w:val="center"/>
              <w:rPr>
                <w:color w:val="auto"/>
                <w:kern w:val="0"/>
                <w:szCs w:val="21"/>
              </w:rPr>
            </w:pPr>
            <w:r>
              <w:rPr>
                <w:rFonts w:hint="eastAsia"/>
                <w:color w:val="auto"/>
                <w:kern w:val="0"/>
                <w:szCs w:val="21"/>
              </w:rPr>
              <w:t>6</w:t>
            </w:r>
          </w:p>
        </w:tc>
        <w:tc>
          <w:tcPr>
            <w:tcW w:w="462" w:type="dxa"/>
            <w:vMerge w:val="continue"/>
            <w:tcBorders>
              <w:left w:val="single" w:color="auto" w:sz="4" w:space="0"/>
            </w:tcBorders>
            <w:shd w:val="clear" w:color="auto" w:fill="auto"/>
            <w:vAlign w:val="center"/>
          </w:tcPr>
          <w:p>
            <w:pPr>
              <w:widowControl/>
              <w:spacing w:line="240" w:lineRule="exact"/>
              <w:jc w:val="center"/>
              <w:rPr>
                <w:color w:val="auto"/>
                <w:kern w:val="0"/>
                <w:szCs w:val="21"/>
              </w:rPr>
            </w:pP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高温灭菌装置</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825</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2.5</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36.3</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0.11</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788.7</w:t>
            </w:r>
          </w:p>
        </w:tc>
        <w:tc>
          <w:tcPr>
            <w:tcW w:w="750" w:type="dxa"/>
            <w:shd w:val="clear" w:color="auto" w:fill="auto"/>
            <w:vAlign w:val="center"/>
          </w:tcPr>
          <w:p>
            <w:pPr>
              <w:widowControl/>
              <w:spacing w:line="240" w:lineRule="exact"/>
              <w:jc w:val="center"/>
              <w:rPr>
                <w:color w:val="auto"/>
                <w:kern w:val="0"/>
                <w:szCs w:val="21"/>
              </w:rPr>
            </w:pPr>
            <w:r>
              <w:rPr>
                <w:color w:val="auto"/>
                <w:kern w:val="0"/>
                <w:szCs w:val="21"/>
              </w:rPr>
              <w:t>2.39</w:t>
            </w:r>
          </w:p>
        </w:tc>
        <w:tc>
          <w:tcPr>
            <w:tcW w:w="570"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865" w:hRule="atLeast"/>
          <w:jc w:val="center"/>
        </w:trPr>
        <w:tc>
          <w:tcPr>
            <w:tcW w:w="886" w:type="dxa"/>
            <w:gridSpan w:val="2"/>
            <w:shd w:val="clear" w:color="auto" w:fill="auto"/>
            <w:vAlign w:val="center"/>
          </w:tcPr>
          <w:p>
            <w:pPr>
              <w:widowControl/>
              <w:spacing w:line="240" w:lineRule="exact"/>
              <w:jc w:val="center"/>
              <w:rPr>
                <w:color w:val="auto"/>
                <w:kern w:val="0"/>
                <w:szCs w:val="21"/>
              </w:rPr>
            </w:pPr>
            <w:r>
              <w:rPr>
                <w:rFonts w:hint="eastAsia"/>
                <w:color w:val="auto"/>
                <w:kern w:val="0"/>
                <w:szCs w:val="21"/>
              </w:rPr>
              <w:t>7</w:t>
            </w:r>
            <w:r>
              <w:rPr>
                <w:color w:val="auto"/>
                <w:kern w:val="0"/>
                <w:szCs w:val="21"/>
              </w:rPr>
              <w:t>*</w:t>
            </w: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电锅炉用水</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292.56</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2.12</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248.4</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1.8</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44.16</w:t>
            </w:r>
          </w:p>
        </w:tc>
        <w:tc>
          <w:tcPr>
            <w:tcW w:w="750" w:type="dxa"/>
            <w:shd w:val="clear" w:color="auto" w:fill="auto"/>
            <w:vAlign w:val="center"/>
          </w:tcPr>
          <w:p>
            <w:pPr>
              <w:widowControl/>
              <w:spacing w:line="240" w:lineRule="exact"/>
              <w:jc w:val="center"/>
              <w:rPr>
                <w:color w:val="auto"/>
                <w:kern w:val="0"/>
                <w:szCs w:val="21"/>
              </w:rPr>
            </w:pPr>
            <w:r>
              <w:rPr>
                <w:color w:val="auto"/>
                <w:kern w:val="0"/>
                <w:szCs w:val="21"/>
              </w:rPr>
              <w:t>0.32</w:t>
            </w:r>
          </w:p>
        </w:tc>
        <w:tc>
          <w:tcPr>
            <w:tcW w:w="570"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1131" w:hRule="atLeast"/>
          <w:jc w:val="center"/>
        </w:trPr>
        <w:tc>
          <w:tcPr>
            <w:tcW w:w="886" w:type="dxa"/>
            <w:gridSpan w:val="2"/>
            <w:shd w:val="clear" w:color="auto" w:fill="auto"/>
            <w:vAlign w:val="center"/>
          </w:tcPr>
          <w:p>
            <w:pPr>
              <w:widowControl/>
              <w:spacing w:line="240" w:lineRule="exact"/>
              <w:jc w:val="center"/>
              <w:rPr>
                <w:color w:val="auto"/>
                <w:kern w:val="0"/>
                <w:szCs w:val="21"/>
              </w:rPr>
            </w:pPr>
            <w:r>
              <w:rPr>
                <w:rFonts w:hint="eastAsia"/>
                <w:color w:val="auto"/>
                <w:kern w:val="0"/>
                <w:szCs w:val="21"/>
              </w:rPr>
              <w:t>8</w:t>
            </w: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碱洗喷淋水箱用水</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132</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0.4</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26.4</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0.08</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105.6</w:t>
            </w:r>
          </w:p>
        </w:tc>
        <w:tc>
          <w:tcPr>
            <w:tcW w:w="750" w:type="dxa"/>
            <w:shd w:val="clear" w:color="auto" w:fill="auto"/>
            <w:vAlign w:val="center"/>
          </w:tcPr>
          <w:p>
            <w:pPr>
              <w:widowControl/>
              <w:spacing w:line="240" w:lineRule="exact"/>
              <w:jc w:val="center"/>
              <w:rPr>
                <w:color w:val="auto"/>
                <w:kern w:val="0"/>
                <w:szCs w:val="21"/>
              </w:rPr>
            </w:pPr>
            <w:r>
              <w:rPr>
                <w:color w:val="auto"/>
                <w:kern w:val="0"/>
                <w:szCs w:val="21"/>
              </w:rPr>
              <w:t>0.32</w:t>
            </w:r>
          </w:p>
        </w:tc>
        <w:tc>
          <w:tcPr>
            <w:tcW w:w="570"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77" w:hRule="atLeast"/>
          <w:jc w:val="center"/>
        </w:trPr>
        <w:tc>
          <w:tcPr>
            <w:tcW w:w="886" w:type="dxa"/>
            <w:gridSpan w:val="2"/>
            <w:shd w:val="clear" w:color="auto" w:fill="auto"/>
            <w:vAlign w:val="center"/>
          </w:tcPr>
          <w:p>
            <w:pPr>
              <w:widowControl/>
              <w:spacing w:line="240" w:lineRule="exact"/>
              <w:jc w:val="center"/>
              <w:rPr>
                <w:color w:val="auto"/>
                <w:kern w:val="0"/>
                <w:szCs w:val="21"/>
              </w:rPr>
            </w:pPr>
            <w:r>
              <w:rPr>
                <w:rFonts w:hint="eastAsia"/>
                <w:color w:val="auto"/>
                <w:kern w:val="0"/>
                <w:szCs w:val="21"/>
              </w:rPr>
              <w:t>9</w:t>
            </w: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生活用水</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798.6</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2.42</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0"/>
              </w:rPr>
            </w:pPr>
            <w:r>
              <w:rPr>
                <w:color w:val="auto"/>
                <w:kern w:val="0"/>
                <w:szCs w:val="20"/>
              </w:rPr>
              <w:t>0</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159.72</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0.48</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638.88</w:t>
            </w:r>
          </w:p>
        </w:tc>
        <w:tc>
          <w:tcPr>
            <w:tcW w:w="750" w:type="dxa"/>
            <w:shd w:val="clear" w:color="auto" w:fill="auto"/>
            <w:vAlign w:val="center"/>
          </w:tcPr>
          <w:p>
            <w:pPr>
              <w:widowControl/>
              <w:spacing w:line="240" w:lineRule="exact"/>
              <w:jc w:val="center"/>
              <w:rPr>
                <w:color w:val="auto"/>
                <w:kern w:val="0"/>
                <w:szCs w:val="21"/>
              </w:rPr>
            </w:pPr>
            <w:r>
              <w:rPr>
                <w:color w:val="auto"/>
                <w:kern w:val="0"/>
                <w:szCs w:val="21"/>
              </w:rPr>
              <w:t>1.94</w:t>
            </w:r>
          </w:p>
        </w:tc>
        <w:tc>
          <w:tcPr>
            <w:tcW w:w="570"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99" w:hRule="atLeast"/>
          <w:jc w:val="center"/>
        </w:trPr>
        <w:tc>
          <w:tcPr>
            <w:tcW w:w="886" w:type="dxa"/>
            <w:gridSpan w:val="2"/>
            <w:shd w:val="clear" w:color="auto" w:fill="auto"/>
            <w:vAlign w:val="center"/>
          </w:tcPr>
          <w:p>
            <w:pPr>
              <w:widowControl/>
              <w:spacing w:line="240" w:lineRule="exact"/>
              <w:jc w:val="center"/>
              <w:rPr>
                <w:color w:val="auto"/>
                <w:kern w:val="0"/>
                <w:szCs w:val="21"/>
              </w:rPr>
            </w:pPr>
            <w:r>
              <w:rPr>
                <w:rFonts w:hint="eastAsia"/>
                <w:color w:val="auto"/>
                <w:kern w:val="0"/>
                <w:szCs w:val="21"/>
              </w:rPr>
              <w:t>10</w:t>
            </w:r>
          </w:p>
        </w:tc>
        <w:tc>
          <w:tcPr>
            <w:tcW w:w="690"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绿化用水</w:t>
            </w:r>
          </w:p>
        </w:tc>
        <w:tc>
          <w:tcPr>
            <w:tcW w:w="771" w:type="dxa"/>
            <w:shd w:val="clear" w:color="auto" w:fill="auto"/>
            <w:vAlign w:val="center"/>
          </w:tcPr>
          <w:p>
            <w:pPr>
              <w:widowControl/>
              <w:spacing w:line="240" w:lineRule="exact"/>
              <w:jc w:val="center"/>
              <w:rPr>
                <w:color w:val="auto"/>
                <w:kern w:val="0"/>
                <w:szCs w:val="21"/>
              </w:rPr>
            </w:pPr>
            <w:r>
              <w:rPr>
                <w:color w:val="auto"/>
                <w:kern w:val="0"/>
                <w:szCs w:val="21"/>
              </w:rPr>
              <w:t>990</w:t>
            </w:r>
          </w:p>
        </w:tc>
        <w:tc>
          <w:tcPr>
            <w:tcW w:w="998" w:type="dxa"/>
            <w:shd w:val="clear" w:color="auto" w:fill="auto"/>
            <w:vAlign w:val="center"/>
          </w:tcPr>
          <w:p>
            <w:pPr>
              <w:widowControl/>
              <w:spacing w:line="240" w:lineRule="exact"/>
              <w:jc w:val="center"/>
              <w:rPr>
                <w:color w:val="auto"/>
                <w:kern w:val="0"/>
                <w:szCs w:val="21"/>
              </w:rPr>
            </w:pPr>
            <w:r>
              <w:rPr>
                <w:color w:val="auto"/>
                <w:kern w:val="0"/>
                <w:szCs w:val="21"/>
              </w:rPr>
              <w:t>3</w:t>
            </w:r>
          </w:p>
        </w:tc>
        <w:tc>
          <w:tcPr>
            <w:tcW w:w="729"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0"/>
              </w:rPr>
            </w:pPr>
            <w:r>
              <w:rPr>
                <w:color w:val="auto"/>
                <w:kern w:val="0"/>
                <w:szCs w:val="20"/>
              </w:rPr>
              <w:t>0</w:t>
            </w:r>
          </w:p>
        </w:tc>
        <w:tc>
          <w:tcPr>
            <w:tcW w:w="1020" w:type="dxa"/>
            <w:shd w:val="clear" w:color="auto" w:fill="auto"/>
            <w:vAlign w:val="center"/>
          </w:tcPr>
          <w:p>
            <w:pPr>
              <w:widowControl/>
              <w:spacing w:line="240" w:lineRule="exact"/>
              <w:jc w:val="center"/>
              <w:rPr>
                <w:color w:val="auto"/>
                <w:kern w:val="0"/>
                <w:szCs w:val="21"/>
              </w:rPr>
            </w:pPr>
            <w:r>
              <w:rPr>
                <w:color w:val="auto"/>
                <w:kern w:val="0"/>
                <w:szCs w:val="21"/>
              </w:rPr>
              <w:t>990</w:t>
            </w:r>
          </w:p>
        </w:tc>
        <w:tc>
          <w:tcPr>
            <w:tcW w:w="878" w:type="dxa"/>
            <w:shd w:val="clear" w:color="auto" w:fill="auto"/>
            <w:vAlign w:val="center"/>
          </w:tcPr>
          <w:p>
            <w:pPr>
              <w:widowControl/>
              <w:spacing w:line="240" w:lineRule="exact"/>
              <w:jc w:val="center"/>
              <w:rPr>
                <w:color w:val="auto"/>
                <w:kern w:val="0"/>
                <w:szCs w:val="21"/>
              </w:rPr>
            </w:pPr>
            <w:r>
              <w:rPr>
                <w:color w:val="auto"/>
                <w:kern w:val="0"/>
                <w:szCs w:val="21"/>
              </w:rPr>
              <w:t>3</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50" w:type="dxa"/>
            <w:shd w:val="clear" w:color="auto" w:fill="auto"/>
            <w:vAlign w:val="center"/>
          </w:tcPr>
          <w:p>
            <w:pPr>
              <w:widowControl/>
              <w:spacing w:line="240" w:lineRule="exact"/>
              <w:jc w:val="center"/>
              <w:rPr>
                <w:color w:val="auto"/>
                <w:kern w:val="0"/>
                <w:szCs w:val="20"/>
              </w:rPr>
            </w:pPr>
            <w:r>
              <w:rPr>
                <w:color w:val="auto"/>
                <w:kern w:val="0"/>
                <w:szCs w:val="20"/>
              </w:rPr>
              <w:t>0</w:t>
            </w:r>
          </w:p>
        </w:tc>
        <w:tc>
          <w:tcPr>
            <w:tcW w:w="570" w:type="dxa"/>
            <w:shd w:val="clear" w:color="auto" w:fill="auto"/>
            <w:vAlign w:val="center"/>
          </w:tcPr>
          <w:p>
            <w:pPr>
              <w:widowControl/>
              <w:spacing w:line="240" w:lineRule="exact"/>
              <w:jc w:val="center"/>
              <w:rPr>
                <w:color w:val="auto"/>
                <w:kern w:val="0"/>
                <w:szCs w:val="20"/>
              </w:rPr>
            </w:pPr>
            <w:r>
              <w:rPr>
                <w:color w:val="auto"/>
                <w:kern w:val="0"/>
                <w:szCs w:val="20"/>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880" w:hRule="atLeast"/>
          <w:jc w:val="center"/>
        </w:trPr>
        <w:tc>
          <w:tcPr>
            <w:tcW w:w="1576" w:type="dxa"/>
            <w:gridSpan w:val="3"/>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合计</w:t>
            </w:r>
          </w:p>
        </w:tc>
        <w:tc>
          <w:tcPr>
            <w:tcW w:w="771" w:type="dxa"/>
            <w:shd w:val="clear" w:color="auto" w:fill="auto"/>
            <w:vAlign w:val="center"/>
          </w:tcPr>
          <w:p>
            <w:pPr>
              <w:widowControl/>
              <w:spacing w:line="240" w:lineRule="exact"/>
              <w:jc w:val="center"/>
              <w:rPr>
                <w:color w:val="auto"/>
                <w:kern w:val="0"/>
                <w:szCs w:val="21"/>
              </w:rPr>
            </w:pPr>
            <w:r>
              <w:rPr>
                <w:rFonts w:hint="eastAsia"/>
                <w:color w:val="auto"/>
                <w:kern w:val="0"/>
                <w:szCs w:val="21"/>
              </w:rPr>
              <w:t>5581.8</w:t>
            </w:r>
          </w:p>
        </w:tc>
        <w:tc>
          <w:tcPr>
            <w:tcW w:w="998" w:type="dxa"/>
            <w:shd w:val="clear" w:color="auto" w:fill="auto"/>
            <w:vAlign w:val="center"/>
          </w:tcPr>
          <w:p>
            <w:pPr>
              <w:widowControl/>
              <w:spacing w:line="240" w:lineRule="exact"/>
              <w:jc w:val="center"/>
              <w:rPr>
                <w:color w:val="auto"/>
                <w:kern w:val="0"/>
                <w:szCs w:val="21"/>
              </w:rPr>
            </w:pPr>
            <w:r>
              <w:rPr>
                <w:rFonts w:hint="eastAsia"/>
                <w:color w:val="auto"/>
                <w:kern w:val="0"/>
                <w:szCs w:val="21"/>
              </w:rPr>
              <w:t>18.148</w:t>
            </w:r>
          </w:p>
          <w:p>
            <w:pPr>
              <w:spacing w:line="240" w:lineRule="exact"/>
              <w:rPr>
                <w:color w:val="auto"/>
                <w:kern w:val="0"/>
                <w:szCs w:val="21"/>
              </w:rPr>
            </w:pPr>
            <w:r>
              <w:rPr>
                <w:rFonts w:hint="eastAsia"/>
                <w:color w:val="auto"/>
                <w:kern w:val="0"/>
                <w:szCs w:val="21"/>
              </w:rPr>
              <w:t>(16.028)</w:t>
            </w:r>
          </w:p>
        </w:tc>
        <w:tc>
          <w:tcPr>
            <w:tcW w:w="729" w:type="dxa"/>
            <w:shd w:val="clear" w:color="auto" w:fill="auto"/>
            <w:vAlign w:val="center"/>
          </w:tcPr>
          <w:p>
            <w:pPr>
              <w:widowControl/>
              <w:spacing w:line="240" w:lineRule="exact"/>
              <w:jc w:val="center"/>
              <w:rPr>
                <w:color w:val="auto"/>
                <w:kern w:val="0"/>
                <w:szCs w:val="21"/>
              </w:rPr>
            </w:pPr>
            <w:r>
              <w:rPr>
                <w:rFonts w:hint="eastAsia"/>
                <w:color w:val="auto"/>
                <w:kern w:val="0"/>
                <w:szCs w:val="21"/>
              </w:rPr>
              <w:t>825</w:t>
            </w:r>
          </w:p>
        </w:tc>
        <w:tc>
          <w:tcPr>
            <w:tcW w:w="731" w:type="dxa"/>
            <w:shd w:val="clear" w:color="auto" w:fill="auto"/>
            <w:vAlign w:val="center"/>
          </w:tcPr>
          <w:p>
            <w:pPr>
              <w:widowControl/>
              <w:spacing w:line="240" w:lineRule="exact"/>
              <w:jc w:val="center"/>
              <w:rPr>
                <w:color w:val="auto"/>
                <w:kern w:val="0"/>
                <w:szCs w:val="21"/>
              </w:rPr>
            </w:pPr>
            <w:r>
              <w:rPr>
                <w:rFonts w:hint="eastAsia"/>
                <w:color w:val="auto"/>
                <w:kern w:val="0"/>
                <w:szCs w:val="21"/>
              </w:rPr>
              <w:t>2.5</w:t>
            </w:r>
          </w:p>
        </w:tc>
        <w:tc>
          <w:tcPr>
            <w:tcW w:w="1020" w:type="dxa"/>
            <w:shd w:val="clear" w:color="auto" w:fill="auto"/>
            <w:vAlign w:val="center"/>
          </w:tcPr>
          <w:p>
            <w:pPr>
              <w:widowControl/>
              <w:spacing w:line="240" w:lineRule="exact"/>
              <w:jc w:val="center"/>
              <w:rPr>
                <w:color w:val="auto"/>
                <w:kern w:val="0"/>
                <w:szCs w:val="21"/>
              </w:rPr>
            </w:pPr>
            <w:r>
              <w:rPr>
                <w:rFonts w:hint="eastAsia"/>
                <w:color w:val="auto"/>
                <w:kern w:val="0"/>
                <w:szCs w:val="21"/>
              </w:rPr>
              <w:t>3506.16</w:t>
            </w:r>
          </w:p>
        </w:tc>
        <w:tc>
          <w:tcPr>
            <w:tcW w:w="878" w:type="dxa"/>
            <w:shd w:val="clear" w:color="auto" w:fill="auto"/>
            <w:vAlign w:val="center"/>
          </w:tcPr>
          <w:p>
            <w:pPr>
              <w:widowControl/>
              <w:spacing w:line="240" w:lineRule="exact"/>
              <w:jc w:val="center"/>
              <w:rPr>
                <w:color w:val="auto"/>
                <w:kern w:val="0"/>
                <w:szCs w:val="21"/>
              </w:rPr>
            </w:pPr>
            <w:r>
              <w:rPr>
                <w:rFonts w:hint="eastAsia"/>
                <w:color w:val="auto"/>
                <w:kern w:val="0"/>
                <w:szCs w:val="21"/>
              </w:rPr>
              <w:t>11.668</w:t>
            </w:r>
          </w:p>
          <w:p>
            <w:pPr>
              <w:spacing w:line="240" w:lineRule="exact"/>
              <w:jc w:val="center"/>
              <w:rPr>
                <w:color w:val="auto"/>
                <w:kern w:val="0"/>
                <w:szCs w:val="21"/>
              </w:rPr>
            </w:pPr>
            <w:r>
              <w:rPr>
                <w:rFonts w:hint="eastAsia"/>
                <w:color w:val="auto"/>
                <w:kern w:val="0"/>
                <w:szCs w:val="21"/>
              </w:rPr>
              <w:t>(9.868)</w:t>
            </w:r>
          </w:p>
        </w:tc>
        <w:tc>
          <w:tcPr>
            <w:tcW w:w="1022" w:type="dxa"/>
            <w:shd w:val="clear" w:color="auto" w:fill="auto"/>
            <w:vAlign w:val="center"/>
          </w:tcPr>
          <w:p>
            <w:pPr>
              <w:widowControl/>
              <w:spacing w:line="240" w:lineRule="exact"/>
              <w:jc w:val="center"/>
              <w:rPr>
                <w:color w:val="auto"/>
                <w:kern w:val="0"/>
                <w:szCs w:val="21"/>
              </w:rPr>
            </w:pPr>
            <w:r>
              <w:rPr>
                <w:rFonts w:hint="eastAsia"/>
                <w:color w:val="auto"/>
                <w:kern w:val="0"/>
                <w:szCs w:val="21"/>
              </w:rPr>
              <w:t>2900.64</w:t>
            </w:r>
          </w:p>
        </w:tc>
        <w:tc>
          <w:tcPr>
            <w:tcW w:w="750" w:type="dxa"/>
            <w:shd w:val="clear" w:color="auto" w:fill="auto"/>
            <w:vAlign w:val="center"/>
          </w:tcPr>
          <w:p>
            <w:pPr>
              <w:widowControl/>
              <w:spacing w:line="240" w:lineRule="exact"/>
              <w:jc w:val="center"/>
              <w:rPr>
                <w:color w:val="auto"/>
                <w:kern w:val="0"/>
                <w:szCs w:val="21"/>
              </w:rPr>
            </w:pPr>
            <w:r>
              <w:rPr>
                <w:rFonts w:hint="eastAsia"/>
                <w:color w:val="auto"/>
                <w:kern w:val="0"/>
                <w:szCs w:val="21"/>
              </w:rPr>
              <w:t>8.98</w:t>
            </w:r>
          </w:p>
          <w:p>
            <w:pPr>
              <w:spacing w:line="240" w:lineRule="exact"/>
              <w:jc w:val="center"/>
              <w:rPr>
                <w:color w:val="auto"/>
                <w:kern w:val="0"/>
                <w:szCs w:val="21"/>
              </w:rPr>
            </w:pPr>
            <w:r>
              <w:rPr>
                <w:rFonts w:hint="eastAsia"/>
                <w:color w:val="auto"/>
                <w:kern w:val="0"/>
                <w:szCs w:val="21"/>
              </w:rPr>
              <w:t>(8.66)</w:t>
            </w:r>
          </w:p>
        </w:tc>
        <w:tc>
          <w:tcPr>
            <w:tcW w:w="570" w:type="dxa"/>
            <w:shd w:val="clear" w:color="auto" w:fill="auto"/>
            <w:vAlign w:val="center"/>
          </w:tcPr>
          <w:p>
            <w:pPr>
              <w:widowControl/>
              <w:spacing w:line="240" w:lineRule="exact"/>
              <w:jc w:val="center"/>
              <w:rPr>
                <w:color w:val="auto"/>
                <w:kern w:val="0"/>
                <w:szCs w:val="21"/>
              </w:rPr>
            </w:pPr>
            <w:r>
              <w:rPr>
                <w:rFonts w:hint="eastAsia"/>
                <w:color w:val="auto"/>
                <w:kern w:val="0"/>
                <w:szCs w:val="21"/>
              </w:rPr>
              <w:t>0</w:t>
            </w:r>
          </w:p>
        </w:tc>
      </w:tr>
    </w:tbl>
    <w:p>
      <w:pPr>
        <w:rPr>
          <w:color w:val="auto"/>
        </w:rPr>
      </w:pPr>
      <w:r>
        <w:rPr>
          <w:color w:val="auto"/>
        </w:rPr>
        <w:t>注：</w:t>
      </w:r>
      <w:r>
        <w:rPr>
          <w:color w:val="auto"/>
          <w:kern w:val="0"/>
          <w:szCs w:val="21"/>
        </w:rPr>
        <w:t>7*电锅炉冬季使用，其他季节不用。</w:t>
      </w:r>
      <w:r>
        <w:rPr>
          <w:color w:val="auto"/>
        </w:rPr>
        <w:t>括号外为冬季用水，括号内为其他季节用水</w:t>
      </w:r>
    </w:p>
    <w:p>
      <w:pPr>
        <w:jc w:val="center"/>
        <w:rPr>
          <w:color w:val="auto"/>
        </w:rPr>
      </w:pPr>
    </w:p>
    <w:p>
      <w:pPr>
        <w:jc w:val="center"/>
        <w:rPr>
          <w:color w:val="auto"/>
        </w:rPr>
      </w:pPr>
    </w:p>
    <w:p>
      <w:pPr>
        <w:jc w:val="center"/>
        <w:rPr>
          <w:color w:val="auto"/>
        </w:rPr>
      </w:pPr>
    </w:p>
    <w:p>
      <w:pPr>
        <w:jc w:val="center"/>
        <w:rPr>
          <w:color w:val="auto"/>
        </w:rPr>
      </w:pPr>
      <w:r>
        <w:rPr>
          <w:color w:val="auto"/>
        </w:rPr>
        <w:pict>
          <v:shape id="_x0000_s1033" o:spid="_x0000_s1033" o:spt="75" type="#_x0000_t75" style="position:absolute;left:0pt;margin-left:-0.6pt;margin-top:1.6pt;height:477.6pt;width:425.05pt;z-index:251695104;mso-width-relative:page;mso-height-relative:page;" o:ole="t" filled="f" o:preferrelative="t" stroked="f" coordsize="21600,21600">
            <v:path/>
            <v:fill on="f" focussize="0,0"/>
            <v:stroke on="f" joinstyle="miter"/>
            <v:imagedata r:id="rId26" o:title=""/>
            <o:lock v:ext="edit" aspectratio="f"/>
          </v:shape>
          <o:OLEObject Type="Embed" ProgID="Visio.Drawing.11" ShapeID="_x0000_s1033" DrawAspect="Content" ObjectID="_1468075725" r:id="rId25">
            <o:LockedField>false</o:LockedField>
          </o:OLEObject>
        </w:pict>
      </w: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jc w:val="center"/>
        <w:rPr>
          <w:color w:val="auto"/>
        </w:rPr>
      </w:pPr>
    </w:p>
    <w:p>
      <w:pPr>
        <w:spacing w:before="120" w:beforeLines="50" w:line="360" w:lineRule="auto"/>
        <w:jc w:val="center"/>
        <w:rPr>
          <w:rStyle w:val="115"/>
          <w:color w:val="auto"/>
        </w:rPr>
      </w:pPr>
      <w:r>
        <w:rPr>
          <w:rStyle w:val="115"/>
          <w:color w:val="auto"/>
        </w:rPr>
        <w:t>图4.2-1  本项目水平衡图       单位：m</w:t>
      </w:r>
      <w:r>
        <w:rPr>
          <w:rStyle w:val="115"/>
          <w:color w:val="auto"/>
          <w:vertAlign w:val="superscript"/>
        </w:rPr>
        <w:t>3</w:t>
      </w:r>
      <w:r>
        <w:rPr>
          <w:rStyle w:val="115"/>
          <w:color w:val="auto"/>
        </w:rPr>
        <w:t>/d</w:t>
      </w:r>
    </w:p>
    <w:p>
      <w:pPr>
        <w:jc w:val="center"/>
        <w:rPr>
          <w:b/>
          <w:bCs/>
          <w:color w:val="auto"/>
        </w:rPr>
      </w:pPr>
      <w:r>
        <w:rPr>
          <w:b/>
          <w:bCs/>
          <w:color w:val="auto"/>
        </w:rPr>
        <w:t>注：电锅炉仅冬季使用；括号外为冬季用水，括号内为其他季节用水</w:t>
      </w:r>
    </w:p>
    <w:p>
      <w:pPr>
        <w:pStyle w:val="6"/>
        <w:numPr>
          <w:ilvl w:val="3"/>
          <w:numId w:val="0"/>
        </w:numPr>
        <w:spacing w:before="120" w:beforeLines="50"/>
        <w:rPr>
          <w:color w:val="auto"/>
        </w:rPr>
      </w:pPr>
      <w:r>
        <w:rPr>
          <w:color w:val="auto"/>
        </w:rPr>
        <w:t>4</w:t>
      </w:r>
      <w:r>
        <w:rPr>
          <w:rFonts w:hint="eastAsia"/>
          <w:color w:val="auto"/>
        </w:rPr>
        <w:t>.2.1.3本项目建成后全厂</w:t>
      </w:r>
      <w:r>
        <w:rPr>
          <w:color w:val="auto"/>
        </w:rPr>
        <w:t>给排水</w:t>
      </w:r>
      <w:r>
        <w:rPr>
          <w:rFonts w:hint="eastAsia"/>
          <w:color w:val="auto"/>
        </w:rPr>
        <w:t>情况</w:t>
      </w:r>
    </w:p>
    <w:p>
      <w:pPr>
        <w:pStyle w:val="130"/>
        <w:ind w:firstLine="480"/>
        <w:rPr>
          <w:color w:val="auto"/>
        </w:rPr>
      </w:pPr>
      <w:r>
        <w:rPr>
          <w:color w:val="auto"/>
        </w:rPr>
        <w:t>本项目建成后</w:t>
      </w:r>
      <w:r>
        <w:rPr>
          <w:rFonts w:hint="eastAsia"/>
          <w:color w:val="auto"/>
        </w:rPr>
        <w:t>全厂冲洗给排水、生活废水不变，主要变化情况如下：</w:t>
      </w:r>
    </w:p>
    <w:p>
      <w:pPr>
        <w:pStyle w:val="130"/>
        <w:ind w:firstLine="480"/>
        <w:rPr>
          <w:color w:val="auto"/>
        </w:rPr>
      </w:pPr>
      <w:r>
        <w:rPr>
          <w:rFonts w:hint="eastAsia"/>
          <w:color w:val="auto"/>
        </w:rPr>
        <w:t>（1）给水</w:t>
      </w:r>
    </w:p>
    <w:p>
      <w:pPr>
        <w:pStyle w:val="130"/>
        <w:ind w:firstLine="480"/>
        <w:rPr>
          <w:color w:val="auto"/>
        </w:rPr>
      </w:pPr>
      <w:r>
        <w:rPr>
          <w:rFonts w:hint="eastAsia"/>
          <w:color w:val="auto"/>
        </w:rPr>
        <w:t>1</w:t>
      </w:r>
      <w:r>
        <w:rPr>
          <w:color w:val="auto"/>
        </w:rPr>
        <w:t>、</w:t>
      </w:r>
      <w:r>
        <w:rPr>
          <w:rFonts w:hint="eastAsia"/>
          <w:color w:val="auto"/>
        </w:rPr>
        <w:t>现有3t/d医疗废物高温蒸汽灭菌器</w:t>
      </w:r>
      <w:r>
        <w:rPr>
          <w:color w:val="auto"/>
        </w:rPr>
        <w:t>冷却水循环系统用水</w:t>
      </w:r>
    </w:p>
    <w:p>
      <w:pPr>
        <w:pStyle w:val="130"/>
        <w:ind w:firstLine="480"/>
        <w:rPr>
          <w:color w:val="auto"/>
        </w:rPr>
      </w:pPr>
      <w:r>
        <w:rPr>
          <w:color w:val="auto"/>
        </w:rPr>
        <w:t>本项目</w:t>
      </w:r>
      <w:r>
        <w:rPr>
          <w:rFonts w:hint="eastAsia"/>
          <w:color w:val="auto"/>
        </w:rPr>
        <w:t>现有3t/d</w:t>
      </w:r>
      <w:r>
        <w:rPr>
          <w:color w:val="auto"/>
        </w:rPr>
        <w:t>灭菌器配套设置1套冷却水循环系统，用于冷却高温灭菌产生的高温废气和废水。冷却水循环系统循环水量</w:t>
      </w:r>
      <w:r>
        <w:rPr>
          <w:rFonts w:hint="eastAsia"/>
          <w:color w:val="auto"/>
        </w:rPr>
        <w:t>7.5</w:t>
      </w:r>
      <w:r>
        <w:rPr>
          <w:color w:val="auto"/>
        </w:rPr>
        <w:t>m</w:t>
      </w:r>
      <w:r>
        <w:rPr>
          <w:color w:val="auto"/>
          <w:vertAlign w:val="superscript"/>
        </w:rPr>
        <w:t>3</w:t>
      </w:r>
      <w:r>
        <w:rPr>
          <w:color w:val="auto"/>
        </w:rPr>
        <w:t>/h，每天运行16h，由于循环冷却自然蒸发过程会损耗，同时定期排污，需要持续补入新鲜水，循环水定期补水量按循环水量的2%计，则补水量</w:t>
      </w:r>
      <w:r>
        <w:rPr>
          <w:rFonts w:hint="eastAsia"/>
          <w:color w:val="auto"/>
        </w:rPr>
        <w:t>2.4</w:t>
      </w:r>
      <w:r>
        <w:rPr>
          <w:color w:val="auto"/>
        </w:rPr>
        <w:t>m</w:t>
      </w:r>
      <w:r>
        <w:rPr>
          <w:color w:val="auto"/>
          <w:vertAlign w:val="superscript"/>
        </w:rPr>
        <w:t>3</w:t>
      </w:r>
      <w:r>
        <w:rPr>
          <w:color w:val="auto"/>
        </w:rPr>
        <w:t>/d，</w:t>
      </w:r>
      <w:r>
        <w:rPr>
          <w:rFonts w:hint="eastAsia"/>
          <w:color w:val="auto"/>
        </w:rPr>
        <w:t>792</w:t>
      </w:r>
      <w:r>
        <w:rPr>
          <w:color w:val="auto"/>
        </w:rPr>
        <w:t>m</w:t>
      </w:r>
      <w:r>
        <w:rPr>
          <w:color w:val="auto"/>
          <w:vertAlign w:val="superscript"/>
        </w:rPr>
        <w:t>3</w:t>
      </w:r>
      <w:r>
        <w:rPr>
          <w:color w:val="auto"/>
        </w:rPr>
        <w:t>/a。</w:t>
      </w:r>
    </w:p>
    <w:p>
      <w:pPr>
        <w:pStyle w:val="130"/>
        <w:ind w:firstLine="480"/>
        <w:rPr>
          <w:color w:val="auto"/>
        </w:rPr>
      </w:pPr>
      <w:r>
        <w:rPr>
          <w:rFonts w:hint="eastAsia"/>
          <w:color w:val="auto"/>
        </w:rPr>
        <w:t>2</w:t>
      </w:r>
      <w:r>
        <w:rPr>
          <w:color w:val="auto"/>
        </w:rPr>
        <w:t>、蒸汽发生器</w:t>
      </w:r>
    </w:p>
    <w:p>
      <w:pPr>
        <w:pStyle w:val="130"/>
        <w:ind w:firstLine="480"/>
        <w:rPr>
          <w:color w:val="auto"/>
        </w:rPr>
      </w:pPr>
      <w:r>
        <w:rPr>
          <w:rFonts w:hint="eastAsia"/>
          <w:color w:val="auto"/>
        </w:rPr>
        <w:t>现有工程3t/d</w:t>
      </w:r>
      <w:r>
        <w:rPr>
          <w:color w:val="auto"/>
        </w:rPr>
        <w:t>灭菌器</w:t>
      </w:r>
      <w:r>
        <w:rPr>
          <w:rFonts w:hint="eastAsia"/>
          <w:color w:val="auto"/>
        </w:rPr>
        <w:t>需新增2</w:t>
      </w:r>
      <w:r>
        <w:rPr>
          <w:color w:val="auto"/>
        </w:rPr>
        <w:t>台103kg/h的电热蒸汽发生器，电热蒸汽发生器用于高温蒸汽处理系统供给蒸汽；</w:t>
      </w:r>
      <w:r>
        <w:rPr>
          <w:rFonts w:hint="eastAsia"/>
          <w:color w:val="auto"/>
        </w:rPr>
        <w:t>3t/d</w:t>
      </w:r>
      <w:r>
        <w:rPr>
          <w:color w:val="auto"/>
        </w:rPr>
        <w:t>高温蒸煮医疗废物蒸汽使用量约为</w:t>
      </w:r>
      <w:r>
        <w:rPr>
          <w:rFonts w:hint="eastAsia"/>
          <w:color w:val="auto"/>
        </w:rPr>
        <w:t>1.2</w:t>
      </w:r>
      <w:r>
        <w:rPr>
          <w:color w:val="auto"/>
        </w:rPr>
        <w:t>t/d（</w:t>
      </w:r>
      <w:r>
        <w:rPr>
          <w:rFonts w:hint="eastAsia"/>
          <w:color w:val="auto"/>
        </w:rPr>
        <w:t>396</w:t>
      </w:r>
      <w:r>
        <w:rPr>
          <w:color w:val="auto"/>
        </w:rPr>
        <w:t>t/a），直接接触医疗废物，部分蒸发，部分冷凝，部分由医疗废物带走，电热蒸汽发生器由软水提供。软水补水0.</w:t>
      </w:r>
      <w:r>
        <w:rPr>
          <w:rFonts w:hint="eastAsia"/>
          <w:color w:val="auto"/>
        </w:rPr>
        <w:t>075</w:t>
      </w:r>
      <w:r>
        <w:rPr>
          <w:color w:val="auto"/>
        </w:rPr>
        <w:t>m</w:t>
      </w:r>
      <w:r>
        <w:rPr>
          <w:color w:val="auto"/>
          <w:vertAlign w:val="superscript"/>
        </w:rPr>
        <w:t>3</w:t>
      </w:r>
      <w:r>
        <w:rPr>
          <w:color w:val="auto"/>
        </w:rPr>
        <w:t>/h</w:t>
      </w:r>
      <w:r>
        <w:rPr>
          <w:rFonts w:hint="eastAsia"/>
          <w:color w:val="auto"/>
        </w:rPr>
        <w:t>，</w:t>
      </w:r>
      <w:r>
        <w:rPr>
          <w:color w:val="auto"/>
        </w:rPr>
        <w:t>软水由软水机制备，最大额定流量1.5t/h，采用离子交换树脂工艺制备，制备效率为85%，则现有工程3t/d灭菌器新鲜水用水量</w:t>
      </w:r>
      <w:r>
        <w:rPr>
          <w:rFonts w:hint="eastAsia"/>
          <w:color w:val="auto"/>
        </w:rPr>
        <w:t>1.41</w:t>
      </w:r>
      <w:r>
        <w:rPr>
          <w:color w:val="auto"/>
        </w:rPr>
        <w:t>m</w:t>
      </w:r>
      <w:r>
        <w:rPr>
          <w:color w:val="auto"/>
          <w:vertAlign w:val="superscript"/>
        </w:rPr>
        <w:t>3</w:t>
      </w:r>
      <w:r>
        <w:rPr>
          <w:color w:val="auto"/>
        </w:rPr>
        <w:t>/d</w:t>
      </w:r>
      <w:r>
        <w:rPr>
          <w:rFonts w:hint="eastAsia"/>
          <w:color w:val="auto"/>
        </w:rPr>
        <w:t>，</w:t>
      </w:r>
      <w:r>
        <w:rPr>
          <w:color w:val="auto"/>
        </w:rPr>
        <w:t>全年新鲜水用水量</w:t>
      </w:r>
      <w:r>
        <w:rPr>
          <w:rFonts w:hint="eastAsia"/>
          <w:color w:val="auto"/>
        </w:rPr>
        <w:t>465.</w:t>
      </w:r>
      <w:r>
        <w:rPr>
          <w:color w:val="auto"/>
        </w:rPr>
        <w:t>3m</w:t>
      </w:r>
      <w:r>
        <w:rPr>
          <w:color w:val="auto"/>
          <w:vertAlign w:val="superscript"/>
        </w:rPr>
        <w:t>3</w:t>
      </w:r>
      <w:r>
        <w:rPr>
          <w:color w:val="auto"/>
        </w:rPr>
        <w:t>/a，制备软水产生的清洁废水量为</w:t>
      </w:r>
      <w:r>
        <w:rPr>
          <w:rFonts w:hint="eastAsia"/>
          <w:color w:val="auto"/>
        </w:rPr>
        <w:t>69</w:t>
      </w:r>
      <w:r>
        <w:rPr>
          <w:color w:val="auto"/>
        </w:rPr>
        <w:t>.3m</w:t>
      </w:r>
      <w:r>
        <w:rPr>
          <w:color w:val="auto"/>
          <w:vertAlign w:val="superscript"/>
        </w:rPr>
        <w:t>3</w:t>
      </w:r>
      <w:r>
        <w:rPr>
          <w:color w:val="auto"/>
        </w:rPr>
        <w:t>/a</w:t>
      </w:r>
      <w:r>
        <w:rPr>
          <w:rFonts w:hint="eastAsia"/>
          <w:color w:val="auto"/>
        </w:rPr>
        <w:t>，</w:t>
      </w:r>
      <w:r>
        <w:rPr>
          <w:color w:val="auto"/>
        </w:rPr>
        <w:t>0.</w:t>
      </w:r>
      <w:r>
        <w:rPr>
          <w:rFonts w:hint="eastAsia"/>
          <w:color w:val="auto"/>
        </w:rPr>
        <w:t>21</w:t>
      </w:r>
      <w:r>
        <w:rPr>
          <w:color w:val="auto"/>
        </w:rPr>
        <w:t>m</w:t>
      </w:r>
      <w:r>
        <w:rPr>
          <w:color w:val="auto"/>
          <w:vertAlign w:val="superscript"/>
        </w:rPr>
        <w:t>3</w:t>
      </w:r>
      <w:r>
        <w:rPr>
          <w:color w:val="auto"/>
        </w:rPr>
        <w:t>/d。</w:t>
      </w:r>
    </w:p>
    <w:p>
      <w:pPr>
        <w:pStyle w:val="130"/>
        <w:ind w:left="420" w:leftChars="200" w:firstLine="0" w:firstLineChars="0"/>
        <w:rPr>
          <w:color w:val="auto"/>
        </w:rPr>
      </w:pPr>
      <w:r>
        <w:rPr>
          <w:rFonts w:hint="eastAsia"/>
          <w:color w:val="auto"/>
        </w:rPr>
        <w:t>（2）排水</w:t>
      </w:r>
    </w:p>
    <w:p>
      <w:pPr>
        <w:pStyle w:val="130"/>
        <w:ind w:firstLine="480"/>
        <w:rPr>
          <w:color w:val="auto"/>
        </w:rPr>
      </w:pPr>
      <w:r>
        <w:rPr>
          <w:color w:val="auto"/>
        </w:rPr>
        <w:t>1、</w:t>
      </w:r>
      <w:r>
        <w:rPr>
          <w:rFonts w:hint="eastAsia"/>
          <w:color w:val="auto"/>
        </w:rPr>
        <w:t>现有工程3t/d</w:t>
      </w:r>
      <w:r>
        <w:rPr>
          <w:color w:val="auto"/>
        </w:rPr>
        <w:t>高温蒸煮冷凝废水及渗滤液</w:t>
      </w:r>
    </w:p>
    <w:p>
      <w:pPr>
        <w:pStyle w:val="130"/>
        <w:ind w:firstLine="480"/>
        <w:rPr>
          <w:color w:val="auto"/>
        </w:rPr>
      </w:pPr>
      <w:r>
        <w:rPr>
          <w:color w:val="auto"/>
        </w:rPr>
        <w:t>灭菌器大部分蒸汽内腔形成冷凝液，部分通过换热器冷凝，最终蒸汽主要以冷凝液的形式排出，部分与废气一同排出，部分通过由医疗废物带出。</w:t>
      </w:r>
    </w:p>
    <w:p>
      <w:pPr>
        <w:pStyle w:val="130"/>
        <w:ind w:firstLine="464"/>
        <w:rPr>
          <w:color w:val="auto"/>
        </w:rPr>
      </w:pPr>
      <w:r>
        <w:rPr>
          <w:color w:val="auto"/>
          <w:spacing w:val="-4"/>
        </w:rPr>
        <w:t>医疗废物有一定的含水率，本环评取</w:t>
      </w:r>
      <w:r>
        <w:rPr>
          <w:color w:val="auto"/>
          <w:spacing w:val="-69"/>
        </w:rPr>
        <w:t xml:space="preserve"> </w:t>
      </w:r>
      <w:r>
        <w:rPr>
          <w:rFonts w:eastAsia="Arial Unicode MS"/>
          <w:color w:val="auto"/>
          <w:spacing w:val="-4"/>
        </w:rPr>
        <w:t>25%</w:t>
      </w:r>
      <w:r>
        <w:rPr>
          <w:color w:val="auto"/>
          <w:spacing w:val="-4"/>
        </w:rPr>
        <w:t>，高温蒸汽处理后医疗废物中含</w:t>
      </w:r>
      <w:r>
        <w:rPr>
          <w:color w:val="auto"/>
        </w:rPr>
        <w:t>水率不大于</w:t>
      </w:r>
      <w:r>
        <w:rPr>
          <w:color w:val="auto"/>
          <w:spacing w:val="-78"/>
        </w:rPr>
        <w:t xml:space="preserve"> </w:t>
      </w:r>
      <w:r>
        <w:rPr>
          <w:rFonts w:eastAsia="Arial Unicode MS"/>
          <w:color w:val="auto"/>
        </w:rPr>
        <w:t>20%</w:t>
      </w:r>
      <w:r>
        <w:rPr>
          <w:color w:val="auto"/>
        </w:rPr>
        <w:t>，则该过程去除的水量（医疗废物渗滤液）约</w:t>
      </w:r>
      <w:r>
        <w:rPr>
          <w:color w:val="auto"/>
          <w:spacing w:val="-78"/>
        </w:rPr>
        <w:t xml:space="preserve"> </w:t>
      </w:r>
      <w:r>
        <w:rPr>
          <w:rFonts w:eastAsia="Arial Unicode MS"/>
          <w:color w:val="auto"/>
        </w:rPr>
        <w:t>0.</w:t>
      </w:r>
      <w:r>
        <w:rPr>
          <w:rFonts w:hint="eastAsia" w:eastAsia="Arial Unicode MS"/>
          <w:color w:val="auto"/>
        </w:rPr>
        <w:t>1</w:t>
      </w:r>
      <w:r>
        <w:rPr>
          <w:rFonts w:eastAsia="Arial Unicode MS"/>
          <w:color w:val="auto"/>
        </w:rPr>
        <w:t>5t/d</w:t>
      </w:r>
      <w:r>
        <w:rPr>
          <w:color w:val="auto"/>
        </w:rPr>
        <w:t>（</w:t>
      </w:r>
      <w:r>
        <w:rPr>
          <w:rFonts w:hint="eastAsia" w:eastAsia="Arial Unicode MS"/>
          <w:color w:val="auto"/>
        </w:rPr>
        <w:t>49.5</w:t>
      </w:r>
      <w:r>
        <w:rPr>
          <w:rFonts w:eastAsia="Arial Unicode MS"/>
          <w:color w:val="auto"/>
        </w:rPr>
        <w:t>t/a</w:t>
      </w:r>
      <w:r>
        <w:rPr>
          <w:color w:val="auto"/>
        </w:rPr>
        <w:t>），最终主要以冷凝液的形式排出。</w:t>
      </w:r>
    </w:p>
    <w:p>
      <w:pPr>
        <w:pStyle w:val="130"/>
        <w:ind w:firstLine="480"/>
        <w:rPr>
          <w:color w:val="auto"/>
        </w:rPr>
      </w:pPr>
      <w:r>
        <w:rPr>
          <w:color w:val="auto"/>
        </w:rPr>
        <w:t>根据设备供应商提供的数据，整套设备冷凝效果按95%计，则冷凝液产生量约</w:t>
      </w:r>
      <w:r>
        <w:rPr>
          <w:rFonts w:hint="eastAsia"/>
          <w:color w:val="auto"/>
        </w:rPr>
        <w:t>1.28</w:t>
      </w:r>
      <w:r>
        <w:rPr>
          <w:color w:val="auto"/>
        </w:rPr>
        <w:t>m</w:t>
      </w:r>
      <w:r>
        <w:rPr>
          <w:color w:val="auto"/>
          <w:vertAlign w:val="superscript"/>
        </w:rPr>
        <w:t>3</w:t>
      </w:r>
      <w:r>
        <w:rPr>
          <w:color w:val="auto"/>
        </w:rPr>
        <w:t>/d（</w:t>
      </w:r>
      <w:r>
        <w:rPr>
          <w:rFonts w:hint="eastAsia"/>
          <w:color w:val="auto"/>
        </w:rPr>
        <w:t>422.4</w:t>
      </w:r>
      <w:r>
        <w:rPr>
          <w:color w:val="auto"/>
        </w:rPr>
        <w:t>m</w:t>
      </w:r>
      <w:r>
        <w:rPr>
          <w:color w:val="auto"/>
          <w:vertAlign w:val="superscript"/>
        </w:rPr>
        <w:t>3</w:t>
      </w:r>
      <w:r>
        <w:rPr>
          <w:color w:val="auto"/>
        </w:rPr>
        <w:t>/a）。</w:t>
      </w:r>
    </w:p>
    <w:p>
      <w:pPr>
        <w:pStyle w:val="130"/>
        <w:ind w:firstLine="480"/>
        <w:rPr>
          <w:color w:val="auto"/>
        </w:rPr>
      </w:pPr>
      <w:r>
        <w:rPr>
          <w:color w:val="auto"/>
        </w:rPr>
        <w:t>卸料、冷库暂存设施及破碎机会有少量渗滤液产生，产生量按处理量的5%计，则产生量约为0.</w:t>
      </w:r>
      <w:r>
        <w:rPr>
          <w:rFonts w:hint="eastAsia"/>
          <w:color w:val="auto"/>
        </w:rPr>
        <w:t>15</w:t>
      </w:r>
      <w:r>
        <w:rPr>
          <w:color w:val="auto"/>
        </w:rPr>
        <w:t>m</w:t>
      </w:r>
      <w:r>
        <w:rPr>
          <w:color w:val="auto"/>
          <w:vertAlign w:val="superscript"/>
        </w:rPr>
        <w:t>3</w:t>
      </w:r>
      <w:r>
        <w:rPr>
          <w:color w:val="auto"/>
        </w:rPr>
        <w:t>/d、</w:t>
      </w:r>
      <w:r>
        <w:rPr>
          <w:rFonts w:hint="eastAsia"/>
          <w:color w:val="auto"/>
        </w:rPr>
        <w:t>49.5</w:t>
      </w:r>
      <w:r>
        <w:rPr>
          <w:color w:val="auto"/>
        </w:rPr>
        <w:t>m</w:t>
      </w:r>
      <w:r>
        <w:rPr>
          <w:color w:val="auto"/>
          <w:vertAlign w:val="superscript"/>
        </w:rPr>
        <w:t>3</w:t>
      </w:r>
      <w:r>
        <w:rPr>
          <w:color w:val="auto"/>
        </w:rPr>
        <w:t>/a，</w:t>
      </w:r>
      <w:r>
        <w:rPr>
          <w:rFonts w:hint="eastAsia"/>
          <w:color w:val="auto"/>
        </w:rPr>
        <w:t>收集后</w:t>
      </w:r>
      <w:r>
        <w:rPr>
          <w:color w:val="auto"/>
        </w:rPr>
        <w:t>进入污水处理站进行处理达标后用于中卫市垃圾填埋场道路洒水抑尘。</w:t>
      </w:r>
    </w:p>
    <w:p>
      <w:pPr>
        <w:pStyle w:val="130"/>
        <w:ind w:firstLine="480"/>
        <w:rPr>
          <w:color w:val="auto"/>
        </w:rPr>
      </w:pPr>
      <w:r>
        <w:rPr>
          <w:color w:val="auto"/>
        </w:rPr>
        <w:t>综上所述：现有工程3t/d高温蒸煮冷凝废水及渗滤液产生总量为</w:t>
      </w:r>
      <w:r>
        <w:rPr>
          <w:rFonts w:hint="eastAsia"/>
          <w:color w:val="auto"/>
        </w:rPr>
        <w:t>1.43</w:t>
      </w:r>
      <w:r>
        <w:rPr>
          <w:color w:val="auto"/>
        </w:rPr>
        <w:t>m</w:t>
      </w:r>
      <w:r>
        <w:rPr>
          <w:color w:val="auto"/>
          <w:vertAlign w:val="superscript"/>
        </w:rPr>
        <w:t>3</w:t>
      </w:r>
      <w:r>
        <w:rPr>
          <w:color w:val="auto"/>
        </w:rPr>
        <w:t>/d、</w:t>
      </w:r>
      <w:r>
        <w:rPr>
          <w:rFonts w:hint="eastAsia"/>
          <w:color w:val="auto"/>
        </w:rPr>
        <w:t>471.9</w:t>
      </w:r>
      <w:r>
        <w:rPr>
          <w:color w:val="auto"/>
        </w:rPr>
        <w:t>m</w:t>
      </w:r>
      <w:r>
        <w:rPr>
          <w:color w:val="auto"/>
          <w:vertAlign w:val="superscript"/>
        </w:rPr>
        <w:t>3</w:t>
      </w:r>
      <w:r>
        <w:rPr>
          <w:color w:val="auto"/>
        </w:rPr>
        <w:t>/a。</w:t>
      </w:r>
    </w:p>
    <w:p>
      <w:pPr>
        <w:pStyle w:val="130"/>
        <w:ind w:firstLine="480"/>
        <w:rPr>
          <w:color w:val="auto"/>
        </w:rPr>
      </w:pPr>
      <w:r>
        <w:rPr>
          <w:rFonts w:hint="eastAsia"/>
          <w:color w:val="auto"/>
        </w:rPr>
        <w:t>2</w:t>
      </w:r>
      <w:r>
        <w:rPr>
          <w:color w:val="auto"/>
        </w:rPr>
        <w:t>、冷却水循环系统排水</w:t>
      </w:r>
    </w:p>
    <w:p>
      <w:pPr>
        <w:pStyle w:val="130"/>
        <w:ind w:firstLine="480"/>
        <w:rPr>
          <w:color w:val="auto"/>
        </w:rPr>
      </w:pPr>
      <w:r>
        <w:rPr>
          <w:color w:val="auto"/>
        </w:rPr>
        <w:t>循环水系统在运行过程存在一定的循环排污水，排水量约为补水量的的10%，则排水量为0.</w:t>
      </w:r>
      <w:r>
        <w:rPr>
          <w:rFonts w:hint="eastAsia"/>
          <w:color w:val="auto"/>
        </w:rPr>
        <w:t>24</w:t>
      </w:r>
      <w:r>
        <w:rPr>
          <w:color w:val="auto"/>
        </w:rPr>
        <w:t>m</w:t>
      </w:r>
      <w:r>
        <w:rPr>
          <w:color w:val="auto"/>
          <w:vertAlign w:val="superscript"/>
        </w:rPr>
        <w:t>3</w:t>
      </w:r>
      <w:r>
        <w:rPr>
          <w:color w:val="auto"/>
        </w:rPr>
        <w:t>/d（</w:t>
      </w:r>
      <w:r>
        <w:rPr>
          <w:rFonts w:hint="eastAsia"/>
          <w:color w:val="auto"/>
        </w:rPr>
        <w:t>79.2</w:t>
      </w:r>
      <w:r>
        <w:rPr>
          <w:color w:val="auto"/>
        </w:rPr>
        <w:t>m</w:t>
      </w:r>
      <w:r>
        <w:rPr>
          <w:color w:val="auto"/>
          <w:vertAlign w:val="superscript"/>
        </w:rPr>
        <w:t>3</w:t>
      </w:r>
      <w:r>
        <w:rPr>
          <w:color w:val="auto"/>
        </w:rPr>
        <w:t>/a）。</w:t>
      </w:r>
    </w:p>
    <w:p>
      <w:pPr>
        <w:pStyle w:val="130"/>
        <w:ind w:firstLine="480"/>
        <w:rPr>
          <w:color w:val="auto"/>
        </w:rPr>
      </w:pPr>
      <w:r>
        <w:rPr>
          <w:rFonts w:hint="eastAsia"/>
          <w:color w:val="auto"/>
        </w:rPr>
        <w:t>3</w:t>
      </w:r>
      <w:r>
        <w:rPr>
          <w:color w:val="auto"/>
        </w:rPr>
        <w:t>、蒸汽发生器软水制备废水</w:t>
      </w:r>
    </w:p>
    <w:p>
      <w:pPr>
        <w:pStyle w:val="130"/>
        <w:ind w:firstLine="480"/>
        <w:rPr>
          <w:color w:val="auto"/>
        </w:rPr>
      </w:pPr>
      <w:r>
        <w:rPr>
          <w:color w:val="auto"/>
        </w:rPr>
        <w:t>软水设备排水量为0.</w:t>
      </w:r>
      <w:r>
        <w:rPr>
          <w:rFonts w:hint="eastAsia"/>
          <w:color w:val="auto"/>
        </w:rPr>
        <w:t>21</w:t>
      </w:r>
      <w:r>
        <w:rPr>
          <w:color w:val="auto"/>
        </w:rPr>
        <w:t>m</w:t>
      </w:r>
      <w:r>
        <w:rPr>
          <w:color w:val="auto"/>
          <w:vertAlign w:val="superscript"/>
        </w:rPr>
        <w:t>3</w:t>
      </w:r>
      <w:r>
        <w:rPr>
          <w:color w:val="auto"/>
        </w:rPr>
        <w:t>/d，全年</w:t>
      </w:r>
      <w:r>
        <w:rPr>
          <w:rFonts w:hint="eastAsia"/>
          <w:color w:val="auto"/>
        </w:rPr>
        <w:t>69.88</w:t>
      </w:r>
      <w:r>
        <w:rPr>
          <w:color w:val="auto"/>
        </w:rPr>
        <w:t>m</w:t>
      </w:r>
      <w:r>
        <w:rPr>
          <w:color w:val="auto"/>
          <w:vertAlign w:val="superscript"/>
        </w:rPr>
        <w:t>3</w:t>
      </w:r>
      <w:r>
        <w:rPr>
          <w:color w:val="auto"/>
        </w:rPr>
        <w:t>/a。</w:t>
      </w:r>
    </w:p>
    <w:p>
      <w:pPr>
        <w:pStyle w:val="130"/>
        <w:ind w:firstLine="480"/>
        <w:rPr>
          <w:color w:val="auto"/>
        </w:rPr>
      </w:pPr>
      <w:r>
        <w:rPr>
          <w:color w:val="auto"/>
        </w:rPr>
        <w:t>本项目</w:t>
      </w:r>
      <w:r>
        <w:rPr>
          <w:rFonts w:hint="eastAsia"/>
          <w:color w:val="auto"/>
        </w:rPr>
        <w:t>建成后全厂</w:t>
      </w:r>
      <w:r>
        <w:rPr>
          <w:color w:val="auto"/>
        </w:rPr>
        <w:t>用排水情况见表4.2-</w:t>
      </w:r>
      <w:r>
        <w:rPr>
          <w:rFonts w:hint="eastAsia"/>
          <w:color w:val="auto"/>
        </w:rPr>
        <w:t>2</w:t>
      </w:r>
      <w:r>
        <w:rPr>
          <w:color w:val="auto"/>
        </w:rPr>
        <w:t>，</w:t>
      </w:r>
      <w:r>
        <w:rPr>
          <w:rFonts w:hint="eastAsia"/>
          <w:color w:val="auto"/>
        </w:rPr>
        <w:t>全厂</w:t>
      </w:r>
      <w:r>
        <w:rPr>
          <w:color w:val="auto"/>
        </w:rPr>
        <w:t>水平衡图见图4.2-</w:t>
      </w:r>
      <w:r>
        <w:rPr>
          <w:rFonts w:hint="eastAsia"/>
          <w:color w:val="auto"/>
        </w:rPr>
        <w:t>2</w:t>
      </w:r>
      <w:r>
        <w:rPr>
          <w:color w:val="auto"/>
        </w:rPr>
        <w:t>。</w:t>
      </w:r>
    </w:p>
    <w:p>
      <w:pPr>
        <w:pStyle w:val="2"/>
        <w:jc w:val="center"/>
        <w:rPr>
          <w:b/>
          <w:color w:val="auto"/>
          <w:kern w:val="2"/>
          <w:sz w:val="24"/>
          <w:szCs w:val="24"/>
        </w:rPr>
      </w:pPr>
      <w:r>
        <w:rPr>
          <w:b/>
          <w:color w:val="auto"/>
          <w:kern w:val="2"/>
          <w:sz w:val="24"/>
          <w:szCs w:val="24"/>
        </w:rPr>
        <w:t>表 4.2-</w:t>
      </w:r>
      <w:r>
        <w:rPr>
          <w:rFonts w:hint="eastAsia"/>
          <w:b/>
          <w:color w:val="auto"/>
          <w:kern w:val="2"/>
          <w:sz w:val="24"/>
          <w:szCs w:val="24"/>
        </w:rPr>
        <w:t>2</w:t>
      </w:r>
      <w:r>
        <w:rPr>
          <w:b/>
          <w:color w:val="auto"/>
          <w:kern w:val="2"/>
          <w:sz w:val="24"/>
          <w:szCs w:val="24"/>
        </w:rPr>
        <w:t xml:space="preserve">  本项目建成后全厂用排水情况表</w:t>
      </w:r>
    </w:p>
    <w:tbl>
      <w:tblPr>
        <w:tblStyle w:val="74"/>
        <w:tblW w:w="938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425"/>
        <w:gridCol w:w="453"/>
        <w:gridCol w:w="1023"/>
        <w:gridCol w:w="861"/>
        <w:gridCol w:w="873"/>
        <w:gridCol w:w="727"/>
        <w:gridCol w:w="731"/>
        <w:gridCol w:w="873"/>
        <w:gridCol w:w="1022"/>
        <w:gridCol w:w="938"/>
        <w:gridCol w:w="881"/>
        <w:gridCol w:w="58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jc w:val="center"/>
        </w:trPr>
        <w:tc>
          <w:tcPr>
            <w:tcW w:w="878" w:type="dxa"/>
            <w:gridSpan w:val="2"/>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序号</w:t>
            </w:r>
          </w:p>
        </w:tc>
        <w:tc>
          <w:tcPr>
            <w:tcW w:w="1023"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用水环节</w:t>
            </w:r>
          </w:p>
        </w:tc>
        <w:tc>
          <w:tcPr>
            <w:tcW w:w="861"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新鲜水</w:t>
            </w:r>
          </w:p>
          <w:p>
            <w:pPr>
              <w:spacing w:line="240" w:lineRule="exact"/>
              <w:jc w:val="center"/>
              <w:rPr>
                <w:rFonts w:cs="宋体"/>
                <w:color w:val="auto"/>
                <w:kern w:val="0"/>
                <w:szCs w:val="21"/>
              </w:rPr>
            </w:pPr>
            <w:r>
              <w:rPr>
                <w:color w:val="auto"/>
                <w:kern w:val="0"/>
                <w:szCs w:val="24"/>
              </w:rPr>
              <w:t>m</w:t>
            </w:r>
            <w:r>
              <w:rPr>
                <w:color w:val="auto"/>
                <w:kern w:val="0"/>
                <w:szCs w:val="24"/>
                <w:vertAlign w:val="superscript"/>
              </w:rPr>
              <w:t>3</w:t>
            </w:r>
            <w:r>
              <w:rPr>
                <w:color w:val="auto"/>
                <w:kern w:val="0"/>
                <w:szCs w:val="24"/>
              </w:rPr>
              <w:t>/a</w:t>
            </w:r>
          </w:p>
        </w:tc>
        <w:tc>
          <w:tcPr>
            <w:tcW w:w="873"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新鲜水</w:t>
            </w:r>
          </w:p>
          <w:p>
            <w:pPr>
              <w:spacing w:line="240" w:lineRule="exact"/>
              <w:jc w:val="center"/>
              <w:rPr>
                <w:rFonts w:cs="宋体"/>
                <w:color w:val="auto"/>
                <w:kern w:val="0"/>
                <w:szCs w:val="21"/>
              </w:rPr>
            </w:pPr>
            <w:r>
              <w:rPr>
                <w:color w:val="auto"/>
                <w:kern w:val="0"/>
                <w:szCs w:val="24"/>
              </w:rPr>
              <w:t>m</w:t>
            </w:r>
            <w:r>
              <w:rPr>
                <w:color w:val="auto"/>
                <w:kern w:val="0"/>
                <w:szCs w:val="24"/>
                <w:vertAlign w:val="superscript"/>
              </w:rPr>
              <w:t>3</w:t>
            </w:r>
            <w:r>
              <w:rPr>
                <w:color w:val="auto"/>
                <w:kern w:val="0"/>
                <w:szCs w:val="24"/>
              </w:rPr>
              <w:t>/d</w:t>
            </w:r>
          </w:p>
        </w:tc>
        <w:tc>
          <w:tcPr>
            <w:tcW w:w="727"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蒸汽</w:t>
            </w:r>
          </w:p>
          <w:p>
            <w:pPr>
              <w:spacing w:line="240" w:lineRule="exact"/>
              <w:jc w:val="center"/>
              <w:rPr>
                <w:rFonts w:cs="宋体"/>
                <w:color w:val="auto"/>
                <w:kern w:val="0"/>
                <w:szCs w:val="21"/>
              </w:rPr>
            </w:pPr>
            <w:r>
              <w:rPr>
                <w:rFonts w:hint="eastAsia" w:cs="宋体"/>
                <w:color w:val="auto"/>
                <w:kern w:val="0"/>
                <w:szCs w:val="21"/>
              </w:rPr>
              <w:t>带入水</w:t>
            </w:r>
            <w:r>
              <w:rPr>
                <w:color w:val="auto"/>
                <w:kern w:val="0"/>
                <w:szCs w:val="24"/>
              </w:rPr>
              <w:t>m</w:t>
            </w:r>
            <w:r>
              <w:rPr>
                <w:color w:val="auto"/>
                <w:kern w:val="0"/>
                <w:szCs w:val="24"/>
                <w:vertAlign w:val="superscript"/>
              </w:rPr>
              <w:t>3</w:t>
            </w:r>
            <w:r>
              <w:rPr>
                <w:color w:val="auto"/>
                <w:kern w:val="0"/>
                <w:szCs w:val="24"/>
              </w:rPr>
              <w:t>/a</w:t>
            </w:r>
          </w:p>
        </w:tc>
        <w:tc>
          <w:tcPr>
            <w:tcW w:w="731"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蒸汽</w:t>
            </w:r>
          </w:p>
          <w:p>
            <w:pPr>
              <w:spacing w:line="240" w:lineRule="exact"/>
              <w:jc w:val="center"/>
              <w:rPr>
                <w:rFonts w:cs="宋体"/>
                <w:color w:val="auto"/>
                <w:kern w:val="0"/>
                <w:szCs w:val="21"/>
              </w:rPr>
            </w:pPr>
            <w:r>
              <w:rPr>
                <w:rFonts w:hint="eastAsia" w:cs="宋体"/>
                <w:color w:val="auto"/>
                <w:kern w:val="0"/>
                <w:szCs w:val="21"/>
              </w:rPr>
              <w:t>带入水</w:t>
            </w:r>
            <w:r>
              <w:rPr>
                <w:color w:val="auto"/>
                <w:kern w:val="0"/>
                <w:szCs w:val="24"/>
              </w:rPr>
              <w:t>m</w:t>
            </w:r>
            <w:r>
              <w:rPr>
                <w:color w:val="auto"/>
                <w:kern w:val="0"/>
                <w:szCs w:val="24"/>
                <w:vertAlign w:val="superscript"/>
              </w:rPr>
              <w:t>3</w:t>
            </w:r>
            <w:r>
              <w:rPr>
                <w:color w:val="auto"/>
                <w:kern w:val="0"/>
                <w:szCs w:val="24"/>
              </w:rPr>
              <w:t>/d</w:t>
            </w:r>
          </w:p>
        </w:tc>
        <w:tc>
          <w:tcPr>
            <w:tcW w:w="873"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损失量</w:t>
            </w:r>
            <w:r>
              <w:rPr>
                <w:color w:val="auto"/>
                <w:kern w:val="0"/>
                <w:szCs w:val="24"/>
              </w:rPr>
              <w:t>m</w:t>
            </w:r>
            <w:r>
              <w:rPr>
                <w:color w:val="auto"/>
                <w:kern w:val="0"/>
                <w:szCs w:val="24"/>
                <w:vertAlign w:val="superscript"/>
              </w:rPr>
              <w:t>3</w:t>
            </w:r>
            <w:r>
              <w:rPr>
                <w:color w:val="auto"/>
                <w:kern w:val="0"/>
                <w:szCs w:val="24"/>
              </w:rPr>
              <w:t>/a</w:t>
            </w:r>
          </w:p>
        </w:tc>
        <w:tc>
          <w:tcPr>
            <w:tcW w:w="1022" w:type="dxa"/>
            <w:vMerge w:val="restart"/>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损失量</w:t>
            </w:r>
            <w:r>
              <w:rPr>
                <w:color w:val="auto"/>
                <w:kern w:val="0"/>
                <w:szCs w:val="24"/>
              </w:rPr>
              <w:t>m</w:t>
            </w:r>
            <w:r>
              <w:rPr>
                <w:color w:val="auto"/>
                <w:kern w:val="0"/>
                <w:szCs w:val="24"/>
                <w:vertAlign w:val="superscript"/>
              </w:rPr>
              <w:t>3</w:t>
            </w:r>
            <w:r>
              <w:rPr>
                <w:color w:val="auto"/>
                <w:kern w:val="0"/>
                <w:szCs w:val="24"/>
              </w:rPr>
              <w:t>/d</w:t>
            </w:r>
          </w:p>
        </w:tc>
        <w:tc>
          <w:tcPr>
            <w:tcW w:w="2401" w:type="dxa"/>
            <w:gridSpan w:val="3"/>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废水量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89" w:hRule="atLeast"/>
          <w:jc w:val="center"/>
        </w:trPr>
        <w:tc>
          <w:tcPr>
            <w:tcW w:w="878" w:type="dxa"/>
            <w:gridSpan w:val="2"/>
            <w:vMerge w:val="continue"/>
            <w:shd w:val="clear" w:color="auto" w:fill="auto"/>
            <w:vAlign w:val="center"/>
          </w:tcPr>
          <w:p>
            <w:pPr>
              <w:widowControl/>
              <w:spacing w:line="240" w:lineRule="exact"/>
              <w:jc w:val="center"/>
              <w:rPr>
                <w:rFonts w:cs="宋体"/>
                <w:color w:val="auto"/>
                <w:kern w:val="0"/>
                <w:szCs w:val="21"/>
              </w:rPr>
            </w:pPr>
          </w:p>
        </w:tc>
        <w:tc>
          <w:tcPr>
            <w:tcW w:w="1023" w:type="dxa"/>
            <w:vMerge w:val="continue"/>
            <w:shd w:val="clear" w:color="auto" w:fill="auto"/>
            <w:vAlign w:val="center"/>
          </w:tcPr>
          <w:p>
            <w:pPr>
              <w:widowControl/>
              <w:spacing w:line="240" w:lineRule="exact"/>
              <w:jc w:val="center"/>
              <w:rPr>
                <w:rFonts w:cs="宋体"/>
                <w:color w:val="auto"/>
                <w:kern w:val="0"/>
                <w:szCs w:val="21"/>
              </w:rPr>
            </w:pPr>
          </w:p>
        </w:tc>
        <w:tc>
          <w:tcPr>
            <w:tcW w:w="861" w:type="dxa"/>
            <w:vMerge w:val="continue"/>
            <w:shd w:val="clear" w:color="auto" w:fill="auto"/>
            <w:vAlign w:val="center"/>
          </w:tcPr>
          <w:p>
            <w:pPr>
              <w:widowControl/>
              <w:spacing w:line="240" w:lineRule="exact"/>
              <w:jc w:val="center"/>
              <w:rPr>
                <w:color w:val="auto"/>
                <w:kern w:val="0"/>
                <w:szCs w:val="24"/>
              </w:rPr>
            </w:pPr>
          </w:p>
        </w:tc>
        <w:tc>
          <w:tcPr>
            <w:tcW w:w="873" w:type="dxa"/>
            <w:vMerge w:val="continue"/>
            <w:shd w:val="clear" w:color="auto" w:fill="auto"/>
            <w:vAlign w:val="center"/>
          </w:tcPr>
          <w:p>
            <w:pPr>
              <w:widowControl/>
              <w:spacing w:line="240" w:lineRule="exact"/>
              <w:jc w:val="center"/>
              <w:rPr>
                <w:color w:val="auto"/>
                <w:kern w:val="0"/>
                <w:szCs w:val="24"/>
              </w:rPr>
            </w:pPr>
          </w:p>
        </w:tc>
        <w:tc>
          <w:tcPr>
            <w:tcW w:w="727" w:type="dxa"/>
            <w:vMerge w:val="continue"/>
            <w:shd w:val="clear" w:color="auto" w:fill="auto"/>
            <w:vAlign w:val="center"/>
          </w:tcPr>
          <w:p>
            <w:pPr>
              <w:widowControl/>
              <w:spacing w:line="240" w:lineRule="exact"/>
              <w:jc w:val="center"/>
              <w:rPr>
                <w:rFonts w:cs="宋体"/>
                <w:color w:val="auto"/>
                <w:kern w:val="0"/>
                <w:szCs w:val="21"/>
              </w:rPr>
            </w:pPr>
          </w:p>
        </w:tc>
        <w:tc>
          <w:tcPr>
            <w:tcW w:w="731" w:type="dxa"/>
            <w:vMerge w:val="continue"/>
            <w:shd w:val="clear" w:color="auto" w:fill="auto"/>
            <w:vAlign w:val="center"/>
          </w:tcPr>
          <w:p>
            <w:pPr>
              <w:widowControl/>
              <w:spacing w:line="240" w:lineRule="exact"/>
              <w:jc w:val="center"/>
              <w:rPr>
                <w:rFonts w:cs="宋体"/>
                <w:color w:val="auto"/>
                <w:kern w:val="0"/>
                <w:szCs w:val="21"/>
              </w:rPr>
            </w:pPr>
          </w:p>
        </w:tc>
        <w:tc>
          <w:tcPr>
            <w:tcW w:w="873" w:type="dxa"/>
            <w:vMerge w:val="continue"/>
            <w:shd w:val="clear" w:color="auto" w:fill="auto"/>
            <w:vAlign w:val="center"/>
          </w:tcPr>
          <w:p>
            <w:pPr>
              <w:widowControl/>
              <w:spacing w:line="240" w:lineRule="exact"/>
              <w:jc w:val="center"/>
              <w:rPr>
                <w:rFonts w:cs="宋体"/>
                <w:color w:val="auto"/>
                <w:kern w:val="0"/>
                <w:szCs w:val="21"/>
              </w:rPr>
            </w:pPr>
          </w:p>
        </w:tc>
        <w:tc>
          <w:tcPr>
            <w:tcW w:w="1022" w:type="dxa"/>
            <w:vMerge w:val="continue"/>
            <w:shd w:val="clear" w:color="auto" w:fill="auto"/>
            <w:vAlign w:val="center"/>
          </w:tcPr>
          <w:p>
            <w:pPr>
              <w:widowControl/>
              <w:spacing w:line="240" w:lineRule="exact"/>
              <w:jc w:val="center"/>
              <w:rPr>
                <w:rFonts w:cs="宋体"/>
                <w:color w:val="auto"/>
                <w:kern w:val="0"/>
                <w:szCs w:val="21"/>
              </w:rPr>
            </w:pPr>
          </w:p>
        </w:tc>
        <w:tc>
          <w:tcPr>
            <w:tcW w:w="938"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产生量</w:t>
            </w:r>
            <w:r>
              <w:rPr>
                <w:color w:val="auto"/>
                <w:kern w:val="0"/>
                <w:szCs w:val="24"/>
              </w:rPr>
              <w:t>m</w:t>
            </w:r>
            <w:r>
              <w:rPr>
                <w:color w:val="auto"/>
                <w:kern w:val="0"/>
                <w:szCs w:val="24"/>
                <w:vertAlign w:val="superscript"/>
              </w:rPr>
              <w:t>3</w:t>
            </w:r>
            <w:r>
              <w:rPr>
                <w:color w:val="auto"/>
                <w:kern w:val="0"/>
                <w:szCs w:val="24"/>
              </w:rPr>
              <w:t>/a</w:t>
            </w:r>
          </w:p>
        </w:tc>
        <w:tc>
          <w:tcPr>
            <w:tcW w:w="881"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产生量</w:t>
            </w:r>
            <w:r>
              <w:rPr>
                <w:color w:val="auto"/>
                <w:kern w:val="0"/>
                <w:szCs w:val="24"/>
              </w:rPr>
              <w:t>m</w:t>
            </w:r>
            <w:r>
              <w:rPr>
                <w:color w:val="auto"/>
                <w:kern w:val="0"/>
                <w:szCs w:val="24"/>
                <w:vertAlign w:val="superscript"/>
              </w:rPr>
              <w:t>3</w:t>
            </w:r>
            <w:r>
              <w:rPr>
                <w:color w:val="auto"/>
                <w:kern w:val="0"/>
                <w:szCs w:val="24"/>
              </w:rPr>
              <w:t>/d</w:t>
            </w:r>
          </w:p>
        </w:tc>
        <w:tc>
          <w:tcPr>
            <w:tcW w:w="582"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排放量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2" w:hRule="atLeast"/>
          <w:jc w:val="center"/>
        </w:trPr>
        <w:tc>
          <w:tcPr>
            <w:tcW w:w="878" w:type="dxa"/>
            <w:gridSpan w:val="2"/>
            <w:shd w:val="clear" w:color="auto" w:fill="auto"/>
            <w:vAlign w:val="center"/>
          </w:tcPr>
          <w:p>
            <w:pPr>
              <w:widowControl/>
              <w:spacing w:line="240" w:lineRule="exact"/>
              <w:jc w:val="center"/>
              <w:rPr>
                <w:color w:val="auto"/>
                <w:kern w:val="0"/>
                <w:szCs w:val="21"/>
              </w:rPr>
            </w:pPr>
            <w:r>
              <w:rPr>
                <w:color w:val="auto"/>
                <w:kern w:val="0"/>
                <w:szCs w:val="21"/>
              </w:rPr>
              <w:t>1</w:t>
            </w: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车辆冲洗用水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396</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1.2</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79.2</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0.24</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316.8</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0.96</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2" w:hRule="atLeast"/>
          <w:jc w:val="center"/>
        </w:trPr>
        <w:tc>
          <w:tcPr>
            <w:tcW w:w="878" w:type="dxa"/>
            <w:gridSpan w:val="2"/>
            <w:shd w:val="clear" w:color="auto" w:fill="auto"/>
            <w:vAlign w:val="center"/>
          </w:tcPr>
          <w:p>
            <w:pPr>
              <w:widowControl/>
              <w:spacing w:line="240" w:lineRule="exact"/>
              <w:jc w:val="center"/>
              <w:rPr>
                <w:color w:val="auto"/>
                <w:kern w:val="0"/>
                <w:szCs w:val="21"/>
              </w:rPr>
            </w:pPr>
            <w:r>
              <w:rPr>
                <w:color w:val="auto"/>
                <w:kern w:val="0"/>
                <w:szCs w:val="21"/>
              </w:rPr>
              <w:t>2</w:t>
            </w: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周转箱冲洗用水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660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2</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132</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0.4</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528</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1.6</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2" w:hRule="atLeast"/>
          <w:jc w:val="center"/>
        </w:trPr>
        <w:tc>
          <w:tcPr>
            <w:tcW w:w="878" w:type="dxa"/>
            <w:gridSpan w:val="2"/>
            <w:shd w:val="clear" w:color="auto" w:fill="auto"/>
            <w:vAlign w:val="center"/>
          </w:tcPr>
          <w:p>
            <w:pPr>
              <w:widowControl/>
              <w:spacing w:line="240" w:lineRule="exact"/>
              <w:jc w:val="center"/>
              <w:rPr>
                <w:color w:val="auto"/>
                <w:kern w:val="0"/>
                <w:szCs w:val="21"/>
              </w:rPr>
            </w:pPr>
            <w:r>
              <w:rPr>
                <w:color w:val="auto"/>
                <w:kern w:val="0"/>
                <w:szCs w:val="21"/>
              </w:rPr>
              <w:t>3</w:t>
            </w: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场地冲洗用水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301.62</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0.914</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60.72</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0.184</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240.9</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0.73</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8" w:hRule="atLeast"/>
          <w:jc w:val="center"/>
        </w:trPr>
        <w:tc>
          <w:tcPr>
            <w:tcW w:w="425" w:type="dxa"/>
            <w:tcBorders>
              <w:right w:val="single" w:color="auto" w:sz="4" w:space="0"/>
            </w:tcBorders>
            <w:shd w:val="clear" w:color="auto" w:fill="auto"/>
            <w:vAlign w:val="center"/>
          </w:tcPr>
          <w:p>
            <w:pPr>
              <w:widowControl/>
              <w:spacing w:line="240" w:lineRule="exact"/>
              <w:jc w:val="center"/>
              <w:rPr>
                <w:color w:val="auto"/>
                <w:kern w:val="0"/>
                <w:szCs w:val="21"/>
              </w:rPr>
            </w:pPr>
            <w:r>
              <w:rPr>
                <w:color w:val="auto"/>
                <w:kern w:val="0"/>
                <w:szCs w:val="21"/>
              </w:rPr>
              <w:t>4</w:t>
            </w:r>
          </w:p>
        </w:tc>
        <w:tc>
          <w:tcPr>
            <w:tcW w:w="453" w:type="dxa"/>
            <w:vMerge w:val="restart"/>
            <w:tcBorders>
              <w:left w:val="single" w:color="auto" w:sz="4" w:space="0"/>
            </w:tcBorders>
            <w:shd w:val="clear" w:color="auto" w:fill="auto"/>
            <w:vAlign w:val="center"/>
          </w:tcPr>
          <w:p>
            <w:pPr>
              <w:widowControl/>
              <w:spacing w:line="240" w:lineRule="exact"/>
              <w:jc w:val="center"/>
              <w:rPr>
                <w:color w:val="auto"/>
                <w:kern w:val="0"/>
                <w:szCs w:val="21"/>
              </w:rPr>
            </w:pPr>
            <w:r>
              <w:rPr>
                <w:rFonts w:hint="eastAsia"/>
                <w:color w:val="auto"/>
                <w:kern w:val="0"/>
                <w:szCs w:val="21"/>
              </w:rPr>
              <w:t>5t/d灭菌设备</w:t>
            </w: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冷却水</w:t>
            </w:r>
          </w:p>
          <w:p>
            <w:pPr>
              <w:widowControl/>
              <w:spacing w:line="240" w:lineRule="exact"/>
              <w:jc w:val="center"/>
              <w:rPr>
                <w:rFonts w:cs="宋体"/>
                <w:color w:val="auto"/>
                <w:kern w:val="0"/>
                <w:szCs w:val="21"/>
              </w:rPr>
            </w:pPr>
            <w:r>
              <w:rPr>
                <w:rFonts w:hint="eastAsia" w:cs="宋体"/>
                <w:color w:val="auto"/>
                <w:kern w:val="0"/>
                <w:szCs w:val="21"/>
              </w:rPr>
              <w:t>循环系统用水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1235.52</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3.744</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1113.42</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3.374</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122.1</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0.37</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2" w:hRule="atLeast"/>
          <w:jc w:val="center"/>
        </w:trPr>
        <w:tc>
          <w:tcPr>
            <w:tcW w:w="425" w:type="dxa"/>
            <w:tcBorders>
              <w:right w:val="single" w:color="auto" w:sz="4" w:space="0"/>
            </w:tcBorders>
            <w:shd w:val="clear" w:color="auto" w:fill="auto"/>
            <w:vAlign w:val="center"/>
          </w:tcPr>
          <w:p>
            <w:pPr>
              <w:widowControl/>
              <w:spacing w:line="240" w:lineRule="exact"/>
              <w:jc w:val="center"/>
              <w:rPr>
                <w:color w:val="auto"/>
                <w:kern w:val="0"/>
                <w:szCs w:val="21"/>
              </w:rPr>
            </w:pPr>
            <w:r>
              <w:rPr>
                <w:color w:val="auto"/>
                <w:kern w:val="0"/>
                <w:szCs w:val="21"/>
              </w:rPr>
              <w:t>5</w:t>
            </w:r>
          </w:p>
        </w:tc>
        <w:tc>
          <w:tcPr>
            <w:tcW w:w="453" w:type="dxa"/>
            <w:vMerge w:val="continue"/>
            <w:tcBorders>
              <w:left w:val="single" w:color="auto" w:sz="4" w:space="0"/>
            </w:tcBorders>
            <w:shd w:val="clear" w:color="auto" w:fill="auto"/>
            <w:vAlign w:val="center"/>
          </w:tcPr>
          <w:p>
            <w:pPr>
              <w:widowControl/>
              <w:spacing w:line="240" w:lineRule="exact"/>
              <w:jc w:val="center"/>
              <w:rPr>
                <w:color w:val="auto"/>
                <w:kern w:val="0"/>
                <w:szCs w:val="21"/>
              </w:rPr>
            </w:pP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蒸汽发生器用水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775.5</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2.35</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660</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2</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115.5</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0.35</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2" w:hRule="atLeast"/>
          <w:jc w:val="center"/>
        </w:trPr>
        <w:tc>
          <w:tcPr>
            <w:tcW w:w="425" w:type="dxa"/>
            <w:tcBorders>
              <w:right w:val="single" w:color="auto" w:sz="4" w:space="0"/>
            </w:tcBorders>
            <w:shd w:val="clear" w:color="auto" w:fill="auto"/>
            <w:vAlign w:val="center"/>
          </w:tcPr>
          <w:p>
            <w:pPr>
              <w:widowControl/>
              <w:spacing w:line="240" w:lineRule="exact"/>
              <w:jc w:val="center"/>
              <w:rPr>
                <w:color w:val="auto"/>
                <w:kern w:val="0"/>
                <w:szCs w:val="21"/>
              </w:rPr>
            </w:pPr>
            <w:r>
              <w:rPr>
                <w:rFonts w:hint="eastAsia"/>
                <w:color w:val="auto"/>
                <w:kern w:val="0"/>
                <w:szCs w:val="21"/>
              </w:rPr>
              <w:t>6</w:t>
            </w:r>
          </w:p>
        </w:tc>
        <w:tc>
          <w:tcPr>
            <w:tcW w:w="453" w:type="dxa"/>
            <w:vMerge w:val="continue"/>
            <w:tcBorders>
              <w:left w:val="single" w:color="auto" w:sz="4" w:space="0"/>
            </w:tcBorders>
            <w:shd w:val="clear" w:color="auto" w:fill="auto"/>
            <w:vAlign w:val="center"/>
          </w:tcPr>
          <w:p>
            <w:pPr>
              <w:widowControl/>
              <w:spacing w:line="240" w:lineRule="exact"/>
              <w:jc w:val="center"/>
              <w:rPr>
                <w:color w:val="auto"/>
                <w:kern w:val="0"/>
                <w:szCs w:val="21"/>
              </w:rPr>
            </w:pP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高温灭菌装置</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825</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2.5</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36.3</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0.11</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788.7</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2.39</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2" w:hRule="atLeast"/>
          <w:jc w:val="center"/>
        </w:trPr>
        <w:tc>
          <w:tcPr>
            <w:tcW w:w="878" w:type="dxa"/>
            <w:gridSpan w:val="2"/>
            <w:shd w:val="clear" w:color="auto" w:fill="auto"/>
            <w:vAlign w:val="center"/>
          </w:tcPr>
          <w:p>
            <w:pPr>
              <w:widowControl/>
              <w:spacing w:line="240" w:lineRule="exact"/>
              <w:jc w:val="center"/>
              <w:rPr>
                <w:color w:val="auto"/>
                <w:kern w:val="0"/>
                <w:szCs w:val="21"/>
              </w:rPr>
            </w:pPr>
            <w:r>
              <w:rPr>
                <w:rFonts w:hint="eastAsia"/>
                <w:color w:val="auto"/>
                <w:kern w:val="0"/>
                <w:szCs w:val="21"/>
              </w:rPr>
              <w:t>7</w:t>
            </w:r>
            <w:r>
              <w:rPr>
                <w:color w:val="auto"/>
                <w:kern w:val="0"/>
                <w:szCs w:val="21"/>
              </w:rPr>
              <w:t>*</w:t>
            </w: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电锅炉用水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292.56</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2.12</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248.4</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1.8</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44.16</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0.32</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938" w:hRule="atLeast"/>
          <w:jc w:val="center"/>
        </w:trPr>
        <w:tc>
          <w:tcPr>
            <w:tcW w:w="425" w:type="dxa"/>
            <w:tcBorders>
              <w:right w:val="single" w:color="auto" w:sz="4" w:space="0"/>
            </w:tcBorders>
            <w:shd w:val="clear" w:color="auto" w:fill="auto"/>
            <w:vAlign w:val="center"/>
          </w:tcPr>
          <w:p>
            <w:pPr>
              <w:widowControl/>
              <w:spacing w:line="240" w:lineRule="exact"/>
              <w:jc w:val="center"/>
              <w:rPr>
                <w:color w:val="auto"/>
                <w:kern w:val="0"/>
                <w:szCs w:val="21"/>
              </w:rPr>
            </w:pPr>
            <w:r>
              <w:rPr>
                <w:rFonts w:hint="eastAsia"/>
                <w:color w:val="auto"/>
                <w:kern w:val="0"/>
                <w:szCs w:val="21"/>
              </w:rPr>
              <w:t>8</w:t>
            </w:r>
          </w:p>
        </w:tc>
        <w:tc>
          <w:tcPr>
            <w:tcW w:w="453" w:type="dxa"/>
            <w:vMerge w:val="restart"/>
            <w:tcBorders>
              <w:left w:val="single" w:color="auto" w:sz="4" w:space="0"/>
            </w:tcBorders>
            <w:shd w:val="clear" w:color="auto" w:fill="auto"/>
            <w:vAlign w:val="center"/>
          </w:tcPr>
          <w:p>
            <w:pPr>
              <w:widowControl/>
              <w:spacing w:line="240" w:lineRule="exact"/>
              <w:jc w:val="center"/>
              <w:rPr>
                <w:color w:val="auto"/>
                <w:kern w:val="0"/>
                <w:szCs w:val="21"/>
              </w:rPr>
            </w:pPr>
            <w:r>
              <w:rPr>
                <w:rFonts w:hint="eastAsia"/>
                <w:color w:val="auto"/>
                <w:kern w:val="0"/>
                <w:szCs w:val="21"/>
              </w:rPr>
              <w:t>3t/d灭菌设备</w:t>
            </w: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冷却水循环系统用水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792</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2.4</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712.8</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2.16</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79.2</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0.24</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2" w:hRule="atLeast"/>
          <w:jc w:val="center"/>
        </w:trPr>
        <w:tc>
          <w:tcPr>
            <w:tcW w:w="425" w:type="dxa"/>
            <w:tcBorders>
              <w:right w:val="single" w:color="auto" w:sz="4" w:space="0"/>
            </w:tcBorders>
            <w:shd w:val="clear" w:color="auto" w:fill="auto"/>
            <w:vAlign w:val="center"/>
          </w:tcPr>
          <w:p>
            <w:pPr>
              <w:widowControl/>
              <w:spacing w:line="240" w:lineRule="exact"/>
              <w:jc w:val="center"/>
              <w:rPr>
                <w:color w:val="auto"/>
                <w:kern w:val="0"/>
                <w:szCs w:val="21"/>
              </w:rPr>
            </w:pPr>
            <w:r>
              <w:rPr>
                <w:rFonts w:hint="eastAsia"/>
                <w:color w:val="auto"/>
                <w:kern w:val="0"/>
                <w:szCs w:val="21"/>
              </w:rPr>
              <w:t>9</w:t>
            </w:r>
          </w:p>
        </w:tc>
        <w:tc>
          <w:tcPr>
            <w:tcW w:w="453" w:type="dxa"/>
            <w:vMerge w:val="continue"/>
            <w:tcBorders>
              <w:left w:val="single" w:color="auto" w:sz="4" w:space="0"/>
            </w:tcBorders>
            <w:shd w:val="clear" w:color="auto" w:fill="auto"/>
            <w:vAlign w:val="center"/>
          </w:tcPr>
          <w:p>
            <w:pPr>
              <w:widowControl/>
              <w:spacing w:line="240" w:lineRule="exact"/>
              <w:jc w:val="center"/>
              <w:rPr>
                <w:color w:val="auto"/>
                <w:kern w:val="0"/>
                <w:szCs w:val="21"/>
              </w:rPr>
            </w:pP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蒸汽发生器用水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465.3</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1.41</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396</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1.2</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69.3</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0.21</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2" w:hRule="atLeast"/>
          <w:jc w:val="center"/>
        </w:trPr>
        <w:tc>
          <w:tcPr>
            <w:tcW w:w="425" w:type="dxa"/>
            <w:tcBorders>
              <w:right w:val="single" w:color="auto" w:sz="4" w:space="0"/>
            </w:tcBorders>
            <w:shd w:val="clear" w:color="auto" w:fill="auto"/>
            <w:vAlign w:val="center"/>
          </w:tcPr>
          <w:p>
            <w:pPr>
              <w:widowControl/>
              <w:spacing w:line="240" w:lineRule="exact"/>
              <w:jc w:val="center"/>
              <w:rPr>
                <w:color w:val="auto"/>
                <w:kern w:val="0"/>
                <w:szCs w:val="21"/>
              </w:rPr>
            </w:pPr>
            <w:r>
              <w:rPr>
                <w:rFonts w:hint="eastAsia"/>
                <w:color w:val="auto"/>
                <w:kern w:val="0"/>
                <w:szCs w:val="21"/>
              </w:rPr>
              <w:t>10</w:t>
            </w:r>
          </w:p>
        </w:tc>
        <w:tc>
          <w:tcPr>
            <w:tcW w:w="453" w:type="dxa"/>
            <w:vMerge w:val="continue"/>
            <w:tcBorders>
              <w:left w:val="single" w:color="auto" w:sz="4" w:space="0"/>
            </w:tcBorders>
            <w:shd w:val="clear" w:color="auto" w:fill="auto"/>
            <w:vAlign w:val="center"/>
          </w:tcPr>
          <w:p>
            <w:pPr>
              <w:widowControl/>
              <w:spacing w:line="240" w:lineRule="exact"/>
              <w:jc w:val="center"/>
              <w:rPr>
                <w:color w:val="auto"/>
                <w:kern w:val="0"/>
                <w:szCs w:val="21"/>
              </w:rPr>
            </w:pP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高温灭菌装置</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495</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1.5</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23.1</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0.07</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471.9</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1.43</w:t>
            </w:r>
          </w:p>
        </w:tc>
        <w:tc>
          <w:tcPr>
            <w:tcW w:w="582" w:type="dxa"/>
            <w:shd w:val="clear" w:color="auto" w:fill="auto"/>
            <w:vAlign w:val="center"/>
          </w:tcPr>
          <w:p>
            <w:pPr>
              <w:widowControl/>
              <w:spacing w:line="240" w:lineRule="exact"/>
              <w:jc w:val="center"/>
              <w:rPr>
                <w:color w:val="auto"/>
                <w:kern w:val="0"/>
                <w:szCs w:val="21"/>
              </w:rPr>
            </w:pPr>
            <w:r>
              <w:rPr>
                <w:rFonts w:hint="eastAsia"/>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858" w:hRule="atLeast"/>
          <w:jc w:val="center"/>
        </w:trPr>
        <w:tc>
          <w:tcPr>
            <w:tcW w:w="878" w:type="dxa"/>
            <w:gridSpan w:val="2"/>
            <w:shd w:val="clear" w:color="auto" w:fill="auto"/>
            <w:vAlign w:val="center"/>
          </w:tcPr>
          <w:p>
            <w:pPr>
              <w:widowControl/>
              <w:spacing w:line="240" w:lineRule="exact"/>
              <w:jc w:val="center"/>
              <w:rPr>
                <w:color w:val="auto"/>
                <w:kern w:val="0"/>
                <w:szCs w:val="21"/>
              </w:rPr>
            </w:pPr>
            <w:r>
              <w:rPr>
                <w:rFonts w:hint="eastAsia"/>
                <w:color w:val="auto"/>
                <w:kern w:val="0"/>
                <w:szCs w:val="21"/>
              </w:rPr>
              <w:t>11</w:t>
            </w: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碱洗喷淋水箱用水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132</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0.4</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26.4</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0.08</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105.6</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0.32</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84" w:hRule="atLeast"/>
          <w:jc w:val="center"/>
        </w:trPr>
        <w:tc>
          <w:tcPr>
            <w:tcW w:w="878" w:type="dxa"/>
            <w:gridSpan w:val="2"/>
            <w:shd w:val="clear" w:color="auto" w:fill="auto"/>
            <w:vAlign w:val="center"/>
          </w:tcPr>
          <w:p>
            <w:pPr>
              <w:widowControl/>
              <w:spacing w:line="240" w:lineRule="exact"/>
              <w:jc w:val="center"/>
              <w:rPr>
                <w:color w:val="auto"/>
                <w:kern w:val="0"/>
                <w:szCs w:val="21"/>
              </w:rPr>
            </w:pPr>
            <w:r>
              <w:rPr>
                <w:rFonts w:hint="eastAsia"/>
                <w:color w:val="auto"/>
                <w:kern w:val="0"/>
                <w:szCs w:val="21"/>
              </w:rPr>
              <w:t>12</w:t>
            </w: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生活用水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798.6</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2.42</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0"/>
              </w:rPr>
            </w:pPr>
            <w:r>
              <w:rPr>
                <w:color w:val="auto"/>
                <w:kern w:val="0"/>
                <w:szCs w:val="20"/>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159.72</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0.48</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638.88</w:t>
            </w:r>
          </w:p>
        </w:tc>
        <w:tc>
          <w:tcPr>
            <w:tcW w:w="881" w:type="dxa"/>
            <w:shd w:val="clear" w:color="auto" w:fill="auto"/>
            <w:vAlign w:val="center"/>
          </w:tcPr>
          <w:p>
            <w:pPr>
              <w:widowControl/>
              <w:spacing w:line="240" w:lineRule="exact"/>
              <w:jc w:val="center"/>
              <w:rPr>
                <w:color w:val="auto"/>
                <w:kern w:val="0"/>
                <w:szCs w:val="21"/>
              </w:rPr>
            </w:pPr>
            <w:r>
              <w:rPr>
                <w:color w:val="auto"/>
                <w:kern w:val="0"/>
                <w:szCs w:val="21"/>
              </w:rPr>
              <w:t>1.94</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95" w:hRule="atLeast"/>
          <w:jc w:val="center"/>
        </w:trPr>
        <w:tc>
          <w:tcPr>
            <w:tcW w:w="878" w:type="dxa"/>
            <w:gridSpan w:val="2"/>
            <w:shd w:val="clear" w:color="auto" w:fill="auto"/>
            <w:vAlign w:val="center"/>
          </w:tcPr>
          <w:p>
            <w:pPr>
              <w:widowControl/>
              <w:spacing w:line="240" w:lineRule="exact"/>
              <w:jc w:val="center"/>
              <w:rPr>
                <w:color w:val="auto"/>
                <w:kern w:val="0"/>
                <w:szCs w:val="21"/>
              </w:rPr>
            </w:pPr>
            <w:r>
              <w:rPr>
                <w:rFonts w:hint="eastAsia"/>
                <w:color w:val="auto"/>
                <w:kern w:val="0"/>
                <w:szCs w:val="21"/>
              </w:rPr>
              <w:t>13</w:t>
            </w:r>
          </w:p>
        </w:tc>
        <w:tc>
          <w:tcPr>
            <w:tcW w:w="1023" w:type="dxa"/>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绿化用水</w:t>
            </w:r>
          </w:p>
        </w:tc>
        <w:tc>
          <w:tcPr>
            <w:tcW w:w="861" w:type="dxa"/>
            <w:shd w:val="clear" w:color="auto" w:fill="auto"/>
            <w:vAlign w:val="center"/>
          </w:tcPr>
          <w:p>
            <w:pPr>
              <w:widowControl/>
              <w:spacing w:line="240" w:lineRule="exact"/>
              <w:jc w:val="center"/>
              <w:rPr>
                <w:color w:val="auto"/>
                <w:kern w:val="0"/>
                <w:szCs w:val="21"/>
              </w:rPr>
            </w:pPr>
            <w:r>
              <w:rPr>
                <w:color w:val="auto"/>
                <w:kern w:val="0"/>
                <w:szCs w:val="21"/>
              </w:rPr>
              <w:t>990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3</w:t>
            </w:r>
          </w:p>
        </w:tc>
        <w:tc>
          <w:tcPr>
            <w:tcW w:w="727"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731" w:type="dxa"/>
            <w:shd w:val="clear" w:color="auto" w:fill="auto"/>
            <w:vAlign w:val="center"/>
          </w:tcPr>
          <w:p>
            <w:pPr>
              <w:widowControl/>
              <w:spacing w:line="240" w:lineRule="exact"/>
              <w:jc w:val="center"/>
              <w:rPr>
                <w:color w:val="auto"/>
                <w:kern w:val="0"/>
                <w:szCs w:val="20"/>
              </w:rPr>
            </w:pPr>
            <w:r>
              <w:rPr>
                <w:color w:val="auto"/>
                <w:kern w:val="0"/>
                <w:szCs w:val="20"/>
              </w:rPr>
              <w:t>0</w:t>
            </w:r>
          </w:p>
        </w:tc>
        <w:tc>
          <w:tcPr>
            <w:tcW w:w="873" w:type="dxa"/>
            <w:shd w:val="clear" w:color="auto" w:fill="auto"/>
            <w:vAlign w:val="center"/>
          </w:tcPr>
          <w:p>
            <w:pPr>
              <w:widowControl/>
              <w:spacing w:line="240" w:lineRule="exact"/>
              <w:jc w:val="center"/>
              <w:rPr>
                <w:color w:val="auto"/>
                <w:kern w:val="0"/>
                <w:szCs w:val="21"/>
              </w:rPr>
            </w:pPr>
            <w:r>
              <w:rPr>
                <w:color w:val="auto"/>
                <w:kern w:val="0"/>
                <w:szCs w:val="21"/>
              </w:rPr>
              <w:t>990</w:t>
            </w:r>
          </w:p>
        </w:tc>
        <w:tc>
          <w:tcPr>
            <w:tcW w:w="1022" w:type="dxa"/>
            <w:shd w:val="clear" w:color="auto" w:fill="auto"/>
            <w:vAlign w:val="center"/>
          </w:tcPr>
          <w:p>
            <w:pPr>
              <w:widowControl/>
              <w:spacing w:line="240" w:lineRule="exact"/>
              <w:jc w:val="center"/>
              <w:rPr>
                <w:color w:val="auto"/>
                <w:kern w:val="0"/>
                <w:szCs w:val="21"/>
              </w:rPr>
            </w:pPr>
            <w:r>
              <w:rPr>
                <w:color w:val="auto"/>
                <w:kern w:val="0"/>
                <w:szCs w:val="21"/>
              </w:rPr>
              <w:t>3</w:t>
            </w:r>
          </w:p>
        </w:tc>
        <w:tc>
          <w:tcPr>
            <w:tcW w:w="938" w:type="dxa"/>
            <w:shd w:val="clear" w:color="auto" w:fill="auto"/>
            <w:vAlign w:val="center"/>
          </w:tcPr>
          <w:p>
            <w:pPr>
              <w:widowControl/>
              <w:spacing w:line="240" w:lineRule="exact"/>
              <w:jc w:val="center"/>
              <w:rPr>
                <w:color w:val="auto"/>
                <w:kern w:val="0"/>
                <w:szCs w:val="21"/>
              </w:rPr>
            </w:pPr>
            <w:r>
              <w:rPr>
                <w:color w:val="auto"/>
                <w:kern w:val="0"/>
                <w:szCs w:val="21"/>
              </w:rPr>
              <w:t>0</w:t>
            </w:r>
          </w:p>
        </w:tc>
        <w:tc>
          <w:tcPr>
            <w:tcW w:w="881" w:type="dxa"/>
            <w:shd w:val="clear" w:color="auto" w:fill="auto"/>
            <w:vAlign w:val="center"/>
          </w:tcPr>
          <w:p>
            <w:pPr>
              <w:widowControl/>
              <w:spacing w:line="240" w:lineRule="exact"/>
              <w:jc w:val="center"/>
              <w:rPr>
                <w:color w:val="auto"/>
                <w:kern w:val="0"/>
                <w:szCs w:val="20"/>
              </w:rPr>
            </w:pPr>
            <w:r>
              <w:rPr>
                <w:color w:val="auto"/>
                <w:kern w:val="0"/>
                <w:szCs w:val="20"/>
              </w:rPr>
              <w:t>0</w:t>
            </w:r>
          </w:p>
        </w:tc>
        <w:tc>
          <w:tcPr>
            <w:tcW w:w="582" w:type="dxa"/>
            <w:shd w:val="clear" w:color="auto" w:fill="auto"/>
            <w:vAlign w:val="center"/>
          </w:tcPr>
          <w:p>
            <w:pPr>
              <w:widowControl/>
              <w:spacing w:line="240" w:lineRule="exact"/>
              <w:jc w:val="center"/>
              <w:rPr>
                <w:color w:val="auto"/>
                <w:kern w:val="0"/>
                <w:szCs w:val="20"/>
              </w:rPr>
            </w:pPr>
            <w:r>
              <w:rPr>
                <w:color w:val="auto"/>
                <w:kern w:val="0"/>
                <w:szCs w:val="20"/>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64" w:hRule="atLeast"/>
          <w:jc w:val="center"/>
        </w:trPr>
        <w:tc>
          <w:tcPr>
            <w:tcW w:w="1901" w:type="dxa"/>
            <w:gridSpan w:val="3"/>
            <w:shd w:val="clear" w:color="auto" w:fill="auto"/>
            <w:vAlign w:val="center"/>
          </w:tcPr>
          <w:p>
            <w:pPr>
              <w:widowControl/>
              <w:spacing w:line="240" w:lineRule="exact"/>
              <w:jc w:val="center"/>
              <w:rPr>
                <w:rFonts w:cs="宋体"/>
                <w:color w:val="auto"/>
                <w:kern w:val="0"/>
                <w:szCs w:val="21"/>
              </w:rPr>
            </w:pPr>
            <w:r>
              <w:rPr>
                <w:rFonts w:hint="eastAsia" w:cs="宋体"/>
                <w:color w:val="auto"/>
                <w:kern w:val="0"/>
                <w:szCs w:val="21"/>
              </w:rPr>
              <w:t>合计</w:t>
            </w:r>
          </w:p>
        </w:tc>
        <w:tc>
          <w:tcPr>
            <w:tcW w:w="861" w:type="dxa"/>
            <w:shd w:val="clear" w:color="auto" w:fill="auto"/>
            <w:vAlign w:val="center"/>
          </w:tcPr>
          <w:p>
            <w:pPr>
              <w:widowControl/>
              <w:spacing w:line="240" w:lineRule="exact"/>
              <w:jc w:val="center"/>
              <w:rPr>
                <w:color w:val="auto"/>
                <w:kern w:val="0"/>
                <w:szCs w:val="21"/>
              </w:rPr>
            </w:pPr>
            <w:r>
              <w:rPr>
                <w:rFonts w:hint="eastAsia"/>
                <w:color w:val="auto"/>
                <w:kern w:val="0"/>
                <w:szCs w:val="21"/>
              </w:rPr>
              <w:t>6839.1</w:t>
            </w:r>
          </w:p>
        </w:tc>
        <w:tc>
          <w:tcPr>
            <w:tcW w:w="873" w:type="dxa"/>
            <w:shd w:val="clear" w:color="auto" w:fill="auto"/>
            <w:vAlign w:val="center"/>
          </w:tcPr>
          <w:p>
            <w:pPr>
              <w:widowControl/>
              <w:spacing w:line="240" w:lineRule="exact"/>
              <w:jc w:val="center"/>
              <w:rPr>
                <w:color w:val="auto"/>
                <w:kern w:val="0"/>
                <w:szCs w:val="21"/>
              </w:rPr>
            </w:pPr>
            <w:r>
              <w:rPr>
                <w:rFonts w:hint="eastAsia"/>
                <w:color w:val="auto"/>
                <w:kern w:val="0"/>
                <w:szCs w:val="21"/>
              </w:rPr>
              <w:t>21.958</w:t>
            </w:r>
          </w:p>
          <w:p>
            <w:pPr>
              <w:spacing w:line="240" w:lineRule="exact"/>
              <w:jc w:val="center"/>
              <w:rPr>
                <w:color w:val="auto"/>
                <w:kern w:val="0"/>
                <w:szCs w:val="21"/>
              </w:rPr>
            </w:pPr>
            <w:r>
              <w:rPr>
                <w:rFonts w:hint="eastAsia"/>
                <w:color w:val="auto"/>
                <w:kern w:val="0"/>
                <w:szCs w:val="21"/>
              </w:rPr>
              <w:t>(19.8</w:t>
            </w:r>
            <w:r>
              <w:rPr>
                <w:color w:val="auto"/>
                <w:kern w:val="0"/>
                <w:szCs w:val="21"/>
              </w:rPr>
              <w:t>3</w:t>
            </w:r>
            <w:r>
              <w:rPr>
                <w:rFonts w:hint="eastAsia"/>
                <w:color w:val="auto"/>
                <w:kern w:val="0"/>
                <w:szCs w:val="21"/>
              </w:rPr>
              <w:t>8)</w:t>
            </w:r>
          </w:p>
        </w:tc>
        <w:tc>
          <w:tcPr>
            <w:tcW w:w="727" w:type="dxa"/>
            <w:shd w:val="clear" w:color="auto" w:fill="auto"/>
            <w:vAlign w:val="center"/>
          </w:tcPr>
          <w:p>
            <w:pPr>
              <w:widowControl/>
              <w:spacing w:line="240" w:lineRule="exact"/>
              <w:jc w:val="center"/>
              <w:rPr>
                <w:color w:val="auto"/>
                <w:kern w:val="0"/>
                <w:szCs w:val="21"/>
              </w:rPr>
            </w:pPr>
            <w:r>
              <w:rPr>
                <w:rFonts w:hint="eastAsia"/>
                <w:color w:val="auto"/>
                <w:kern w:val="0"/>
                <w:szCs w:val="21"/>
              </w:rPr>
              <w:t>1320</w:t>
            </w:r>
          </w:p>
        </w:tc>
        <w:tc>
          <w:tcPr>
            <w:tcW w:w="731" w:type="dxa"/>
            <w:shd w:val="clear" w:color="auto" w:fill="auto"/>
            <w:vAlign w:val="center"/>
          </w:tcPr>
          <w:p>
            <w:pPr>
              <w:widowControl/>
              <w:spacing w:line="240" w:lineRule="exact"/>
              <w:jc w:val="center"/>
              <w:rPr>
                <w:color w:val="auto"/>
                <w:kern w:val="0"/>
                <w:szCs w:val="21"/>
              </w:rPr>
            </w:pPr>
            <w:r>
              <w:rPr>
                <w:rFonts w:hint="eastAsia"/>
                <w:color w:val="auto"/>
                <w:kern w:val="0"/>
                <w:szCs w:val="21"/>
              </w:rPr>
              <w:t>4</w:t>
            </w:r>
          </w:p>
        </w:tc>
        <w:tc>
          <w:tcPr>
            <w:tcW w:w="873" w:type="dxa"/>
            <w:shd w:val="clear" w:color="auto" w:fill="auto"/>
            <w:vAlign w:val="center"/>
          </w:tcPr>
          <w:p>
            <w:pPr>
              <w:widowControl/>
              <w:spacing w:line="240" w:lineRule="exact"/>
              <w:jc w:val="center"/>
              <w:rPr>
                <w:color w:val="auto"/>
                <w:kern w:val="0"/>
                <w:szCs w:val="21"/>
              </w:rPr>
            </w:pPr>
            <w:r>
              <w:rPr>
                <w:rFonts w:hint="eastAsia"/>
                <w:color w:val="auto"/>
                <w:kern w:val="0"/>
                <w:szCs w:val="21"/>
              </w:rPr>
              <w:t>4257.06</w:t>
            </w:r>
          </w:p>
        </w:tc>
        <w:tc>
          <w:tcPr>
            <w:tcW w:w="1022" w:type="dxa"/>
            <w:shd w:val="clear" w:color="auto" w:fill="auto"/>
            <w:vAlign w:val="center"/>
          </w:tcPr>
          <w:p>
            <w:pPr>
              <w:widowControl/>
              <w:spacing w:line="240" w:lineRule="exact"/>
              <w:jc w:val="center"/>
              <w:rPr>
                <w:color w:val="auto"/>
                <w:kern w:val="0"/>
                <w:szCs w:val="21"/>
              </w:rPr>
            </w:pPr>
            <w:r>
              <w:rPr>
                <w:rFonts w:hint="eastAsia"/>
                <w:color w:val="auto"/>
                <w:kern w:val="0"/>
                <w:szCs w:val="21"/>
              </w:rPr>
              <w:t>15.098</w:t>
            </w:r>
          </w:p>
          <w:p>
            <w:pPr>
              <w:spacing w:line="240" w:lineRule="exact"/>
              <w:jc w:val="center"/>
              <w:rPr>
                <w:color w:val="auto"/>
                <w:kern w:val="0"/>
                <w:szCs w:val="21"/>
              </w:rPr>
            </w:pPr>
            <w:r>
              <w:rPr>
                <w:rFonts w:hint="eastAsia"/>
                <w:color w:val="auto"/>
                <w:kern w:val="0"/>
                <w:szCs w:val="21"/>
              </w:rPr>
              <w:t>(13.298)</w:t>
            </w:r>
          </w:p>
        </w:tc>
        <w:tc>
          <w:tcPr>
            <w:tcW w:w="938" w:type="dxa"/>
            <w:shd w:val="clear" w:color="auto" w:fill="auto"/>
            <w:vAlign w:val="center"/>
          </w:tcPr>
          <w:p>
            <w:pPr>
              <w:widowControl/>
              <w:spacing w:line="240" w:lineRule="exact"/>
              <w:jc w:val="center"/>
              <w:rPr>
                <w:color w:val="auto"/>
                <w:kern w:val="0"/>
                <w:szCs w:val="21"/>
              </w:rPr>
            </w:pPr>
            <w:r>
              <w:rPr>
                <w:rFonts w:hint="eastAsia"/>
                <w:color w:val="auto"/>
                <w:kern w:val="0"/>
                <w:szCs w:val="21"/>
              </w:rPr>
              <w:t>3521.04</w:t>
            </w:r>
          </w:p>
        </w:tc>
        <w:tc>
          <w:tcPr>
            <w:tcW w:w="881" w:type="dxa"/>
            <w:shd w:val="clear" w:color="auto" w:fill="auto"/>
            <w:vAlign w:val="center"/>
          </w:tcPr>
          <w:p>
            <w:pPr>
              <w:widowControl/>
              <w:spacing w:line="240" w:lineRule="exact"/>
              <w:jc w:val="center"/>
              <w:rPr>
                <w:color w:val="auto"/>
                <w:kern w:val="0"/>
                <w:szCs w:val="21"/>
              </w:rPr>
            </w:pPr>
            <w:r>
              <w:rPr>
                <w:rFonts w:hint="eastAsia"/>
                <w:color w:val="auto"/>
                <w:kern w:val="0"/>
                <w:szCs w:val="21"/>
              </w:rPr>
              <w:t>10.86</w:t>
            </w:r>
          </w:p>
          <w:p>
            <w:pPr>
              <w:spacing w:line="240" w:lineRule="exact"/>
              <w:jc w:val="center"/>
              <w:rPr>
                <w:color w:val="auto"/>
                <w:kern w:val="0"/>
                <w:szCs w:val="21"/>
              </w:rPr>
            </w:pPr>
            <w:r>
              <w:rPr>
                <w:rFonts w:hint="eastAsia"/>
                <w:color w:val="auto"/>
                <w:kern w:val="0"/>
                <w:szCs w:val="21"/>
              </w:rPr>
              <w:t>(10.54</w:t>
            </w:r>
            <w:r>
              <w:rPr>
                <w:color w:val="auto"/>
                <w:kern w:val="0"/>
                <w:szCs w:val="21"/>
              </w:rPr>
              <w:t xml:space="preserve">) </w:t>
            </w:r>
          </w:p>
        </w:tc>
        <w:tc>
          <w:tcPr>
            <w:tcW w:w="582" w:type="dxa"/>
            <w:shd w:val="clear" w:color="auto" w:fill="auto"/>
            <w:vAlign w:val="center"/>
          </w:tcPr>
          <w:p>
            <w:pPr>
              <w:widowControl/>
              <w:spacing w:line="240" w:lineRule="exact"/>
              <w:jc w:val="center"/>
              <w:rPr>
                <w:color w:val="auto"/>
                <w:kern w:val="0"/>
                <w:szCs w:val="21"/>
              </w:rPr>
            </w:pPr>
            <w:r>
              <w:rPr>
                <w:color w:val="auto"/>
                <w:kern w:val="0"/>
                <w:szCs w:val="21"/>
              </w:rPr>
              <w:t>0</w:t>
            </w:r>
          </w:p>
        </w:tc>
      </w:tr>
    </w:tbl>
    <w:p>
      <w:pPr>
        <w:pStyle w:val="2"/>
        <w:rPr>
          <w:rFonts w:hint="eastAsia" w:eastAsia="宋体"/>
          <w:color w:val="auto"/>
          <w:lang w:eastAsia="zh-CN"/>
        </w:rPr>
      </w:pPr>
      <w:r>
        <w:rPr>
          <w:color w:val="auto"/>
        </w:rPr>
        <w:t>注：</w:t>
      </w:r>
      <w:r>
        <w:rPr>
          <w:color w:val="auto"/>
          <w:szCs w:val="21"/>
        </w:rPr>
        <w:t>7*电锅炉冬季使用，其他季节不用。</w:t>
      </w:r>
      <w:r>
        <w:rPr>
          <w:color w:val="auto"/>
        </w:rPr>
        <w:t>括号外为冬季用水，括号内为其他季节用</w:t>
      </w:r>
      <w:r>
        <w:rPr>
          <w:rFonts w:hint="eastAsia"/>
          <w:color w:val="auto"/>
          <w:lang w:eastAsia="zh-CN"/>
        </w:rPr>
        <w:t>。</w:t>
      </w: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r>
        <w:rPr>
          <w:color w:val="auto"/>
        </w:rPr>
        <w:pict>
          <v:shape id="_x0000_s1034" o:spid="_x0000_s1034" o:spt="75" type="#_x0000_t75" style="position:absolute;left:0pt;margin-left:-7.5pt;margin-top:6.25pt;height:549.4pt;width:393.95pt;z-index:251696128;mso-width-relative:page;mso-height-relative:page;" o:ole="t" filled="f" o:preferrelative="t" stroked="f" coordsize="21600,21600">
            <v:path/>
            <v:fill on="f" focussize="0,0"/>
            <v:stroke on="f" joinstyle="miter"/>
            <v:imagedata r:id="rId28" o:title=""/>
            <o:lock v:ext="edit" aspectratio="f"/>
          </v:shape>
          <o:OLEObject Type="Embed" ProgID="Visio.Drawing.11" ShapeID="_x0000_s1034" DrawAspect="Content" ObjectID="_1468075726" r:id="rId27">
            <o:LockedField>false</o:LockedField>
          </o:OLEObject>
        </w:pict>
      </w: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pStyle w:val="2"/>
        <w:rPr>
          <w:color w:val="auto"/>
        </w:rPr>
      </w:pPr>
    </w:p>
    <w:p>
      <w:pPr>
        <w:spacing w:line="360" w:lineRule="auto"/>
        <w:jc w:val="center"/>
        <w:rPr>
          <w:rStyle w:val="115"/>
          <w:color w:val="auto"/>
        </w:rPr>
      </w:pPr>
    </w:p>
    <w:p>
      <w:pPr>
        <w:spacing w:line="360" w:lineRule="auto"/>
        <w:jc w:val="center"/>
        <w:rPr>
          <w:rStyle w:val="115"/>
          <w:color w:val="auto"/>
        </w:rPr>
      </w:pPr>
      <w:r>
        <w:rPr>
          <w:rStyle w:val="115"/>
          <w:color w:val="auto"/>
        </w:rPr>
        <w:t>图4.2-</w:t>
      </w:r>
      <w:r>
        <w:rPr>
          <w:rStyle w:val="115"/>
          <w:rFonts w:hint="eastAsia"/>
          <w:color w:val="auto"/>
        </w:rPr>
        <w:t>2</w:t>
      </w:r>
      <w:r>
        <w:rPr>
          <w:rStyle w:val="115"/>
          <w:color w:val="auto"/>
        </w:rPr>
        <w:t xml:space="preserve">  本项目</w:t>
      </w:r>
      <w:r>
        <w:rPr>
          <w:rStyle w:val="115"/>
          <w:rFonts w:hint="eastAsia"/>
          <w:color w:val="auto"/>
        </w:rPr>
        <w:t>建成后全厂</w:t>
      </w:r>
      <w:r>
        <w:rPr>
          <w:rStyle w:val="115"/>
          <w:color w:val="auto"/>
        </w:rPr>
        <w:t>水平衡图       单位：m</w:t>
      </w:r>
      <w:r>
        <w:rPr>
          <w:rStyle w:val="115"/>
          <w:color w:val="auto"/>
          <w:vertAlign w:val="superscript"/>
        </w:rPr>
        <w:t>3</w:t>
      </w:r>
      <w:r>
        <w:rPr>
          <w:rStyle w:val="115"/>
          <w:color w:val="auto"/>
        </w:rPr>
        <w:t>/d</w:t>
      </w:r>
    </w:p>
    <w:p>
      <w:pPr>
        <w:pStyle w:val="2"/>
        <w:rPr>
          <w:color w:val="auto"/>
        </w:rPr>
      </w:pPr>
      <w:r>
        <w:rPr>
          <w:b/>
          <w:bCs/>
          <w:color w:val="auto"/>
        </w:rPr>
        <w:t>注：电锅炉仅冬季使用；括号外为冬季用水，括号内为其他季节用水</w:t>
      </w:r>
    </w:p>
    <w:p>
      <w:pPr>
        <w:pStyle w:val="5"/>
        <w:numPr>
          <w:ilvl w:val="2"/>
          <w:numId w:val="0"/>
        </w:numPr>
        <w:spacing w:before="120" w:beforeLines="50"/>
        <w:ind w:left="-720" w:leftChars="-343" w:firstLine="723" w:firstLineChars="300"/>
        <w:rPr>
          <w:color w:val="auto"/>
        </w:rPr>
      </w:pPr>
      <w:bookmarkStart w:id="218" w:name="_Toc58849425"/>
      <w:bookmarkStart w:id="219" w:name="_Toc109398598"/>
      <w:r>
        <w:rPr>
          <w:color w:val="auto"/>
        </w:rPr>
        <w:t>4.2.2供电</w:t>
      </w:r>
      <w:bookmarkEnd w:id="218"/>
      <w:bookmarkEnd w:id="219"/>
    </w:p>
    <w:p>
      <w:pPr>
        <w:pStyle w:val="130"/>
        <w:ind w:firstLine="480"/>
        <w:rPr>
          <w:color w:val="auto"/>
        </w:rPr>
      </w:pPr>
      <w:r>
        <w:rPr>
          <w:color w:val="auto"/>
        </w:rPr>
        <w:t>本项目供电由市政供电</w:t>
      </w:r>
      <w:r>
        <w:rPr>
          <w:rFonts w:hint="eastAsia"/>
          <w:color w:val="auto"/>
        </w:rPr>
        <w:t>网络</w:t>
      </w:r>
      <w:r>
        <w:rPr>
          <w:color w:val="auto"/>
        </w:rPr>
        <w:t>提供。</w:t>
      </w:r>
    </w:p>
    <w:p>
      <w:pPr>
        <w:pStyle w:val="5"/>
        <w:numPr>
          <w:ilvl w:val="2"/>
          <w:numId w:val="0"/>
        </w:numPr>
        <w:ind w:left="-720" w:leftChars="-343" w:firstLine="723" w:firstLineChars="300"/>
        <w:rPr>
          <w:color w:val="auto"/>
        </w:rPr>
      </w:pPr>
      <w:bookmarkStart w:id="220" w:name="_Toc58849426"/>
      <w:bookmarkStart w:id="221" w:name="_Toc109398599"/>
      <w:r>
        <w:rPr>
          <w:color w:val="auto"/>
        </w:rPr>
        <w:t>4.2.3供暖</w:t>
      </w:r>
      <w:bookmarkEnd w:id="220"/>
      <w:bookmarkEnd w:id="221"/>
    </w:p>
    <w:p>
      <w:pPr>
        <w:pStyle w:val="130"/>
        <w:ind w:firstLine="480"/>
        <w:rPr>
          <w:color w:val="auto"/>
        </w:rPr>
      </w:pPr>
      <w:r>
        <w:rPr>
          <w:color w:val="auto"/>
        </w:rPr>
        <w:t>厂区冬季供暖由新建3台新建80KW电热水锅炉提供，进出水温度80/65℃。</w:t>
      </w:r>
    </w:p>
    <w:p>
      <w:pPr>
        <w:pStyle w:val="5"/>
        <w:numPr>
          <w:ilvl w:val="2"/>
          <w:numId w:val="0"/>
        </w:numPr>
        <w:ind w:left="-720" w:leftChars="-343" w:firstLine="723" w:firstLineChars="300"/>
        <w:rPr>
          <w:color w:val="auto"/>
        </w:rPr>
      </w:pPr>
      <w:bookmarkStart w:id="222" w:name="_Toc109398600"/>
      <w:bookmarkStart w:id="223" w:name="_Toc58849427"/>
      <w:r>
        <w:rPr>
          <w:color w:val="auto"/>
        </w:rPr>
        <w:t>4.2.4供蒸汽</w:t>
      </w:r>
      <w:bookmarkEnd w:id="222"/>
      <w:bookmarkEnd w:id="223"/>
    </w:p>
    <w:p>
      <w:pPr>
        <w:pStyle w:val="130"/>
        <w:ind w:firstLine="480"/>
        <w:rPr>
          <w:color w:val="auto"/>
        </w:rPr>
      </w:pPr>
      <w:bookmarkStart w:id="224" w:name="_Toc58849428"/>
      <w:r>
        <w:rPr>
          <w:color w:val="auto"/>
        </w:rPr>
        <w:t>现有工程燃煤锅炉</w:t>
      </w:r>
      <w:r>
        <w:rPr>
          <w:rFonts w:hint="eastAsia"/>
          <w:color w:val="auto"/>
        </w:rPr>
        <w:t>拆除，新增5</w:t>
      </w:r>
      <w:r>
        <w:rPr>
          <w:color w:val="auto"/>
        </w:rPr>
        <w:t>台103kg/h电蒸汽发生器为生产工序提供蒸汽，</w:t>
      </w:r>
      <w:r>
        <w:rPr>
          <w:rFonts w:hint="eastAsia"/>
          <w:color w:val="auto"/>
        </w:rPr>
        <w:t>本项目</w:t>
      </w:r>
      <w:r>
        <w:rPr>
          <w:color w:val="auto"/>
        </w:rPr>
        <w:t>蒸汽平衡图见图4.2-3</w:t>
      </w:r>
      <w:r>
        <w:rPr>
          <w:rFonts w:hint="eastAsia"/>
          <w:color w:val="auto"/>
        </w:rPr>
        <w:t>，全厂蒸汽平衡图见图</w:t>
      </w:r>
      <w:r>
        <w:rPr>
          <w:color w:val="auto"/>
        </w:rPr>
        <w:t>4</w:t>
      </w:r>
      <w:r>
        <w:rPr>
          <w:rFonts w:hint="eastAsia"/>
          <w:color w:val="auto"/>
        </w:rPr>
        <w:t>.2-4.</w:t>
      </w:r>
    </w:p>
    <w:p>
      <w:pPr>
        <w:pStyle w:val="130"/>
        <w:ind w:firstLine="480"/>
        <w:jc w:val="center"/>
        <w:rPr>
          <w:rStyle w:val="115"/>
          <w:b w:val="0"/>
          <w:color w:val="auto"/>
          <w:szCs w:val="32"/>
        </w:rPr>
      </w:pPr>
      <w:r>
        <w:rPr>
          <w:color w:val="auto"/>
        </w:rPr>
        <w:drawing>
          <wp:anchor distT="0" distB="0" distL="114300" distR="114300" simplePos="0" relativeHeight="251697152" behindDoc="0" locked="0" layoutInCell="1" allowOverlap="1">
            <wp:simplePos x="0" y="0"/>
            <wp:positionH relativeFrom="margin">
              <wp:posOffset>679450</wp:posOffset>
            </wp:positionH>
            <wp:positionV relativeFrom="paragraph">
              <wp:posOffset>3810</wp:posOffset>
            </wp:positionV>
            <wp:extent cx="3803650" cy="1797685"/>
            <wp:effectExtent l="0" t="0" r="0" b="635"/>
            <wp:wrapNone/>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803904" cy="1797921"/>
                    </a:xfrm>
                    <a:prstGeom prst="rect">
                      <a:avLst/>
                    </a:prstGeom>
                    <a:noFill/>
                    <a:ln>
                      <a:noFill/>
                    </a:ln>
                  </pic:spPr>
                </pic:pic>
              </a:graphicData>
            </a:graphic>
          </wp:anchor>
        </w:drawing>
      </w: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pStyle w:val="114"/>
        <w:adjustRightInd w:val="0"/>
        <w:snapToGrid w:val="0"/>
        <w:spacing w:before="0" w:beforeLines="0"/>
        <w:rPr>
          <w:color w:val="auto"/>
        </w:rPr>
      </w:pPr>
      <w:r>
        <w:rPr>
          <w:color w:val="auto"/>
        </w:rPr>
        <w:t xml:space="preserve"> 图4.2-3  本项目蒸汽平衡图    单位t/d</w:t>
      </w:r>
    </w:p>
    <w:p>
      <w:pPr>
        <w:pStyle w:val="114"/>
        <w:adjustRightInd w:val="0"/>
        <w:snapToGrid w:val="0"/>
        <w:spacing w:before="0" w:beforeLines="0"/>
        <w:rPr>
          <w:color w:val="auto"/>
        </w:rPr>
      </w:pPr>
      <w:r>
        <w:rPr>
          <w:color w:val="auto"/>
        </w:rPr>
        <w:pict>
          <v:shape id="_x0000_s1035" o:spid="_x0000_s1035" o:spt="75" type="#_x0000_t75" style="position:absolute;left:0pt;margin-left:41.85pt;margin-top:12.2pt;height:142.9pt;width:296.1pt;z-index:251698176;mso-width-relative:page;mso-height-relative:page;" o:ole="t" filled="f" o:preferrelative="t" stroked="f" coordsize="21600,21600">
            <v:path/>
            <v:fill on="f" focussize="0,0"/>
            <v:stroke on="f" joinstyle="miter"/>
            <v:imagedata r:id="rId31" o:title=""/>
            <o:lock v:ext="edit" aspectratio="f"/>
          </v:shape>
          <o:OLEObject Type="Embed" ProgID="Visio.Drawing.11" ShapeID="_x0000_s1035" DrawAspect="Content" ObjectID="_1468075727" r:id="rId30">
            <o:LockedField>false</o:LockedField>
          </o:OLEObject>
        </w:pict>
      </w: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p>
    <w:p>
      <w:pPr>
        <w:pStyle w:val="114"/>
        <w:adjustRightInd w:val="0"/>
        <w:snapToGrid w:val="0"/>
        <w:spacing w:before="0" w:beforeLines="0"/>
        <w:rPr>
          <w:color w:val="auto"/>
        </w:rPr>
      </w:pPr>
      <w:r>
        <w:rPr>
          <w:color w:val="auto"/>
        </w:rPr>
        <w:t xml:space="preserve"> 图4.2-</w:t>
      </w:r>
      <w:r>
        <w:rPr>
          <w:rFonts w:hint="eastAsia"/>
          <w:color w:val="auto"/>
        </w:rPr>
        <w:t>4</w:t>
      </w:r>
      <w:r>
        <w:rPr>
          <w:color w:val="auto"/>
        </w:rPr>
        <w:t xml:space="preserve">  本项目</w:t>
      </w:r>
      <w:r>
        <w:rPr>
          <w:rFonts w:hint="eastAsia"/>
          <w:color w:val="auto"/>
        </w:rPr>
        <w:t>建成后全厂</w:t>
      </w:r>
      <w:r>
        <w:rPr>
          <w:color w:val="auto"/>
        </w:rPr>
        <w:t>蒸汽平衡图    单位t/d</w:t>
      </w:r>
    </w:p>
    <w:p>
      <w:pPr>
        <w:pStyle w:val="5"/>
        <w:numPr>
          <w:ilvl w:val="2"/>
          <w:numId w:val="0"/>
        </w:numPr>
        <w:spacing w:before="120" w:beforeLines="50"/>
        <w:ind w:left="-720" w:leftChars="-343" w:firstLine="723" w:firstLineChars="300"/>
        <w:rPr>
          <w:rStyle w:val="115"/>
          <w:b/>
          <w:color w:val="auto"/>
        </w:rPr>
      </w:pPr>
      <w:bookmarkStart w:id="225" w:name="_Toc109398601"/>
      <w:r>
        <w:rPr>
          <w:rStyle w:val="115"/>
          <w:b/>
          <w:color w:val="auto"/>
        </w:rPr>
        <w:t>4.2.5制冷</w:t>
      </w:r>
      <w:bookmarkEnd w:id="224"/>
      <w:bookmarkEnd w:id="225"/>
    </w:p>
    <w:p>
      <w:pPr>
        <w:pStyle w:val="130"/>
        <w:ind w:firstLine="480"/>
        <w:rPr>
          <w:color w:val="auto"/>
        </w:rPr>
      </w:pPr>
      <w:r>
        <w:rPr>
          <w:color w:val="auto"/>
        </w:rPr>
        <w:t>采用R134a作为制冷剂。</w:t>
      </w:r>
    </w:p>
    <w:p>
      <w:pPr>
        <w:pStyle w:val="4"/>
        <w:numPr>
          <w:ilvl w:val="1"/>
          <w:numId w:val="0"/>
        </w:numPr>
        <w:spacing w:before="120"/>
        <w:rPr>
          <w:color w:val="auto"/>
        </w:rPr>
      </w:pPr>
      <w:bookmarkStart w:id="226" w:name="_Toc109398602"/>
      <w:bookmarkStart w:id="227" w:name="_Toc58849429"/>
      <w:r>
        <w:rPr>
          <w:color w:val="auto"/>
        </w:rPr>
        <w:t>4.3医疗废物来源及范围</w:t>
      </w:r>
      <w:bookmarkEnd w:id="226"/>
      <w:bookmarkEnd w:id="227"/>
    </w:p>
    <w:p>
      <w:pPr>
        <w:pStyle w:val="5"/>
        <w:numPr>
          <w:ilvl w:val="2"/>
          <w:numId w:val="0"/>
        </w:numPr>
        <w:ind w:left="-720" w:leftChars="-343" w:firstLine="723" w:firstLineChars="300"/>
        <w:rPr>
          <w:color w:val="auto"/>
        </w:rPr>
      </w:pPr>
      <w:bookmarkStart w:id="228" w:name="_Toc58849430"/>
      <w:bookmarkStart w:id="229" w:name="_Toc109398603"/>
      <w:r>
        <w:rPr>
          <w:color w:val="auto"/>
        </w:rPr>
        <w:t>4.3.1医疗废物处置规模确定</w:t>
      </w:r>
      <w:bookmarkEnd w:id="228"/>
      <w:bookmarkEnd w:id="229"/>
    </w:p>
    <w:p>
      <w:pPr>
        <w:pStyle w:val="130"/>
        <w:ind w:firstLine="480"/>
        <w:rPr>
          <w:color w:val="auto"/>
        </w:rPr>
      </w:pPr>
      <w:bookmarkStart w:id="230" w:name="_Toc58849431"/>
      <w:r>
        <w:rPr>
          <w:color w:val="auto"/>
        </w:rPr>
        <w:t>本项目设计最大服务年限为10年，可使用至2029年，</w:t>
      </w:r>
      <w:r>
        <w:rPr>
          <w:rFonts w:hint="eastAsia"/>
          <w:color w:val="auto"/>
        </w:rPr>
        <w:t>根据调查，</w:t>
      </w:r>
      <w:r>
        <w:rPr>
          <w:color w:val="auto"/>
        </w:rPr>
        <w:t>中卫市2018医疗废物产生量约为2.8t/d，2019年医疗废物产生量约为2.93t/d，2020年医疗废物产生量约为3.06t/d，根据历年医疗废物产生量统计，逐年增长率约为4.5%。因此，至2029年中卫市医疗废物处置量估算约为4.55t/d。考虑处理能力的冗余，本项目新增一套5t/d的医疗废物高温蒸汽灭菌器及配套设备用于处理损伤性及感染性医疗废物，处置规模确定合理，中卫市2019~2029年医疗废物产生量估算情况见表4.3-1。</w:t>
      </w:r>
    </w:p>
    <w:p>
      <w:pPr>
        <w:pStyle w:val="130"/>
        <w:ind w:firstLine="480"/>
        <w:rPr>
          <w:color w:val="auto"/>
        </w:rPr>
      </w:pPr>
      <w:r>
        <w:rPr>
          <w:rFonts w:hint="eastAsia"/>
          <w:color w:val="auto"/>
        </w:rPr>
        <w:t>为应对疫情突发情况，根据2022年6月中卫市出现一例新冠病毒患者，2022年6月12日-6月17日中卫市医疗废物收集统计数据，最高日收集医疗废物量为6.878t/d，考虑最不利情况，本项目保留现有工程3t/d高温蒸汽灭菌系统及配套工程，并对现有工程破碎机进行升级改造，对刀片、控制系统等进行统一维修升级。项目建成后全厂医疗废物最大处理规模为8t/d。</w:t>
      </w:r>
    </w:p>
    <w:p>
      <w:pPr>
        <w:pStyle w:val="114"/>
        <w:spacing w:before="0" w:beforeLines="0"/>
        <w:ind w:left="980" w:hanging="560"/>
        <w:rPr>
          <w:color w:val="auto"/>
        </w:rPr>
      </w:pPr>
      <w:r>
        <w:rPr>
          <w:color w:val="auto"/>
        </w:rPr>
        <w:t>表4.3-1中卫市2019~2029年医疗废物产生量估算情况表</w:t>
      </w:r>
    </w:p>
    <w:tbl>
      <w:tblPr>
        <w:tblStyle w:val="75"/>
        <w:tblW w:w="872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21"/>
        <w:gridCol w:w="1022"/>
        <w:gridCol w:w="1022"/>
        <w:gridCol w:w="1024"/>
        <w:gridCol w:w="1022"/>
        <w:gridCol w:w="1022"/>
        <w:gridCol w:w="98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75" w:hRule="atLeast"/>
          <w:jc w:val="center"/>
        </w:trPr>
        <w:tc>
          <w:tcPr>
            <w:tcW w:w="2621"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年份（年）</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2018</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2019</w:t>
            </w:r>
          </w:p>
        </w:tc>
        <w:tc>
          <w:tcPr>
            <w:tcW w:w="1024"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2020</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2021</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2022</w:t>
            </w:r>
          </w:p>
        </w:tc>
        <w:tc>
          <w:tcPr>
            <w:tcW w:w="987"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75" w:hRule="atLeast"/>
          <w:jc w:val="center"/>
        </w:trPr>
        <w:tc>
          <w:tcPr>
            <w:tcW w:w="2621"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医疗废物产生量（t/d）</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2.8</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2.93</w:t>
            </w:r>
          </w:p>
        </w:tc>
        <w:tc>
          <w:tcPr>
            <w:tcW w:w="1024"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3.06</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3.2</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3.34</w:t>
            </w:r>
          </w:p>
        </w:tc>
        <w:tc>
          <w:tcPr>
            <w:tcW w:w="987"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3.49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75" w:hRule="atLeast"/>
          <w:jc w:val="center"/>
        </w:trPr>
        <w:tc>
          <w:tcPr>
            <w:tcW w:w="2621"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年份（年）</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2024</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2025</w:t>
            </w:r>
          </w:p>
        </w:tc>
        <w:tc>
          <w:tcPr>
            <w:tcW w:w="1024"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2026</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2027</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2028</w:t>
            </w:r>
          </w:p>
        </w:tc>
        <w:tc>
          <w:tcPr>
            <w:tcW w:w="987"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2029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75" w:hRule="atLeast"/>
          <w:jc w:val="center"/>
        </w:trPr>
        <w:tc>
          <w:tcPr>
            <w:tcW w:w="2621"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医疗废物产生量（t/d）</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3.65</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3.81</w:t>
            </w:r>
          </w:p>
        </w:tc>
        <w:tc>
          <w:tcPr>
            <w:tcW w:w="1024"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3.99</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4.17</w:t>
            </w:r>
          </w:p>
        </w:tc>
        <w:tc>
          <w:tcPr>
            <w:tcW w:w="1022"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4.35</w:t>
            </w:r>
          </w:p>
        </w:tc>
        <w:tc>
          <w:tcPr>
            <w:tcW w:w="987" w:type="dxa"/>
            <w:vAlign w:val="center"/>
          </w:tcPr>
          <w:p>
            <w:pPr>
              <w:pStyle w:val="164"/>
              <w:keepNext w:val="0"/>
              <w:keepLines w:val="0"/>
              <w:pageBreakBefore w:val="0"/>
              <w:widowControl w:val="0"/>
              <w:kinsoku/>
              <w:wordWrap/>
              <w:overflowPunct/>
              <w:topLinePunct w:val="0"/>
              <w:autoSpaceDE/>
              <w:autoSpaceDN/>
              <w:bidi w:val="0"/>
              <w:adjustRightInd w:val="0"/>
              <w:snapToGrid w:val="0"/>
              <w:spacing w:line="360" w:lineRule="exact"/>
              <w:textAlignment w:val="auto"/>
              <w:rPr>
                <w:color w:val="auto"/>
              </w:rPr>
            </w:pPr>
            <w:r>
              <w:rPr>
                <w:color w:val="auto"/>
              </w:rPr>
              <w:t>4.55</w:t>
            </w:r>
          </w:p>
        </w:tc>
      </w:tr>
    </w:tbl>
    <w:p>
      <w:pPr>
        <w:pStyle w:val="5"/>
        <w:numPr>
          <w:ilvl w:val="2"/>
          <w:numId w:val="0"/>
        </w:numPr>
        <w:spacing w:before="120" w:beforeLines="50"/>
        <w:ind w:left="-720" w:leftChars="-343" w:firstLine="723" w:firstLineChars="300"/>
        <w:rPr>
          <w:color w:val="auto"/>
        </w:rPr>
      </w:pPr>
      <w:bookmarkStart w:id="231" w:name="_Toc109398604"/>
      <w:r>
        <w:rPr>
          <w:color w:val="auto"/>
        </w:rPr>
        <w:t>4.3.2医疗废物服务范围</w:t>
      </w:r>
      <w:bookmarkEnd w:id="230"/>
      <w:r>
        <w:rPr>
          <w:color w:val="auto"/>
        </w:rPr>
        <w:t>和处理对象</w:t>
      </w:r>
      <w:bookmarkEnd w:id="231"/>
    </w:p>
    <w:p>
      <w:pPr>
        <w:pStyle w:val="130"/>
        <w:tabs>
          <w:tab w:val="left" w:pos="6379"/>
        </w:tabs>
        <w:ind w:firstLine="480"/>
        <w:rPr>
          <w:color w:val="auto"/>
        </w:rPr>
      </w:pPr>
      <w:r>
        <w:rPr>
          <w:color w:val="auto"/>
        </w:rPr>
        <w:t>本项目医疗废物服务范围为中卫市城区及辖区范围内各区县医疗卫生机构约388家（包括医院、卫生院、诊所、社区服务中心等）及养殖场产生的经分类收集的感染性及损伤性医疗废物，依照《医疗废物分类目录》</w:t>
      </w:r>
      <w:r>
        <w:rPr>
          <w:rFonts w:hint="eastAsia"/>
          <w:color w:val="auto"/>
        </w:rPr>
        <w:t>（2</w:t>
      </w:r>
      <w:r>
        <w:rPr>
          <w:color w:val="auto"/>
        </w:rPr>
        <w:t>021</w:t>
      </w:r>
      <w:r>
        <w:rPr>
          <w:rFonts w:hint="eastAsia"/>
          <w:color w:val="auto"/>
        </w:rPr>
        <w:t>版）</w:t>
      </w:r>
      <w:r>
        <w:rPr>
          <w:color w:val="auto"/>
        </w:rPr>
        <w:t>和《医疗废物高温蒸汽消毒集中处理工程技术规范》（HJ 276-2021）的相关规定，</w:t>
      </w:r>
      <w:r>
        <w:rPr>
          <w:rFonts w:hint="eastAsia"/>
          <w:color w:val="auto"/>
        </w:rPr>
        <w:t>本项目</w:t>
      </w:r>
      <w:r>
        <w:rPr>
          <w:color w:val="auto"/>
        </w:rPr>
        <w:t>高温蒸汽灭菌器及配套设备用于处理损伤性及感染性医疗废物，详见表4.3-2。</w:t>
      </w:r>
    </w:p>
    <w:p>
      <w:pPr>
        <w:pStyle w:val="114"/>
        <w:spacing w:before="0" w:beforeLines="0"/>
        <w:rPr>
          <w:color w:val="auto"/>
        </w:rPr>
      </w:pPr>
      <w:r>
        <w:rPr>
          <w:color w:val="auto"/>
        </w:rPr>
        <w:t>表</w:t>
      </w:r>
      <w:r>
        <w:rPr>
          <w:rFonts w:eastAsia="Times New Roman"/>
          <w:color w:val="auto"/>
        </w:rPr>
        <w:t xml:space="preserve">4.3-2  </w:t>
      </w:r>
      <w:r>
        <w:rPr>
          <w:color w:val="auto"/>
        </w:rPr>
        <w:t>本项目处理的医疗废物种类</w:t>
      </w:r>
      <w:r>
        <w:rPr>
          <w:rFonts w:hint="eastAsia"/>
          <w:color w:val="auto"/>
        </w:rPr>
        <w:t>一览</w:t>
      </w:r>
      <w:r>
        <w:rPr>
          <w:color w:val="auto"/>
        </w:rPr>
        <w:t>表</w:t>
      </w:r>
    </w:p>
    <w:tbl>
      <w:tblPr>
        <w:tblStyle w:val="513"/>
        <w:tblW w:w="882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750"/>
        <w:gridCol w:w="1238"/>
        <w:gridCol w:w="3560"/>
        <w:gridCol w:w="328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87" w:hRule="atLeast"/>
          <w:jc w:val="center"/>
        </w:trPr>
        <w:tc>
          <w:tcPr>
            <w:tcW w:w="750" w:type="dxa"/>
            <w:vAlign w:val="center"/>
          </w:tcPr>
          <w:p>
            <w:pPr>
              <w:pStyle w:val="164"/>
              <w:rPr>
                <w:rFonts w:ascii="Times New Roman" w:hAnsi="Times New Roman"/>
                <w:b/>
                <w:bCs/>
                <w:color w:val="auto"/>
                <w:lang w:eastAsia="en-US"/>
              </w:rPr>
            </w:pPr>
            <w:r>
              <w:rPr>
                <w:rFonts w:ascii="Times New Roman" w:hAnsi="Times New Roman"/>
                <w:b/>
                <w:bCs/>
                <w:color w:val="auto"/>
                <w:lang w:eastAsia="en-US"/>
              </w:rPr>
              <w:t>类别</w:t>
            </w:r>
          </w:p>
        </w:tc>
        <w:tc>
          <w:tcPr>
            <w:tcW w:w="1238" w:type="dxa"/>
            <w:vAlign w:val="center"/>
          </w:tcPr>
          <w:p>
            <w:pPr>
              <w:pStyle w:val="164"/>
              <w:rPr>
                <w:rFonts w:ascii="Times New Roman" w:hAnsi="Times New Roman"/>
                <w:b/>
                <w:bCs/>
                <w:color w:val="auto"/>
                <w:lang w:eastAsia="en-US"/>
              </w:rPr>
            </w:pPr>
            <w:r>
              <w:rPr>
                <w:rFonts w:ascii="Times New Roman" w:hAnsi="Times New Roman"/>
                <w:b/>
                <w:bCs/>
                <w:color w:val="auto"/>
                <w:lang w:eastAsia="en-US"/>
              </w:rPr>
              <w:t>特征</w:t>
            </w:r>
          </w:p>
        </w:tc>
        <w:tc>
          <w:tcPr>
            <w:tcW w:w="3560" w:type="dxa"/>
            <w:vAlign w:val="center"/>
          </w:tcPr>
          <w:p>
            <w:pPr>
              <w:pStyle w:val="164"/>
              <w:rPr>
                <w:rFonts w:ascii="Times New Roman" w:hAnsi="Times New Roman"/>
                <w:b/>
                <w:bCs/>
                <w:color w:val="auto"/>
                <w:lang w:eastAsia="zh-CN"/>
              </w:rPr>
            </w:pPr>
            <w:r>
              <w:rPr>
                <w:rFonts w:ascii="Times New Roman" w:hAnsi="Times New Roman"/>
                <w:b/>
                <w:bCs/>
                <w:color w:val="auto"/>
                <w:lang w:eastAsia="zh-CN"/>
              </w:rPr>
              <w:t>常见组分或者废物名称</w:t>
            </w:r>
          </w:p>
        </w:tc>
        <w:tc>
          <w:tcPr>
            <w:tcW w:w="3281" w:type="dxa"/>
            <w:vAlign w:val="center"/>
          </w:tcPr>
          <w:p>
            <w:pPr>
              <w:pStyle w:val="164"/>
              <w:rPr>
                <w:rFonts w:ascii="Times New Roman" w:hAnsi="Times New Roman"/>
                <w:b/>
                <w:bCs/>
                <w:color w:val="auto"/>
                <w:lang w:eastAsia="en-US"/>
              </w:rPr>
            </w:pPr>
            <w:r>
              <w:rPr>
                <w:rFonts w:ascii="Times New Roman" w:hAnsi="Times New Roman"/>
                <w:b/>
                <w:bCs/>
                <w:color w:val="auto"/>
                <w:lang w:eastAsia="zh-CN"/>
              </w:rPr>
              <w:t>收集方式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2877" w:hRule="atLeast"/>
          <w:jc w:val="center"/>
        </w:trPr>
        <w:tc>
          <w:tcPr>
            <w:tcW w:w="750" w:type="dxa"/>
            <w:vAlign w:val="center"/>
          </w:tcPr>
          <w:p>
            <w:pPr>
              <w:pStyle w:val="164"/>
              <w:rPr>
                <w:rFonts w:ascii="Times New Roman" w:hAnsi="Times New Roman"/>
                <w:color w:val="auto"/>
                <w:lang w:eastAsia="en-US"/>
              </w:rPr>
            </w:pPr>
            <w:r>
              <w:rPr>
                <w:rFonts w:ascii="Times New Roman" w:hAnsi="Times New Roman"/>
                <w:color w:val="auto"/>
                <w:lang w:eastAsia="en-US"/>
              </w:rPr>
              <w:t>感染性废物</w:t>
            </w:r>
          </w:p>
        </w:tc>
        <w:tc>
          <w:tcPr>
            <w:tcW w:w="1238" w:type="dxa"/>
            <w:vAlign w:val="center"/>
          </w:tcPr>
          <w:p>
            <w:pPr>
              <w:pStyle w:val="164"/>
              <w:rPr>
                <w:rFonts w:ascii="Times New Roman" w:hAnsi="Times New Roman"/>
                <w:color w:val="auto"/>
                <w:lang w:eastAsia="zh-CN"/>
              </w:rPr>
            </w:pPr>
            <w:r>
              <w:rPr>
                <w:rFonts w:ascii="Times New Roman" w:hAnsi="Times New Roman"/>
                <w:color w:val="auto"/>
                <w:lang w:eastAsia="zh-CN"/>
              </w:rPr>
              <w:t>携带病原微生物具有引发感染性疾病传播危险的医疗废物。</w:t>
            </w:r>
          </w:p>
        </w:tc>
        <w:tc>
          <w:tcPr>
            <w:tcW w:w="3560" w:type="dxa"/>
            <w:vAlign w:val="center"/>
          </w:tcPr>
          <w:p>
            <w:pPr>
              <w:pStyle w:val="164"/>
              <w:jc w:val="left"/>
              <w:rPr>
                <w:rFonts w:ascii="Times New Roman" w:hAnsi="Times New Roman"/>
                <w:color w:val="auto"/>
                <w:lang w:eastAsia="zh-CN"/>
              </w:rPr>
            </w:pPr>
            <w:r>
              <w:rPr>
                <w:rFonts w:ascii="Times New Roman" w:hAnsi="Times New Roman"/>
                <w:color w:val="auto"/>
                <w:lang w:eastAsia="zh-CN"/>
              </w:rPr>
              <w:t>1.被患者血液、体液、排泄物等污染的除锐器以外的废物；</w:t>
            </w:r>
          </w:p>
          <w:p>
            <w:pPr>
              <w:pStyle w:val="164"/>
              <w:jc w:val="left"/>
              <w:rPr>
                <w:rFonts w:ascii="Times New Roman" w:hAnsi="Times New Roman"/>
                <w:color w:val="auto"/>
                <w:lang w:eastAsia="zh-CN"/>
              </w:rPr>
            </w:pPr>
            <w:r>
              <w:rPr>
                <w:rFonts w:ascii="Times New Roman" w:hAnsi="Times New Roman"/>
                <w:color w:val="auto"/>
                <w:lang w:eastAsia="zh-CN"/>
              </w:rPr>
              <w:t>2.使用后废弃的一次性使用医疗器械，如注射器、输液器、透析器等；</w:t>
            </w:r>
          </w:p>
          <w:p>
            <w:pPr>
              <w:pStyle w:val="164"/>
              <w:jc w:val="left"/>
              <w:rPr>
                <w:rFonts w:ascii="Times New Roman" w:hAnsi="Times New Roman"/>
                <w:color w:val="auto"/>
                <w:lang w:eastAsia="zh-CN"/>
              </w:rPr>
            </w:pPr>
            <w:r>
              <w:rPr>
                <w:rFonts w:ascii="Times New Roman" w:hAnsi="Times New Roman"/>
                <w:color w:val="auto"/>
                <w:lang w:eastAsia="zh-CN"/>
              </w:rPr>
              <w:t>3.病原微生物实验室废弃的病原体培养基、标本，菌种和毒种保存液及其容器；其他实验室及科室废弃的血液、血清、分泌物等标本和容器；</w:t>
            </w:r>
          </w:p>
          <w:p>
            <w:pPr>
              <w:pStyle w:val="164"/>
              <w:jc w:val="left"/>
              <w:rPr>
                <w:rFonts w:ascii="Times New Roman" w:hAnsi="Times New Roman"/>
                <w:color w:val="auto"/>
                <w:lang w:eastAsia="zh-CN"/>
              </w:rPr>
            </w:pPr>
            <w:r>
              <w:rPr>
                <w:rFonts w:ascii="Times New Roman" w:hAnsi="Times New Roman"/>
                <w:color w:val="auto"/>
                <w:lang w:eastAsia="zh-CN"/>
              </w:rPr>
              <w:t>4.隔离传染病患者或者疑似传染病患者产生的废弃物。</w:t>
            </w:r>
          </w:p>
        </w:tc>
        <w:tc>
          <w:tcPr>
            <w:tcW w:w="3281" w:type="dxa"/>
            <w:vAlign w:val="center"/>
          </w:tcPr>
          <w:p>
            <w:pPr>
              <w:pStyle w:val="164"/>
              <w:jc w:val="left"/>
              <w:rPr>
                <w:rFonts w:ascii="Times New Roman" w:hAnsi="Times New Roman"/>
                <w:color w:val="auto"/>
                <w:lang w:eastAsia="zh-CN"/>
              </w:rPr>
            </w:pPr>
            <w:r>
              <w:rPr>
                <w:rFonts w:ascii="Times New Roman" w:hAnsi="Times New Roman"/>
                <w:color w:val="auto"/>
                <w:lang w:eastAsia="zh-CN"/>
              </w:rPr>
              <w:t>1.收集于符合《医疗废物专用包装袋、容器和警示标志标准》（HJ421）的医疗废物包装袋中；</w:t>
            </w:r>
          </w:p>
          <w:p>
            <w:pPr>
              <w:pStyle w:val="164"/>
              <w:jc w:val="left"/>
              <w:rPr>
                <w:rFonts w:ascii="Times New Roman" w:hAnsi="Times New Roman"/>
                <w:color w:val="auto"/>
                <w:lang w:eastAsia="zh-CN"/>
              </w:rPr>
            </w:pPr>
            <w:r>
              <w:rPr>
                <w:rFonts w:ascii="Times New Roman" w:hAnsi="Times New Roman"/>
                <w:color w:val="auto"/>
                <w:lang w:eastAsia="zh-CN"/>
              </w:rPr>
              <w:t>2.病原微生物实验室废弃的病原体培养基、标本，菌种和毒种保存液及其容器，应在产生地点进行压力蒸汽灭菌或者使用其他方式消毒，然后按感染性废物收集处理；</w:t>
            </w:r>
          </w:p>
          <w:p>
            <w:pPr>
              <w:pStyle w:val="164"/>
              <w:jc w:val="left"/>
              <w:rPr>
                <w:rFonts w:ascii="Times New Roman" w:hAnsi="Times New Roman"/>
                <w:color w:val="auto"/>
                <w:lang w:eastAsia="zh-CN"/>
              </w:rPr>
            </w:pPr>
            <w:r>
              <w:rPr>
                <w:rFonts w:ascii="Times New Roman" w:hAnsi="Times New Roman"/>
                <w:color w:val="auto"/>
                <w:lang w:eastAsia="zh-CN"/>
              </w:rPr>
              <w:t>3.隔离传染病患者或者疑似传染病患者产生的医疗废物应当使用双层医疗废物包装袋盛装。</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2112" w:hRule="atLeast"/>
          <w:jc w:val="center"/>
        </w:trPr>
        <w:tc>
          <w:tcPr>
            <w:tcW w:w="750" w:type="dxa"/>
            <w:vAlign w:val="center"/>
          </w:tcPr>
          <w:p>
            <w:pPr>
              <w:pStyle w:val="164"/>
              <w:rPr>
                <w:rFonts w:ascii="Times New Roman" w:hAnsi="Times New Roman"/>
                <w:color w:val="auto"/>
                <w:lang w:eastAsia="en-US"/>
              </w:rPr>
            </w:pPr>
            <w:r>
              <w:rPr>
                <w:rFonts w:ascii="Times New Roman" w:hAnsi="Times New Roman"/>
                <w:color w:val="auto"/>
                <w:lang w:eastAsia="en-US"/>
              </w:rPr>
              <w:t>损伤性废物</w:t>
            </w:r>
          </w:p>
        </w:tc>
        <w:tc>
          <w:tcPr>
            <w:tcW w:w="1238" w:type="dxa"/>
            <w:vAlign w:val="center"/>
          </w:tcPr>
          <w:p>
            <w:pPr>
              <w:pStyle w:val="164"/>
              <w:rPr>
                <w:rFonts w:ascii="Times New Roman" w:hAnsi="Times New Roman"/>
                <w:color w:val="auto"/>
                <w:lang w:eastAsia="zh-CN"/>
              </w:rPr>
            </w:pPr>
            <w:r>
              <w:rPr>
                <w:rFonts w:ascii="Times New Roman" w:hAnsi="Times New Roman"/>
                <w:color w:val="auto"/>
                <w:lang w:eastAsia="zh-CN"/>
              </w:rPr>
              <w:t>能够刺伤或者割伤人体的废弃的医用锐器。</w:t>
            </w:r>
          </w:p>
        </w:tc>
        <w:tc>
          <w:tcPr>
            <w:tcW w:w="3560" w:type="dxa"/>
            <w:vAlign w:val="center"/>
          </w:tcPr>
          <w:p>
            <w:pPr>
              <w:pStyle w:val="164"/>
              <w:jc w:val="left"/>
              <w:rPr>
                <w:rFonts w:ascii="Times New Roman" w:hAnsi="Times New Roman"/>
                <w:color w:val="auto"/>
                <w:lang w:eastAsia="zh-CN"/>
              </w:rPr>
            </w:pPr>
            <w:r>
              <w:rPr>
                <w:rFonts w:ascii="Times New Roman" w:hAnsi="Times New Roman"/>
                <w:color w:val="auto"/>
                <w:lang w:eastAsia="zh-CN"/>
              </w:rPr>
              <w:t>1.废弃的金属类锐器，如针头、缝合针、针灸针、探针、穿刺针、解剖刀、手术刀、手术锯、备皮刀、钢钉和导丝等；</w:t>
            </w:r>
          </w:p>
          <w:p>
            <w:pPr>
              <w:pStyle w:val="164"/>
              <w:jc w:val="left"/>
              <w:rPr>
                <w:rFonts w:ascii="Times New Roman" w:hAnsi="Times New Roman"/>
                <w:color w:val="auto"/>
                <w:lang w:eastAsia="zh-CN"/>
              </w:rPr>
            </w:pPr>
            <w:r>
              <w:rPr>
                <w:rFonts w:ascii="Times New Roman" w:hAnsi="Times New Roman"/>
                <w:color w:val="auto"/>
                <w:lang w:eastAsia="en-US"/>
              </w:rPr>
              <w:t> </w:t>
            </w:r>
            <w:r>
              <w:rPr>
                <w:rFonts w:ascii="Times New Roman" w:hAnsi="Times New Roman"/>
                <w:color w:val="auto"/>
                <w:lang w:eastAsia="zh-CN"/>
              </w:rPr>
              <w:t>2.废弃的玻璃类锐器，如盖玻片、载玻片、玻璃安瓿等；</w:t>
            </w:r>
          </w:p>
          <w:p>
            <w:pPr>
              <w:pStyle w:val="164"/>
              <w:jc w:val="left"/>
              <w:rPr>
                <w:rFonts w:ascii="Times New Roman" w:hAnsi="Times New Roman"/>
                <w:color w:val="auto"/>
                <w:lang w:eastAsia="zh-CN"/>
              </w:rPr>
            </w:pPr>
            <w:r>
              <w:rPr>
                <w:rFonts w:ascii="Times New Roman" w:hAnsi="Times New Roman"/>
                <w:color w:val="auto"/>
                <w:lang w:eastAsia="en-US"/>
              </w:rPr>
              <w:t> </w:t>
            </w:r>
            <w:r>
              <w:rPr>
                <w:rFonts w:ascii="Times New Roman" w:hAnsi="Times New Roman"/>
                <w:color w:val="auto"/>
                <w:lang w:eastAsia="zh-CN"/>
              </w:rPr>
              <w:t>3.废弃的其他材质类锐器。</w:t>
            </w:r>
          </w:p>
        </w:tc>
        <w:tc>
          <w:tcPr>
            <w:tcW w:w="3281" w:type="dxa"/>
            <w:vAlign w:val="center"/>
          </w:tcPr>
          <w:p>
            <w:pPr>
              <w:pStyle w:val="164"/>
              <w:jc w:val="left"/>
              <w:rPr>
                <w:rFonts w:ascii="Times New Roman" w:hAnsi="Times New Roman"/>
                <w:color w:val="auto"/>
                <w:lang w:eastAsia="zh-CN"/>
              </w:rPr>
            </w:pPr>
            <w:r>
              <w:rPr>
                <w:rFonts w:ascii="Times New Roman" w:hAnsi="Times New Roman"/>
                <w:color w:val="auto"/>
                <w:lang w:eastAsia="zh-CN"/>
              </w:rPr>
              <w:t>1.收集于符合《医疗废物专用包装袋、容器和警示标志标准》（HJ421）的利器盒中；</w:t>
            </w:r>
          </w:p>
          <w:p>
            <w:pPr>
              <w:pStyle w:val="164"/>
              <w:jc w:val="left"/>
              <w:rPr>
                <w:rFonts w:ascii="Times New Roman" w:hAnsi="Times New Roman"/>
                <w:color w:val="auto"/>
                <w:lang w:eastAsia="zh-CN"/>
              </w:rPr>
            </w:pPr>
            <w:r>
              <w:rPr>
                <w:rFonts w:ascii="Times New Roman" w:hAnsi="Times New Roman"/>
                <w:color w:val="auto"/>
                <w:lang w:eastAsia="en-US"/>
              </w:rPr>
              <w:t> </w:t>
            </w:r>
            <w:r>
              <w:rPr>
                <w:rFonts w:ascii="Times New Roman" w:hAnsi="Times New Roman"/>
                <w:color w:val="auto"/>
                <w:lang w:eastAsia="zh-CN"/>
              </w:rPr>
              <w:t>2.利器盒达到3/4满时，应当封闭严密，按流程运送、贮存。</w:t>
            </w:r>
          </w:p>
        </w:tc>
      </w:tr>
    </w:tbl>
    <w:p>
      <w:pPr>
        <w:pStyle w:val="130"/>
        <w:spacing w:before="120" w:beforeLines="50"/>
        <w:ind w:firstLine="480"/>
        <w:rPr>
          <w:color w:val="auto"/>
          <w:lang w:val="zh-CN" w:bidi="en-US"/>
        </w:rPr>
      </w:pPr>
      <w:r>
        <w:rPr>
          <w:color w:val="auto"/>
        </w:rPr>
        <w:t>本项目处理的医疗废物种类未发生改变，根据现有工程项目</w:t>
      </w:r>
      <w:r>
        <w:rPr>
          <w:color w:val="auto"/>
          <w:lang w:val="zh-CN" w:bidi="en-US"/>
        </w:rPr>
        <w:t>处理的医疗废物成分组成确定本项目需要处置的医疗废物成分</w:t>
      </w:r>
      <w:r>
        <w:rPr>
          <w:rStyle w:val="573"/>
          <w:b w:val="0"/>
          <w:bCs/>
          <w:i w:val="0"/>
          <w:iCs w:val="0"/>
          <w:color w:val="auto"/>
        </w:rPr>
        <w:t>，其</w:t>
      </w:r>
      <w:r>
        <w:rPr>
          <w:color w:val="auto"/>
        </w:rPr>
        <w:t>组成成分见表4.3-3</w:t>
      </w:r>
      <w:r>
        <w:rPr>
          <w:color w:val="auto"/>
          <w:lang w:val="zh-CN" w:bidi="en-US"/>
        </w:rPr>
        <w:t>。</w:t>
      </w:r>
    </w:p>
    <w:p>
      <w:pPr>
        <w:pStyle w:val="114"/>
        <w:spacing w:before="0" w:beforeLines="0"/>
        <w:rPr>
          <w:color w:val="auto"/>
        </w:rPr>
      </w:pPr>
      <w:r>
        <w:rPr>
          <w:rFonts w:hint="eastAsia"/>
          <w:color w:val="auto"/>
        </w:rPr>
        <w:t>表</w:t>
      </w:r>
      <w:r>
        <w:rPr>
          <w:color w:val="auto"/>
        </w:rPr>
        <w:t>4.3-3    医疗废物基本成分组成</w:t>
      </w:r>
    </w:p>
    <w:tbl>
      <w:tblPr>
        <w:tblStyle w:val="74"/>
        <w:tblW w:w="892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27"/>
        <w:gridCol w:w="1547"/>
        <w:gridCol w:w="5195"/>
        <w:gridCol w:w="13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80" w:hRule="atLeast"/>
          <w:jc w:val="center"/>
        </w:trPr>
        <w:tc>
          <w:tcPr>
            <w:tcW w:w="827"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szCs w:val="21"/>
              </w:rPr>
            </w:pPr>
            <w:r>
              <w:rPr>
                <w:b/>
                <w:bCs/>
                <w:color w:val="auto"/>
                <w:szCs w:val="21"/>
              </w:rPr>
              <w:t>序号</w:t>
            </w:r>
          </w:p>
        </w:tc>
        <w:tc>
          <w:tcPr>
            <w:tcW w:w="1547"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szCs w:val="21"/>
              </w:rPr>
            </w:pPr>
            <w:r>
              <w:rPr>
                <w:b/>
                <w:bCs/>
                <w:color w:val="auto"/>
                <w:szCs w:val="21"/>
              </w:rPr>
              <w:t>种类</w:t>
            </w:r>
          </w:p>
        </w:tc>
        <w:tc>
          <w:tcPr>
            <w:tcW w:w="5195"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szCs w:val="21"/>
              </w:rPr>
            </w:pPr>
            <w:r>
              <w:rPr>
                <w:b/>
                <w:bCs/>
                <w:color w:val="auto"/>
                <w:szCs w:val="21"/>
              </w:rPr>
              <w:t>组成成分</w:t>
            </w:r>
          </w:p>
        </w:tc>
        <w:tc>
          <w:tcPr>
            <w:tcW w:w="1359"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szCs w:val="21"/>
              </w:rPr>
            </w:pPr>
            <w:r>
              <w:rPr>
                <w:b/>
                <w:bCs/>
                <w:color w:val="auto"/>
                <w:szCs w:val="21"/>
              </w:rPr>
              <w:t>比例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80" w:hRule="atLeast"/>
          <w:jc w:val="center"/>
        </w:trPr>
        <w:tc>
          <w:tcPr>
            <w:tcW w:w="827"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Cs w:val="21"/>
              </w:rPr>
            </w:pPr>
            <w:r>
              <w:rPr>
                <w:color w:val="auto"/>
                <w:szCs w:val="21"/>
              </w:rPr>
              <w:t>1</w:t>
            </w:r>
          </w:p>
        </w:tc>
        <w:tc>
          <w:tcPr>
            <w:tcW w:w="1547"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Cs w:val="21"/>
              </w:rPr>
            </w:pPr>
            <w:r>
              <w:rPr>
                <w:color w:val="auto"/>
                <w:szCs w:val="21"/>
              </w:rPr>
              <w:t>有机物</w:t>
            </w:r>
          </w:p>
        </w:tc>
        <w:tc>
          <w:tcPr>
            <w:tcW w:w="5195"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Cs w:val="21"/>
              </w:rPr>
            </w:pPr>
            <w:r>
              <w:rPr>
                <w:color w:val="auto"/>
                <w:szCs w:val="21"/>
              </w:rPr>
              <w:t>棉签、织物、纸张、人体血液、排泄物等</w:t>
            </w:r>
          </w:p>
        </w:tc>
        <w:tc>
          <w:tcPr>
            <w:tcW w:w="1359"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Cs w:val="21"/>
              </w:rPr>
            </w:pPr>
            <w:r>
              <w:rPr>
                <w:color w:val="auto"/>
                <w:szCs w:val="21"/>
              </w:rPr>
              <w:t>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80" w:hRule="atLeast"/>
          <w:jc w:val="center"/>
        </w:trPr>
        <w:tc>
          <w:tcPr>
            <w:tcW w:w="827"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Cs w:val="21"/>
              </w:rPr>
            </w:pPr>
            <w:r>
              <w:rPr>
                <w:color w:val="auto"/>
                <w:szCs w:val="21"/>
              </w:rPr>
              <w:t>2</w:t>
            </w:r>
          </w:p>
        </w:tc>
        <w:tc>
          <w:tcPr>
            <w:tcW w:w="1547"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Cs w:val="21"/>
              </w:rPr>
            </w:pPr>
            <w:r>
              <w:rPr>
                <w:color w:val="auto"/>
                <w:szCs w:val="21"/>
              </w:rPr>
              <w:t>无机物</w:t>
            </w:r>
          </w:p>
        </w:tc>
        <w:tc>
          <w:tcPr>
            <w:tcW w:w="5195"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Cs w:val="21"/>
              </w:rPr>
            </w:pPr>
            <w:r>
              <w:rPr>
                <w:rFonts w:hint="eastAsia"/>
                <w:color w:val="auto"/>
                <w:szCs w:val="21"/>
              </w:rPr>
              <w:t>塑料、</w:t>
            </w:r>
            <w:r>
              <w:rPr>
                <w:color w:val="auto"/>
                <w:szCs w:val="21"/>
              </w:rPr>
              <w:t>金属、玻璃等，不含重金属类物质</w:t>
            </w:r>
          </w:p>
        </w:tc>
        <w:tc>
          <w:tcPr>
            <w:tcW w:w="1359"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Cs w:val="21"/>
              </w:rPr>
            </w:pPr>
            <w:r>
              <w:rPr>
                <w:color w:val="auto"/>
                <w:szCs w:val="21"/>
              </w:rPr>
              <w:t>20%</w:t>
            </w:r>
          </w:p>
        </w:tc>
      </w:tr>
    </w:tbl>
    <w:p>
      <w:pPr>
        <w:pStyle w:val="5"/>
        <w:numPr>
          <w:ilvl w:val="2"/>
          <w:numId w:val="0"/>
        </w:numPr>
        <w:spacing w:before="120" w:beforeLines="50"/>
        <w:ind w:left="-720" w:leftChars="-343" w:firstLine="723" w:firstLineChars="300"/>
        <w:rPr>
          <w:color w:val="auto"/>
        </w:rPr>
      </w:pPr>
      <w:bookmarkStart w:id="232" w:name="_Toc58849432"/>
      <w:bookmarkStart w:id="233" w:name="_Toc109398605"/>
      <w:r>
        <w:rPr>
          <w:color w:val="auto"/>
        </w:rPr>
        <w:t>4.3.3运输路线</w:t>
      </w:r>
      <w:bookmarkEnd w:id="232"/>
      <w:bookmarkEnd w:id="233"/>
    </w:p>
    <w:p>
      <w:pPr>
        <w:pStyle w:val="130"/>
        <w:ind w:firstLine="480"/>
        <w:rPr>
          <w:color w:val="auto"/>
        </w:rPr>
      </w:pPr>
      <w:r>
        <w:rPr>
          <w:color w:val="auto"/>
        </w:rPr>
        <w:t>和现有工程项目运输路线保持一致。</w:t>
      </w:r>
    </w:p>
    <w:p>
      <w:pPr>
        <w:pStyle w:val="130"/>
        <w:ind w:firstLine="480"/>
        <w:rPr>
          <w:color w:val="auto"/>
        </w:rPr>
      </w:pPr>
      <w:r>
        <w:rPr>
          <w:color w:val="auto"/>
        </w:rPr>
        <w:t>⑴城区</w:t>
      </w:r>
    </w:p>
    <w:p>
      <w:pPr>
        <w:pStyle w:val="130"/>
        <w:ind w:firstLine="480"/>
        <w:rPr>
          <w:color w:val="auto"/>
        </w:rPr>
      </w:pPr>
      <w:r>
        <w:rPr>
          <w:color w:val="auto"/>
        </w:rPr>
        <w:t>①市妇幼保健院－市康复医院－市第二人民医院－市医院－大河医院－迎水镇－常乐镇－永康镇－宣和镇－香山乡－处置中心；</w:t>
      </w:r>
    </w:p>
    <w:p>
      <w:pPr>
        <w:pStyle w:val="130"/>
        <w:ind w:firstLine="480"/>
        <w:rPr>
          <w:color w:val="auto"/>
        </w:rPr>
      </w:pPr>
      <w:r>
        <w:rPr>
          <w:color w:val="auto"/>
        </w:rPr>
        <w:t>②市妇儿医院－市中医院－市卫生监督站－市疾病预防控制中心－市计划生育服务站－市结核病防治站－东因卫生院－柔远镇－镇罗镇－处置中心；</w:t>
      </w:r>
    </w:p>
    <w:p>
      <w:pPr>
        <w:pStyle w:val="130"/>
        <w:ind w:firstLine="480"/>
        <w:rPr>
          <w:color w:val="auto"/>
        </w:rPr>
      </w:pPr>
      <w:r>
        <w:rPr>
          <w:color w:val="auto"/>
        </w:rPr>
        <w:t>中卫市城区运输路线见图4.3-1。</w:t>
      </w:r>
    </w:p>
    <w:p>
      <w:pPr>
        <w:jc w:val="center"/>
        <w:rPr>
          <w:color w:val="auto"/>
        </w:rPr>
      </w:pPr>
      <w:r>
        <w:rPr>
          <w:color w:val="auto"/>
          <w:kern w:val="0"/>
          <w:sz w:val="24"/>
          <w:szCs w:val="24"/>
        </w:rPr>
        <w:drawing>
          <wp:anchor distT="0" distB="0" distL="114300" distR="114300" simplePos="0" relativeHeight="251694080" behindDoc="0" locked="0" layoutInCell="1" allowOverlap="1">
            <wp:simplePos x="0" y="0"/>
            <wp:positionH relativeFrom="column">
              <wp:posOffset>4505960</wp:posOffset>
            </wp:positionH>
            <wp:positionV relativeFrom="paragraph">
              <wp:posOffset>24130</wp:posOffset>
            </wp:positionV>
            <wp:extent cx="900430" cy="394335"/>
            <wp:effectExtent l="0" t="0" r="13970" b="1905"/>
            <wp:wrapNone/>
            <wp:docPr id="13" name="图片 13" descr="C:\Users\Administrator\Desktop\15969086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1596908689(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900430" cy="39433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83840" behindDoc="0" locked="0" layoutInCell="1" allowOverlap="1">
                <wp:simplePos x="0" y="0"/>
                <wp:positionH relativeFrom="column">
                  <wp:posOffset>4301490</wp:posOffset>
                </wp:positionH>
                <wp:positionV relativeFrom="paragraph">
                  <wp:posOffset>6596380</wp:posOffset>
                </wp:positionV>
                <wp:extent cx="1066165" cy="777875"/>
                <wp:effectExtent l="4445" t="5080" r="11430" b="9525"/>
                <wp:wrapNone/>
                <wp:docPr id="171" name="文本框 171"/>
                <wp:cNvGraphicFramePr/>
                <a:graphic xmlns:a="http://schemas.openxmlformats.org/drawingml/2006/main">
                  <a:graphicData uri="http://schemas.microsoft.com/office/word/2010/wordprocessingShape">
                    <wps:wsp>
                      <wps:cNvSpPr txBox="1"/>
                      <wps:spPr>
                        <a:xfrm>
                          <a:off x="0" y="0"/>
                          <a:ext cx="1066165" cy="777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图例</w:t>
                            </w:r>
                          </w:p>
                          <w:p>
                            <w:r>
                              <w:rPr>
                                <w:rFonts w:hint="eastAsia"/>
                              </w:rPr>
                              <w:t xml:space="preserve">       1号线</w:t>
                            </w:r>
                          </w:p>
                          <w:p/>
                          <w:p>
                            <w:r>
                              <w:rPr>
                                <w:rFonts w:hint="eastAsia"/>
                              </w:rPr>
                              <w:t xml:space="preserve">       2号线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7pt;margin-top:519.4pt;height:61.25pt;width:83.95pt;z-index:251683840;mso-width-relative:page;mso-height-relative:page;" fillcolor="#FFFFFF [3201]" filled="t" stroked="t" coordsize="21600,21600" o:gfxdata="UEsDBAoAAAAAAIdO4kAAAAAAAAAAAAAAAAAEAAAAZHJzL1BLAwQUAAAACACHTuJAV/hcvNkAAAAN&#10;AQAADwAAAGRycy9kb3ducmV2LnhtbE2PzU7DMBCE70i8g7VI3KiduqRRiFMJJCTEjTYXbm68TSL8&#10;E9luU96e5QTHnfk0O9Psrs6yC8Y0Ba+gWAlg6PtgJj8o6A6vDxWwlLU32gaPCr4xwa69vWl0bcLi&#10;P/CyzwOjEJ9qrWDMea45T/2ITqdVmNGTdwrR6UxnHLiJeqFwZ/laiJI7PXn6MOoZX0bsv/Znp+Ct&#10;fM6f2Jl3I9cyLB3v48kmpe7vCvEELOM1/8HwW5+qQ0udjuHsTWJWQbndbgglQ8iKRhBSbR4lsCNJ&#10;RVlI4G3D/69ofwBQSwMEFAAAAAgAh07iQNGNQydFAgAAewQAAA4AAABkcnMvZTJvRG9jLnhtbK1U&#10;wY7TMBC9I/EPlu80aWmbpWq6Kl0VIVXsSgvi7DhOE+F4jO02KR8Af8CJC3e+q9/B2Em7XZYTIgdn&#10;xjN5M/NmJvPrtpZkL4ytQKV0OIgpEYpDXqltSj+8X7+4osQ6pnImQYmUHoSl14vnz+aNnokRlCBz&#10;YQiCKDtrdEpL5/QsiiwvRc3sALRQaCzA1MyharZRbliD6LWMRnE8jRowuTbAhbV4e9MZ6SLgF4Xg&#10;7rYorHBEphRzc+E04cz8GS3mbLY1TJcV79Ng/5BFzSqFQc9QN8wxsjPVE6i64gYsFG7AoY6gKCou&#10;Qg1YzTD+o5r7kmkRakFyrD7TZP8fLH+3vzOkyrF3yZASxWps0vH7t+OPX8efX4m/RIoabWfoea/R&#10;17WvoUX3073FS195W5jav7EmgnYk+3AmWLSOcP9RPJ0OpxNKONqSJLlKJh4mevhaG+veCKiJF1Jq&#10;sIGBV7bfWNe5nlx8MAuyyteVlEEx22wlDdkzbPY6PD36IzepSJPS6ctJHJAf2Tz2GSKTjH96ioDZ&#10;SuXjiTBffV6eoo4KL7k2a3veMsgPSJuBbvas5usKo2yYdXfM4LAhU7hA7haPQgKmBr1ESQnmy9/u&#10;vT/OAFopaXB4U2o/75gRlMi3Cqfj1XA89tMelPEkGaFiLi3ZpUXt6hUgZdh/zC6I3t/Jk1gYqD/i&#10;ni19VDQxxTF2St1JXLlupXBPuVgugxPOt2Zuo+4199CeMAXLnYOiCo30NHXc4AB4BSc8jEK/jX6F&#10;LvXg9fDPWP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hcvNkAAAANAQAADwAAAAAAAAABACAA&#10;AAAiAAAAZHJzL2Rvd25yZXYueG1sUEsBAhQAFAAAAAgAh07iQNGNQydFAgAAewQAAA4AAAAAAAAA&#10;AQAgAAAAKAEAAGRycy9lMm9Eb2MueG1sUEsFBgAAAAAGAAYAWQEAAN8FAAAAAA==&#10;">
                <v:fill on="t" focussize="0,0"/>
                <v:stroke weight="0.5pt" color="#000000 [3204]" joinstyle="round"/>
                <v:imagedata o:title=""/>
                <o:lock v:ext="edit" aspectratio="f"/>
                <v:textbox>
                  <w:txbxContent>
                    <w:p>
                      <w:pPr>
                        <w:jc w:val="center"/>
                      </w:pPr>
                      <w:r>
                        <w:rPr>
                          <w:rFonts w:hint="eastAsia"/>
                        </w:rPr>
                        <w:t>图例</w:t>
                      </w:r>
                    </w:p>
                    <w:p>
                      <w:r>
                        <w:rPr>
                          <w:rFonts w:hint="eastAsia"/>
                        </w:rPr>
                        <w:t xml:space="preserve">       1号线</w:t>
                      </w:r>
                    </w:p>
                    <w:p/>
                    <w:p>
                      <w:r>
                        <w:rPr>
                          <w:rFonts w:hint="eastAsia"/>
                        </w:rPr>
                        <w:t xml:space="preserve">       2号线</w:t>
                      </w:r>
                    </w:p>
                  </w:txbxContent>
                </v:textbox>
              </v:shape>
            </w:pict>
          </mc:Fallback>
        </mc:AlternateContent>
      </w:r>
      <w:r>
        <w:rPr>
          <w:color w:val="auto"/>
        </w:rPr>
        <mc:AlternateContent>
          <mc:Choice Requires="wps">
            <w:drawing>
              <wp:anchor distT="0" distB="0" distL="114300" distR="114300" simplePos="0" relativeHeight="251685888" behindDoc="0" locked="0" layoutInCell="1" allowOverlap="1">
                <wp:simplePos x="0" y="0"/>
                <wp:positionH relativeFrom="column">
                  <wp:posOffset>4415790</wp:posOffset>
                </wp:positionH>
                <wp:positionV relativeFrom="paragraph">
                  <wp:posOffset>7216140</wp:posOffset>
                </wp:positionV>
                <wp:extent cx="363855" cy="0"/>
                <wp:effectExtent l="0" t="9525" r="1905" b="13335"/>
                <wp:wrapNone/>
                <wp:docPr id="172" name="直接连接符 172"/>
                <wp:cNvGraphicFramePr/>
                <a:graphic xmlns:a="http://schemas.openxmlformats.org/drawingml/2006/main">
                  <a:graphicData uri="http://schemas.microsoft.com/office/word/2010/wordprocessingShape">
                    <wps:wsp>
                      <wps:cNvCnPr/>
                      <wps:spPr>
                        <a:xfrm>
                          <a:off x="0" y="0"/>
                          <a:ext cx="363600" cy="0"/>
                        </a:xfrm>
                        <a:prstGeom prst="line">
                          <a:avLst/>
                        </a:prstGeom>
                        <a:ln w="19050">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47.7pt;margin-top:568.2pt;height:0pt;width:28.65pt;z-index:251685888;mso-width-relative:page;mso-height-relative:page;" filled="f" stroked="t" coordsize="21600,21600" o:gfxdata="UEsDBAoAAAAAAIdO4kAAAAAAAAAAAAAAAAAEAAAAZHJzL1BLAwQUAAAACACHTuJAKLNarNsAAAAN&#10;AQAADwAAAGRycy9kb3ducmV2LnhtbE2PS0/DMBCE70j8B2uRuFEnLU3bEKdCIJC4tDQ8xNGNlyRq&#10;vI5s98G/ZzkguO3ujGa/KZYn24sD+tA5UpCOEhBItTMdNQpeXx6u5iBC1GR07wgVfGGAZXl+Vujc&#10;uCNt8FDFRnAIhVwraGMccilD3aLVYeQGJNY+nbc68uobabw+crjt5ThJMml1R/yh1QPetVjvqr1V&#10;8Pa+No8T7z/u50+rTXe76xbr50qpy4s0uQER8RT/zPCDz+hQMtPW7ckE0SvIFtNrtrKQTjKe2DKb&#10;jmcgtr8nWRbyf4vyG1BLAwQUAAAACACHTuJAxOy6n+kBAAChAwAADgAAAGRycy9lMm9Eb2MueG1s&#10;rVNLjhMxEN0jcQfLe9KdDJNhWumMmMkMGz6RgANU/Om25J9sk04uwQWQ2MGKJXtuw3AMyu5Mhs8O&#10;sSnb9XlV9aq8uNgZTbYiROVsS6eTmhJhmePKdi19++bm0RNKYgLLQTsrWroXkV4sHz5YDL4RM9c7&#10;zUUgCGJjM/iW9in5pqoi64WBOHFeWDRKFwwkfIau4gEGRDe6mtX1vBpc4D44JmJE7Wo00mXBl1Kw&#10;9ErKKBLRLcXaUpGhyE2W1XIBTRfA94odyoB/qMKAspj0CLWCBORdUH9BGcWCi06mCXOmclIqJkoP&#10;2M20/qOb1z14UXpBcqI/0hT/Hyx7uV0HojjO7mxGiQWDQ7r98PX7+08/vn1EefvlM8kmJGrwsUH/&#10;K7sOh1f065C73slg8on9kF0hd38kV+wSYag8mZ/MaxwBuzNV93E+xPRMOEPypaVa2dw2NLB9HhPm&#10;Qtc7l6y27kZpXUanLRmw9vP6NEMDbpDUkPBqPPYUbUcJ6A5Xk6VQIKPTiufwDBRDt7nSgWwB1+Px&#10;07Pry8vRqQcuRu35aY1Vl1wR0gvHR/UUE456rO0AU+r8DT8XvYLYjzHFNEIlUPracpL2Hvm2+DWy&#10;HqG0xSMTPVKbbxvH94Xxosc9KI6Hnc2L9uu7RN//rOV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KLNarNsAAAANAQAADwAAAAAAAAABACAAAAAiAAAAZHJzL2Rvd25yZXYueG1sUEsBAhQAFAAAAAgA&#10;h07iQMTsup/pAQAAoQMAAA4AAAAAAAAAAQAgAAAAKgEAAGRycy9lMm9Eb2MueG1sUEsFBgAAAAAG&#10;AAYAWQEAAIUFAAAAAA==&#10;">
                <v:fill on="f" focussize="0,0"/>
                <v:stroke weight="1.5pt" color="#4A7EBB [3204]" joinstyle="round"/>
                <v:imagedata o:title=""/>
                <o:lock v:ext="edit" aspectratio="f"/>
              </v:line>
            </w:pict>
          </mc:Fallback>
        </mc:AlternateContent>
      </w:r>
      <w:r>
        <w:rPr>
          <w:color w:val="auto"/>
        </w:rPr>
        <mc:AlternateContent>
          <mc:Choice Requires="wps">
            <w:drawing>
              <wp:anchor distT="0" distB="0" distL="114300" distR="114300" simplePos="0" relativeHeight="251684864" behindDoc="0" locked="0" layoutInCell="1" allowOverlap="1">
                <wp:simplePos x="0" y="0"/>
                <wp:positionH relativeFrom="column">
                  <wp:posOffset>4417060</wp:posOffset>
                </wp:positionH>
                <wp:positionV relativeFrom="paragraph">
                  <wp:posOffset>6901815</wp:posOffset>
                </wp:positionV>
                <wp:extent cx="361950" cy="0"/>
                <wp:effectExtent l="0" t="9525" r="3810" b="13335"/>
                <wp:wrapNone/>
                <wp:docPr id="173" name="直接连接符 173"/>
                <wp:cNvGraphicFramePr/>
                <a:graphic xmlns:a="http://schemas.openxmlformats.org/drawingml/2006/main">
                  <a:graphicData uri="http://schemas.microsoft.com/office/word/2010/wordprocessingShape">
                    <wps:wsp>
                      <wps:cNvCnPr/>
                      <wps:spPr>
                        <a:xfrm>
                          <a:off x="0" y="0"/>
                          <a:ext cx="361950" cy="0"/>
                        </a:xfrm>
                        <a:prstGeom prst="line">
                          <a:avLst/>
                        </a:prstGeom>
                        <a:ln w="19050">
                          <a:solidFill>
                            <a:srgbClr val="FF0000"/>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47.8pt;margin-top:543.45pt;height:0pt;width:28.5pt;z-index:251684864;mso-width-relative:page;mso-height-relative:page;" filled="f" stroked="t" coordsize="21600,21600" o:gfxdata="UEsDBAoAAAAAAIdO4kAAAAAAAAAAAAAAAAAEAAAAZHJzL1BLAwQUAAAACACHTuJAYG5jctkAAAAN&#10;AQAADwAAAGRycy9kb3ducmV2LnhtbE2PzU7DMBCE70i8g7VI3KidSnXbEKeHSKgckKqmHODmxksS&#10;4Z8odpvw9iwHBMed+TQ7U+xmZ9kVx9gHryBbCGDom2B63yp4PT09bIDFpL3RNnhU8IURduXtTaFz&#10;EyZ/xGudWkYhPuZaQZfSkHMemw6djoswoCfvI4xOJzrHlptRTxTuLF8KIbnTvacPnR6w6rD5rC9O&#10;wdthfxheqkqG5/f9NLcyq49rq9T9XSYegSWc0x8MP/WpOpTU6Rwu3kRmFcjtShJKhtjILTBC1qsl&#10;SedfiZcF/7+i/AZQSwMEFAAAAAgAh07iQHq6mPnPAQAAaAMAAA4AAABkcnMvZTJvRG9jLnhtbK1T&#10;zW4TMRC+I/EOlu/NblpR6CqbHhrCBUEk4AEmXnvXkv/kMdnkJXgBJG5w4sidt6F9jI6dNKXlhrqH&#10;2bVn5pv5vpmdXW6tYRsZUXvX8umk5kw64Tvt+pZ/+rg8ecUZJnAdGO9ky3cS+eX8+bPZGBp56gdv&#10;OhkZgThsxtDyIaXQVBWKQVrAiQ/SkVP5aCHRMfZVF2EkdGuq07o+r0YfuxC9kIh0u9g7+bzgKyVF&#10;eq8UysRMy6m3VGwsdp1tNZ9B00cIgxaHNuA/urCgHRU9Qi0gAfsc9T9QVovo0as0Ed5WXiktZOFA&#10;bKb1IzYfBgiycCFxMBxlwqeDFe82q8h0R7N7ecaZA0tDuv7668+X7ze/v5G9/vmDZRcJNQZsKP7K&#10;reLhhGEVM+utija/iQ/bFnF3R3HlNjFBl2fn04sXNAJx56ru80LE9EZ6y/JHy412mTY0sHmLiWpR&#10;6F1IvnZ+qY0pozOOjdT7RV2ggTZIGUhUxQbihK7nDExPqylSLJDoje5yegbC2K+vTGQboPVYLmt6&#10;MlEq9yAs114ADvu44tovTgJtXruOpV0g2Rxt+CHdOELJeu0Vyl9r3+2KcOWexlnqHFYv78vf55J9&#10;/4PMb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gbmNy2QAAAA0BAAAPAAAAAAAAAAEAIAAAACIA&#10;AABkcnMvZG93bnJldi54bWxQSwECFAAUAAAACACHTuJAerqY+c8BAABoAwAADgAAAAAAAAABACAA&#10;AAAoAQAAZHJzL2Uyb0RvYy54bWxQSwUGAAAAAAYABgBZAQAAaQUAAAAA&#10;">
                <v:fill on="f" focussize="0,0"/>
                <v:stroke weight="1.5pt" color="#FF0000 [3204]" joinstyle="round"/>
                <v:imagedata o:title=""/>
                <o:lock v:ext="edit" aspectratio="f"/>
              </v:line>
            </w:pict>
          </mc:Fallback>
        </mc:AlternateContent>
      </w:r>
      <w:r>
        <w:rPr>
          <w:color w:val="auto"/>
        </w:rPr>
        <w:drawing>
          <wp:inline distT="0" distB="0" distL="0" distR="0">
            <wp:extent cx="5400040" cy="7359650"/>
            <wp:effectExtent l="19050" t="19050" r="21590" b="27940"/>
            <wp:docPr id="174" name="图片 174" descr="C:\Users\Administrator\Desktop\2020091416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C:\Users\Administrator\Desktop\2020091416471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400040" cy="7359650"/>
                    </a:xfrm>
                    <a:prstGeom prst="rect">
                      <a:avLst/>
                    </a:prstGeom>
                    <a:noFill/>
                    <a:ln w="19050">
                      <a:solidFill>
                        <a:schemeClr val="tx1"/>
                      </a:solidFill>
                    </a:ln>
                  </pic:spPr>
                </pic:pic>
              </a:graphicData>
            </a:graphic>
          </wp:inline>
        </w:drawing>
      </w:r>
    </w:p>
    <w:p>
      <w:pPr>
        <w:pStyle w:val="114"/>
        <w:spacing w:before="120"/>
        <w:rPr>
          <w:color w:val="auto"/>
        </w:rPr>
      </w:pPr>
      <w:r>
        <w:rPr>
          <w:color w:val="auto"/>
        </w:rPr>
        <w:t>图4.3-1  中卫市城区运输路线</w:t>
      </w:r>
    </w:p>
    <w:p>
      <w:pPr>
        <w:pStyle w:val="130"/>
        <w:ind w:firstLine="480"/>
        <w:rPr>
          <w:color w:val="auto"/>
        </w:rPr>
      </w:pPr>
      <w:r>
        <w:rPr>
          <w:color w:val="auto"/>
        </w:rPr>
        <w:t>⑵中宁县</w:t>
      </w:r>
    </w:p>
    <w:p>
      <w:pPr>
        <w:pStyle w:val="130"/>
        <w:ind w:firstLine="480"/>
        <w:rPr>
          <w:color w:val="auto"/>
        </w:rPr>
      </w:pPr>
      <w:r>
        <w:rPr>
          <w:color w:val="auto"/>
        </w:rPr>
        <w:t>城区－新堡镇－恩和镇－鸣沙镇－白马乡－石空镇－枣园乡－余丁乡－宁安镇－舟塔乡－长山头医院－大战场中心卫生院－处置中心；运输路线见图4.3-2。</w:t>
      </w:r>
    </w:p>
    <w:p>
      <w:pPr>
        <w:rPr>
          <w:color w:val="auto"/>
        </w:rPr>
        <w:sectPr>
          <w:pgSz w:w="11906" w:h="16838"/>
          <w:pgMar w:top="1701" w:right="1701" w:bottom="1701" w:left="1701" w:header="851" w:footer="851" w:gutter="0"/>
          <w:cols w:space="720" w:num="1"/>
          <w:docGrid w:linePitch="466" w:charSpace="0"/>
        </w:sectPr>
      </w:pPr>
    </w:p>
    <w:p>
      <w:pPr>
        <w:pStyle w:val="130"/>
        <w:spacing w:line="240" w:lineRule="auto"/>
        <w:ind w:firstLine="0" w:firstLineChars="0"/>
        <w:jc w:val="center"/>
        <w:rPr>
          <w:color w:val="auto"/>
        </w:rPr>
      </w:pPr>
      <w:r>
        <w:rPr>
          <w:rFonts w:eastAsia="等线"/>
          <w:bCs w:val="0"/>
          <w:color w:val="auto"/>
          <w:kern w:val="2"/>
          <w:sz w:val="21"/>
          <w:szCs w:val="22"/>
        </w:rPr>
        <mc:AlternateContent>
          <mc:Choice Requires="wps">
            <w:drawing>
              <wp:anchor distT="0" distB="0" distL="114300" distR="114300" simplePos="0" relativeHeight="251688960" behindDoc="0" locked="0" layoutInCell="1" allowOverlap="1">
                <wp:simplePos x="0" y="0"/>
                <wp:positionH relativeFrom="column">
                  <wp:posOffset>6845300</wp:posOffset>
                </wp:positionH>
                <wp:positionV relativeFrom="paragraph">
                  <wp:posOffset>4733925</wp:posOffset>
                </wp:positionV>
                <wp:extent cx="379730" cy="0"/>
                <wp:effectExtent l="0" t="7620" r="1270" b="15240"/>
                <wp:wrapNone/>
                <wp:docPr id="175" name="直接连接符 175"/>
                <wp:cNvGraphicFramePr/>
                <a:graphic xmlns:a="http://schemas.openxmlformats.org/drawingml/2006/main">
                  <a:graphicData uri="http://schemas.microsoft.com/office/word/2010/wordprocessingShape">
                    <wps:wsp>
                      <wps:cNvCnPr/>
                      <wps:spPr>
                        <a:xfrm>
                          <a:off x="0" y="0"/>
                          <a:ext cx="379563" cy="0"/>
                        </a:xfrm>
                        <a:prstGeom prst="line">
                          <a:avLst/>
                        </a:prstGeom>
                        <a:noFill/>
                        <a:ln w="15875" cap="flat" cmpd="sng" algn="ctr">
                          <a:solidFill>
                            <a:srgbClr val="FF0000"/>
                          </a:solidFill>
                          <a:prstDash val="solid"/>
                          <a:miter lim="800000"/>
                          <a:tailEnd type="none"/>
                        </a:ln>
                        <a:effectLst/>
                      </wps:spPr>
                      <wps:bodyPr/>
                    </wps:wsp>
                  </a:graphicData>
                </a:graphic>
              </wp:anchor>
            </w:drawing>
          </mc:Choice>
          <mc:Fallback>
            <w:pict>
              <v:line id="_x0000_s1026" o:spid="_x0000_s1026" o:spt="20" style="position:absolute;left:0pt;margin-left:539pt;margin-top:372.75pt;height:0pt;width:29.9pt;z-index:251688960;mso-width-relative:page;mso-height-relative:page;" filled="f" stroked="t" coordsize="21600,21600" o:gfxdata="UEsDBAoAAAAAAIdO4kAAAAAAAAAAAAAAAAAEAAAAZHJzL1BLAwQUAAAACACHTuJA7KJgD9cAAAAN&#10;AQAADwAAAGRycy9kb3ducmV2LnhtbE2PwU7DMBBE70j8g7VI3KgTIKQKcSpaiWNV0fIBTrwkUeJ1&#10;FDtu+Xu2EhIcZ3Y0O6/cXOwoIs6+d6QgXSUgkBpnemoVfJ7eH9YgfNBk9OgIFXyjh011e1Pqwrgz&#10;fWA8hlZwCflCK+hCmAopfdOh1X7lJiS+fbnZ6sBybqWZ9ZnL7Sgfk+RFWt0Tf+j0hLsOm+G4WAVx&#10;W+/yJYunw3a/l4cm0vA2kFL3d2nyCiLgJfyF4Tqfp0PFm2q3kPFiZJ3ka4YJCvLnLANxjaRPOePU&#10;v5asSvmfovoBUEsDBBQAAAAIAIdO4kBUKMcH4AEAAI0DAAAOAAAAZHJzL2Uyb0RvYy54bWytU81u&#10;EzEQviPxDpbvZNNWadNVNj00hAuCSNAHmHjtXUv+k8dkk5fgBZC4wYkjd96G8hiMnW0ocEPk4Iw9&#10;42/m+/zt4mZvDdvJiNq7hp9NppxJJ3yrXdfwu7frZ3POMIFrwXgnG36QyG+WT58shlDLc99708rI&#10;CMRhPYSG9ymFuqpQ9NICTnyQjpLKRwuJtrGr2ggDoVtTnU+nl9XgYxuiFxKRTlfHJF8WfKWkSK+V&#10;QpmYaTjNlsoay7rNa7VcQN1FCL0W4xjwD1NY0I6anqBWkIC9i/ovKKtF9OhVmghvK6+UFrJwIDZn&#10;0z/YvOkhyMKFxMFwkgn/H6x4tdtEplt6u6sZZw4sPdL9h6/f33/68e0jrfdfPrOcIqGGgDXV37pN&#10;HHcYNjGz3qto8z/xYfsi7uEkrtwnJujw4up6dnnBmXhIVb/uhYjphfSW5aDhRrtMG2rYvcREvaj0&#10;oSQfO7/WxpSnM44NNPtsnqcXQA5SBhKFNhAndB1nYDqypkixQKI3us3XMxDGbntrItsB2WO9ntIv&#10;E6V2v5Xl3ivA/lhXUkfjWJ3IvUbbhs/z5dFPCbR57lqWDoHUdGT8EdW43FUWX47MsqhHGXO09e2h&#10;qFvlHb15GWb0ZzbV4z3Fj7+i5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somAP1wAAAA0BAAAP&#10;AAAAAAAAAAEAIAAAACIAAABkcnMvZG93bnJldi54bWxQSwECFAAUAAAACACHTuJAVCjHB+ABAACN&#10;AwAADgAAAAAAAAABACAAAAAmAQAAZHJzL2Uyb0RvYy54bWxQSwUGAAAAAAYABgBZAQAAeAUAAAAA&#10;">
                <v:fill on="f" focussize="0,0"/>
                <v:stroke weight="1.25pt" color="#FF0000" miterlimit="8" joinstyle="miter"/>
                <v:imagedata o:title=""/>
                <o:lock v:ext="edit" aspectratio="f"/>
              </v:line>
            </w:pict>
          </mc:Fallback>
        </mc:AlternateContent>
      </w:r>
      <w:r>
        <w:rPr>
          <w:color w:val="auto"/>
        </w:rPr>
        <mc:AlternateContent>
          <mc:Choice Requires="wps">
            <w:drawing>
              <wp:anchor distT="0" distB="0" distL="114300" distR="114300" simplePos="0" relativeHeight="251686912" behindDoc="0" locked="0" layoutInCell="1" allowOverlap="1">
                <wp:simplePos x="0" y="0"/>
                <wp:positionH relativeFrom="column">
                  <wp:posOffset>6640830</wp:posOffset>
                </wp:positionH>
                <wp:positionV relativeFrom="paragraph">
                  <wp:posOffset>4441190</wp:posOffset>
                </wp:positionV>
                <wp:extent cx="1376680" cy="647700"/>
                <wp:effectExtent l="4445" t="4445" r="5715" b="18415"/>
                <wp:wrapNone/>
                <wp:docPr id="176" name="文本框 176"/>
                <wp:cNvGraphicFramePr/>
                <a:graphic xmlns:a="http://schemas.openxmlformats.org/drawingml/2006/main">
                  <a:graphicData uri="http://schemas.microsoft.com/office/word/2010/wordprocessingShape">
                    <wps:wsp>
                      <wps:cNvSpPr txBox="1"/>
                      <wps:spPr>
                        <a:xfrm>
                          <a:off x="0" y="0"/>
                          <a:ext cx="1376680" cy="647700"/>
                        </a:xfrm>
                        <a:prstGeom prst="rect">
                          <a:avLst/>
                        </a:prstGeom>
                        <a:solidFill>
                          <a:schemeClr val="lt1"/>
                        </a:solidFill>
                        <a:ln w="6350">
                          <a:solidFill>
                            <a:prstClr val="black"/>
                          </a:solidFill>
                        </a:ln>
                      </wps:spPr>
                      <wps:txbx>
                        <w:txbxContent>
                          <w:p>
                            <w:r>
                              <w:rPr>
                                <w:rFonts w:hint="eastAsia"/>
                              </w:rPr>
                              <w:t>图例：</w:t>
                            </w:r>
                          </w:p>
                          <w:p>
                            <w:pPr>
                              <w:ind w:firstLine="630" w:firstLineChars="300"/>
                            </w:pPr>
                            <w:r>
                              <w:t xml:space="preserve">   </w:t>
                            </w:r>
                            <w:r>
                              <w:rPr>
                                <w:rFonts w:hint="eastAsia"/>
                              </w:rPr>
                              <w:t>运输路线</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2.9pt;margin-top:349.7pt;height:51pt;width:108.4pt;z-index:251686912;mso-width-relative:page;mso-height-relative:page;" fillcolor="#FFFFFF [3201]" filled="t" stroked="t" coordsize="21600,21600" o:gfxdata="UEsDBAoAAAAAAIdO4kAAAAAAAAAAAAAAAAAEAAAAZHJzL1BLAwQUAAAACACHTuJApBsyfNgAAAAN&#10;AQAADwAAAGRycy9kb3ducmV2LnhtbE2PMU/DMBSEdyT+g/WQ2KidNFhtiFMJJCTERsnC5savSYT9&#10;HNluU/497gTj6U533zW7i7PsjCFOnhQUKwEMqfdmokFB9/n6sAEWkyajrSdU8IMRdu3tTaNr4xf6&#10;wPM+DSyXUKy1gjGlueY89iM6HVd+Rsre0QenU5Zh4CboJZc7y0shJHd6orww6hlfRuy/9yen4E0+&#10;py/szLtZl2u/dLwPRxuVur8rxBOwhJf0F4YrfkaHNjMd/IlMZDZrUT1m9qRAbrcVsGuklKUEdlCw&#10;EUUFvG34/xftL1BLAwQUAAAACACHTuJAFl74gkACAABtBAAADgAAAGRycy9lMm9Eb2MueG1srVTN&#10;bhMxEL4j8Q6W72STNk1K1E0VWgUhVbRSQJwdrzdZ4fUY28lueAD6Bpy4cOe58hx8dn7aUk6IHJwZ&#10;z/ibmW9m9uKyrTVbK+crMjnvdbqcKSOpqMwi5x8/TF+dc+aDMIXQZFTON8rzy/HLFxeNHakTWpIu&#10;lGMAMX7U2JwvQ7CjLPNyqWrhO2SVgbEkV4sA1S2ywokG6LXOTrrdQdaQK6wjqbzH7fXOyMcJvyyV&#10;DLdl6VVgOufILaTTpXMez2x8IUYLJ+yykvs0xD9kUYvKIOgR6loEwVauegZVV9KRpzJ0JNUZlWUl&#10;VaoB1fS6f1QzWwqrUi0gx9sjTf7/wcr36zvHqgK9Gw44M6JGk7bf77c/fm1/fmPxEhQ11o/gObPw&#10;De0bauF+uPe4jJW3pavjP2pisIPszZFg1QYm46PT4WBwDpOEbdAfDrupA9nDa+t8eKuoZlHIuUMD&#10;E69ifeMDMoHrwSUG86SrYlppnRS3mF9px9YCzZ6mX0wST564acMaRD896ybkJ7aIfYSYayE/P0cA&#10;njaAjaTsio9SaOftnqk5FRsQ5Wg3bd7KaQXcG+HDnXAYLxCAlQm3OEpNSIb2EmdLcl//dh/90XVY&#10;OWswrjn3X1bCKc70O4N5eN3r9+N8J6V/NjyB4h5b5o8tZlVfEUjqYTmtTGL0D/oglo7qT9isSYwK&#10;kzASsXMeDuJV2C0RNlOqySQ5YaKtCDdmZmWEji0xNFkFKqvUukjTjps9e5jp1J79/sWleawnr4ev&#10;xPg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BsyfNgAAAANAQAADwAAAAAAAAABACAAAAAiAAAA&#10;ZHJzL2Rvd25yZXYueG1sUEsBAhQAFAAAAAgAh07iQBZe+IJAAgAAbQQAAA4AAAAAAAAAAQAgAAAA&#10;JwEAAGRycy9lMm9Eb2MueG1sUEsFBgAAAAAGAAYAWQEAANkFAAAAAA==&#10;">
                <v:fill on="t" focussize="0,0"/>
                <v:stroke weight="0.5pt" color="#000000" joinstyle="round"/>
                <v:imagedata o:title=""/>
                <o:lock v:ext="edit" aspectratio="f"/>
                <v:textbox>
                  <w:txbxContent>
                    <w:p>
                      <w:r>
                        <w:rPr>
                          <w:rFonts w:hint="eastAsia"/>
                        </w:rPr>
                        <w:t>图例：</w:t>
                      </w:r>
                    </w:p>
                    <w:p>
                      <w:pPr>
                        <w:ind w:firstLine="630" w:firstLineChars="300"/>
                      </w:pPr>
                      <w:r>
                        <w:t xml:space="preserve">   </w:t>
                      </w:r>
                      <w:r>
                        <w:rPr>
                          <w:rFonts w:hint="eastAsia"/>
                        </w:rPr>
                        <w:t>运输路线</w:t>
                      </w:r>
                    </w:p>
                    <w:p/>
                  </w:txbxContent>
                </v:textbox>
              </v:shape>
            </w:pict>
          </mc:Fallback>
        </mc:AlternateContent>
      </w:r>
      <w:r>
        <w:rPr>
          <w:color w:val="auto"/>
        </w:rPr>
        <w:drawing>
          <wp:anchor distT="0" distB="0" distL="114300" distR="114300" simplePos="0" relativeHeight="251693056" behindDoc="0" locked="0" layoutInCell="1" allowOverlap="1">
            <wp:simplePos x="0" y="0"/>
            <wp:positionH relativeFrom="column">
              <wp:posOffset>7093585</wp:posOffset>
            </wp:positionH>
            <wp:positionV relativeFrom="paragraph">
              <wp:posOffset>21590</wp:posOffset>
            </wp:positionV>
            <wp:extent cx="900430" cy="394335"/>
            <wp:effectExtent l="0" t="0" r="13970" b="1905"/>
            <wp:wrapNone/>
            <wp:docPr id="12" name="图片 12" descr="C:\Users\Administrator\Desktop\15969086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Desktop\1596908689(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900430" cy="394335"/>
                    </a:xfrm>
                    <a:prstGeom prst="rect">
                      <a:avLst/>
                    </a:prstGeom>
                    <a:noFill/>
                    <a:ln>
                      <a:noFill/>
                    </a:ln>
                  </pic:spPr>
                </pic:pic>
              </a:graphicData>
            </a:graphic>
          </wp:anchor>
        </w:drawing>
      </w:r>
      <w:r>
        <w:rPr>
          <w:color w:val="auto"/>
        </w:rPr>
        <w:drawing>
          <wp:inline distT="0" distB="0" distL="0" distR="0">
            <wp:extent cx="7492365" cy="5073650"/>
            <wp:effectExtent l="19050" t="19050" r="32385" b="27940"/>
            <wp:docPr id="177" name="图片 177" descr="C:\Users\Administrator\Desktop\2020091417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C:\Users\Administrator\Desktop\2020091417182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7492365" cy="5073650"/>
                    </a:xfrm>
                    <a:prstGeom prst="rect">
                      <a:avLst/>
                    </a:prstGeom>
                    <a:noFill/>
                    <a:ln w="19050">
                      <a:solidFill>
                        <a:schemeClr val="tx1"/>
                      </a:solidFill>
                    </a:ln>
                  </pic:spPr>
                </pic:pic>
              </a:graphicData>
            </a:graphic>
          </wp:inline>
        </w:drawing>
      </w:r>
    </w:p>
    <w:p>
      <w:pPr>
        <w:pStyle w:val="114"/>
        <w:spacing w:before="0" w:beforeLines="0"/>
        <w:rPr>
          <w:color w:val="auto"/>
        </w:rPr>
      </w:pPr>
      <w:r>
        <w:rPr>
          <w:color w:val="auto"/>
        </w:rPr>
        <w:t>图4.3-2  中宁县运输路线</w:t>
      </w:r>
    </w:p>
    <w:p>
      <w:pPr>
        <w:pStyle w:val="114"/>
        <w:spacing w:before="0" w:beforeLines="0"/>
        <w:rPr>
          <w:color w:val="auto"/>
        </w:rPr>
        <w:sectPr>
          <w:pgSz w:w="16838" w:h="11906" w:orient="landscape"/>
          <w:pgMar w:top="1701" w:right="1701" w:bottom="1701" w:left="1701" w:header="851" w:footer="851" w:gutter="0"/>
          <w:cols w:space="720" w:num="1"/>
          <w:docGrid w:linePitch="466" w:charSpace="0"/>
        </w:sectPr>
      </w:pPr>
    </w:p>
    <w:p>
      <w:pPr>
        <w:pStyle w:val="130"/>
        <w:ind w:firstLine="480"/>
        <w:rPr>
          <w:color w:val="auto"/>
        </w:rPr>
      </w:pPr>
      <w:r>
        <w:rPr>
          <w:color w:val="auto"/>
        </w:rPr>
        <w:t>⑶海原县</w:t>
      </w:r>
    </w:p>
    <w:p>
      <w:pPr>
        <w:pStyle w:val="130"/>
        <w:ind w:firstLine="480"/>
        <w:rPr>
          <w:color w:val="auto"/>
        </w:rPr>
      </w:pPr>
      <w:r>
        <w:rPr>
          <w:color w:val="auto"/>
        </w:rPr>
        <w:t>城区－西安镇－树台乡－关庄乡－红羊乡－李俊乡－九彩乡－曹洼乡－郑旗乡－贾塘乡－李旺镇－高崖乡－关桥乡－海城镇－史店乡－嵩川乡－徐套乡－兴仁镇－处置中心，运输路线见图4.3-3；</w:t>
      </w:r>
    </w:p>
    <w:p>
      <w:pPr>
        <w:rPr>
          <w:color w:val="auto"/>
        </w:rPr>
      </w:pPr>
      <w:r>
        <w:rPr>
          <w:rFonts w:eastAsia="等线"/>
          <w:color w:val="auto"/>
        </w:rPr>
        <mc:AlternateContent>
          <mc:Choice Requires="wps">
            <w:drawing>
              <wp:anchor distT="0" distB="0" distL="114300" distR="114300" simplePos="0" relativeHeight="251691008" behindDoc="0" locked="0" layoutInCell="1" allowOverlap="1">
                <wp:simplePos x="0" y="0"/>
                <wp:positionH relativeFrom="column">
                  <wp:posOffset>4173220</wp:posOffset>
                </wp:positionH>
                <wp:positionV relativeFrom="paragraph">
                  <wp:posOffset>6582410</wp:posOffset>
                </wp:positionV>
                <wp:extent cx="379730" cy="0"/>
                <wp:effectExtent l="0" t="0" r="0" b="0"/>
                <wp:wrapNone/>
                <wp:docPr id="178" name="直接连接符 178"/>
                <wp:cNvGraphicFramePr/>
                <a:graphic xmlns:a="http://schemas.openxmlformats.org/drawingml/2006/main">
                  <a:graphicData uri="http://schemas.microsoft.com/office/word/2010/wordprocessingShape">
                    <wps:wsp>
                      <wps:cNvCnPr/>
                      <wps:spPr>
                        <a:xfrm>
                          <a:off x="0" y="0"/>
                          <a:ext cx="379563" cy="0"/>
                        </a:xfrm>
                        <a:prstGeom prst="line">
                          <a:avLst/>
                        </a:prstGeom>
                        <a:noFill/>
                        <a:ln w="9525" cap="flat" cmpd="sng" algn="ctr">
                          <a:solidFill>
                            <a:srgbClr val="FF0000"/>
                          </a:solidFill>
                          <a:prstDash val="solid"/>
                          <a:miter lim="800000"/>
                          <a:tailEnd type="none"/>
                        </a:ln>
                        <a:effectLst/>
                      </wps:spPr>
                      <wps:bodyPr/>
                    </wps:wsp>
                  </a:graphicData>
                </a:graphic>
              </wp:anchor>
            </w:drawing>
          </mc:Choice>
          <mc:Fallback>
            <w:pict>
              <v:line id="_x0000_s1026" o:spid="_x0000_s1026" o:spt="20" style="position:absolute;left:0pt;margin-left:328.6pt;margin-top:518.3pt;height:0pt;width:29.9pt;z-index:251691008;mso-width-relative:page;mso-height-relative:page;" filled="f" stroked="t" coordsize="21600,21600" o:gfxdata="UEsDBAoAAAAAAIdO4kAAAAAAAAAAAAAAAAAEAAAAZHJzL1BLAwQUAAAACACHTuJA7+kkntUAAAAN&#10;AQAADwAAAGRycy9kb3ducmV2LnhtbE2PQUvEMBCF74L/IYzgzU1aaSu16SILntWugsdsM7bBZlKa&#10;dHf9944H0eO89/HmvWZ79pM44hJdIA3ZRoFA6oN1NGh43T/e3IGIyZA1UyDU8IURtu3lRWNqG070&#10;gscuDYJDKNZGw5jSXEsZ+xG9iZswI7H3ERZvEp/LIO1iThzuJ5krVUpvHPGH0cy4G7H/7Fav4a14&#10;37uSopPPD7Su8WmXy6LT+voqU/cgEp7THww/9bk6tNzpEFayUUwayqLKGWVD3ZYlCEaqrOJ5h19J&#10;to38v6L9BlBLAwQUAAAACACHTuJANlSO7OABAACMAwAADgAAAGRycy9lMm9Eb2MueG1srVNLjhMx&#10;EN0jcQfLe9KZjDKfVjqzmBA2CCIBB6i47W5L/sll0skluAASO1ixZM9tZjgGZacnDLBDZOGUXeVX&#10;fq9eL2721rCdjKi9a/jZZMqZdMK32nUNf/d2/eyKM0zgWjDeyYYfJPKb5dMniyHUcuZ7b1oZGYE4&#10;rIfQ8D6lUFcVil5awIkP0lFS+Wgh0TZ2VRthIHRrqtl0elENPrYheiER6XR1TPJlwVdKivRaKZSJ&#10;mYbT21JZY1m3ea2WC6i7CKHXYnwG/MMrLGhHTU9QK0jA3kf9F5TVInr0Kk2Et5VXSgtZOBCbs+kf&#10;bN70EGThQuJgOMmE/w9WvNptItMtze6SRuXA0pDuP367+/D5x/dPtN5//cJyioQaAtZUf+s2cdxh&#10;2MTMeq+izf/Eh+2LuIeTuHKfmKDD88vr+cU5Z+IhVf26FyKmF9JbloOGG+0ybahh9xIT9aLSh5J8&#10;7PxaG1NGZxwbGn49n80JGchAykCi0AaihK7jDExHzhQpFkT0Rrf5dsbB2G1vTWQ7IHes11P6ZZ7U&#10;7bey3HoF2B/rSuroG6sTmddo2/CrfHm0UwJtnruWpUMgMR35fkQ1LneVxZYjsazpUcUcbX17KOJW&#10;eUcjL48Z7Zk99XhP8eOPaPk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7+kkntUAAAANAQAADwAA&#10;AAAAAAABACAAAAAiAAAAZHJzL2Rvd25yZXYueG1sUEsBAhQAFAAAAAgAh07iQDZUjuzgAQAAjAMA&#10;AA4AAAAAAAAAAQAgAAAAJAEAAGRycy9lMm9Eb2MueG1sUEsFBgAAAAAGAAYAWQEAAHYFAAAAAA==&#10;">
                <v:fill on="f" focussize="0,0"/>
                <v:stroke color="#FF0000" miterlimit="8" joinstyle="miter"/>
                <v:imagedata o:title=""/>
                <o:lock v:ext="edit" aspectratio="f"/>
              </v:line>
            </w:pict>
          </mc:Fallback>
        </mc:AlternateContent>
      </w:r>
      <w:r>
        <w:rPr>
          <w:color w:val="auto"/>
        </w:rPr>
        <mc:AlternateContent>
          <mc:Choice Requires="wps">
            <w:drawing>
              <wp:anchor distT="0" distB="0" distL="114300" distR="114300" simplePos="0" relativeHeight="251687936" behindDoc="0" locked="0" layoutInCell="1" allowOverlap="1">
                <wp:simplePos x="0" y="0"/>
                <wp:positionH relativeFrom="column">
                  <wp:posOffset>4040505</wp:posOffset>
                </wp:positionH>
                <wp:positionV relativeFrom="paragraph">
                  <wp:posOffset>6276975</wp:posOffset>
                </wp:positionV>
                <wp:extent cx="1377315" cy="647700"/>
                <wp:effectExtent l="4445" t="4445" r="5080" b="18415"/>
                <wp:wrapNone/>
                <wp:docPr id="179" name="文本框 179"/>
                <wp:cNvGraphicFramePr/>
                <a:graphic xmlns:a="http://schemas.openxmlformats.org/drawingml/2006/main">
                  <a:graphicData uri="http://schemas.microsoft.com/office/word/2010/wordprocessingShape">
                    <wps:wsp>
                      <wps:cNvSpPr txBox="1"/>
                      <wps:spPr>
                        <a:xfrm>
                          <a:off x="0" y="0"/>
                          <a:ext cx="1377171" cy="647700"/>
                        </a:xfrm>
                        <a:prstGeom prst="rect">
                          <a:avLst/>
                        </a:prstGeom>
                        <a:solidFill>
                          <a:schemeClr val="lt1"/>
                        </a:solidFill>
                        <a:ln w="6350">
                          <a:solidFill>
                            <a:prstClr val="black"/>
                          </a:solidFill>
                        </a:ln>
                      </wps:spPr>
                      <wps:txbx>
                        <w:txbxContent>
                          <w:p>
                            <w:r>
                              <w:rPr>
                                <w:rFonts w:hint="eastAsia"/>
                              </w:rPr>
                              <w:t>图例：</w:t>
                            </w:r>
                          </w:p>
                          <w:p>
                            <w:pPr>
                              <w:ind w:firstLine="630" w:firstLineChars="300"/>
                            </w:pPr>
                            <w:r>
                              <w:t xml:space="preserve">   </w:t>
                            </w:r>
                            <w:r>
                              <w:rPr>
                                <w:rFonts w:hint="eastAsia"/>
                              </w:rPr>
                              <w:t>运输路线</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15pt;margin-top:494.25pt;height:51pt;width:108.45pt;z-index:251687936;mso-width-relative:page;mso-height-relative:page;" fillcolor="#FFFFFF [3201]" filled="t" stroked="t" coordsize="21600,21600" o:gfxdata="UEsDBAoAAAAAAIdO4kAAAAAAAAAAAAAAAAAEAAAAZHJzL1BLAwQUAAAACACHTuJAQ66F1dgAAAAM&#10;AQAADwAAAGRycy9kb3ducmV2LnhtbE2Py07DMBBF90j8gzVI7KjdWInSEKcSSEiIHSUbdm48TSL8&#10;iGy3KX/PsILl6B7de6bdX51lF4xpDl7BdiOAoR+Cmf2ooP94eaiBpay90TZ4VPCNCfbd7U2rGxNW&#10;/46XQx4ZlfjUaAVTzkvDeRomdDptwoKeslOITmc648hN1CuVO8sLISru9OxpYdILPk84fB3OTsFr&#10;9ZQ/sTdvRhYyrD0f4skmpe7vtuIRWMZr/oPhV5/UoSOnYzh7k5hVUMlKEqpgV9clMCLqUhbAjoSK&#10;nSiBdy3//0T3A1BLAwQUAAAACACHTuJA7pEcdEACAABtBAAADgAAAGRycy9lMm9Eb2MueG1srVTN&#10;bhMxEL4j8Q6W73STNu3SqJsqtApCqmilgDg7Xm+ywusxtpPd8gD0DThx4c5z5Tn47Pw0pZwQOTgz&#10;nvE3M9/M7MVl12i2Us7XZAreP+pxpoyksjbzgn/8MHn1mjMfhCmFJqMKfq88vxy9fHHR2qE6pgXp&#10;UjkGEOOHrS34IgQ7zDIvF6oR/oisMjBW5BoRoLp5VjrRAr3R2XGvd5a15ErrSCrvcXu9MfJRwq8q&#10;JcNtVXkVmC44cgvpdOmcxTMbXYjh3Am7qOU2DfEPWTSiNgi6h7oWQbClq59BNbV05KkKR5KajKqq&#10;lirVgGr6vT+qmS6EVakWkOPtnib//2Dl+9WdY3WJ3uXnnBnRoEnr7w/rH7/WP7+xeAmKWuuH8Jxa&#10;+IbuDXVw3917XMbKu8o18R81MdhB9v2eYNUFJuOjkzzv533OJGxngzzvpQ5kj6+t8+GtooZFoeAO&#10;DUy8itWND8gErjuXGMyTrstJrXVS3Hx2pR1bCTR7kn4xSTx54qYNaxH95LSXkJ/YIvYeYqaF/Pwc&#10;AXjaADaSsik+SqGbdVumZlTegyhHm2nzVk5q4N4IH+6Ew3iBG6xMuMVRaUIytJU4W5D7+rf76I+u&#10;w8pZi3EtuP+yFE5xpt8ZzMN5fzCI852UwWl+DMUdWmaHFrNsrggkoRPILonRP+idWDlqPmGzxjEq&#10;TMJIxC542IlXYbNE2EypxuPkhIm2ItyYqZUROrbE0HgZqKpT6yJNG2627GGmU3u2+xeX5lBPXo9f&#10;idF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66F1dgAAAAMAQAADwAAAAAAAAABACAAAAAiAAAA&#10;ZHJzL2Rvd25yZXYueG1sUEsBAhQAFAAAAAgAh07iQO6RHHRAAgAAbQQAAA4AAAAAAAAAAQAgAAAA&#10;JwEAAGRycy9lMm9Eb2MueG1sUEsFBgAAAAAGAAYAWQEAANkFAAAAAA==&#10;">
                <v:fill on="t" focussize="0,0"/>
                <v:stroke weight="0.5pt" color="#000000" joinstyle="round"/>
                <v:imagedata o:title=""/>
                <o:lock v:ext="edit" aspectratio="f"/>
                <v:textbox>
                  <w:txbxContent>
                    <w:p>
                      <w:r>
                        <w:rPr>
                          <w:rFonts w:hint="eastAsia"/>
                        </w:rPr>
                        <w:t>图例：</w:t>
                      </w:r>
                    </w:p>
                    <w:p>
                      <w:pPr>
                        <w:ind w:firstLine="630" w:firstLineChars="300"/>
                      </w:pPr>
                      <w:r>
                        <w:t xml:space="preserve">   </w:t>
                      </w:r>
                      <w:r>
                        <w:rPr>
                          <w:rFonts w:hint="eastAsia"/>
                        </w:rPr>
                        <w:t>运输路线</w:t>
                      </w:r>
                    </w:p>
                    <w:p/>
                  </w:txbxContent>
                </v:textbox>
              </v:shape>
            </w:pict>
          </mc:Fallback>
        </mc:AlternateContent>
      </w:r>
      <w:r>
        <w:rPr>
          <w:color w:val="auto"/>
          <w:kern w:val="0"/>
          <w:sz w:val="24"/>
          <w:szCs w:val="24"/>
        </w:rPr>
        <w:drawing>
          <wp:anchor distT="0" distB="0" distL="114300" distR="114300" simplePos="0" relativeHeight="251692032" behindDoc="0" locked="0" layoutInCell="1" allowOverlap="1">
            <wp:simplePos x="0" y="0"/>
            <wp:positionH relativeFrom="column">
              <wp:posOffset>4521200</wp:posOffset>
            </wp:positionH>
            <wp:positionV relativeFrom="paragraph">
              <wp:posOffset>38100</wp:posOffset>
            </wp:positionV>
            <wp:extent cx="900430" cy="394335"/>
            <wp:effectExtent l="0" t="0" r="13970" b="1905"/>
            <wp:wrapNone/>
            <wp:docPr id="2" name="图片 2" descr="C:\Users\Administrator\Desktop\15969086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1596908689(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900430" cy="394335"/>
                    </a:xfrm>
                    <a:prstGeom prst="rect">
                      <a:avLst/>
                    </a:prstGeom>
                    <a:noFill/>
                    <a:ln>
                      <a:noFill/>
                    </a:ln>
                  </pic:spPr>
                </pic:pic>
              </a:graphicData>
            </a:graphic>
          </wp:anchor>
        </w:drawing>
      </w:r>
      <w:r>
        <w:rPr>
          <w:rFonts w:eastAsia="等线"/>
          <w:color w:val="auto"/>
        </w:rPr>
        <mc:AlternateContent>
          <mc:Choice Requires="wps">
            <w:drawing>
              <wp:anchor distT="0" distB="0" distL="114300" distR="114300" simplePos="0" relativeHeight="251689984" behindDoc="0" locked="0" layoutInCell="1" allowOverlap="1">
                <wp:simplePos x="0" y="0"/>
                <wp:positionH relativeFrom="column">
                  <wp:posOffset>20955</wp:posOffset>
                </wp:positionH>
                <wp:positionV relativeFrom="paragraph">
                  <wp:posOffset>20320</wp:posOffset>
                </wp:positionV>
                <wp:extent cx="379730" cy="0"/>
                <wp:effectExtent l="0" t="7620" r="1270" b="15240"/>
                <wp:wrapNone/>
                <wp:docPr id="180" name="直接连接符 180"/>
                <wp:cNvGraphicFramePr/>
                <a:graphic xmlns:a="http://schemas.openxmlformats.org/drawingml/2006/main">
                  <a:graphicData uri="http://schemas.microsoft.com/office/word/2010/wordprocessingShape">
                    <wps:wsp>
                      <wps:cNvCnPr/>
                      <wps:spPr>
                        <a:xfrm>
                          <a:off x="0" y="0"/>
                          <a:ext cx="379563" cy="0"/>
                        </a:xfrm>
                        <a:prstGeom prst="line">
                          <a:avLst/>
                        </a:prstGeom>
                        <a:noFill/>
                        <a:ln w="15875" cap="flat" cmpd="sng" algn="ctr">
                          <a:solidFill>
                            <a:srgbClr val="FF0000"/>
                          </a:solidFill>
                          <a:prstDash val="solid"/>
                          <a:miter lim="800000"/>
                          <a:tailEnd type="none"/>
                        </a:ln>
                        <a:effectLst/>
                      </wps:spPr>
                      <wps:bodyPr/>
                    </wps:wsp>
                  </a:graphicData>
                </a:graphic>
              </wp:anchor>
            </w:drawing>
          </mc:Choice>
          <mc:Fallback>
            <w:pict>
              <v:line id="_x0000_s1026" o:spid="_x0000_s1026" o:spt="20" style="position:absolute;left:0pt;margin-left:1.65pt;margin-top:1.6pt;height:0pt;width:29.9pt;z-index:251689984;mso-width-relative:page;mso-height-relative:page;" filled="f" stroked="t" coordsize="21600,21600" o:gfxdata="UEsDBAoAAAAAAIdO4kAAAAAAAAAAAAAAAAAEAAAAZHJzL1BLAwQUAAAACACHTuJASsJ5/9EAAAAE&#10;AQAADwAAAGRycy9kb3ducmV2LnhtbE2OwWrDMBBE74X+g9hCb43smKbFtRyaQI8hNOkHyNbWNrZW&#10;xpKV5O+zzSU9DcMMM69Yn+0gIk6+c6QgXSQgkGpnOmoU/By/Xt5B+KDJ6MERKrigh3X5+FDo3LgT&#10;fWM8hEbwCPlcK2hDGHMpfd2i1X7hRiTOft1kdWA7NdJM+sTjdpDLJFlJqzvih1aPuG2x7g+zVRA3&#10;1fZtfo3H/Wa3k/s6Uv/Zk1LPT2nyASLgOdzL8IfP6FAyU+VmMl4MCrKMiyxLEJyushREdbOyLOR/&#10;+PIKUEsDBBQAAAAIAIdO4kB9ChnA4QEAAI0DAAAOAAAAZHJzL2Uyb0RvYy54bWytU81uEzEQviPx&#10;DpbvZNNWadNVNj00hAuCSNAHmHjtXUv+k8dkk5fgBZC4wYkjd96G8hiMnW0ocEPk4Iw942/m+/zt&#10;4mZvDdvJiNq7hp9NppxJJ3yrXdfwu7frZ3POMIFrwXgnG36QyG+WT58shlDLc99708rICMRhPYSG&#10;9ymFuqpQ9NICTnyQjpLKRwuJtrGr2ggDoVtTnU+nl9XgYxuiFxKRTlfHJF8WfKWkSK+VQpmYaTjN&#10;lsoay7rNa7VcQN1FCL0W4xjwD1NY0I6anqBWkIC9i/ovKKtF9OhVmghvK6+UFrJwIDZn0z/YvOkh&#10;yMKFxMFwkgn/H6x4tdtEplt6uznp48DSI91/+Pr9/acf3z7Sev/lM8spEmoIWFP9rdvEcYdhEzPr&#10;vYo2/xMfti/iHk7iyn1igg4vrq5nlxeciYdU9eteiJheSG9ZDhputMu0oYbdS0zUi0ofSvKx82tt&#10;THk649hAs8/mVzOCBnKQMpAotIE4oes4A9ORNUWKBRK90W2+noEwdttbE9kOyB7r9ZR+mSi1+60s&#10;914B9se6kjoax+pE7jXaNnyeL49+SqDNc9eydAikpiPjj6jG5a6y+HJklkU9ypijrW8PRd0q7+jN&#10;yzCjP7OpHu8pfvwVLX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SsJ5/9EAAAAEAQAADwAAAAAA&#10;AAABACAAAAAiAAAAZHJzL2Rvd25yZXYueG1sUEsBAhQAFAAAAAgAh07iQH0KGcDhAQAAjQMAAA4A&#10;AAAAAAAAAQAgAAAAIAEAAGRycy9lMm9Eb2MueG1sUEsFBgAAAAAGAAYAWQEAAHMFAAAAAA==&#10;">
                <v:fill on="f" focussize="0,0"/>
                <v:stroke weight="1.25pt" color="#FF0000" miterlimit="8" joinstyle="miter"/>
                <v:imagedata o:title=""/>
                <o:lock v:ext="edit" aspectratio="f"/>
              </v:line>
            </w:pict>
          </mc:Fallback>
        </mc:AlternateContent>
      </w:r>
      <w:r>
        <w:rPr>
          <w:color w:val="auto"/>
        </w:rPr>
        <w:drawing>
          <wp:inline distT="0" distB="0" distL="0" distR="0">
            <wp:extent cx="5400040" cy="6916420"/>
            <wp:effectExtent l="19050" t="19050" r="21590" b="29210"/>
            <wp:docPr id="181" name="图片 181" descr="C:\Users\Administrator\Desktop\2020091510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C:\Users\Administrator\Desktop\2020091510084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400040" cy="6916490"/>
                    </a:xfrm>
                    <a:prstGeom prst="rect">
                      <a:avLst/>
                    </a:prstGeom>
                    <a:noFill/>
                    <a:ln w="19050">
                      <a:solidFill>
                        <a:schemeClr val="tx1"/>
                      </a:solidFill>
                    </a:ln>
                  </pic:spPr>
                </pic:pic>
              </a:graphicData>
            </a:graphic>
          </wp:inline>
        </w:drawing>
      </w:r>
    </w:p>
    <w:p>
      <w:pPr>
        <w:pStyle w:val="114"/>
        <w:spacing w:before="0" w:beforeLines="0"/>
        <w:rPr>
          <w:color w:val="auto"/>
        </w:rPr>
      </w:pPr>
      <w:r>
        <w:rPr>
          <w:color w:val="auto"/>
        </w:rPr>
        <w:t>图4.3-3  海原县城区运输路线</w:t>
      </w:r>
    </w:p>
    <w:p>
      <w:pPr>
        <w:pStyle w:val="114"/>
        <w:spacing w:before="0" w:beforeLines="0"/>
        <w:rPr>
          <w:color w:val="auto"/>
        </w:rPr>
        <w:sectPr>
          <w:pgSz w:w="11906" w:h="16838"/>
          <w:pgMar w:top="1701" w:right="1701" w:bottom="1701" w:left="1701" w:header="851" w:footer="851" w:gutter="0"/>
          <w:cols w:space="720" w:num="1"/>
          <w:docGrid w:linePitch="466" w:charSpace="0"/>
        </w:sectPr>
      </w:pPr>
    </w:p>
    <w:p>
      <w:pPr>
        <w:pStyle w:val="4"/>
        <w:numPr>
          <w:ilvl w:val="1"/>
          <w:numId w:val="0"/>
        </w:numPr>
        <w:spacing w:before="120"/>
        <w:rPr>
          <w:color w:val="auto"/>
        </w:rPr>
      </w:pPr>
      <w:bookmarkStart w:id="234" w:name="_Toc109398606"/>
      <w:bookmarkStart w:id="235" w:name="_Toc58849433"/>
      <w:r>
        <w:rPr>
          <w:color w:val="auto"/>
        </w:rPr>
        <w:t>4.4医疗废物处理工艺流程</w:t>
      </w:r>
      <w:bookmarkEnd w:id="234"/>
      <w:bookmarkEnd w:id="235"/>
    </w:p>
    <w:p>
      <w:pPr>
        <w:pStyle w:val="5"/>
        <w:numPr>
          <w:ilvl w:val="2"/>
          <w:numId w:val="0"/>
        </w:numPr>
        <w:ind w:left="-720" w:leftChars="-343" w:firstLine="723" w:firstLineChars="300"/>
        <w:rPr>
          <w:color w:val="auto"/>
        </w:rPr>
      </w:pPr>
      <w:bookmarkStart w:id="236" w:name="_Toc109398607"/>
      <w:bookmarkStart w:id="237" w:name="_Toc58849434"/>
      <w:r>
        <w:rPr>
          <w:color w:val="auto"/>
        </w:rPr>
        <w:t>4.4.1医疗废物处理工艺确定</w:t>
      </w:r>
      <w:bookmarkEnd w:id="236"/>
      <w:bookmarkEnd w:id="237"/>
    </w:p>
    <w:p>
      <w:pPr>
        <w:pStyle w:val="130"/>
        <w:ind w:firstLine="480"/>
        <w:rPr>
          <w:color w:val="auto"/>
        </w:rPr>
      </w:pPr>
      <w:r>
        <w:rPr>
          <w:color w:val="auto"/>
        </w:rPr>
        <w:t>医疗废物处理技术主要分为焚烧技术与非焚烧技术，医疗废物焚烧技术是高温热处理技术，是指将医疗废物置于焚烧炉内，在一定的过量空气和温度（850-1100℃）条件下，有机组分经过燃烧氧化反应达到稳定化的过程，可大大减少医疗废物的体积和重量。医疗废物焚烧处置设施一般包括燃炉或炉窑、二燃室、烟道气净化装置、废水处理设备等单元。常见的焚烧炉主要有热解炉、固定床焚烧炉和回转窑等。医疗废物非焚烧技术是指采用焚烧以外的方法对医疗废物进行消毒处理的过程，主要适用于处理感染性和损伤性医疗废物。医疗废物非焚烧处理技术主要有高温蒸汽处理技术、化学处理技术、微波处理技术等，主要包括破碎、消毒、干燥等过程。医疗废物非焚烧处理过程产生的尾气含有VOCs（以非甲烷总烃计）、恶臭等污染物，还可能存在一定数量的细菌病毒。</w:t>
      </w:r>
    </w:p>
    <w:p>
      <w:pPr>
        <w:pStyle w:val="130"/>
        <w:ind w:firstLine="480"/>
        <w:rPr>
          <w:color w:val="auto"/>
        </w:rPr>
      </w:pPr>
      <w:r>
        <w:rPr>
          <w:color w:val="auto"/>
        </w:rPr>
        <w:t>高温蒸汽处理技术主要工艺包括高温蒸汽灭菌处理和破碎设备破碎毁形处理，优点为蒸汽灭菌技术相比其他处理技术具有投资低、操作费用低，易于检测，残留物危险性较低，消毒效果好，适宜的处理范围较广等。主要缺点是体积和外观基本没有改变；有大气污染物排放，不适宜处理药物性、化学性和病理性医疗废物。该处理技术目前已较为成熟，并在国内广泛应用。本项目现有工程工程采用高温蒸汽处置工艺和设备运行稳定、处置成本适宜。因此，本项目采用医疗废物非焚烧技术中高温蒸汽处理技术，处理中卫市城区及辖区范围内各区县医疗卫生机构产生的感染性及损伤性医疗废物。</w:t>
      </w:r>
    </w:p>
    <w:p>
      <w:pPr>
        <w:pStyle w:val="5"/>
        <w:numPr>
          <w:ilvl w:val="2"/>
          <w:numId w:val="0"/>
        </w:numPr>
        <w:ind w:left="-720" w:leftChars="-343" w:firstLine="723" w:firstLineChars="300"/>
        <w:rPr>
          <w:color w:val="auto"/>
        </w:rPr>
      </w:pPr>
      <w:bookmarkStart w:id="238" w:name="_Toc109398608"/>
      <w:bookmarkStart w:id="239" w:name="_Toc58849435"/>
      <w:r>
        <w:rPr>
          <w:color w:val="auto"/>
        </w:rPr>
        <w:t>4.4.2收集、运输及储存</w:t>
      </w:r>
      <w:bookmarkEnd w:id="238"/>
      <w:bookmarkEnd w:id="239"/>
    </w:p>
    <w:p>
      <w:pPr>
        <w:pStyle w:val="6"/>
        <w:numPr>
          <w:ilvl w:val="3"/>
          <w:numId w:val="0"/>
        </w:numPr>
        <w:ind w:left="-861" w:leftChars="-410" w:firstLine="964" w:firstLineChars="400"/>
        <w:rPr>
          <w:color w:val="auto"/>
        </w:rPr>
      </w:pPr>
      <w:r>
        <w:rPr>
          <w:color w:val="auto"/>
        </w:rPr>
        <w:t>4.4.2.1源头分类收集</w:t>
      </w:r>
    </w:p>
    <w:p>
      <w:pPr>
        <w:pStyle w:val="130"/>
        <w:ind w:firstLine="480"/>
        <w:rPr>
          <w:color w:val="auto"/>
        </w:rPr>
      </w:pPr>
      <w:r>
        <w:rPr>
          <w:color w:val="auto"/>
        </w:rPr>
        <w:t>为便于后续医疗废物的处理，医疗废物应从源头开始就进行分类收集。按照《医疗废物管理条例》、《医疗卫生机构医疗废物管理办法》的要求：医疗机构对本机构产生的医疗废物应及时分类收集，将医疗废物分置于符合《医疗废物专用包装物、容器的标准和警示标识的规定》的包装物或者容器内；在盛装医疗废物前，应当对医疗废物包装物或者容器进行认真检查，确保无破损、渗漏和其他缺陷；放入包装物或者容器内的感染性废物、损伤性废物不得取出。盛装的医疗废物达到包装物或容器的3/4时，应当使用有效的封口方式，使包装物或者容器的封口紧实、严密。包装物或者容器的外表面被感染性废物污染时，应当对被污染处进行消毒处理或者增加一层包装。盛装医疗废物的每个包装物、容器外表面应当有警示标识，在每个包装物、容器上应当系中文标签，中文标签的内容应当包括：医疗废物的产生单位、产生日期、类别及需要的特别说明等。分类包装好的医疗废物按照规定的时间送至医院内部指定的暂时贮存地点，各医疗废物产生机构在源头上对医疗废物进行分类储存，对违反分类储存协议的单位列入黑名单，增加其处置费用甚至拒绝接收处置。</w:t>
      </w:r>
    </w:p>
    <w:p>
      <w:pPr>
        <w:pStyle w:val="130"/>
        <w:ind w:firstLine="480"/>
        <w:rPr>
          <w:color w:val="auto"/>
        </w:rPr>
      </w:pPr>
      <w:r>
        <w:rPr>
          <w:color w:val="auto"/>
        </w:rPr>
        <w:t>（1）包装袋</w:t>
      </w:r>
    </w:p>
    <w:p>
      <w:pPr>
        <w:pStyle w:val="130"/>
        <w:ind w:firstLine="480"/>
        <w:rPr>
          <w:color w:val="auto"/>
        </w:rPr>
      </w:pPr>
      <w:r>
        <w:rPr>
          <w:color w:val="auto"/>
        </w:rPr>
        <w:t>各医疗机构对医疗废物进行分类收集时，除损伤性废物之外的医疗废物初级包装采用符合一定防渗和撕裂强度性能要求的软质包装袋，包装袋在正常使用情况下，不应出现渗透、破裂和穿孔。包装袋外观质量：表面基本平整、无褶皱、污迹和杂质，无划痕、气泡、缩孔、针孔以及其他缺陷。包装袋的物理机械性能应符合下表的规定。</w:t>
      </w:r>
    </w:p>
    <w:p>
      <w:pPr>
        <w:jc w:val="center"/>
        <w:rPr>
          <w:b/>
          <w:bCs/>
          <w:iCs/>
          <w:color w:val="auto"/>
          <w:sz w:val="24"/>
          <w:szCs w:val="24"/>
          <w:lang w:val="zh-CN"/>
        </w:rPr>
      </w:pPr>
      <w:r>
        <w:rPr>
          <w:b/>
          <w:bCs/>
          <w:iCs/>
          <w:color w:val="auto"/>
          <w:sz w:val="24"/>
          <w:szCs w:val="24"/>
          <w:lang w:val="zh-CN"/>
        </w:rPr>
        <w:t xml:space="preserve">表4.4-1 </w:t>
      </w:r>
      <w:r>
        <w:rPr>
          <w:b/>
          <w:bCs/>
          <w:iCs/>
          <w:color w:val="auto"/>
          <w:sz w:val="24"/>
          <w:szCs w:val="24"/>
        </w:rPr>
        <w:t xml:space="preserve"> </w:t>
      </w:r>
      <w:r>
        <w:rPr>
          <w:b/>
          <w:bCs/>
          <w:iCs/>
          <w:color w:val="auto"/>
          <w:sz w:val="24"/>
          <w:szCs w:val="24"/>
          <w:lang w:val="zh-CN"/>
        </w:rPr>
        <w:t xml:space="preserve"> 医废包装袋物理机械性能一览表</w:t>
      </w:r>
    </w:p>
    <w:tbl>
      <w:tblPr>
        <w:tblStyle w:val="74"/>
        <w:tblW w:w="849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46"/>
        <w:gridCol w:w="42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46" w:type="dxa"/>
            <w:vAlign w:val="center"/>
          </w:tcPr>
          <w:p>
            <w:pPr>
              <w:spacing w:line="240" w:lineRule="atLeast"/>
              <w:jc w:val="center"/>
              <w:rPr>
                <w:rFonts w:eastAsiaTheme="minorEastAsia"/>
                <w:bCs/>
                <w:iCs/>
                <w:color w:val="auto"/>
                <w:szCs w:val="21"/>
              </w:rPr>
            </w:pPr>
            <w:r>
              <w:rPr>
                <w:rFonts w:eastAsiaTheme="minorEastAsia"/>
                <w:bCs/>
                <w:iCs/>
                <w:color w:val="auto"/>
                <w:szCs w:val="21"/>
              </w:rPr>
              <w:t>项目</w:t>
            </w:r>
          </w:p>
        </w:tc>
        <w:tc>
          <w:tcPr>
            <w:tcW w:w="4248" w:type="dxa"/>
            <w:vAlign w:val="center"/>
          </w:tcPr>
          <w:p>
            <w:pPr>
              <w:spacing w:line="240" w:lineRule="atLeast"/>
              <w:jc w:val="center"/>
              <w:rPr>
                <w:rFonts w:eastAsiaTheme="minorEastAsia"/>
                <w:bCs/>
                <w:iCs/>
                <w:color w:val="auto"/>
                <w:szCs w:val="21"/>
              </w:rPr>
            </w:pPr>
            <w:r>
              <w:rPr>
                <w:rFonts w:eastAsiaTheme="minorEastAsia"/>
                <w:bCs/>
                <w:iCs/>
                <w:color w:val="auto"/>
                <w:szCs w:val="21"/>
              </w:rPr>
              <w:t>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46" w:type="dxa"/>
            <w:vAlign w:val="center"/>
          </w:tcPr>
          <w:p>
            <w:pPr>
              <w:spacing w:line="240" w:lineRule="atLeast"/>
              <w:jc w:val="center"/>
              <w:rPr>
                <w:rFonts w:eastAsiaTheme="minorEastAsia"/>
                <w:bCs/>
                <w:iCs/>
                <w:color w:val="auto"/>
                <w:szCs w:val="21"/>
              </w:rPr>
            </w:pPr>
            <w:r>
              <w:rPr>
                <w:rFonts w:eastAsiaTheme="minorEastAsia"/>
                <w:bCs/>
                <w:iCs/>
                <w:color w:val="auto"/>
                <w:szCs w:val="21"/>
              </w:rPr>
              <w:t>拉伸强度（纵、横向）</w:t>
            </w:r>
          </w:p>
        </w:tc>
        <w:tc>
          <w:tcPr>
            <w:tcW w:w="4248" w:type="dxa"/>
            <w:vAlign w:val="center"/>
          </w:tcPr>
          <w:p>
            <w:pPr>
              <w:spacing w:line="240" w:lineRule="atLeast"/>
              <w:jc w:val="center"/>
              <w:rPr>
                <w:rFonts w:eastAsiaTheme="minorEastAsia"/>
                <w:bCs/>
                <w:iCs/>
                <w:color w:val="auto"/>
                <w:szCs w:val="21"/>
              </w:rPr>
            </w:pPr>
            <w:r>
              <w:rPr>
                <w:rFonts w:eastAsiaTheme="minorEastAsia"/>
                <w:bCs/>
                <w:iCs/>
                <w:color w:val="auto"/>
                <w:szCs w:val="21"/>
              </w:rPr>
              <w:t>≥20MPa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46" w:type="dxa"/>
            <w:vAlign w:val="center"/>
          </w:tcPr>
          <w:p>
            <w:pPr>
              <w:spacing w:line="240" w:lineRule="atLeast"/>
              <w:jc w:val="center"/>
              <w:rPr>
                <w:rFonts w:eastAsiaTheme="minorEastAsia"/>
                <w:bCs/>
                <w:iCs/>
                <w:color w:val="auto"/>
                <w:szCs w:val="21"/>
              </w:rPr>
            </w:pPr>
            <w:r>
              <w:rPr>
                <w:rFonts w:eastAsiaTheme="minorEastAsia"/>
                <w:bCs/>
                <w:iCs/>
                <w:color w:val="auto"/>
                <w:szCs w:val="21"/>
              </w:rPr>
              <w:t>撕裂伸长率（纵、横向）</w:t>
            </w:r>
          </w:p>
        </w:tc>
        <w:tc>
          <w:tcPr>
            <w:tcW w:w="4248" w:type="dxa"/>
            <w:vAlign w:val="center"/>
          </w:tcPr>
          <w:p>
            <w:pPr>
              <w:spacing w:line="240" w:lineRule="atLeast"/>
              <w:jc w:val="center"/>
              <w:rPr>
                <w:rFonts w:eastAsiaTheme="minorEastAsia"/>
                <w:bCs/>
                <w:iCs/>
                <w:color w:val="auto"/>
                <w:szCs w:val="21"/>
              </w:rPr>
            </w:pPr>
            <w:r>
              <w:rPr>
                <w:rFonts w:eastAsiaTheme="minorEastAsia"/>
                <w:bCs/>
                <w:iCs/>
                <w:color w:val="auto"/>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46" w:type="dxa"/>
            <w:vAlign w:val="center"/>
          </w:tcPr>
          <w:p>
            <w:pPr>
              <w:spacing w:line="240" w:lineRule="atLeast"/>
              <w:jc w:val="center"/>
              <w:rPr>
                <w:rFonts w:eastAsiaTheme="minorEastAsia"/>
                <w:bCs/>
                <w:iCs/>
                <w:color w:val="auto"/>
                <w:szCs w:val="21"/>
              </w:rPr>
            </w:pPr>
            <w:r>
              <w:rPr>
                <w:rFonts w:eastAsiaTheme="minorEastAsia"/>
                <w:bCs/>
                <w:iCs/>
                <w:color w:val="auto"/>
                <w:szCs w:val="21"/>
              </w:rPr>
              <w:t>落膘冲击质量</w:t>
            </w:r>
          </w:p>
        </w:tc>
        <w:tc>
          <w:tcPr>
            <w:tcW w:w="4248" w:type="dxa"/>
            <w:vAlign w:val="center"/>
          </w:tcPr>
          <w:p>
            <w:pPr>
              <w:spacing w:line="240" w:lineRule="atLeast"/>
              <w:jc w:val="center"/>
              <w:rPr>
                <w:rFonts w:eastAsiaTheme="minorEastAsia"/>
                <w:bCs/>
                <w:iCs/>
                <w:color w:val="auto"/>
                <w:szCs w:val="21"/>
              </w:rPr>
            </w:pPr>
            <w:r>
              <w:rPr>
                <w:rFonts w:eastAsiaTheme="minorEastAsia"/>
                <w:bCs/>
                <w:iCs/>
                <w:color w:val="auto"/>
                <w:szCs w:val="21"/>
              </w:rPr>
              <w:t>130g</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46" w:type="dxa"/>
            <w:vAlign w:val="center"/>
          </w:tcPr>
          <w:p>
            <w:pPr>
              <w:spacing w:line="240" w:lineRule="atLeast"/>
              <w:jc w:val="center"/>
              <w:rPr>
                <w:rFonts w:eastAsiaTheme="minorEastAsia"/>
                <w:bCs/>
                <w:iCs/>
                <w:color w:val="auto"/>
                <w:szCs w:val="21"/>
              </w:rPr>
            </w:pPr>
            <w:r>
              <w:rPr>
                <w:rFonts w:eastAsiaTheme="minorEastAsia"/>
                <w:bCs/>
                <w:iCs/>
                <w:color w:val="auto"/>
                <w:szCs w:val="21"/>
              </w:rPr>
              <w:t>跌落性能</w:t>
            </w:r>
          </w:p>
        </w:tc>
        <w:tc>
          <w:tcPr>
            <w:tcW w:w="4248" w:type="dxa"/>
            <w:vAlign w:val="center"/>
          </w:tcPr>
          <w:p>
            <w:pPr>
              <w:spacing w:line="240" w:lineRule="atLeast"/>
              <w:jc w:val="center"/>
              <w:rPr>
                <w:rFonts w:eastAsiaTheme="minorEastAsia"/>
                <w:bCs/>
                <w:iCs/>
                <w:color w:val="auto"/>
                <w:szCs w:val="21"/>
              </w:rPr>
            </w:pPr>
            <w:r>
              <w:rPr>
                <w:rFonts w:eastAsiaTheme="minorEastAsia"/>
                <w:bCs/>
                <w:iCs/>
                <w:color w:val="auto"/>
                <w:szCs w:val="21"/>
              </w:rPr>
              <w:t>无破裂、无渗漏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46" w:type="dxa"/>
            <w:vAlign w:val="center"/>
          </w:tcPr>
          <w:p>
            <w:pPr>
              <w:spacing w:line="240" w:lineRule="atLeast"/>
              <w:jc w:val="center"/>
              <w:rPr>
                <w:rFonts w:eastAsiaTheme="minorEastAsia"/>
                <w:bCs/>
                <w:iCs/>
                <w:color w:val="auto"/>
                <w:szCs w:val="21"/>
              </w:rPr>
            </w:pPr>
            <w:r>
              <w:rPr>
                <w:rFonts w:eastAsiaTheme="minorEastAsia"/>
                <w:bCs/>
                <w:iCs/>
                <w:color w:val="auto"/>
                <w:szCs w:val="21"/>
              </w:rPr>
              <w:t>漏水性</w:t>
            </w:r>
          </w:p>
        </w:tc>
        <w:tc>
          <w:tcPr>
            <w:tcW w:w="4248" w:type="dxa"/>
            <w:vAlign w:val="center"/>
          </w:tcPr>
          <w:p>
            <w:pPr>
              <w:spacing w:line="240" w:lineRule="atLeast"/>
              <w:jc w:val="center"/>
              <w:rPr>
                <w:rFonts w:eastAsiaTheme="minorEastAsia"/>
                <w:bCs/>
                <w:iCs/>
                <w:color w:val="auto"/>
                <w:szCs w:val="21"/>
              </w:rPr>
            </w:pPr>
            <w:r>
              <w:rPr>
                <w:rFonts w:eastAsiaTheme="minorEastAsia"/>
                <w:bCs/>
                <w:iCs/>
                <w:color w:val="auto"/>
                <w:szCs w:val="21"/>
              </w:rPr>
              <w:t>无渗漏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46" w:type="dxa"/>
            <w:vAlign w:val="center"/>
          </w:tcPr>
          <w:p>
            <w:pPr>
              <w:spacing w:line="240" w:lineRule="atLeast"/>
              <w:jc w:val="center"/>
              <w:rPr>
                <w:rFonts w:eastAsiaTheme="minorEastAsia"/>
                <w:bCs/>
                <w:iCs/>
                <w:color w:val="auto"/>
                <w:szCs w:val="21"/>
              </w:rPr>
            </w:pPr>
            <w:r>
              <w:rPr>
                <w:rFonts w:eastAsiaTheme="minorEastAsia"/>
                <w:bCs/>
                <w:iCs/>
                <w:color w:val="auto"/>
                <w:szCs w:val="21"/>
              </w:rPr>
              <w:t>热合强度</w:t>
            </w:r>
          </w:p>
        </w:tc>
        <w:tc>
          <w:tcPr>
            <w:tcW w:w="4248" w:type="dxa"/>
            <w:vAlign w:val="center"/>
          </w:tcPr>
          <w:p>
            <w:pPr>
              <w:spacing w:line="240" w:lineRule="atLeast"/>
              <w:jc w:val="center"/>
              <w:rPr>
                <w:rFonts w:eastAsiaTheme="minorEastAsia"/>
                <w:bCs/>
                <w:iCs/>
                <w:color w:val="auto"/>
                <w:szCs w:val="21"/>
              </w:rPr>
            </w:pPr>
            <w:r>
              <w:rPr>
                <w:rFonts w:eastAsiaTheme="minorEastAsia"/>
                <w:bCs/>
                <w:iCs/>
                <w:color w:val="auto"/>
                <w:szCs w:val="21"/>
              </w:rPr>
              <w:t>≥10N/15mm</w:t>
            </w:r>
          </w:p>
        </w:tc>
      </w:tr>
    </w:tbl>
    <w:p>
      <w:pPr>
        <w:pStyle w:val="130"/>
        <w:spacing w:before="120" w:beforeLines="50"/>
        <w:ind w:firstLine="480"/>
        <w:rPr>
          <w:iCs/>
          <w:color w:val="auto"/>
        </w:rPr>
      </w:pPr>
      <w:r>
        <w:rPr>
          <w:iCs/>
          <w:color w:val="auto"/>
        </w:rPr>
        <w:t>（2）利器盒</w:t>
      </w:r>
    </w:p>
    <w:p>
      <w:pPr>
        <w:pStyle w:val="130"/>
        <w:ind w:firstLine="480"/>
        <w:rPr>
          <w:iCs/>
          <w:color w:val="auto"/>
        </w:rPr>
      </w:pPr>
      <w:r>
        <w:rPr>
          <w:iCs/>
          <w:color w:val="auto"/>
        </w:rPr>
        <w:t>利器盒整体为硬质材料制成，封闭且防刺穿，以保证在正常情况下，利器盒内盛装物不撒漏，并且利器盒一旦被封口，在不破坏的情况下无法被再次打开。利器盒整体颜色为淡黄，利器盒侧面明显处应印制警示标志，警告语为“警告！损伤性废物”。满盛装量的利器盒从1.2m高出自由跌落至水泥地面，连续3次，不会出现破裂、被刺穿等情况。医疗机构对本机构产生的医疗废物应及时分类，将医疗废物按照其性能放入带有相应标识的包装袋或利器盒内，不得混装、乱放。</w:t>
      </w:r>
    </w:p>
    <w:p>
      <w:pPr>
        <w:pStyle w:val="130"/>
        <w:ind w:firstLine="480"/>
        <w:rPr>
          <w:iCs/>
          <w:color w:val="auto"/>
        </w:rPr>
      </w:pPr>
      <w:r>
        <w:rPr>
          <w:iCs/>
          <w:color w:val="auto"/>
        </w:rPr>
        <w:t>（3）医疗机构的医废暂存设施</w:t>
      </w:r>
    </w:p>
    <w:p>
      <w:pPr>
        <w:pStyle w:val="130"/>
        <w:ind w:firstLine="480"/>
        <w:rPr>
          <w:iCs/>
          <w:color w:val="auto"/>
        </w:rPr>
      </w:pPr>
      <w:r>
        <w:rPr>
          <w:iCs/>
          <w:color w:val="auto"/>
        </w:rPr>
        <w:t>医疗废物属于危险废物，各医疗机构的医废收集暂存点应满足《危险废物贮存污染控制标准》（GB18597-2001）及其修改单的相关规定。</w:t>
      </w:r>
    </w:p>
    <w:p>
      <w:pPr>
        <w:pStyle w:val="6"/>
        <w:numPr>
          <w:ilvl w:val="3"/>
          <w:numId w:val="0"/>
        </w:numPr>
        <w:ind w:left="-861" w:leftChars="-410" w:firstLine="964" w:firstLineChars="400"/>
        <w:rPr>
          <w:color w:val="auto"/>
        </w:rPr>
      </w:pPr>
      <w:r>
        <w:rPr>
          <w:color w:val="auto"/>
        </w:rPr>
        <w:t>4.4.2.2收集运输</w:t>
      </w:r>
    </w:p>
    <w:p>
      <w:pPr>
        <w:pStyle w:val="130"/>
        <w:ind w:firstLine="480"/>
        <w:rPr>
          <w:color w:val="auto"/>
        </w:rPr>
      </w:pPr>
      <w:r>
        <w:rPr>
          <w:color w:val="auto"/>
        </w:rPr>
        <w:t>采用医疗废物专用运输车辆运送密闭的周转箱，运输车辆及转运操作应满足《医疗废物转运车技术要求（试行）》(GB 19217-2003)</w:t>
      </w:r>
      <w:r>
        <w:rPr>
          <w:color w:val="auto"/>
        </w:rPr>
        <w:tab/>
      </w:r>
      <w:r>
        <w:rPr>
          <w:color w:val="auto"/>
        </w:rPr>
        <w:t>中的要求。医疗废物移交过程依照《危险废物转移管理办法》中的要求，严格执行医疗废物转移联单管理制度。转运车每车每次运送的医疗废物采用《医疗废物运送登记卡》管理，一车一卡，由医疗卫生机构医疗废物管理人员交接对填写并签字。当医疗废物运至处置单位时，处置厂接收人员确认该登记卡上填写的医疗废物数量真实、准确后签收。</w:t>
      </w:r>
    </w:p>
    <w:p>
      <w:pPr>
        <w:pStyle w:val="130"/>
        <w:ind w:firstLine="480"/>
        <w:rPr>
          <w:color w:val="auto"/>
        </w:rPr>
      </w:pPr>
      <w:r>
        <w:rPr>
          <w:color w:val="auto"/>
        </w:rPr>
        <w:t>采用全封闭的医疗废物转运车运输医疗废物，转运车上有医疗废物的警示标识以及中英文标识。根据各地区医疗废物产生量、交通条件等制定收集运输方案， 保证服务区内产生的医疗废物当日运输。医疗废物的收集和交接按照国家规定的转移联单制执行，每月将收集处理量上报中卫市生态环境局。</w:t>
      </w:r>
    </w:p>
    <w:p>
      <w:pPr>
        <w:pStyle w:val="6"/>
        <w:numPr>
          <w:ilvl w:val="3"/>
          <w:numId w:val="0"/>
        </w:numPr>
        <w:ind w:left="-861" w:leftChars="-410" w:firstLine="964" w:firstLineChars="400"/>
        <w:rPr>
          <w:color w:val="auto"/>
        </w:rPr>
      </w:pPr>
      <w:r>
        <w:rPr>
          <w:color w:val="auto"/>
        </w:rPr>
        <w:t>4.4.2.3医疗废物接收与贮存要求</w:t>
      </w:r>
    </w:p>
    <w:p>
      <w:pPr>
        <w:pStyle w:val="130"/>
        <w:ind w:firstLine="456"/>
        <w:rPr>
          <w:color w:val="auto"/>
        </w:rPr>
      </w:pPr>
      <w:r>
        <w:rPr>
          <w:color w:val="auto"/>
          <w:spacing w:val="-6"/>
        </w:rPr>
        <w:t>医疗废物处理单位在接收医疗废物时，应检视包装袋或者容器的标识、标签</w:t>
      </w:r>
      <w:r>
        <w:rPr>
          <w:color w:val="auto"/>
        </w:rPr>
        <w:t>及封口是否符合要求以及是否对应相关转移联单制度，处理单位可拒绝接收不符合要求的医疗废物。</w:t>
      </w:r>
      <w:r>
        <w:rPr>
          <w:color w:val="auto"/>
          <w:spacing w:val="-4"/>
        </w:rPr>
        <w:t>由各个医院收运的医疗废物周转箱运抵处理单位称重后，医疗废物转运车按规定物流线路进入卸料间将周转箱卸下，贮存库内医疗废物常温贮存时间</w:t>
      </w:r>
      <w:r>
        <w:rPr>
          <w:color w:val="auto"/>
          <w:spacing w:val="-16"/>
        </w:rPr>
        <w:t>不得超过</w:t>
      </w:r>
      <w:r>
        <w:rPr>
          <w:rFonts w:eastAsia="Times New Roman"/>
          <w:color w:val="auto"/>
          <w:spacing w:val="-3"/>
        </w:rPr>
        <w:t>24h</w:t>
      </w:r>
      <w:r>
        <w:rPr>
          <w:color w:val="auto"/>
          <w:spacing w:val="-7"/>
        </w:rPr>
        <w:t>；当制冷设备开启，贮存温度低于</w:t>
      </w:r>
      <w:r>
        <w:rPr>
          <w:rFonts w:eastAsia="Times New Roman"/>
          <w:color w:val="auto"/>
        </w:rPr>
        <w:t>5</w:t>
      </w:r>
      <w:r>
        <w:rPr>
          <w:color w:val="auto"/>
          <w:spacing w:val="-8"/>
        </w:rPr>
        <w:t>℃时，贮存时间不得超过</w:t>
      </w:r>
      <w:r>
        <w:rPr>
          <w:rFonts w:eastAsia="Times New Roman"/>
          <w:color w:val="auto"/>
        </w:rPr>
        <w:t>72h</w:t>
      </w:r>
      <w:r>
        <w:rPr>
          <w:color w:val="auto"/>
          <w:spacing w:val="-15"/>
        </w:rPr>
        <w:t>。</w:t>
      </w:r>
      <w:r>
        <w:rPr>
          <w:color w:val="auto"/>
        </w:rPr>
        <w:t>为了防止贮存库中传染性气体的污染，贮存库采用全封闭、微负压设计。</w:t>
      </w:r>
    </w:p>
    <w:p>
      <w:pPr>
        <w:pStyle w:val="5"/>
        <w:numPr>
          <w:ilvl w:val="2"/>
          <w:numId w:val="0"/>
        </w:numPr>
        <w:ind w:left="-720" w:leftChars="-343" w:firstLine="723" w:firstLineChars="300"/>
        <w:rPr>
          <w:color w:val="auto"/>
        </w:rPr>
      </w:pPr>
      <w:bookmarkStart w:id="240" w:name="_Toc58849436"/>
      <w:bookmarkStart w:id="241" w:name="_Toc109398609"/>
      <w:r>
        <w:rPr>
          <w:color w:val="auto"/>
        </w:rPr>
        <w:t>4.4.3高温蒸汽灭菌工艺流程</w:t>
      </w:r>
      <w:bookmarkEnd w:id="240"/>
      <w:bookmarkEnd w:id="241"/>
    </w:p>
    <w:p>
      <w:pPr>
        <w:pStyle w:val="130"/>
        <w:ind w:firstLine="480"/>
        <w:rPr>
          <w:color w:val="auto"/>
        </w:rPr>
      </w:pPr>
      <w:r>
        <w:rPr>
          <w:color w:val="auto"/>
        </w:rPr>
        <w:t>损伤性及感染性医疗废物处置采用高温蒸汽灭菌的方式进行处理，以高温饱和蒸汽为工作介质，利用其较强的穿透力，深入到灭菌物品内部并释放出蒸汽内含的潜伏热，使灭菌物品迅速升温达到灭菌温度后维持一段时间，使细菌中的蛋白质凝固变性，从而将所有微生物包括细菌芽孢全部杀死。</w:t>
      </w:r>
    </w:p>
    <w:p>
      <w:pPr>
        <w:pStyle w:val="130"/>
        <w:ind w:firstLine="480"/>
        <w:rPr>
          <w:color w:val="auto"/>
        </w:rPr>
      </w:pPr>
      <w:r>
        <w:rPr>
          <w:color w:val="auto"/>
        </w:rPr>
        <w:t>项目购置全自动连续式高温蒸汽灭菌生产线，采用先高温蒸汽灭菌处理后破碎的工艺，高温蒸汽灭菌系统主要包括上料机、医疗废物灭菌器、卸料机、灭菌车清洗提升机、破碎机、皮带输送机、冷却水循环设备（循环水泵、水箱、软水机、凉水塔）、周转箱清洗机、地轨、转盘、空气压缩机等辅助设施。</w:t>
      </w:r>
    </w:p>
    <w:p>
      <w:pPr>
        <w:pStyle w:val="130"/>
        <w:ind w:firstLine="480"/>
        <w:rPr>
          <w:color w:val="auto"/>
        </w:rPr>
      </w:pPr>
      <w:r>
        <w:rPr>
          <w:color w:val="auto"/>
        </w:rPr>
        <w:t>系统的工作流程为：进料</w:t>
      </w:r>
      <w:r>
        <w:rPr>
          <w:rFonts w:hint="eastAsia"/>
          <w:color w:val="auto"/>
        </w:rPr>
        <w:t>—</w:t>
      </w:r>
      <w:r>
        <w:rPr>
          <w:color w:val="auto"/>
        </w:rPr>
        <w:t>高温蒸汽灭菌处理</w:t>
      </w:r>
      <w:r>
        <w:rPr>
          <w:rFonts w:hint="eastAsia"/>
          <w:color w:val="auto"/>
        </w:rPr>
        <w:t>—</w:t>
      </w:r>
      <w:r>
        <w:rPr>
          <w:color w:val="auto"/>
        </w:rPr>
        <w:t>出料</w:t>
      </w:r>
      <w:r>
        <w:rPr>
          <w:rFonts w:hint="eastAsia"/>
          <w:color w:val="auto"/>
        </w:rPr>
        <w:t>—</w:t>
      </w:r>
      <w:r>
        <w:rPr>
          <w:color w:val="auto"/>
        </w:rPr>
        <w:t>传送</w:t>
      </w:r>
      <w:r>
        <w:rPr>
          <w:rFonts w:hint="eastAsia"/>
          <w:color w:val="auto"/>
        </w:rPr>
        <w:t>—</w:t>
      </w:r>
      <w:r>
        <w:rPr>
          <w:color w:val="auto"/>
        </w:rPr>
        <w:t>破碎毁形处理</w:t>
      </w:r>
      <w:r>
        <w:rPr>
          <w:rFonts w:hint="eastAsia"/>
          <w:color w:val="auto"/>
        </w:rPr>
        <w:t>—</w:t>
      </w:r>
      <w:r>
        <w:rPr>
          <w:color w:val="auto"/>
        </w:rPr>
        <w:t>运送至填埋场。</w:t>
      </w:r>
    </w:p>
    <w:p>
      <w:pPr>
        <w:pStyle w:val="6"/>
        <w:numPr>
          <w:ilvl w:val="3"/>
          <w:numId w:val="0"/>
        </w:numPr>
        <w:ind w:left="-861" w:leftChars="-410" w:firstLine="964" w:firstLineChars="400"/>
        <w:rPr>
          <w:color w:val="auto"/>
        </w:rPr>
      </w:pPr>
      <w:r>
        <w:rPr>
          <w:color w:val="auto"/>
        </w:rPr>
        <w:t>4.4.3.1进料</w:t>
      </w:r>
    </w:p>
    <w:p>
      <w:pPr>
        <w:pStyle w:val="130"/>
        <w:ind w:firstLine="480"/>
        <w:rPr>
          <w:color w:val="auto"/>
        </w:rPr>
      </w:pPr>
      <w:r>
        <w:rPr>
          <w:color w:val="auto"/>
        </w:rPr>
        <w:t>医疗废物由转运车运至处置中心，将盛装医疗废物的周转箱推入上料机的料斗，由其倒入灭菌器专门配备的灭菌车，然后将灭菌车输送到灭菌器内，灭菌器内的灭菌车数量达到设定值后，关闭前门，等待灭菌处理。灭菌器前、后门无法同时打开，程序一旦运行或灭菌器内室有压力，也无法进行开、关门操作，确保人身及设备安全。</w:t>
      </w:r>
    </w:p>
    <w:p>
      <w:pPr>
        <w:pStyle w:val="6"/>
        <w:numPr>
          <w:ilvl w:val="3"/>
          <w:numId w:val="0"/>
        </w:numPr>
        <w:ind w:left="-861" w:leftChars="-410" w:firstLine="964" w:firstLineChars="400"/>
        <w:rPr>
          <w:color w:val="auto"/>
        </w:rPr>
      </w:pPr>
      <w:r>
        <w:rPr>
          <w:color w:val="auto"/>
        </w:rPr>
        <w:t>4.4.3.2高温蒸汽灭菌处理</w:t>
      </w:r>
    </w:p>
    <w:p>
      <w:pPr>
        <w:pStyle w:val="130"/>
        <w:ind w:firstLine="480"/>
        <w:rPr>
          <w:color w:val="auto"/>
        </w:rPr>
      </w:pPr>
      <w:r>
        <w:rPr>
          <w:color w:val="auto"/>
        </w:rPr>
        <w:t>当前门关闭后PLC给灭菌器指令开始运行灭菌器已预先设定好的灭菌程序，进行灭菌处理。</w:t>
      </w:r>
    </w:p>
    <w:p>
      <w:pPr>
        <w:pStyle w:val="130"/>
        <w:ind w:firstLine="480"/>
        <w:rPr>
          <w:color w:val="auto"/>
          <w:spacing w:val="-3"/>
        </w:rPr>
      </w:pPr>
      <w:r>
        <w:rPr>
          <w:color w:val="auto"/>
        </w:rPr>
        <w:t>1</w:t>
      </w:r>
      <w:r>
        <w:rPr>
          <w:color w:val="auto"/>
          <w:spacing w:val="-3"/>
        </w:rPr>
        <w:t>、脉动：对灭菌器内室进行抽真空、进蒸汽操作，反复进行几次（一般取三到四次），然后再次抽真空，待内室压力到达脉动下限后，程序转升温阶段。经过该阶段后，内室的冷空气排除率可达到99%以上，确保内室无死点，保证灭菌的合格。（设定的参数为：脉动三次，参数可以调节）。</w:t>
      </w:r>
    </w:p>
    <w:p>
      <w:pPr>
        <w:pStyle w:val="130"/>
        <w:ind w:firstLine="468"/>
        <w:rPr>
          <w:color w:val="auto"/>
        </w:rPr>
      </w:pPr>
      <w:r>
        <w:rPr>
          <w:color w:val="auto"/>
          <w:spacing w:val="-3"/>
        </w:rPr>
        <w:t>由于工艺管路的改进，在脉动过程中，抽真空是从灭菌器上部抽取，冷凝水在灭菌器底部形成，这样冷凝水会留在灭菌器内室。在脉动真空阶段，内室抽出的废气经过生物过滤器，可以将废气中的菌过滤掉，这样既保证了排出的气体无毒，也提高了升温效率。无论是医疗卫生方面，还是环保方面均能够达到相应的标准。</w:t>
      </w:r>
    </w:p>
    <w:p>
      <w:pPr>
        <w:pStyle w:val="130"/>
        <w:ind w:firstLine="480"/>
        <w:rPr>
          <w:color w:val="auto"/>
        </w:rPr>
      </w:pPr>
      <w:r>
        <w:rPr>
          <w:color w:val="auto"/>
        </w:rPr>
        <w:t>2、升温：蒸汽经过灭菌器夹层进入内室，对废物进行加热，同时内室疏水阀间歇性开启，将蒸汽冷凝后产生的水排出。内室温度达到设定值后（</w:t>
      </w:r>
      <w:r>
        <w:rPr>
          <w:rFonts w:hint="eastAsia"/>
          <w:color w:val="auto"/>
        </w:rPr>
        <w:t>≥</w:t>
      </w:r>
      <w:r>
        <w:rPr>
          <w:color w:val="auto"/>
        </w:rPr>
        <w:t>134℃（可调节））程序转灭菌阶段。</w:t>
      </w:r>
    </w:p>
    <w:p>
      <w:pPr>
        <w:pStyle w:val="130"/>
        <w:ind w:firstLine="480"/>
        <w:rPr>
          <w:color w:val="auto"/>
        </w:rPr>
      </w:pPr>
      <w:r>
        <w:rPr>
          <w:color w:val="auto"/>
        </w:rPr>
        <w:t>3、灭菌：开始灭菌计时，在此期间内室进汽阀受到内室温度和压力的共同控制以确保内室保持在一定的温度范围内对废物进行灭菌。当内室温度高于灭菌温度上限（灭菌温度134+2℃）时，进汽阀关闭，低于灭菌温度时，进汽阀打开；当内室压力高于内室压力限度值时，进汽阀关闭，比内室压力限度值低出10KPa时，进汽阀打开。灭菌计时（</w:t>
      </w:r>
      <w:r>
        <w:rPr>
          <w:rFonts w:hint="eastAsia"/>
          <w:color w:val="auto"/>
        </w:rPr>
        <w:t>≥</w:t>
      </w:r>
      <w:r>
        <w:rPr>
          <w:color w:val="auto"/>
        </w:rPr>
        <w:t>45min（可调节））到后，程序转排汽阶段。</w:t>
      </w:r>
    </w:p>
    <w:p>
      <w:pPr>
        <w:pStyle w:val="130"/>
        <w:ind w:firstLine="480"/>
        <w:rPr>
          <w:color w:val="auto"/>
        </w:rPr>
      </w:pPr>
      <w:r>
        <w:rPr>
          <w:color w:val="auto"/>
        </w:rPr>
        <w:t>4、排汽：排汽阀打开，内室的蒸汽在内外压差的作用下排出，经过换热器的作用，大部分蒸汽冷凝成水，少部分蒸汽经过滤后排至大气。内室压力下降到设定值后，程序转干燥阶段。</w:t>
      </w:r>
    </w:p>
    <w:p>
      <w:pPr>
        <w:pStyle w:val="130"/>
        <w:ind w:firstLine="480"/>
        <w:rPr>
          <w:color w:val="auto"/>
        </w:rPr>
      </w:pPr>
      <w:r>
        <w:rPr>
          <w:color w:val="auto"/>
        </w:rPr>
        <w:t>5、干燥：真空泵打开对内室进行抽真空（该过程约2min），同时夹层保持一定的压力和温度，烘干内室，干燥时间约8min。经干燥后的箱体内充入空气完成压力平衡后完成干燥，物料干燥后含水率不大于20%。</w:t>
      </w:r>
    </w:p>
    <w:p>
      <w:pPr>
        <w:pStyle w:val="130"/>
        <w:ind w:firstLine="480"/>
        <w:rPr>
          <w:color w:val="auto"/>
        </w:rPr>
      </w:pPr>
      <w:r>
        <w:rPr>
          <w:color w:val="auto"/>
        </w:rPr>
        <w:t>6、结束：蜂鸣器呼叫，此时可以打开门将灭菌车推出。</w:t>
      </w:r>
    </w:p>
    <w:p>
      <w:pPr>
        <w:pStyle w:val="6"/>
        <w:numPr>
          <w:ilvl w:val="3"/>
          <w:numId w:val="0"/>
        </w:numPr>
        <w:ind w:left="-861" w:leftChars="-410" w:firstLine="964" w:firstLineChars="400"/>
        <w:rPr>
          <w:color w:val="auto"/>
        </w:rPr>
      </w:pPr>
      <w:r>
        <w:rPr>
          <w:color w:val="auto"/>
        </w:rPr>
        <w:t>4.4.3.3本项目工艺先进性</w:t>
      </w:r>
    </w:p>
    <w:p>
      <w:pPr>
        <w:pStyle w:val="130"/>
        <w:ind w:firstLine="480"/>
        <w:rPr>
          <w:color w:val="auto"/>
        </w:rPr>
      </w:pPr>
      <w:r>
        <w:rPr>
          <w:color w:val="auto"/>
        </w:rPr>
        <w:t>在对废物进行灭菌处理的同时，灭菌过程中产生的废气废水也同步进行无害化处理。其中废水无需二次处理装置，便能实现无菌排放。</w:t>
      </w:r>
    </w:p>
    <w:p>
      <w:pPr>
        <w:pStyle w:val="130"/>
        <w:ind w:firstLine="480"/>
        <w:rPr>
          <w:color w:val="auto"/>
        </w:rPr>
      </w:pPr>
      <w:r>
        <w:rPr>
          <w:color w:val="auto"/>
        </w:rPr>
        <w:t>其中废气经过生物过滤和活性炭吸附后排入大气，在灭菌过程中废水不排放，保持在柜体内部，与医疗废物一起灭菌，灭菌结束后排到污水处理中心做处理。</w:t>
      </w:r>
    </w:p>
    <w:p>
      <w:pPr>
        <w:pStyle w:val="130"/>
        <w:ind w:firstLine="480"/>
        <w:rPr>
          <w:color w:val="auto"/>
        </w:rPr>
      </w:pPr>
      <w:r>
        <w:rPr>
          <w:color w:val="auto"/>
        </w:rPr>
        <w:t>相对于现有工程项目处理工艺本项目高温蒸汽处理设备控制系统采用先进的PLC控制技术，对高温蒸汽处理整个过程进行自动控制。主控系统由压力变送器、压力控制器、温度探头等控制元件组成，用来输送信号至PLC，再由PLC发送信号控制阀件的动作、真空泵和管道泵的开关等，从而实现程序的自动运行。自动控制系统主要包含：系统设置参数、设置模式、灭菌-后真空干燥试验模式、灭菌处置模式等运行模式。自动控制系统应可以实现处置过程状态显示、运行过程主要参数当前值的显示和打印、灭菌室前后门互锁工艺连锁、操作号记录、灭菌质量自检（灭菌-后真空干燥试验）及应急保护等功能。减少工作人员接触医疗废物的风险，降低了感染病菌的几率。</w:t>
      </w:r>
    </w:p>
    <w:p>
      <w:pPr>
        <w:pStyle w:val="6"/>
        <w:numPr>
          <w:ilvl w:val="3"/>
          <w:numId w:val="0"/>
        </w:numPr>
        <w:ind w:left="-861" w:leftChars="-410" w:firstLine="964" w:firstLineChars="400"/>
        <w:rPr>
          <w:color w:val="auto"/>
        </w:rPr>
      </w:pPr>
      <w:r>
        <w:rPr>
          <w:color w:val="auto"/>
        </w:rPr>
        <w:t>4.4.3.4出料</w:t>
      </w:r>
    </w:p>
    <w:p>
      <w:pPr>
        <w:pStyle w:val="130"/>
        <w:ind w:firstLine="480"/>
        <w:rPr>
          <w:color w:val="auto"/>
          <w:spacing w:val="-3"/>
        </w:rPr>
      </w:pPr>
      <w:r>
        <w:rPr>
          <w:color w:val="auto"/>
        </w:rPr>
        <w:t>灭菌处理结束后，后门自动开启，推出灭菌车，然后将灭菌车输</w:t>
      </w:r>
      <w:r>
        <w:rPr>
          <w:color w:val="auto"/>
          <w:spacing w:val="-3"/>
        </w:rPr>
        <w:t>送到卸料机车筐内，由其将废物倒入破碎机进行破碎处理。</w:t>
      </w:r>
    </w:p>
    <w:p>
      <w:pPr>
        <w:pStyle w:val="6"/>
        <w:numPr>
          <w:ilvl w:val="3"/>
          <w:numId w:val="0"/>
        </w:numPr>
        <w:ind w:left="-861" w:leftChars="-410" w:firstLine="964" w:firstLineChars="400"/>
        <w:rPr>
          <w:color w:val="auto"/>
        </w:rPr>
      </w:pPr>
      <w:r>
        <w:rPr>
          <w:color w:val="auto"/>
        </w:rPr>
        <w:t>4.4.3.5破碎毁形处理</w:t>
      </w:r>
    </w:p>
    <w:p>
      <w:pPr>
        <w:pStyle w:val="130"/>
        <w:ind w:firstLine="480"/>
        <w:rPr>
          <w:color w:val="auto"/>
        </w:rPr>
      </w:pPr>
      <w:r>
        <w:rPr>
          <w:color w:val="auto"/>
        </w:rPr>
        <w:t>根据规范要求，医疗废物高温蒸汽处理必须经过破碎，严禁只对其进行高温蒸汽处理，严防医疗废物高温蒸汽处理后回收利用的现象发生。</w:t>
      </w:r>
    </w:p>
    <w:p>
      <w:pPr>
        <w:pStyle w:val="130"/>
        <w:ind w:firstLine="480"/>
        <w:rPr>
          <w:color w:val="auto"/>
        </w:rPr>
      </w:pPr>
      <w:r>
        <w:rPr>
          <w:color w:val="auto"/>
        </w:rPr>
        <w:t>本项目设置一台破碎机，选用的破碎机不仅能够破碎硬质物料，还能够破碎软质的物料，如纱布、包装袋、纸类废物等。物料破碎后的粒径不大于50mm，处理能力为1t/h。破碎机采用密闭设计，考虑到高温蒸汽处理后部分医疗废物内部可能残留液体，破碎过程会有废液产生。因此，项目破碎机配套设置导水管和收集水池，该部分废液很少，收集后引至厂内污水处理站处理。</w:t>
      </w:r>
    </w:p>
    <w:p>
      <w:pPr>
        <w:pStyle w:val="5"/>
        <w:numPr>
          <w:ilvl w:val="2"/>
          <w:numId w:val="0"/>
        </w:numPr>
        <w:ind w:left="-720" w:leftChars="-343" w:firstLine="723" w:firstLineChars="300"/>
        <w:rPr>
          <w:color w:val="auto"/>
        </w:rPr>
      </w:pPr>
      <w:bookmarkStart w:id="242" w:name="_Toc109398610"/>
      <w:bookmarkStart w:id="243" w:name="_Toc58849437"/>
      <w:r>
        <w:rPr>
          <w:color w:val="auto"/>
        </w:rPr>
        <w:t>4.4.4医废运输车辆和周转箱等消毒、清洗</w:t>
      </w:r>
      <w:bookmarkEnd w:id="242"/>
      <w:bookmarkEnd w:id="243"/>
    </w:p>
    <w:p>
      <w:pPr>
        <w:pStyle w:val="130"/>
        <w:ind w:firstLine="480"/>
        <w:rPr>
          <w:color w:val="auto"/>
        </w:rPr>
      </w:pPr>
      <w:r>
        <w:rPr>
          <w:color w:val="auto"/>
        </w:rPr>
        <w:t>目前常用的消毒方法包括添加消毒剂、O</w:t>
      </w:r>
      <w:r>
        <w:rPr>
          <w:color w:val="auto"/>
          <w:vertAlign w:val="subscript"/>
        </w:rPr>
        <w:t>3</w:t>
      </w:r>
      <w:r>
        <w:rPr>
          <w:color w:val="auto"/>
        </w:rPr>
        <w:t>消毒和紫外线消毒，常用的消毒剂中又以含氯消毒剂居多，各消毒方法的消毒效果及优缺点见表4.4-2。</w:t>
      </w:r>
    </w:p>
    <w:p>
      <w:pPr>
        <w:pStyle w:val="114"/>
        <w:spacing w:before="0" w:beforeLines="0"/>
        <w:rPr>
          <w:color w:val="auto"/>
        </w:rPr>
      </w:pPr>
      <w:r>
        <w:rPr>
          <w:color w:val="auto"/>
        </w:rPr>
        <w:t>表4.4-2  常用消毒方法比较</w:t>
      </w:r>
    </w:p>
    <w:tbl>
      <w:tblPr>
        <w:tblStyle w:val="75"/>
        <w:tblW w:w="847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6"/>
        <w:gridCol w:w="1119"/>
        <w:gridCol w:w="2409"/>
        <w:gridCol w:w="2977"/>
        <w:gridCol w:w="15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45" w:type="dxa"/>
            <w:gridSpan w:val="2"/>
            <w:vAlign w:val="center"/>
          </w:tcPr>
          <w:p>
            <w:pPr>
              <w:spacing w:line="240" w:lineRule="atLeast"/>
              <w:jc w:val="center"/>
              <w:rPr>
                <w:rStyle w:val="573"/>
                <w:b w:val="0"/>
                <w:i w:val="0"/>
                <w:color w:val="auto"/>
                <w:szCs w:val="21"/>
              </w:rPr>
            </w:pPr>
            <w:r>
              <w:rPr>
                <w:rStyle w:val="573"/>
                <w:b w:val="0"/>
                <w:i w:val="0"/>
                <w:color w:val="auto"/>
                <w:szCs w:val="21"/>
              </w:rPr>
              <w:t>消毒方法</w:t>
            </w:r>
          </w:p>
        </w:tc>
        <w:tc>
          <w:tcPr>
            <w:tcW w:w="2409" w:type="dxa"/>
            <w:vAlign w:val="center"/>
          </w:tcPr>
          <w:p>
            <w:pPr>
              <w:spacing w:line="240" w:lineRule="atLeast"/>
              <w:jc w:val="center"/>
              <w:rPr>
                <w:rStyle w:val="573"/>
                <w:b w:val="0"/>
                <w:i w:val="0"/>
                <w:color w:val="auto"/>
                <w:szCs w:val="21"/>
              </w:rPr>
            </w:pPr>
            <w:r>
              <w:rPr>
                <w:rStyle w:val="573"/>
                <w:b w:val="0"/>
                <w:i w:val="0"/>
                <w:color w:val="auto"/>
                <w:szCs w:val="21"/>
              </w:rPr>
              <w:t>优点</w:t>
            </w:r>
          </w:p>
        </w:tc>
        <w:tc>
          <w:tcPr>
            <w:tcW w:w="2977" w:type="dxa"/>
            <w:vAlign w:val="center"/>
          </w:tcPr>
          <w:p>
            <w:pPr>
              <w:spacing w:line="240" w:lineRule="atLeast"/>
              <w:jc w:val="center"/>
              <w:rPr>
                <w:rStyle w:val="573"/>
                <w:b w:val="0"/>
                <w:i w:val="0"/>
                <w:color w:val="auto"/>
                <w:szCs w:val="21"/>
              </w:rPr>
            </w:pPr>
            <w:r>
              <w:rPr>
                <w:rStyle w:val="573"/>
                <w:b w:val="0"/>
                <w:i w:val="0"/>
                <w:color w:val="auto"/>
                <w:szCs w:val="21"/>
              </w:rPr>
              <w:t>缺点</w:t>
            </w:r>
          </w:p>
        </w:tc>
        <w:tc>
          <w:tcPr>
            <w:tcW w:w="1543" w:type="dxa"/>
            <w:vAlign w:val="center"/>
          </w:tcPr>
          <w:p>
            <w:pPr>
              <w:spacing w:line="240" w:lineRule="atLeast"/>
              <w:jc w:val="center"/>
              <w:rPr>
                <w:rStyle w:val="573"/>
                <w:b w:val="0"/>
                <w:i w:val="0"/>
                <w:color w:val="auto"/>
                <w:szCs w:val="21"/>
              </w:rPr>
            </w:pPr>
            <w:r>
              <w:rPr>
                <w:rStyle w:val="573"/>
                <w:b w:val="0"/>
                <w:i w:val="0"/>
                <w:color w:val="auto"/>
                <w:szCs w:val="21"/>
              </w:rPr>
              <w:t>消毒效果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6" w:type="dxa"/>
            <w:vMerge w:val="restart"/>
            <w:vAlign w:val="center"/>
          </w:tcPr>
          <w:p>
            <w:pPr>
              <w:spacing w:line="240" w:lineRule="atLeast"/>
              <w:jc w:val="center"/>
              <w:rPr>
                <w:rStyle w:val="573"/>
                <w:b w:val="0"/>
                <w:i w:val="0"/>
                <w:color w:val="auto"/>
                <w:szCs w:val="21"/>
              </w:rPr>
            </w:pPr>
            <w:r>
              <w:rPr>
                <w:rStyle w:val="573"/>
                <w:b w:val="0"/>
                <w:i w:val="0"/>
                <w:color w:val="auto"/>
                <w:szCs w:val="21"/>
              </w:rPr>
              <w:t>含氯消毒剂</w:t>
            </w:r>
          </w:p>
        </w:tc>
        <w:tc>
          <w:tcPr>
            <w:tcW w:w="1119" w:type="dxa"/>
            <w:vAlign w:val="center"/>
          </w:tcPr>
          <w:p>
            <w:pPr>
              <w:spacing w:line="240" w:lineRule="atLeast"/>
              <w:jc w:val="center"/>
              <w:rPr>
                <w:rStyle w:val="573"/>
                <w:b w:val="0"/>
                <w:i w:val="0"/>
                <w:color w:val="auto"/>
                <w:szCs w:val="21"/>
              </w:rPr>
            </w:pPr>
            <w:r>
              <w:rPr>
                <w:rStyle w:val="573"/>
                <w:b w:val="0"/>
                <w:i w:val="0"/>
                <w:color w:val="auto"/>
                <w:szCs w:val="21"/>
              </w:rPr>
              <w:t>氯</w:t>
            </w:r>
          </w:p>
        </w:tc>
        <w:tc>
          <w:tcPr>
            <w:tcW w:w="2409" w:type="dxa"/>
            <w:vAlign w:val="center"/>
          </w:tcPr>
          <w:p>
            <w:pPr>
              <w:spacing w:line="240" w:lineRule="atLeast"/>
              <w:jc w:val="center"/>
              <w:rPr>
                <w:rStyle w:val="573"/>
                <w:b w:val="0"/>
                <w:i w:val="0"/>
                <w:color w:val="auto"/>
                <w:szCs w:val="21"/>
              </w:rPr>
            </w:pPr>
            <w:r>
              <w:rPr>
                <w:rStyle w:val="573"/>
                <w:b w:val="0"/>
                <w:i w:val="0"/>
                <w:color w:val="auto"/>
                <w:szCs w:val="21"/>
              </w:rPr>
              <w:t>具有持续消毒作用，工艺简单，技术成熟</w:t>
            </w:r>
          </w:p>
        </w:tc>
        <w:tc>
          <w:tcPr>
            <w:tcW w:w="2977" w:type="dxa"/>
            <w:vAlign w:val="center"/>
          </w:tcPr>
          <w:p>
            <w:pPr>
              <w:spacing w:line="240" w:lineRule="atLeast"/>
              <w:jc w:val="center"/>
              <w:rPr>
                <w:rStyle w:val="573"/>
                <w:b w:val="0"/>
                <w:i w:val="0"/>
                <w:color w:val="auto"/>
                <w:szCs w:val="21"/>
              </w:rPr>
            </w:pPr>
            <w:r>
              <w:rPr>
                <w:rStyle w:val="573"/>
                <w:b w:val="0"/>
                <w:i w:val="0"/>
                <w:color w:val="auto"/>
                <w:szCs w:val="21"/>
              </w:rPr>
              <w:t>产生具致癌、致畸作用的有机氯化物，氯气腐蚀性强，运行管理有一定的危险性</w:t>
            </w:r>
          </w:p>
        </w:tc>
        <w:tc>
          <w:tcPr>
            <w:tcW w:w="1543" w:type="dxa"/>
            <w:vAlign w:val="center"/>
          </w:tcPr>
          <w:p>
            <w:pPr>
              <w:spacing w:line="240" w:lineRule="atLeast"/>
              <w:jc w:val="center"/>
              <w:rPr>
                <w:rStyle w:val="573"/>
                <w:b w:val="0"/>
                <w:i w:val="0"/>
                <w:color w:val="auto"/>
                <w:szCs w:val="21"/>
              </w:rPr>
            </w:pPr>
            <w:r>
              <w:rPr>
                <w:rStyle w:val="573"/>
                <w:b w:val="0"/>
                <w:i w:val="0"/>
                <w:color w:val="auto"/>
                <w:szCs w:val="21"/>
              </w:rPr>
              <w:t>能有效杀菌，但杀灭病毒效果较差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6" w:type="dxa"/>
            <w:vMerge w:val="continue"/>
            <w:vAlign w:val="center"/>
          </w:tcPr>
          <w:p>
            <w:pPr>
              <w:spacing w:line="240" w:lineRule="atLeast"/>
              <w:jc w:val="center"/>
              <w:rPr>
                <w:rStyle w:val="573"/>
                <w:b w:val="0"/>
                <w:i w:val="0"/>
                <w:color w:val="auto"/>
                <w:szCs w:val="21"/>
              </w:rPr>
            </w:pPr>
          </w:p>
        </w:tc>
        <w:tc>
          <w:tcPr>
            <w:tcW w:w="1119" w:type="dxa"/>
            <w:vAlign w:val="center"/>
          </w:tcPr>
          <w:p>
            <w:pPr>
              <w:spacing w:line="240" w:lineRule="atLeast"/>
              <w:jc w:val="center"/>
              <w:rPr>
                <w:rStyle w:val="573"/>
                <w:b w:val="0"/>
                <w:i w:val="0"/>
                <w:color w:val="auto"/>
                <w:szCs w:val="21"/>
              </w:rPr>
            </w:pPr>
            <w:r>
              <w:rPr>
                <w:rStyle w:val="573"/>
                <w:b w:val="0"/>
                <w:i w:val="0"/>
                <w:color w:val="auto"/>
                <w:szCs w:val="21"/>
              </w:rPr>
              <w:t>二氧化氯</w:t>
            </w:r>
          </w:p>
        </w:tc>
        <w:tc>
          <w:tcPr>
            <w:tcW w:w="2409" w:type="dxa"/>
            <w:vAlign w:val="center"/>
          </w:tcPr>
          <w:p>
            <w:pPr>
              <w:spacing w:line="240" w:lineRule="atLeast"/>
              <w:jc w:val="center"/>
              <w:rPr>
                <w:rStyle w:val="573"/>
                <w:b w:val="0"/>
                <w:i w:val="0"/>
                <w:color w:val="auto"/>
                <w:szCs w:val="21"/>
              </w:rPr>
            </w:pPr>
            <w:r>
              <w:rPr>
                <w:rStyle w:val="573"/>
                <w:b w:val="0"/>
                <w:i w:val="0"/>
                <w:color w:val="auto"/>
                <w:szCs w:val="21"/>
              </w:rPr>
              <w:t>具有强烈的氧化作用，不产生有机氯化物，投放简单方便；不受pH影响</w:t>
            </w:r>
          </w:p>
        </w:tc>
        <w:tc>
          <w:tcPr>
            <w:tcW w:w="2977" w:type="dxa"/>
            <w:vAlign w:val="center"/>
          </w:tcPr>
          <w:p>
            <w:pPr>
              <w:spacing w:line="240" w:lineRule="atLeast"/>
              <w:jc w:val="center"/>
              <w:rPr>
                <w:rStyle w:val="573"/>
                <w:b w:val="0"/>
                <w:i w:val="0"/>
                <w:color w:val="auto"/>
                <w:szCs w:val="21"/>
              </w:rPr>
            </w:pPr>
            <w:r>
              <w:rPr>
                <w:rStyle w:val="573"/>
                <w:b w:val="0"/>
                <w:i w:val="0"/>
                <w:color w:val="auto"/>
                <w:szCs w:val="21"/>
              </w:rPr>
              <w:t>运行、管理有一定的危险性，只能就地生产就地使用，操作管理要求高</w:t>
            </w:r>
          </w:p>
        </w:tc>
        <w:tc>
          <w:tcPr>
            <w:tcW w:w="1543" w:type="dxa"/>
            <w:vAlign w:val="center"/>
          </w:tcPr>
          <w:p>
            <w:pPr>
              <w:spacing w:line="240" w:lineRule="atLeast"/>
              <w:jc w:val="center"/>
              <w:rPr>
                <w:rStyle w:val="573"/>
                <w:b w:val="0"/>
                <w:i w:val="0"/>
                <w:color w:val="auto"/>
                <w:szCs w:val="21"/>
              </w:rPr>
            </w:pPr>
            <w:r>
              <w:rPr>
                <w:rStyle w:val="573"/>
                <w:b w:val="0"/>
                <w:i w:val="0"/>
                <w:color w:val="auto"/>
                <w:szCs w:val="21"/>
              </w:rPr>
              <w:t>具有较好的杀菌、杀灭病毒的效果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426" w:type="dxa"/>
            <w:vMerge w:val="continue"/>
            <w:vAlign w:val="center"/>
          </w:tcPr>
          <w:p>
            <w:pPr>
              <w:spacing w:line="240" w:lineRule="atLeast"/>
              <w:jc w:val="center"/>
              <w:rPr>
                <w:rStyle w:val="573"/>
                <w:b w:val="0"/>
                <w:i w:val="0"/>
                <w:color w:val="auto"/>
                <w:szCs w:val="21"/>
              </w:rPr>
            </w:pPr>
          </w:p>
        </w:tc>
        <w:tc>
          <w:tcPr>
            <w:tcW w:w="1119" w:type="dxa"/>
            <w:vAlign w:val="center"/>
          </w:tcPr>
          <w:p>
            <w:pPr>
              <w:spacing w:line="240" w:lineRule="atLeast"/>
              <w:jc w:val="center"/>
              <w:rPr>
                <w:rStyle w:val="573"/>
                <w:b w:val="0"/>
                <w:i w:val="0"/>
                <w:color w:val="auto"/>
                <w:szCs w:val="21"/>
              </w:rPr>
            </w:pPr>
            <w:r>
              <w:rPr>
                <w:rStyle w:val="573"/>
                <w:b w:val="0"/>
                <w:i w:val="0"/>
                <w:color w:val="auto"/>
                <w:szCs w:val="21"/>
              </w:rPr>
              <w:t>次氯酸钠</w:t>
            </w:r>
          </w:p>
        </w:tc>
        <w:tc>
          <w:tcPr>
            <w:tcW w:w="2409" w:type="dxa"/>
            <w:vAlign w:val="center"/>
          </w:tcPr>
          <w:p>
            <w:pPr>
              <w:spacing w:line="240" w:lineRule="atLeast"/>
              <w:jc w:val="center"/>
              <w:rPr>
                <w:rStyle w:val="573"/>
                <w:b w:val="0"/>
                <w:i w:val="0"/>
                <w:color w:val="auto"/>
                <w:szCs w:val="21"/>
              </w:rPr>
            </w:pPr>
            <w:r>
              <w:rPr>
                <w:rStyle w:val="573"/>
                <w:b w:val="0"/>
                <w:i w:val="0"/>
                <w:color w:val="auto"/>
                <w:szCs w:val="21"/>
              </w:rPr>
              <w:t>无毒，运行管理无危险性，操作简单</w:t>
            </w:r>
          </w:p>
        </w:tc>
        <w:tc>
          <w:tcPr>
            <w:tcW w:w="2977" w:type="dxa"/>
            <w:vAlign w:val="center"/>
          </w:tcPr>
          <w:p>
            <w:pPr>
              <w:spacing w:line="240" w:lineRule="atLeast"/>
              <w:jc w:val="center"/>
              <w:rPr>
                <w:rStyle w:val="573"/>
                <w:b w:val="0"/>
                <w:i w:val="0"/>
                <w:color w:val="auto"/>
                <w:szCs w:val="21"/>
              </w:rPr>
            </w:pPr>
            <w:r>
              <w:rPr>
                <w:rStyle w:val="573"/>
                <w:b w:val="0"/>
                <w:i w:val="0"/>
                <w:color w:val="auto"/>
                <w:szCs w:val="21"/>
              </w:rPr>
              <w:t>产生具致癌、致畸作用的有机氯化物，使水的pH值升高</w:t>
            </w:r>
          </w:p>
        </w:tc>
        <w:tc>
          <w:tcPr>
            <w:tcW w:w="1543" w:type="dxa"/>
            <w:vAlign w:val="center"/>
          </w:tcPr>
          <w:p>
            <w:pPr>
              <w:spacing w:line="240" w:lineRule="atLeast"/>
              <w:jc w:val="center"/>
              <w:rPr>
                <w:rStyle w:val="573"/>
                <w:b w:val="0"/>
                <w:i w:val="0"/>
                <w:color w:val="auto"/>
                <w:szCs w:val="21"/>
              </w:rPr>
            </w:pPr>
            <w:r>
              <w:rPr>
                <w:rStyle w:val="573"/>
                <w:b w:val="0"/>
                <w:i w:val="0"/>
                <w:color w:val="auto"/>
                <w:szCs w:val="21"/>
              </w:rPr>
              <w:t>具有较好的杀菌、杀灭病毒的效果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45" w:type="dxa"/>
            <w:gridSpan w:val="2"/>
            <w:vAlign w:val="center"/>
          </w:tcPr>
          <w:p>
            <w:pPr>
              <w:spacing w:line="240" w:lineRule="atLeast"/>
              <w:jc w:val="center"/>
              <w:rPr>
                <w:rStyle w:val="573"/>
                <w:b w:val="0"/>
                <w:i w:val="0"/>
                <w:color w:val="auto"/>
                <w:szCs w:val="21"/>
              </w:rPr>
            </w:pPr>
            <w:r>
              <w:rPr>
                <w:rStyle w:val="573"/>
                <w:b w:val="0"/>
                <w:i w:val="0"/>
                <w:color w:val="auto"/>
                <w:szCs w:val="21"/>
              </w:rPr>
              <w:t>O</w:t>
            </w:r>
            <w:r>
              <w:rPr>
                <w:rStyle w:val="573"/>
                <w:b w:val="0"/>
                <w:i w:val="0"/>
                <w:color w:val="auto"/>
                <w:szCs w:val="21"/>
                <w:vertAlign w:val="subscript"/>
              </w:rPr>
              <w:t>3</w:t>
            </w:r>
          </w:p>
        </w:tc>
        <w:tc>
          <w:tcPr>
            <w:tcW w:w="2409" w:type="dxa"/>
            <w:vAlign w:val="center"/>
          </w:tcPr>
          <w:p>
            <w:pPr>
              <w:spacing w:line="240" w:lineRule="atLeast"/>
              <w:jc w:val="center"/>
              <w:rPr>
                <w:rStyle w:val="573"/>
                <w:b w:val="0"/>
                <w:i w:val="0"/>
                <w:color w:val="auto"/>
                <w:szCs w:val="21"/>
              </w:rPr>
            </w:pPr>
            <w:r>
              <w:rPr>
                <w:rStyle w:val="573"/>
                <w:b w:val="0"/>
                <w:i w:val="0"/>
                <w:color w:val="auto"/>
                <w:szCs w:val="21"/>
              </w:rPr>
              <w:t>有强氧化能力，接触时间短，不产生有机氯化物，不受pH影响，能增加水中溶解氧</w:t>
            </w:r>
          </w:p>
        </w:tc>
        <w:tc>
          <w:tcPr>
            <w:tcW w:w="2977" w:type="dxa"/>
            <w:vAlign w:val="center"/>
          </w:tcPr>
          <w:p>
            <w:pPr>
              <w:spacing w:line="240" w:lineRule="atLeast"/>
              <w:jc w:val="center"/>
              <w:rPr>
                <w:rStyle w:val="573"/>
                <w:b w:val="0"/>
                <w:i w:val="0"/>
                <w:color w:val="auto"/>
                <w:szCs w:val="21"/>
              </w:rPr>
            </w:pPr>
            <w:r>
              <w:rPr>
                <w:rStyle w:val="573"/>
                <w:b w:val="0"/>
                <w:i w:val="0"/>
                <w:color w:val="auto"/>
                <w:szCs w:val="21"/>
              </w:rPr>
              <w:t>运行、管理有一定的危险性；操作复杂，制取臭氧的产率低；电能消耗大，基建投资较大，运行成本高</w:t>
            </w:r>
          </w:p>
        </w:tc>
        <w:tc>
          <w:tcPr>
            <w:tcW w:w="1543" w:type="dxa"/>
            <w:vAlign w:val="center"/>
          </w:tcPr>
          <w:p>
            <w:pPr>
              <w:spacing w:line="240" w:lineRule="atLeast"/>
              <w:jc w:val="center"/>
              <w:rPr>
                <w:rStyle w:val="573"/>
                <w:b w:val="0"/>
                <w:i w:val="0"/>
                <w:color w:val="auto"/>
                <w:szCs w:val="21"/>
              </w:rPr>
            </w:pPr>
            <w:r>
              <w:rPr>
                <w:rStyle w:val="573"/>
                <w:b w:val="0"/>
                <w:i w:val="0"/>
                <w:color w:val="auto"/>
                <w:szCs w:val="21"/>
              </w:rPr>
              <w:t>杀菌消毒效果很好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545" w:type="dxa"/>
            <w:gridSpan w:val="2"/>
            <w:vAlign w:val="center"/>
          </w:tcPr>
          <w:p>
            <w:pPr>
              <w:spacing w:line="240" w:lineRule="atLeast"/>
              <w:jc w:val="center"/>
              <w:rPr>
                <w:rStyle w:val="573"/>
                <w:b w:val="0"/>
                <w:i w:val="0"/>
                <w:color w:val="auto"/>
                <w:szCs w:val="21"/>
              </w:rPr>
            </w:pPr>
            <w:r>
              <w:rPr>
                <w:rStyle w:val="573"/>
                <w:b w:val="0"/>
                <w:i w:val="0"/>
                <w:color w:val="auto"/>
                <w:szCs w:val="21"/>
              </w:rPr>
              <w:t>紫外线</w:t>
            </w:r>
          </w:p>
        </w:tc>
        <w:tc>
          <w:tcPr>
            <w:tcW w:w="2409" w:type="dxa"/>
            <w:vAlign w:val="center"/>
          </w:tcPr>
          <w:p>
            <w:pPr>
              <w:spacing w:line="240" w:lineRule="atLeast"/>
              <w:jc w:val="center"/>
              <w:rPr>
                <w:rStyle w:val="573"/>
                <w:b w:val="0"/>
                <w:i w:val="0"/>
                <w:color w:val="auto"/>
                <w:szCs w:val="21"/>
              </w:rPr>
            </w:pPr>
            <w:r>
              <w:rPr>
                <w:rStyle w:val="573"/>
                <w:b w:val="0"/>
                <w:i w:val="0"/>
                <w:color w:val="auto"/>
                <w:szCs w:val="21"/>
              </w:rPr>
              <w:t>无有害的残余物质；无臭味，操作简单呢，易实现自动化</w:t>
            </w:r>
          </w:p>
        </w:tc>
        <w:tc>
          <w:tcPr>
            <w:tcW w:w="2977" w:type="dxa"/>
            <w:vAlign w:val="center"/>
          </w:tcPr>
          <w:p>
            <w:pPr>
              <w:spacing w:line="240" w:lineRule="atLeast"/>
              <w:jc w:val="center"/>
              <w:rPr>
                <w:rStyle w:val="573"/>
                <w:b w:val="0"/>
                <w:i w:val="0"/>
                <w:color w:val="auto"/>
                <w:szCs w:val="21"/>
              </w:rPr>
            </w:pPr>
            <w:r>
              <w:rPr>
                <w:rStyle w:val="573"/>
                <w:b w:val="0"/>
                <w:i w:val="0"/>
                <w:color w:val="auto"/>
                <w:szCs w:val="21"/>
              </w:rPr>
              <w:t>电耗大，紫外灯管与石英套管需定期更换；对处理水的水质要求较高，无后续杀菌作用</w:t>
            </w:r>
          </w:p>
        </w:tc>
        <w:tc>
          <w:tcPr>
            <w:tcW w:w="1543" w:type="dxa"/>
            <w:vAlign w:val="center"/>
          </w:tcPr>
          <w:p>
            <w:pPr>
              <w:spacing w:line="240" w:lineRule="atLeast"/>
              <w:jc w:val="center"/>
              <w:rPr>
                <w:rStyle w:val="573"/>
                <w:b w:val="0"/>
                <w:i w:val="0"/>
                <w:color w:val="auto"/>
                <w:szCs w:val="21"/>
              </w:rPr>
            </w:pPr>
            <w:r>
              <w:rPr>
                <w:rStyle w:val="573"/>
                <w:b w:val="0"/>
                <w:i w:val="0"/>
                <w:color w:val="auto"/>
                <w:szCs w:val="21"/>
              </w:rPr>
              <w:t>效果好，但对悬浮物浓度有要求</w:t>
            </w:r>
          </w:p>
        </w:tc>
      </w:tr>
    </w:tbl>
    <w:p>
      <w:pPr>
        <w:pStyle w:val="130"/>
        <w:spacing w:before="120" w:beforeLines="50"/>
        <w:ind w:firstLine="480"/>
        <w:rPr>
          <w:color w:val="auto"/>
        </w:rPr>
      </w:pPr>
      <w:r>
        <w:rPr>
          <w:color w:val="auto"/>
        </w:rPr>
        <w:t>汽车卸料区、医废消毒车间、医废贮存间、冷藏库地面、墙面、车辆及周转箱均要定期消毒，从杀菌消毒效果、适用范围、基建成本、运行管理等方面综合考虑，本项目采用次氯酸钠溶液作为消毒剂。该方法具有较好的杀菌和杀灭病毒的效果，无毒，运行管理无危险性，操作简单，可满足本项目的消毒需要。。</w:t>
      </w:r>
    </w:p>
    <w:p>
      <w:pPr>
        <w:pStyle w:val="130"/>
        <w:ind w:firstLine="480"/>
        <w:rPr>
          <w:color w:val="auto"/>
        </w:rPr>
      </w:pPr>
      <w:r>
        <w:rPr>
          <w:color w:val="auto"/>
        </w:rPr>
        <w:t>医疗废物转运车进入汽车卸料区卸下周转箱后，进入车辆冲洗车间用次氯酸钠溶液进行喷洒消毒，约30min左右，然后再用清水喷洒清洗。医疗废物转运车应在每次使用后进行清洗消毒。当车厢内壁或外表面被污染及运输车辆每次运输完毕后，必须对车厢内壁和外表面进行清洗消毒，严禁在社会车辆清洗场所清洗医疗废物运输车辆。医疗废物的空周转箱被送到消毒间，周转箱消毒亦采用喷洒消毒液方式，空箱喷洒消毒液后静置30min。消毒后箱体再用清水清洗两次，清洗后的空箱最后被送到堆置库晾干备用。在空周转箱清洁并干燥后，要检査确认无残留，保证运回医疗单位的废物周转箱尽可能清洁。</w:t>
      </w:r>
    </w:p>
    <w:p>
      <w:pPr>
        <w:pStyle w:val="4"/>
        <w:numPr>
          <w:ilvl w:val="1"/>
          <w:numId w:val="0"/>
        </w:numPr>
        <w:spacing w:before="120"/>
        <w:rPr>
          <w:color w:val="auto"/>
        </w:rPr>
      </w:pPr>
      <w:bookmarkStart w:id="244" w:name="_Toc109398611"/>
      <w:bookmarkStart w:id="245" w:name="_Toc58849438"/>
      <w:r>
        <w:rPr>
          <w:color w:val="auto"/>
        </w:rPr>
        <w:t>4.5本项目生产工艺流程及产污环节分析</w:t>
      </w:r>
      <w:bookmarkEnd w:id="244"/>
      <w:bookmarkEnd w:id="245"/>
    </w:p>
    <w:p>
      <w:pPr>
        <w:pStyle w:val="130"/>
        <w:spacing w:after="120" w:afterLines="50"/>
        <w:ind w:firstLine="480"/>
        <w:rPr>
          <w:color w:val="auto"/>
        </w:rPr>
      </w:pPr>
      <w:r>
        <w:rPr>
          <w:color w:val="auto"/>
        </w:rPr>
        <w:t>本项目高温蒸汽灭菌器及配套设备用于处理损伤性及感染性医疗废物，工艺流程及产排污环节图见图4.5-1。</w:t>
      </w:r>
    </w:p>
    <w:p>
      <w:pPr>
        <w:jc w:val="center"/>
        <w:rPr>
          <w:rStyle w:val="115"/>
          <w:color w:val="auto"/>
        </w:rPr>
      </w:pPr>
      <w:r>
        <w:rPr>
          <w:color w:val="auto"/>
        </w:rPr>
        <w:pict>
          <v:shape id="_x0000_i1026" o:spt="75" type="#_x0000_t75" style="height:475.8pt;width:460.2pt;" filled="f" o:preferrelative="t" stroked="f" coordsize="21600,21600">
            <v:path/>
            <v:fill on="f" focussize="0,0"/>
            <v:stroke on="f" joinstyle="miter"/>
            <v:imagedata r:id="rId36" o:title=""/>
            <o:lock v:ext="edit" aspectratio="t"/>
            <w10:wrap type="none"/>
            <w10:anchorlock/>
          </v:shape>
        </w:pict>
      </w:r>
      <w:r>
        <w:rPr>
          <w:rStyle w:val="115"/>
          <w:color w:val="auto"/>
        </w:rPr>
        <w:t>图4.5-1  工艺流程及产排污环节图</w:t>
      </w:r>
    </w:p>
    <w:p>
      <w:pPr>
        <w:pStyle w:val="130"/>
        <w:spacing w:before="120" w:beforeLines="50"/>
        <w:ind w:firstLine="480"/>
        <w:rPr>
          <w:color w:val="auto"/>
        </w:rPr>
      </w:pPr>
    </w:p>
    <w:p>
      <w:pPr>
        <w:pStyle w:val="130"/>
        <w:ind w:firstLine="480"/>
        <w:rPr>
          <w:color w:val="auto"/>
        </w:rPr>
      </w:pPr>
    </w:p>
    <w:p>
      <w:pPr>
        <w:pStyle w:val="130"/>
        <w:ind w:firstLine="480"/>
        <w:rPr>
          <w:color w:val="auto"/>
        </w:rPr>
      </w:pPr>
      <w:r>
        <w:rPr>
          <w:color w:val="auto"/>
        </w:rPr>
        <w:t>本项目污染因素分析见表4.5-1。</w:t>
      </w:r>
    </w:p>
    <w:p>
      <w:pPr>
        <w:pStyle w:val="114"/>
        <w:spacing w:before="0" w:beforeLines="0"/>
        <w:rPr>
          <w:rStyle w:val="115"/>
          <w:b w:val="0"/>
          <w:color w:val="auto"/>
        </w:rPr>
      </w:pPr>
      <w:r>
        <w:rPr>
          <w:color w:val="auto"/>
        </w:rPr>
        <w:t>表4.5-1  污染因素分析一览表</w:t>
      </w:r>
    </w:p>
    <w:tbl>
      <w:tblPr>
        <w:tblStyle w:val="75"/>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3"/>
        <w:gridCol w:w="2129"/>
        <w:gridCol w:w="1983"/>
        <w:gridCol w:w="393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trPr>
        <w:tc>
          <w:tcPr>
            <w:tcW w:w="673" w:type="dxa"/>
            <w:vAlign w:val="center"/>
          </w:tcPr>
          <w:p>
            <w:pPr>
              <w:pStyle w:val="164"/>
              <w:rPr>
                <w:rStyle w:val="115"/>
                <w:b w:val="0"/>
                <w:color w:val="auto"/>
                <w:sz w:val="21"/>
                <w:szCs w:val="21"/>
              </w:rPr>
            </w:pPr>
            <w:r>
              <w:rPr>
                <w:rStyle w:val="115"/>
                <w:b w:val="0"/>
                <w:color w:val="auto"/>
                <w:sz w:val="21"/>
                <w:szCs w:val="21"/>
              </w:rPr>
              <w:t>类别</w:t>
            </w:r>
          </w:p>
        </w:tc>
        <w:tc>
          <w:tcPr>
            <w:tcW w:w="2129" w:type="dxa"/>
            <w:vAlign w:val="center"/>
          </w:tcPr>
          <w:p>
            <w:pPr>
              <w:pStyle w:val="164"/>
              <w:rPr>
                <w:rStyle w:val="115"/>
                <w:b w:val="0"/>
                <w:color w:val="auto"/>
                <w:sz w:val="21"/>
                <w:szCs w:val="21"/>
              </w:rPr>
            </w:pPr>
            <w:r>
              <w:rPr>
                <w:rStyle w:val="115"/>
                <w:b w:val="0"/>
                <w:color w:val="auto"/>
                <w:sz w:val="21"/>
                <w:szCs w:val="21"/>
              </w:rPr>
              <w:t>污染源</w:t>
            </w:r>
          </w:p>
        </w:tc>
        <w:tc>
          <w:tcPr>
            <w:tcW w:w="1983" w:type="dxa"/>
            <w:vAlign w:val="center"/>
          </w:tcPr>
          <w:p>
            <w:pPr>
              <w:pStyle w:val="164"/>
              <w:rPr>
                <w:rStyle w:val="115"/>
                <w:b w:val="0"/>
                <w:color w:val="auto"/>
                <w:sz w:val="21"/>
                <w:szCs w:val="21"/>
              </w:rPr>
            </w:pPr>
            <w:r>
              <w:rPr>
                <w:rStyle w:val="115"/>
                <w:b w:val="0"/>
                <w:color w:val="auto"/>
                <w:sz w:val="21"/>
                <w:szCs w:val="21"/>
              </w:rPr>
              <w:t>污染工序</w:t>
            </w:r>
          </w:p>
        </w:tc>
        <w:tc>
          <w:tcPr>
            <w:tcW w:w="3935" w:type="dxa"/>
            <w:vAlign w:val="center"/>
          </w:tcPr>
          <w:p>
            <w:pPr>
              <w:pStyle w:val="164"/>
              <w:rPr>
                <w:rStyle w:val="115"/>
                <w:b w:val="0"/>
                <w:color w:val="auto"/>
                <w:sz w:val="21"/>
                <w:szCs w:val="21"/>
              </w:rPr>
            </w:pPr>
            <w:r>
              <w:rPr>
                <w:rStyle w:val="115"/>
                <w:b w:val="0"/>
                <w:color w:val="auto"/>
                <w:sz w:val="21"/>
                <w:szCs w:val="21"/>
              </w:rPr>
              <w:t>主要污染物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restart"/>
            <w:vAlign w:val="center"/>
          </w:tcPr>
          <w:p>
            <w:pPr>
              <w:pStyle w:val="164"/>
              <w:rPr>
                <w:rStyle w:val="115"/>
                <w:b w:val="0"/>
                <w:color w:val="auto"/>
                <w:sz w:val="21"/>
                <w:szCs w:val="21"/>
              </w:rPr>
            </w:pPr>
            <w:r>
              <w:rPr>
                <w:rStyle w:val="115"/>
                <w:b w:val="0"/>
                <w:color w:val="auto"/>
                <w:sz w:val="21"/>
                <w:szCs w:val="21"/>
              </w:rPr>
              <w:t>废气</w:t>
            </w:r>
          </w:p>
        </w:tc>
        <w:tc>
          <w:tcPr>
            <w:tcW w:w="2129" w:type="dxa"/>
            <w:vAlign w:val="center"/>
          </w:tcPr>
          <w:p>
            <w:pPr>
              <w:pStyle w:val="164"/>
              <w:rPr>
                <w:rStyle w:val="115"/>
                <w:b w:val="0"/>
                <w:color w:val="auto"/>
                <w:sz w:val="21"/>
                <w:szCs w:val="21"/>
              </w:rPr>
            </w:pPr>
            <w:r>
              <w:rPr>
                <w:rStyle w:val="115"/>
                <w:b w:val="0"/>
                <w:color w:val="auto"/>
                <w:sz w:val="21"/>
                <w:szCs w:val="21"/>
              </w:rPr>
              <w:t>医废暂存间</w:t>
            </w:r>
          </w:p>
        </w:tc>
        <w:tc>
          <w:tcPr>
            <w:tcW w:w="1983" w:type="dxa"/>
            <w:vAlign w:val="center"/>
          </w:tcPr>
          <w:p>
            <w:pPr>
              <w:pStyle w:val="164"/>
              <w:rPr>
                <w:rStyle w:val="115"/>
                <w:b w:val="0"/>
                <w:color w:val="auto"/>
                <w:sz w:val="21"/>
                <w:szCs w:val="21"/>
              </w:rPr>
            </w:pPr>
            <w:r>
              <w:rPr>
                <w:rStyle w:val="115"/>
                <w:b w:val="0"/>
                <w:color w:val="auto"/>
                <w:sz w:val="21"/>
                <w:szCs w:val="21"/>
              </w:rPr>
              <w:t>暂存废气</w:t>
            </w:r>
          </w:p>
        </w:tc>
        <w:tc>
          <w:tcPr>
            <w:tcW w:w="3935" w:type="dxa"/>
            <w:vAlign w:val="center"/>
          </w:tcPr>
          <w:p>
            <w:pPr>
              <w:pStyle w:val="164"/>
              <w:rPr>
                <w:rStyle w:val="115"/>
                <w:b w:val="0"/>
                <w:color w:val="auto"/>
                <w:sz w:val="21"/>
                <w:szCs w:val="21"/>
              </w:rPr>
            </w:pPr>
            <w:r>
              <w:rPr>
                <w:rStyle w:val="115"/>
                <w:b w:val="0"/>
                <w:color w:val="auto"/>
                <w:sz w:val="21"/>
                <w:szCs w:val="21"/>
              </w:rPr>
              <w:t>NH</w:t>
            </w:r>
            <w:r>
              <w:rPr>
                <w:rStyle w:val="115"/>
                <w:b w:val="0"/>
                <w:color w:val="auto"/>
                <w:sz w:val="21"/>
                <w:szCs w:val="21"/>
                <w:vertAlign w:val="subscript"/>
              </w:rPr>
              <w:t>3</w:t>
            </w:r>
            <w:r>
              <w:rPr>
                <w:rStyle w:val="115"/>
                <w:b w:val="0"/>
                <w:color w:val="auto"/>
                <w:sz w:val="21"/>
                <w:szCs w:val="21"/>
              </w:rPr>
              <w:t>、H</w:t>
            </w:r>
            <w:r>
              <w:rPr>
                <w:rStyle w:val="115"/>
                <w:b w:val="0"/>
                <w:color w:val="auto"/>
                <w:sz w:val="21"/>
                <w:szCs w:val="21"/>
                <w:vertAlign w:val="subscript"/>
              </w:rPr>
              <w:t>2</w:t>
            </w:r>
            <w:r>
              <w:rPr>
                <w:rStyle w:val="115"/>
                <w:b w:val="0"/>
                <w:color w:val="auto"/>
                <w:sz w:val="21"/>
                <w:szCs w:val="21"/>
              </w:rPr>
              <w:t>S、VOCs</w:t>
            </w:r>
            <w:r>
              <w:rPr>
                <w:color w:val="auto"/>
                <w:szCs w:val="21"/>
              </w:rPr>
              <w:t>（以非甲烷总烃计）</w:t>
            </w:r>
            <w:r>
              <w:rPr>
                <w:rStyle w:val="115"/>
                <w:b w:val="0"/>
                <w:color w:val="auto"/>
                <w:sz w:val="21"/>
                <w:szCs w:val="21"/>
              </w:rPr>
              <w:t>、臭气浓度（无量纲）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Merge w:val="restart"/>
            <w:vAlign w:val="center"/>
          </w:tcPr>
          <w:p>
            <w:pPr>
              <w:pStyle w:val="164"/>
              <w:rPr>
                <w:rStyle w:val="115"/>
                <w:b w:val="0"/>
                <w:color w:val="auto"/>
                <w:sz w:val="21"/>
                <w:szCs w:val="21"/>
              </w:rPr>
            </w:pPr>
            <w:r>
              <w:rPr>
                <w:color w:val="auto"/>
                <w:szCs w:val="21"/>
              </w:rPr>
              <w:t>高温蒸汽灭菌车间</w:t>
            </w:r>
          </w:p>
        </w:tc>
        <w:tc>
          <w:tcPr>
            <w:tcW w:w="1983" w:type="dxa"/>
            <w:vAlign w:val="center"/>
          </w:tcPr>
          <w:p>
            <w:pPr>
              <w:pStyle w:val="164"/>
              <w:rPr>
                <w:rStyle w:val="115"/>
                <w:b w:val="0"/>
                <w:color w:val="auto"/>
                <w:sz w:val="21"/>
                <w:szCs w:val="21"/>
              </w:rPr>
            </w:pPr>
            <w:r>
              <w:rPr>
                <w:rStyle w:val="115"/>
                <w:b w:val="0"/>
                <w:color w:val="auto"/>
                <w:sz w:val="21"/>
                <w:szCs w:val="21"/>
              </w:rPr>
              <w:t>高温蒸汽灭菌废气</w:t>
            </w:r>
          </w:p>
        </w:tc>
        <w:tc>
          <w:tcPr>
            <w:tcW w:w="3935" w:type="dxa"/>
            <w:vAlign w:val="center"/>
          </w:tcPr>
          <w:p>
            <w:pPr>
              <w:pStyle w:val="164"/>
              <w:rPr>
                <w:rStyle w:val="115"/>
                <w:b w:val="0"/>
                <w:color w:val="auto"/>
                <w:sz w:val="21"/>
                <w:szCs w:val="21"/>
              </w:rPr>
            </w:pPr>
            <w:r>
              <w:rPr>
                <w:rStyle w:val="115"/>
                <w:b w:val="0"/>
                <w:color w:val="auto"/>
                <w:sz w:val="21"/>
                <w:szCs w:val="21"/>
              </w:rPr>
              <w:t>粉尘、NH</w:t>
            </w:r>
            <w:r>
              <w:rPr>
                <w:rStyle w:val="115"/>
                <w:b w:val="0"/>
                <w:color w:val="auto"/>
                <w:sz w:val="21"/>
                <w:szCs w:val="21"/>
                <w:vertAlign w:val="subscript"/>
              </w:rPr>
              <w:t>3</w:t>
            </w:r>
            <w:r>
              <w:rPr>
                <w:rStyle w:val="115"/>
                <w:b w:val="0"/>
                <w:color w:val="auto"/>
                <w:sz w:val="21"/>
                <w:szCs w:val="21"/>
              </w:rPr>
              <w:t>、H</w:t>
            </w:r>
            <w:r>
              <w:rPr>
                <w:rStyle w:val="115"/>
                <w:b w:val="0"/>
                <w:color w:val="auto"/>
                <w:sz w:val="21"/>
                <w:szCs w:val="21"/>
                <w:vertAlign w:val="subscript"/>
              </w:rPr>
              <w:t>2</w:t>
            </w:r>
            <w:r>
              <w:rPr>
                <w:rStyle w:val="115"/>
                <w:b w:val="0"/>
                <w:color w:val="auto"/>
                <w:sz w:val="21"/>
                <w:szCs w:val="21"/>
              </w:rPr>
              <w:t>S、VOCs</w:t>
            </w:r>
            <w:r>
              <w:rPr>
                <w:color w:val="auto"/>
                <w:szCs w:val="21"/>
              </w:rPr>
              <w:t>（以非甲烷总烃计）</w:t>
            </w:r>
            <w:r>
              <w:rPr>
                <w:rStyle w:val="115"/>
                <w:b w:val="0"/>
                <w:color w:val="auto"/>
                <w:sz w:val="21"/>
                <w:szCs w:val="21"/>
              </w:rPr>
              <w:t>、臭气浓度（无量纲）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Merge w:val="continue"/>
            <w:vAlign w:val="center"/>
          </w:tcPr>
          <w:p>
            <w:pPr>
              <w:pStyle w:val="164"/>
              <w:rPr>
                <w:rStyle w:val="115"/>
                <w:b w:val="0"/>
                <w:color w:val="auto"/>
                <w:sz w:val="21"/>
                <w:szCs w:val="21"/>
              </w:rPr>
            </w:pPr>
          </w:p>
        </w:tc>
        <w:tc>
          <w:tcPr>
            <w:tcW w:w="1983" w:type="dxa"/>
            <w:vAlign w:val="center"/>
          </w:tcPr>
          <w:p>
            <w:pPr>
              <w:pStyle w:val="164"/>
              <w:rPr>
                <w:rStyle w:val="115"/>
                <w:b w:val="0"/>
                <w:color w:val="auto"/>
                <w:sz w:val="21"/>
                <w:szCs w:val="21"/>
              </w:rPr>
            </w:pPr>
            <w:r>
              <w:rPr>
                <w:rStyle w:val="115"/>
                <w:b w:val="0"/>
                <w:color w:val="auto"/>
                <w:sz w:val="21"/>
                <w:szCs w:val="21"/>
              </w:rPr>
              <w:t>收集、进料、出料废气</w:t>
            </w:r>
          </w:p>
        </w:tc>
        <w:tc>
          <w:tcPr>
            <w:tcW w:w="3935" w:type="dxa"/>
            <w:vAlign w:val="center"/>
          </w:tcPr>
          <w:p>
            <w:pPr>
              <w:pStyle w:val="164"/>
              <w:rPr>
                <w:rStyle w:val="115"/>
                <w:b w:val="0"/>
                <w:color w:val="auto"/>
                <w:sz w:val="21"/>
                <w:szCs w:val="21"/>
              </w:rPr>
            </w:pPr>
            <w:r>
              <w:rPr>
                <w:rStyle w:val="115"/>
                <w:b w:val="0"/>
                <w:color w:val="auto"/>
                <w:sz w:val="21"/>
                <w:szCs w:val="21"/>
              </w:rPr>
              <w:t>NH</w:t>
            </w:r>
            <w:r>
              <w:rPr>
                <w:rStyle w:val="115"/>
                <w:b w:val="0"/>
                <w:color w:val="auto"/>
                <w:sz w:val="21"/>
                <w:szCs w:val="21"/>
                <w:vertAlign w:val="subscript"/>
              </w:rPr>
              <w:t>3</w:t>
            </w:r>
            <w:r>
              <w:rPr>
                <w:rStyle w:val="115"/>
                <w:b w:val="0"/>
                <w:color w:val="auto"/>
                <w:sz w:val="21"/>
                <w:szCs w:val="21"/>
              </w:rPr>
              <w:t>、H</w:t>
            </w:r>
            <w:r>
              <w:rPr>
                <w:rStyle w:val="115"/>
                <w:b w:val="0"/>
                <w:color w:val="auto"/>
                <w:sz w:val="21"/>
                <w:szCs w:val="21"/>
                <w:vertAlign w:val="subscript"/>
              </w:rPr>
              <w:t>2</w:t>
            </w:r>
            <w:r>
              <w:rPr>
                <w:rStyle w:val="115"/>
                <w:b w:val="0"/>
                <w:color w:val="auto"/>
                <w:sz w:val="21"/>
                <w:szCs w:val="21"/>
              </w:rPr>
              <w:t>S、VOCs</w:t>
            </w:r>
            <w:r>
              <w:rPr>
                <w:color w:val="auto"/>
                <w:szCs w:val="21"/>
              </w:rPr>
              <w:t>（以非甲烷总烃计）</w:t>
            </w:r>
            <w:r>
              <w:rPr>
                <w:rStyle w:val="115"/>
                <w:b w:val="0"/>
                <w:color w:val="auto"/>
                <w:sz w:val="21"/>
                <w:szCs w:val="21"/>
              </w:rPr>
              <w:t>、臭气浓度（无量纲）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rStyle w:val="115"/>
                <w:b w:val="0"/>
                <w:color w:val="auto"/>
                <w:sz w:val="21"/>
                <w:szCs w:val="21"/>
              </w:rPr>
            </w:pPr>
            <w:r>
              <w:rPr>
                <w:rStyle w:val="115"/>
                <w:b w:val="0"/>
                <w:color w:val="auto"/>
                <w:sz w:val="21"/>
                <w:szCs w:val="21"/>
              </w:rPr>
              <w:t>污水处理站</w:t>
            </w:r>
          </w:p>
        </w:tc>
        <w:tc>
          <w:tcPr>
            <w:tcW w:w="1983" w:type="dxa"/>
            <w:vAlign w:val="center"/>
          </w:tcPr>
          <w:p>
            <w:pPr>
              <w:pStyle w:val="164"/>
              <w:rPr>
                <w:rStyle w:val="115"/>
                <w:b w:val="0"/>
                <w:color w:val="auto"/>
                <w:sz w:val="21"/>
                <w:szCs w:val="21"/>
              </w:rPr>
            </w:pPr>
            <w:r>
              <w:rPr>
                <w:rStyle w:val="115"/>
                <w:b w:val="0"/>
                <w:color w:val="auto"/>
                <w:sz w:val="21"/>
                <w:szCs w:val="21"/>
              </w:rPr>
              <w:t>污水处理废气</w:t>
            </w:r>
          </w:p>
        </w:tc>
        <w:tc>
          <w:tcPr>
            <w:tcW w:w="3935" w:type="dxa"/>
            <w:vAlign w:val="center"/>
          </w:tcPr>
          <w:p>
            <w:pPr>
              <w:pStyle w:val="164"/>
              <w:rPr>
                <w:rStyle w:val="115"/>
                <w:b w:val="0"/>
                <w:color w:val="auto"/>
                <w:sz w:val="21"/>
                <w:szCs w:val="21"/>
              </w:rPr>
            </w:pPr>
            <w:r>
              <w:rPr>
                <w:rStyle w:val="115"/>
                <w:b w:val="0"/>
                <w:color w:val="auto"/>
                <w:sz w:val="21"/>
                <w:szCs w:val="21"/>
              </w:rPr>
              <w:t>NH</w:t>
            </w:r>
            <w:r>
              <w:rPr>
                <w:rStyle w:val="115"/>
                <w:b w:val="0"/>
                <w:color w:val="auto"/>
                <w:sz w:val="21"/>
                <w:szCs w:val="21"/>
                <w:vertAlign w:val="subscript"/>
              </w:rPr>
              <w:t>3</w:t>
            </w:r>
            <w:r>
              <w:rPr>
                <w:rStyle w:val="115"/>
                <w:b w:val="0"/>
                <w:color w:val="auto"/>
                <w:sz w:val="21"/>
                <w:szCs w:val="21"/>
              </w:rPr>
              <w:t>、H</w:t>
            </w:r>
            <w:r>
              <w:rPr>
                <w:rStyle w:val="115"/>
                <w:b w:val="0"/>
                <w:color w:val="auto"/>
                <w:sz w:val="21"/>
                <w:szCs w:val="21"/>
                <w:vertAlign w:val="subscript"/>
              </w:rPr>
              <w:t>2</w:t>
            </w:r>
            <w:r>
              <w:rPr>
                <w:rStyle w:val="115"/>
                <w:b w:val="0"/>
                <w:color w:val="auto"/>
                <w:sz w:val="21"/>
                <w:szCs w:val="21"/>
              </w:rPr>
              <w:t>S、臭气浓度（无量纲）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rStyle w:val="115"/>
                <w:b w:val="0"/>
                <w:color w:val="auto"/>
                <w:sz w:val="21"/>
                <w:szCs w:val="21"/>
              </w:rPr>
            </w:pPr>
            <w:r>
              <w:rPr>
                <w:color w:val="auto"/>
                <w:szCs w:val="21"/>
              </w:rPr>
              <w:t>高温蒸汽灭菌车间</w:t>
            </w:r>
          </w:p>
        </w:tc>
        <w:tc>
          <w:tcPr>
            <w:tcW w:w="1983" w:type="dxa"/>
            <w:vAlign w:val="center"/>
          </w:tcPr>
          <w:p>
            <w:pPr>
              <w:pStyle w:val="164"/>
              <w:rPr>
                <w:rStyle w:val="115"/>
                <w:b w:val="0"/>
                <w:color w:val="auto"/>
                <w:sz w:val="21"/>
                <w:szCs w:val="21"/>
              </w:rPr>
            </w:pPr>
            <w:r>
              <w:rPr>
                <w:color w:val="auto"/>
                <w:szCs w:val="21"/>
              </w:rPr>
              <w:t>高温蒸汽灭菌冷凝液及渗滤液</w:t>
            </w:r>
          </w:p>
        </w:tc>
        <w:tc>
          <w:tcPr>
            <w:tcW w:w="3935" w:type="dxa"/>
            <w:vAlign w:val="center"/>
          </w:tcPr>
          <w:p>
            <w:pPr>
              <w:pStyle w:val="164"/>
              <w:rPr>
                <w:rStyle w:val="115"/>
                <w:b w:val="0"/>
                <w:color w:val="auto"/>
                <w:sz w:val="21"/>
                <w:szCs w:val="21"/>
              </w:rPr>
            </w:pPr>
            <w:r>
              <w:rPr>
                <w:rStyle w:val="115"/>
                <w:b w:val="0"/>
                <w:color w:val="auto"/>
                <w:sz w:val="21"/>
                <w:szCs w:val="21"/>
              </w:rPr>
              <w:t>pH、COD、</w:t>
            </w:r>
            <w:r>
              <w:rPr>
                <w:color w:val="auto"/>
                <w:szCs w:val="21"/>
              </w:rPr>
              <w:t>BOD、氨氮、SS、粪大肠菌群等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rStyle w:val="115"/>
                <w:b w:val="0"/>
                <w:color w:val="auto"/>
                <w:sz w:val="21"/>
                <w:szCs w:val="21"/>
              </w:rPr>
            </w:pPr>
            <w:r>
              <w:rPr>
                <w:color w:val="auto"/>
                <w:szCs w:val="21"/>
              </w:rPr>
              <w:t>场地冲洗</w:t>
            </w:r>
          </w:p>
        </w:tc>
        <w:tc>
          <w:tcPr>
            <w:tcW w:w="1983" w:type="dxa"/>
            <w:vAlign w:val="center"/>
          </w:tcPr>
          <w:p>
            <w:pPr>
              <w:pStyle w:val="164"/>
              <w:rPr>
                <w:rStyle w:val="115"/>
                <w:b w:val="0"/>
                <w:color w:val="auto"/>
                <w:sz w:val="21"/>
                <w:szCs w:val="21"/>
              </w:rPr>
            </w:pPr>
            <w:r>
              <w:rPr>
                <w:color w:val="auto"/>
                <w:szCs w:val="21"/>
              </w:rPr>
              <w:t>场地冲洗废水</w:t>
            </w:r>
          </w:p>
        </w:tc>
        <w:tc>
          <w:tcPr>
            <w:tcW w:w="3935" w:type="dxa"/>
          </w:tcPr>
          <w:p>
            <w:pPr>
              <w:pStyle w:val="164"/>
              <w:rPr>
                <w:rStyle w:val="115"/>
                <w:b w:val="0"/>
                <w:color w:val="auto"/>
                <w:sz w:val="21"/>
                <w:szCs w:val="21"/>
              </w:rPr>
            </w:pPr>
            <w:r>
              <w:rPr>
                <w:rStyle w:val="115"/>
                <w:b w:val="0"/>
                <w:color w:val="auto"/>
                <w:sz w:val="21"/>
                <w:szCs w:val="21"/>
              </w:rPr>
              <w:t>pH、COD、</w:t>
            </w:r>
            <w:r>
              <w:rPr>
                <w:color w:val="auto"/>
                <w:szCs w:val="21"/>
              </w:rPr>
              <w:t>BOD、氨氮、SS、粪大肠菌群等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color w:val="auto"/>
                <w:szCs w:val="21"/>
              </w:rPr>
            </w:pPr>
            <w:r>
              <w:rPr>
                <w:color w:val="auto"/>
                <w:szCs w:val="21"/>
              </w:rPr>
              <w:t>周转箱冲洗</w:t>
            </w:r>
          </w:p>
        </w:tc>
        <w:tc>
          <w:tcPr>
            <w:tcW w:w="1983" w:type="dxa"/>
            <w:vAlign w:val="center"/>
          </w:tcPr>
          <w:p>
            <w:pPr>
              <w:pStyle w:val="164"/>
              <w:rPr>
                <w:rStyle w:val="115"/>
                <w:b w:val="0"/>
                <w:color w:val="auto"/>
                <w:sz w:val="21"/>
                <w:szCs w:val="21"/>
              </w:rPr>
            </w:pPr>
            <w:r>
              <w:rPr>
                <w:color w:val="auto"/>
                <w:szCs w:val="21"/>
              </w:rPr>
              <w:t>周转箱冲洗废水</w:t>
            </w:r>
          </w:p>
        </w:tc>
        <w:tc>
          <w:tcPr>
            <w:tcW w:w="3935" w:type="dxa"/>
          </w:tcPr>
          <w:p>
            <w:pPr>
              <w:pStyle w:val="164"/>
              <w:rPr>
                <w:rStyle w:val="115"/>
                <w:b w:val="0"/>
                <w:color w:val="auto"/>
                <w:sz w:val="21"/>
                <w:szCs w:val="21"/>
              </w:rPr>
            </w:pPr>
            <w:r>
              <w:rPr>
                <w:rStyle w:val="115"/>
                <w:b w:val="0"/>
                <w:color w:val="auto"/>
                <w:sz w:val="21"/>
                <w:szCs w:val="21"/>
              </w:rPr>
              <w:t>pH、COD、</w:t>
            </w:r>
            <w:r>
              <w:rPr>
                <w:color w:val="auto"/>
                <w:szCs w:val="21"/>
              </w:rPr>
              <w:t>BOD、氨氮、SS、粪大肠菌群等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color w:val="auto"/>
                <w:szCs w:val="21"/>
              </w:rPr>
            </w:pPr>
            <w:r>
              <w:rPr>
                <w:color w:val="auto"/>
                <w:szCs w:val="21"/>
              </w:rPr>
              <w:t>车辆冲洗</w:t>
            </w:r>
          </w:p>
        </w:tc>
        <w:tc>
          <w:tcPr>
            <w:tcW w:w="1983" w:type="dxa"/>
            <w:vAlign w:val="center"/>
          </w:tcPr>
          <w:p>
            <w:pPr>
              <w:pStyle w:val="164"/>
              <w:rPr>
                <w:rStyle w:val="115"/>
                <w:b w:val="0"/>
                <w:color w:val="auto"/>
                <w:sz w:val="21"/>
                <w:szCs w:val="21"/>
              </w:rPr>
            </w:pPr>
            <w:r>
              <w:rPr>
                <w:color w:val="auto"/>
                <w:szCs w:val="21"/>
              </w:rPr>
              <w:t>车辆冲洗废水</w:t>
            </w:r>
          </w:p>
        </w:tc>
        <w:tc>
          <w:tcPr>
            <w:tcW w:w="3935" w:type="dxa"/>
          </w:tcPr>
          <w:p>
            <w:pPr>
              <w:pStyle w:val="164"/>
              <w:rPr>
                <w:rStyle w:val="115"/>
                <w:b w:val="0"/>
                <w:color w:val="auto"/>
                <w:sz w:val="21"/>
                <w:szCs w:val="21"/>
              </w:rPr>
            </w:pPr>
            <w:r>
              <w:rPr>
                <w:rStyle w:val="115"/>
                <w:b w:val="0"/>
                <w:color w:val="auto"/>
                <w:sz w:val="21"/>
                <w:szCs w:val="21"/>
              </w:rPr>
              <w:t>pH、COD、</w:t>
            </w:r>
            <w:r>
              <w:rPr>
                <w:color w:val="auto"/>
                <w:szCs w:val="21"/>
              </w:rPr>
              <w:t>BOD、氨氮、SS、粪大肠菌群等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color w:val="auto"/>
                <w:szCs w:val="21"/>
              </w:rPr>
            </w:pPr>
            <w:r>
              <w:rPr>
                <w:color w:val="auto"/>
                <w:szCs w:val="21"/>
              </w:rPr>
              <w:t>废气处理装置</w:t>
            </w:r>
          </w:p>
        </w:tc>
        <w:tc>
          <w:tcPr>
            <w:tcW w:w="1983" w:type="dxa"/>
            <w:vAlign w:val="center"/>
          </w:tcPr>
          <w:p>
            <w:pPr>
              <w:pStyle w:val="164"/>
              <w:rPr>
                <w:color w:val="auto"/>
                <w:szCs w:val="21"/>
              </w:rPr>
            </w:pPr>
            <w:r>
              <w:rPr>
                <w:color w:val="auto"/>
                <w:szCs w:val="21"/>
              </w:rPr>
              <w:t>碱洗喷淋水箱废水</w:t>
            </w:r>
          </w:p>
        </w:tc>
        <w:tc>
          <w:tcPr>
            <w:tcW w:w="3935" w:type="dxa"/>
          </w:tcPr>
          <w:p>
            <w:pPr>
              <w:pStyle w:val="164"/>
              <w:rPr>
                <w:rStyle w:val="115"/>
                <w:b w:val="0"/>
                <w:color w:val="auto"/>
                <w:sz w:val="21"/>
                <w:szCs w:val="21"/>
              </w:rPr>
            </w:pPr>
            <w:r>
              <w:rPr>
                <w:rStyle w:val="115"/>
                <w:b w:val="0"/>
                <w:color w:val="auto"/>
                <w:sz w:val="21"/>
                <w:szCs w:val="21"/>
              </w:rPr>
              <w:t>pH、COD、</w:t>
            </w:r>
            <w:r>
              <w:rPr>
                <w:color w:val="auto"/>
                <w:szCs w:val="21"/>
              </w:rPr>
              <w:t>BOD、氨氮、SS、粪大肠菌群等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Align w:val="center"/>
          </w:tcPr>
          <w:p>
            <w:pPr>
              <w:pStyle w:val="164"/>
              <w:rPr>
                <w:rStyle w:val="115"/>
                <w:b w:val="0"/>
                <w:color w:val="auto"/>
                <w:sz w:val="21"/>
                <w:szCs w:val="21"/>
              </w:rPr>
            </w:pPr>
            <w:r>
              <w:rPr>
                <w:rStyle w:val="115"/>
                <w:b w:val="0"/>
                <w:color w:val="auto"/>
                <w:sz w:val="21"/>
                <w:szCs w:val="21"/>
              </w:rPr>
              <w:t>噪声</w:t>
            </w:r>
          </w:p>
        </w:tc>
        <w:tc>
          <w:tcPr>
            <w:tcW w:w="2129" w:type="dxa"/>
            <w:vAlign w:val="center"/>
          </w:tcPr>
          <w:p>
            <w:pPr>
              <w:pStyle w:val="164"/>
              <w:rPr>
                <w:color w:val="auto"/>
                <w:szCs w:val="21"/>
              </w:rPr>
            </w:pPr>
            <w:r>
              <w:rPr>
                <w:color w:val="auto"/>
                <w:szCs w:val="21"/>
              </w:rPr>
              <w:t>设备运行</w:t>
            </w:r>
          </w:p>
        </w:tc>
        <w:tc>
          <w:tcPr>
            <w:tcW w:w="1983" w:type="dxa"/>
            <w:vAlign w:val="center"/>
          </w:tcPr>
          <w:p>
            <w:pPr>
              <w:pStyle w:val="164"/>
              <w:rPr>
                <w:color w:val="auto"/>
                <w:szCs w:val="21"/>
              </w:rPr>
            </w:pPr>
            <w:r>
              <w:rPr>
                <w:color w:val="auto"/>
                <w:szCs w:val="21"/>
              </w:rPr>
              <w:t>设备运行</w:t>
            </w:r>
          </w:p>
        </w:tc>
        <w:tc>
          <w:tcPr>
            <w:tcW w:w="3935" w:type="dxa"/>
            <w:vAlign w:val="center"/>
          </w:tcPr>
          <w:p>
            <w:pPr>
              <w:pStyle w:val="164"/>
              <w:rPr>
                <w:rStyle w:val="115"/>
                <w:b w:val="0"/>
                <w:color w:val="auto"/>
                <w:sz w:val="21"/>
                <w:szCs w:val="21"/>
              </w:rPr>
            </w:pPr>
            <w:r>
              <w:rPr>
                <w:rStyle w:val="115"/>
                <w:b w:val="0"/>
                <w:color w:val="auto"/>
                <w:sz w:val="21"/>
                <w:szCs w:val="21"/>
              </w:rPr>
              <w:t>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restart"/>
            <w:vAlign w:val="center"/>
          </w:tcPr>
          <w:p>
            <w:pPr>
              <w:pStyle w:val="164"/>
              <w:rPr>
                <w:rStyle w:val="115"/>
                <w:b w:val="0"/>
                <w:color w:val="auto"/>
                <w:sz w:val="21"/>
                <w:szCs w:val="21"/>
              </w:rPr>
            </w:pPr>
            <w:r>
              <w:rPr>
                <w:rStyle w:val="115"/>
                <w:b w:val="0"/>
                <w:color w:val="auto"/>
                <w:sz w:val="21"/>
                <w:szCs w:val="21"/>
              </w:rPr>
              <w:t>固废</w:t>
            </w:r>
          </w:p>
        </w:tc>
        <w:tc>
          <w:tcPr>
            <w:tcW w:w="2129" w:type="dxa"/>
            <w:vAlign w:val="center"/>
          </w:tcPr>
          <w:p>
            <w:pPr>
              <w:pStyle w:val="164"/>
              <w:rPr>
                <w:color w:val="auto"/>
                <w:szCs w:val="21"/>
              </w:rPr>
            </w:pPr>
            <w:r>
              <w:rPr>
                <w:color w:val="auto"/>
                <w:szCs w:val="21"/>
              </w:rPr>
              <w:t>厂区</w:t>
            </w:r>
          </w:p>
        </w:tc>
        <w:tc>
          <w:tcPr>
            <w:tcW w:w="1983" w:type="dxa"/>
            <w:vAlign w:val="center"/>
          </w:tcPr>
          <w:p>
            <w:pPr>
              <w:pStyle w:val="164"/>
              <w:rPr>
                <w:color w:val="auto"/>
                <w:szCs w:val="21"/>
              </w:rPr>
            </w:pPr>
            <w:r>
              <w:rPr>
                <w:color w:val="auto"/>
                <w:szCs w:val="21"/>
              </w:rPr>
              <w:t>周转箱使用</w:t>
            </w:r>
          </w:p>
        </w:tc>
        <w:tc>
          <w:tcPr>
            <w:tcW w:w="3935" w:type="dxa"/>
            <w:vAlign w:val="center"/>
          </w:tcPr>
          <w:p>
            <w:pPr>
              <w:pStyle w:val="164"/>
              <w:rPr>
                <w:rStyle w:val="115"/>
                <w:b w:val="0"/>
                <w:color w:val="auto"/>
                <w:sz w:val="21"/>
                <w:szCs w:val="21"/>
              </w:rPr>
            </w:pPr>
            <w:r>
              <w:rPr>
                <w:color w:val="auto"/>
                <w:szCs w:val="21"/>
              </w:rPr>
              <w:t>报废周转箱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color w:val="auto"/>
                <w:szCs w:val="21"/>
              </w:rPr>
            </w:pPr>
            <w:r>
              <w:rPr>
                <w:color w:val="auto"/>
                <w:szCs w:val="21"/>
              </w:rPr>
              <w:t>高温蒸汽灭菌车间</w:t>
            </w:r>
          </w:p>
        </w:tc>
        <w:tc>
          <w:tcPr>
            <w:tcW w:w="1983" w:type="dxa"/>
            <w:vAlign w:val="center"/>
          </w:tcPr>
          <w:p>
            <w:pPr>
              <w:pStyle w:val="164"/>
              <w:rPr>
                <w:color w:val="auto"/>
                <w:szCs w:val="21"/>
              </w:rPr>
            </w:pPr>
            <w:r>
              <w:rPr>
                <w:color w:val="auto"/>
                <w:szCs w:val="21"/>
              </w:rPr>
              <w:t>高温蒸汽灭菌</w:t>
            </w:r>
          </w:p>
        </w:tc>
        <w:tc>
          <w:tcPr>
            <w:tcW w:w="3935" w:type="dxa"/>
            <w:vAlign w:val="center"/>
          </w:tcPr>
          <w:p>
            <w:pPr>
              <w:pStyle w:val="164"/>
              <w:rPr>
                <w:rStyle w:val="115"/>
                <w:b w:val="0"/>
                <w:color w:val="auto"/>
                <w:sz w:val="21"/>
                <w:szCs w:val="21"/>
              </w:rPr>
            </w:pPr>
            <w:r>
              <w:rPr>
                <w:color w:val="auto"/>
                <w:szCs w:val="21"/>
              </w:rPr>
              <w:t>灭菌处理后的医疗废物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color w:val="auto"/>
                <w:szCs w:val="21"/>
              </w:rPr>
            </w:pPr>
            <w:r>
              <w:rPr>
                <w:color w:val="auto"/>
                <w:szCs w:val="21"/>
              </w:rPr>
              <w:t>废气处理装置</w:t>
            </w:r>
          </w:p>
        </w:tc>
        <w:tc>
          <w:tcPr>
            <w:tcW w:w="1983" w:type="dxa"/>
            <w:vAlign w:val="center"/>
          </w:tcPr>
          <w:p>
            <w:pPr>
              <w:pStyle w:val="164"/>
              <w:rPr>
                <w:color w:val="auto"/>
                <w:szCs w:val="21"/>
              </w:rPr>
            </w:pPr>
            <w:r>
              <w:rPr>
                <w:color w:val="auto"/>
                <w:szCs w:val="21"/>
              </w:rPr>
              <w:t>废气处理</w:t>
            </w:r>
          </w:p>
        </w:tc>
        <w:tc>
          <w:tcPr>
            <w:tcW w:w="3935" w:type="dxa"/>
            <w:vAlign w:val="center"/>
          </w:tcPr>
          <w:p>
            <w:pPr>
              <w:pStyle w:val="164"/>
              <w:rPr>
                <w:rStyle w:val="115"/>
                <w:b w:val="0"/>
                <w:color w:val="auto"/>
                <w:sz w:val="21"/>
                <w:szCs w:val="21"/>
              </w:rPr>
            </w:pPr>
            <w:r>
              <w:rPr>
                <w:color w:val="auto"/>
                <w:szCs w:val="21"/>
              </w:rPr>
              <w:t>废活性炭、废滤芯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color w:val="auto"/>
                <w:szCs w:val="21"/>
              </w:rPr>
            </w:pPr>
            <w:r>
              <w:rPr>
                <w:color w:val="auto"/>
                <w:szCs w:val="21"/>
              </w:rPr>
              <w:t>污水处理站</w:t>
            </w:r>
          </w:p>
        </w:tc>
        <w:tc>
          <w:tcPr>
            <w:tcW w:w="1983" w:type="dxa"/>
            <w:vAlign w:val="center"/>
          </w:tcPr>
          <w:p>
            <w:pPr>
              <w:pStyle w:val="164"/>
              <w:rPr>
                <w:color w:val="auto"/>
                <w:szCs w:val="21"/>
              </w:rPr>
            </w:pPr>
            <w:r>
              <w:rPr>
                <w:color w:val="auto"/>
                <w:szCs w:val="21"/>
              </w:rPr>
              <w:t>污水处理</w:t>
            </w:r>
          </w:p>
        </w:tc>
        <w:tc>
          <w:tcPr>
            <w:tcW w:w="3935" w:type="dxa"/>
            <w:vAlign w:val="center"/>
          </w:tcPr>
          <w:p>
            <w:pPr>
              <w:pStyle w:val="164"/>
              <w:rPr>
                <w:rStyle w:val="115"/>
                <w:b w:val="0"/>
                <w:color w:val="auto"/>
                <w:sz w:val="21"/>
                <w:szCs w:val="21"/>
              </w:rPr>
            </w:pPr>
            <w:r>
              <w:rPr>
                <w:color w:val="auto"/>
                <w:szCs w:val="21"/>
              </w:rPr>
              <w:t>污水处理站污泥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73" w:type="dxa"/>
            <w:vMerge w:val="continue"/>
            <w:vAlign w:val="center"/>
          </w:tcPr>
          <w:p>
            <w:pPr>
              <w:pStyle w:val="164"/>
              <w:rPr>
                <w:rStyle w:val="115"/>
                <w:b w:val="0"/>
                <w:color w:val="auto"/>
                <w:sz w:val="21"/>
                <w:szCs w:val="21"/>
              </w:rPr>
            </w:pPr>
          </w:p>
        </w:tc>
        <w:tc>
          <w:tcPr>
            <w:tcW w:w="2129" w:type="dxa"/>
            <w:vAlign w:val="center"/>
          </w:tcPr>
          <w:p>
            <w:pPr>
              <w:pStyle w:val="164"/>
              <w:rPr>
                <w:color w:val="auto"/>
                <w:szCs w:val="21"/>
              </w:rPr>
            </w:pPr>
            <w:r>
              <w:rPr>
                <w:rStyle w:val="115"/>
                <w:b w:val="0"/>
                <w:color w:val="auto"/>
                <w:sz w:val="21"/>
                <w:szCs w:val="21"/>
              </w:rPr>
              <w:t>软水站</w:t>
            </w:r>
          </w:p>
        </w:tc>
        <w:tc>
          <w:tcPr>
            <w:tcW w:w="1983" w:type="dxa"/>
            <w:vAlign w:val="center"/>
          </w:tcPr>
          <w:p>
            <w:pPr>
              <w:pStyle w:val="164"/>
              <w:rPr>
                <w:color w:val="auto"/>
                <w:szCs w:val="21"/>
              </w:rPr>
            </w:pPr>
            <w:r>
              <w:rPr>
                <w:color w:val="auto"/>
                <w:szCs w:val="21"/>
              </w:rPr>
              <w:t>软水制备</w:t>
            </w:r>
          </w:p>
        </w:tc>
        <w:tc>
          <w:tcPr>
            <w:tcW w:w="3935" w:type="dxa"/>
            <w:vAlign w:val="center"/>
          </w:tcPr>
          <w:p>
            <w:pPr>
              <w:pStyle w:val="164"/>
              <w:rPr>
                <w:rStyle w:val="115"/>
                <w:b w:val="0"/>
                <w:color w:val="auto"/>
                <w:sz w:val="21"/>
                <w:szCs w:val="21"/>
              </w:rPr>
            </w:pPr>
            <w:r>
              <w:rPr>
                <w:color w:val="auto"/>
                <w:szCs w:val="21"/>
              </w:rPr>
              <w:t>废树脂</w:t>
            </w:r>
          </w:p>
        </w:tc>
      </w:tr>
    </w:tbl>
    <w:p>
      <w:pPr>
        <w:pStyle w:val="4"/>
        <w:numPr>
          <w:ilvl w:val="1"/>
          <w:numId w:val="0"/>
        </w:numPr>
        <w:spacing w:before="120"/>
        <w:rPr>
          <w:color w:val="auto"/>
        </w:rPr>
      </w:pPr>
      <w:bookmarkStart w:id="246" w:name="_Toc58849439"/>
      <w:bookmarkStart w:id="247" w:name="_Toc109398612"/>
      <w:r>
        <w:rPr>
          <w:color w:val="auto"/>
        </w:rPr>
        <w:t>4.6物料平衡分析</w:t>
      </w:r>
      <w:bookmarkEnd w:id="246"/>
      <w:bookmarkEnd w:id="247"/>
    </w:p>
    <w:p>
      <w:pPr>
        <w:pStyle w:val="130"/>
        <w:ind w:firstLine="480"/>
        <w:rPr>
          <w:color w:val="auto"/>
        </w:rPr>
      </w:pPr>
      <w:r>
        <w:rPr>
          <w:rFonts w:hint="eastAsia"/>
          <w:color w:val="auto"/>
        </w:rPr>
        <w:t>本项目</w:t>
      </w:r>
      <w:r>
        <w:rPr>
          <w:color w:val="auto"/>
        </w:rPr>
        <w:t>高温蒸汽灭菌处理系统在处置医疗废物过程中，输入系统的物料包括医疗废物和高温蒸汽。在医疗废物高温蒸汽灭菌处理过程中，医疗废物的化学组成并未发生变化，只是将其所含的病毒、病菌在高温、高压环境下灭活，排出物质主要有灭菌处理后的医疗废物、净化处理的废气、冷凝液及渗滤液，其物料平衡表见表4.6-1。</w:t>
      </w:r>
    </w:p>
    <w:p>
      <w:pPr>
        <w:pStyle w:val="114"/>
        <w:spacing w:before="0" w:beforeLines="0"/>
        <w:rPr>
          <w:color w:val="auto"/>
        </w:rPr>
      </w:pPr>
      <w:r>
        <w:rPr>
          <w:color w:val="auto"/>
        </w:rPr>
        <w:t xml:space="preserve">   表4.6-1    </w:t>
      </w:r>
      <w:r>
        <w:rPr>
          <w:rFonts w:hint="eastAsia"/>
          <w:color w:val="auto"/>
        </w:rPr>
        <w:t>本项目</w:t>
      </w:r>
      <w:r>
        <w:rPr>
          <w:color w:val="auto"/>
        </w:rPr>
        <w:t xml:space="preserve">高温灭菌系统物料平衡表 </w:t>
      </w:r>
    </w:p>
    <w:tbl>
      <w:tblPr>
        <w:tblStyle w:val="74"/>
        <w:tblW w:w="8720"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115"/>
        <w:gridCol w:w="1115"/>
        <w:gridCol w:w="965"/>
        <w:gridCol w:w="1424"/>
        <w:gridCol w:w="1115"/>
        <w:gridCol w:w="1622"/>
        <w:gridCol w:w="136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5" w:hRule="atLeast"/>
        </w:trPr>
        <w:tc>
          <w:tcPr>
            <w:tcW w:w="1115" w:type="dxa"/>
            <w:shd w:val="clear" w:color="auto" w:fill="auto"/>
            <w:vAlign w:val="center"/>
          </w:tcPr>
          <w:p>
            <w:pPr>
              <w:widowControl/>
              <w:spacing w:line="360" w:lineRule="exact"/>
              <w:jc w:val="center"/>
              <w:rPr>
                <w:color w:val="auto"/>
                <w:kern w:val="0"/>
                <w:szCs w:val="21"/>
              </w:rPr>
            </w:pPr>
            <w:r>
              <w:rPr>
                <w:color w:val="auto"/>
                <w:kern w:val="0"/>
                <w:szCs w:val="21"/>
              </w:rPr>
              <w:t>序号</w:t>
            </w:r>
          </w:p>
        </w:tc>
        <w:tc>
          <w:tcPr>
            <w:tcW w:w="2080" w:type="dxa"/>
            <w:gridSpan w:val="2"/>
            <w:shd w:val="clear" w:color="auto" w:fill="auto"/>
            <w:vAlign w:val="center"/>
          </w:tcPr>
          <w:p>
            <w:pPr>
              <w:widowControl/>
              <w:spacing w:line="360" w:lineRule="exact"/>
              <w:jc w:val="center"/>
              <w:rPr>
                <w:color w:val="auto"/>
                <w:kern w:val="0"/>
                <w:szCs w:val="21"/>
              </w:rPr>
            </w:pPr>
            <w:r>
              <w:rPr>
                <w:color w:val="auto"/>
                <w:kern w:val="0"/>
                <w:szCs w:val="21"/>
              </w:rPr>
              <w:t>输入t/a</w:t>
            </w:r>
          </w:p>
        </w:tc>
        <w:tc>
          <w:tcPr>
            <w:tcW w:w="4161" w:type="dxa"/>
            <w:gridSpan w:val="3"/>
            <w:shd w:val="clear" w:color="auto" w:fill="auto"/>
            <w:vAlign w:val="center"/>
          </w:tcPr>
          <w:p>
            <w:pPr>
              <w:widowControl/>
              <w:spacing w:line="360" w:lineRule="exact"/>
              <w:jc w:val="center"/>
              <w:rPr>
                <w:color w:val="auto"/>
                <w:kern w:val="0"/>
                <w:szCs w:val="21"/>
              </w:rPr>
            </w:pPr>
            <w:r>
              <w:rPr>
                <w:color w:val="auto"/>
                <w:kern w:val="0"/>
                <w:szCs w:val="21"/>
              </w:rPr>
              <w:t>产出物料去向</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输出量t/a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shd w:val="clear" w:color="auto" w:fill="auto"/>
            <w:vAlign w:val="center"/>
          </w:tcPr>
          <w:p>
            <w:pPr>
              <w:widowControl/>
              <w:spacing w:line="360" w:lineRule="exact"/>
              <w:jc w:val="center"/>
              <w:rPr>
                <w:color w:val="auto"/>
                <w:kern w:val="0"/>
                <w:szCs w:val="21"/>
              </w:rPr>
            </w:pPr>
            <w:r>
              <w:rPr>
                <w:color w:val="auto"/>
                <w:kern w:val="0"/>
                <w:szCs w:val="21"/>
              </w:rPr>
              <w:t>1</w:t>
            </w:r>
          </w:p>
        </w:tc>
        <w:tc>
          <w:tcPr>
            <w:tcW w:w="1115" w:type="dxa"/>
            <w:shd w:val="clear" w:color="auto" w:fill="auto"/>
            <w:vAlign w:val="center"/>
          </w:tcPr>
          <w:p>
            <w:pPr>
              <w:widowControl/>
              <w:spacing w:line="360" w:lineRule="exact"/>
              <w:jc w:val="center"/>
              <w:rPr>
                <w:color w:val="auto"/>
                <w:kern w:val="0"/>
                <w:szCs w:val="21"/>
              </w:rPr>
            </w:pPr>
            <w:r>
              <w:rPr>
                <w:color w:val="auto"/>
                <w:kern w:val="0"/>
                <w:szCs w:val="21"/>
              </w:rPr>
              <w:t>医疗废物</w:t>
            </w:r>
          </w:p>
        </w:tc>
        <w:tc>
          <w:tcPr>
            <w:tcW w:w="965" w:type="dxa"/>
            <w:shd w:val="clear" w:color="auto" w:fill="auto"/>
            <w:vAlign w:val="center"/>
          </w:tcPr>
          <w:p>
            <w:pPr>
              <w:widowControl/>
              <w:spacing w:line="360" w:lineRule="exact"/>
              <w:jc w:val="center"/>
              <w:rPr>
                <w:color w:val="auto"/>
                <w:kern w:val="0"/>
                <w:szCs w:val="21"/>
              </w:rPr>
            </w:pPr>
            <w:r>
              <w:rPr>
                <w:color w:val="auto"/>
                <w:kern w:val="0"/>
                <w:szCs w:val="21"/>
              </w:rPr>
              <w:t>1650</w:t>
            </w:r>
          </w:p>
        </w:tc>
        <w:tc>
          <w:tcPr>
            <w:tcW w:w="1424" w:type="dxa"/>
            <w:vMerge w:val="restart"/>
            <w:shd w:val="clear" w:color="auto" w:fill="auto"/>
            <w:vAlign w:val="center"/>
          </w:tcPr>
          <w:p>
            <w:pPr>
              <w:widowControl/>
              <w:spacing w:line="360" w:lineRule="exact"/>
              <w:jc w:val="center"/>
              <w:rPr>
                <w:color w:val="auto"/>
                <w:kern w:val="0"/>
                <w:szCs w:val="21"/>
              </w:rPr>
            </w:pPr>
            <w:r>
              <w:rPr>
                <w:color w:val="auto"/>
                <w:kern w:val="0"/>
                <w:szCs w:val="21"/>
              </w:rPr>
              <w:t>大气（0.5596t/a）</w:t>
            </w:r>
          </w:p>
        </w:tc>
        <w:tc>
          <w:tcPr>
            <w:tcW w:w="1115" w:type="dxa"/>
            <w:vMerge w:val="restart"/>
            <w:shd w:val="clear" w:color="auto" w:fill="auto"/>
            <w:vAlign w:val="center"/>
          </w:tcPr>
          <w:p>
            <w:pPr>
              <w:widowControl/>
              <w:spacing w:line="360" w:lineRule="exact"/>
              <w:jc w:val="center"/>
              <w:rPr>
                <w:color w:val="auto"/>
                <w:kern w:val="0"/>
                <w:szCs w:val="21"/>
              </w:rPr>
            </w:pPr>
            <w:r>
              <w:rPr>
                <w:color w:val="auto"/>
                <w:kern w:val="0"/>
                <w:szCs w:val="21"/>
              </w:rPr>
              <w:t>颗粒物</w:t>
            </w: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有组织排放</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0.0515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shd w:val="clear" w:color="auto" w:fill="auto"/>
            <w:vAlign w:val="center"/>
          </w:tcPr>
          <w:p>
            <w:pPr>
              <w:widowControl/>
              <w:spacing w:line="360" w:lineRule="exact"/>
              <w:jc w:val="center"/>
              <w:rPr>
                <w:color w:val="auto"/>
                <w:kern w:val="0"/>
                <w:szCs w:val="21"/>
              </w:rPr>
            </w:pPr>
            <w:r>
              <w:rPr>
                <w:color w:val="auto"/>
                <w:kern w:val="0"/>
                <w:szCs w:val="21"/>
              </w:rPr>
              <w:t>2</w:t>
            </w:r>
          </w:p>
        </w:tc>
        <w:tc>
          <w:tcPr>
            <w:tcW w:w="1115" w:type="dxa"/>
            <w:shd w:val="clear" w:color="auto" w:fill="auto"/>
            <w:vAlign w:val="center"/>
          </w:tcPr>
          <w:p>
            <w:pPr>
              <w:widowControl/>
              <w:spacing w:line="360" w:lineRule="exact"/>
              <w:jc w:val="center"/>
              <w:rPr>
                <w:color w:val="auto"/>
                <w:kern w:val="0"/>
                <w:szCs w:val="21"/>
              </w:rPr>
            </w:pPr>
            <w:r>
              <w:rPr>
                <w:color w:val="auto"/>
                <w:kern w:val="0"/>
                <w:szCs w:val="21"/>
              </w:rPr>
              <w:t>蒸汽</w:t>
            </w:r>
          </w:p>
        </w:tc>
        <w:tc>
          <w:tcPr>
            <w:tcW w:w="965" w:type="dxa"/>
            <w:shd w:val="clear" w:color="auto" w:fill="auto"/>
            <w:vAlign w:val="center"/>
          </w:tcPr>
          <w:p>
            <w:pPr>
              <w:widowControl/>
              <w:spacing w:line="360" w:lineRule="exact"/>
              <w:jc w:val="center"/>
              <w:rPr>
                <w:color w:val="auto"/>
                <w:kern w:val="0"/>
                <w:szCs w:val="21"/>
              </w:rPr>
            </w:pPr>
            <w:r>
              <w:rPr>
                <w:color w:val="auto"/>
                <w:kern w:val="0"/>
                <w:szCs w:val="21"/>
              </w:rPr>
              <w:t>660</w:t>
            </w: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无组织排放</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0.3371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shd w:val="clear" w:color="auto" w:fill="auto"/>
            <w:vAlign w:val="center"/>
          </w:tcPr>
          <w:p>
            <w:pPr>
              <w:widowControl/>
              <w:spacing w:line="360" w:lineRule="exact"/>
              <w:jc w:val="center"/>
              <w:rPr>
                <w:color w:val="auto"/>
                <w:kern w:val="0"/>
                <w:szCs w:val="21"/>
              </w:rPr>
            </w:pPr>
            <w:r>
              <w:rPr>
                <w:color w:val="auto"/>
                <w:kern w:val="0"/>
                <w:szCs w:val="21"/>
              </w:rPr>
              <w:t>/</w:t>
            </w:r>
          </w:p>
        </w:tc>
        <w:tc>
          <w:tcPr>
            <w:tcW w:w="1115"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965"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进入环保装置</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0.0432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shd w:val="clear" w:color="auto" w:fill="auto"/>
            <w:vAlign w:val="center"/>
          </w:tcPr>
          <w:p>
            <w:pPr>
              <w:widowControl/>
              <w:spacing w:line="360" w:lineRule="exact"/>
              <w:jc w:val="center"/>
              <w:rPr>
                <w:color w:val="auto"/>
                <w:kern w:val="0"/>
                <w:szCs w:val="21"/>
              </w:rPr>
            </w:pPr>
            <w:r>
              <w:rPr>
                <w:color w:val="auto"/>
                <w:kern w:val="0"/>
                <w:szCs w:val="21"/>
              </w:rPr>
              <w:t>/</w:t>
            </w:r>
          </w:p>
        </w:tc>
        <w:tc>
          <w:tcPr>
            <w:tcW w:w="1115"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965"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小计</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0.4318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restart"/>
            <w:shd w:val="clear" w:color="auto" w:fill="auto"/>
            <w:vAlign w:val="center"/>
          </w:tcPr>
          <w:p>
            <w:pPr>
              <w:widowControl/>
              <w:spacing w:line="360" w:lineRule="exact"/>
              <w:jc w:val="center"/>
              <w:rPr>
                <w:color w:val="auto"/>
                <w:kern w:val="0"/>
                <w:szCs w:val="21"/>
              </w:rPr>
            </w:pPr>
            <w:r>
              <w:rPr>
                <w:color w:val="auto"/>
                <w:kern w:val="0"/>
                <w:szCs w:val="21"/>
              </w:rPr>
              <w:t>/</w:t>
            </w:r>
          </w:p>
        </w:tc>
        <w:tc>
          <w:tcPr>
            <w:tcW w:w="1115" w:type="dxa"/>
            <w:vMerge w:val="restart"/>
            <w:shd w:val="clear" w:color="auto" w:fill="auto"/>
            <w:vAlign w:val="center"/>
          </w:tcPr>
          <w:p>
            <w:pPr>
              <w:widowControl/>
              <w:spacing w:line="360" w:lineRule="exact"/>
              <w:jc w:val="center"/>
              <w:rPr>
                <w:color w:val="auto"/>
                <w:kern w:val="0"/>
                <w:szCs w:val="20"/>
              </w:rPr>
            </w:pPr>
            <w:r>
              <w:rPr>
                <w:color w:val="auto"/>
                <w:kern w:val="0"/>
                <w:szCs w:val="20"/>
              </w:rPr>
              <w:t>/</w:t>
            </w:r>
          </w:p>
        </w:tc>
        <w:tc>
          <w:tcPr>
            <w:tcW w:w="965" w:type="dxa"/>
            <w:vMerge w:val="restart"/>
            <w:shd w:val="clear" w:color="auto" w:fill="auto"/>
            <w:vAlign w:val="center"/>
          </w:tcPr>
          <w:p>
            <w:pPr>
              <w:widowControl/>
              <w:spacing w:line="360" w:lineRule="exact"/>
              <w:jc w:val="center"/>
              <w:rPr>
                <w:color w:val="auto"/>
                <w:kern w:val="0"/>
                <w:szCs w:val="20"/>
              </w:rPr>
            </w:pPr>
            <w:r>
              <w:rPr>
                <w:color w:val="auto"/>
                <w:kern w:val="0"/>
                <w:szCs w:val="20"/>
              </w:rPr>
              <w:t>/</w:t>
            </w: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restart"/>
            <w:shd w:val="clear" w:color="auto" w:fill="auto"/>
            <w:vAlign w:val="center"/>
          </w:tcPr>
          <w:p>
            <w:pPr>
              <w:widowControl/>
              <w:spacing w:line="360" w:lineRule="exact"/>
              <w:jc w:val="center"/>
              <w:rPr>
                <w:color w:val="auto"/>
                <w:kern w:val="0"/>
                <w:szCs w:val="21"/>
              </w:rPr>
            </w:pPr>
            <w:r>
              <w:rPr>
                <w:color w:val="auto"/>
                <w:kern w:val="0"/>
                <w:szCs w:val="21"/>
              </w:rPr>
              <w:t>NH</w:t>
            </w:r>
            <w:r>
              <w:rPr>
                <w:color w:val="auto"/>
                <w:kern w:val="0"/>
                <w:szCs w:val="21"/>
                <w:vertAlign w:val="subscript"/>
              </w:rPr>
              <w:t>3</w:t>
            </w: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有组织排放</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0.0708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无组织排放</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0.0106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进入环保装置</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0.0242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小计</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0.1056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restart"/>
            <w:shd w:val="clear" w:color="auto" w:fill="auto"/>
            <w:vAlign w:val="center"/>
          </w:tcPr>
          <w:p>
            <w:pPr>
              <w:widowControl/>
              <w:spacing w:line="360" w:lineRule="exact"/>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有组织排放</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0.0004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无组织排放</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0.000054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进入环保装置</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0.0001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小计</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0.000554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restart"/>
            <w:shd w:val="clear" w:color="auto" w:fill="auto"/>
            <w:vAlign w:val="center"/>
          </w:tcPr>
          <w:p>
            <w:pPr>
              <w:widowControl/>
              <w:spacing w:line="360" w:lineRule="exact"/>
              <w:jc w:val="center"/>
              <w:rPr>
                <w:color w:val="auto"/>
                <w:kern w:val="0"/>
                <w:szCs w:val="21"/>
              </w:rPr>
            </w:pPr>
            <w:r>
              <w:rPr>
                <w:color w:val="auto"/>
                <w:kern w:val="0"/>
                <w:szCs w:val="21"/>
              </w:rPr>
              <w:t>VOCs</w:t>
            </w: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有组织排放</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0.0118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无组织排放</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0.0022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进入环保装置</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0.0076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5"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1"/>
              </w:rPr>
            </w:pPr>
          </w:p>
        </w:tc>
        <w:tc>
          <w:tcPr>
            <w:tcW w:w="1622" w:type="dxa"/>
            <w:shd w:val="clear" w:color="auto" w:fill="auto"/>
            <w:vAlign w:val="center"/>
          </w:tcPr>
          <w:p>
            <w:pPr>
              <w:widowControl/>
              <w:spacing w:line="360" w:lineRule="exact"/>
              <w:jc w:val="center"/>
              <w:rPr>
                <w:color w:val="auto"/>
                <w:kern w:val="0"/>
                <w:szCs w:val="21"/>
              </w:rPr>
            </w:pPr>
            <w:r>
              <w:rPr>
                <w:color w:val="auto"/>
                <w:kern w:val="0"/>
                <w:szCs w:val="21"/>
              </w:rPr>
              <w:t>小计</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0.0216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5"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shd w:val="clear" w:color="auto" w:fill="auto"/>
            <w:vAlign w:val="center"/>
          </w:tcPr>
          <w:p>
            <w:pPr>
              <w:widowControl/>
              <w:spacing w:line="360" w:lineRule="exact"/>
              <w:jc w:val="center"/>
              <w:rPr>
                <w:color w:val="auto"/>
                <w:kern w:val="0"/>
                <w:szCs w:val="21"/>
              </w:rPr>
            </w:pPr>
            <w:r>
              <w:rPr>
                <w:color w:val="auto"/>
                <w:kern w:val="0"/>
                <w:szCs w:val="21"/>
              </w:rPr>
              <w:t>固体废物</w:t>
            </w:r>
          </w:p>
        </w:tc>
        <w:tc>
          <w:tcPr>
            <w:tcW w:w="2737" w:type="dxa"/>
            <w:gridSpan w:val="2"/>
            <w:shd w:val="clear" w:color="auto" w:fill="auto"/>
            <w:vAlign w:val="center"/>
          </w:tcPr>
          <w:p>
            <w:pPr>
              <w:widowControl/>
              <w:spacing w:line="360" w:lineRule="exact"/>
              <w:jc w:val="center"/>
              <w:rPr>
                <w:color w:val="auto"/>
                <w:kern w:val="0"/>
                <w:szCs w:val="21"/>
              </w:rPr>
            </w:pPr>
            <w:r>
              <w:rPr>
                <w:color w:val="auto"/>
                <w:kern w:val="0"/>
                <w:szCs w:val="21"/>
              </w:rPr>
              <w:t>灭菌处理后的医疗废物</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 xml:space="preserve">1520.74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1115" w:type="dxa"/>
            <w:vMerge w:val="continue"/>
            <w:shd w:val="clear" w:color="auto" w:fill="auto"/>
            <w:vAlign w:val="center"/>
          </w:tcPr>
          <w:p>
            <w:pPr>
              <w:widowControl/>
              <w:spacing w:line="360" w:lineRule="exact"/>
              <w:jc w:val="center"/>
              <w:rPr>
                <w:color w:val="auto"/>
                <w:kern w:val="0"/>
                <w:szCs w:val="21"/>
              </w:rPr>
            </w:pPr>
          </w:p>
        </w:tc>
        <w:tc>
          <w:tcPr>
            <w:tcW w:w="1115" w:type="dxa"/>
            <w:vMerge w:val="continue"/>
            <w:shd w:val="clear" w:color="auto" w:fill="auto"/>
            <w:vAlign w:val="center"/>
          </w:tcPr>
          <w:p>
            <w:pPr>
              <w:widowControl/>
              <w:spacing w:line="360" w:lineRule="exact"/>
              <w:jc w:val="center"/>
              <w:rPr>
                <w:color w:val="auto"/>
                <w:kern w:val="0"/>
                <w:szCs w:val="20"/>
              </w:rPr>
            </w:pPr>
          </w:p>
        </w:tc>
        <w:tc>
          <w:tcPr>
            <w:tcW w:w="965" w:type="dxa"/>
            <w:vMerge w:val="continue"/>
            <w:shd w:val="clear" w:color="auto" w:fill="auto"/>
            <w:vAlign w:val="center"/>
          </w:tcPr>
          <w:p>
            <w:pPr>
              <w:widowControl/>
              <w:spacing w:line="360" w:lineRule="exact"/>
              <w:jc w:val="center"/>
              <w:rPr>
                <w:color w:val="auto"/>
                <w:kern w:val="0"/>
                <w:szCs w:val="20"/>
              </w:rPr>
            </w:pPr>
          </w:p>
        </w:tc>
        <w:tc>
          <w:tcPr>
            <w:tcW w:w="1424" w:type="dxa"/>
            <w:shd w:val="clear" w:color="auto" w:fill="auto"/>
            <w:vAlign w:val="center"/>
          </w:tcPr>
          <w:p>
            <w:pPr>
              <w:widowControl/>
              <w:spacing w:line="360" w:lineRule="exact"/>
              <w:jc w:val="center"/>
              <w:rPr>
                <w:color w:val="auto"/>
                <w:kern w:val="0"/>
                <w:szCs w:val="21"/>
              </w:rPr>
            </w:pPr>
            <w:r>
              <w:rPr>
                <w:color w:val="auto"/>
                <w:kern w:val="0"/>
                <w:szCs w:val="21"/>
              </w:rPr>
              <w:t>水</w:t>
            </w:r>
          </w:p>
        </w:tc>
        <w:tc>
          <w:tcPr>
            <w:tcW w:w="2737" w:type="dxa"/>
            <w:gridSpan w:val="2"/>
            <w:shd w:val="clear" w:color="auto" w:fill="auto"/>
            <w:vAlign w:val="center"/>
          </w:tcPr>
          <w:p>
            <w:pPr>
              <w:widowControl/>
              <w:spacing w:line="360" w:lineRule="exact"/>
              <w:jc w:val="center"/>
              <w:rPr>
                <w:color w:val="auto"/>
                <w:kern w:val="0"/>
                <w:szCs w:val="21"/>
              </w:rPr>
            </w:pPr>
            <w:r>
              <w:rPr>
                <w:color w:val="auto"/>
                <w:kern w:val="0"/>
                <w:szCs w:val="21"/>
              </w:rPr>
              <w:t>冷凝液及渗滤液</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788.7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2230" w:type="dxa"/>
            <w:gridSpan w:val="2"/>
            <w:shd w:val="clear" w:color="auto" w:fill="auto"/>
            <w:vAlign w:val="center"/>
          </w:tcPr>
          <w:p>
            <w:pPr>
              <w:widowControl/>
              <w:spacing w:line="360" w:lineRule="exact"/>
              <w:jc w:val="center"/>
              <w:rPr>
                <w:color w:val="auto"/>
                <w:kern w:val="0"/>
                <w:szCs w:val="21"/>
              </w:rPr>
            </w:pPr>
            <w:r>
              <w:rPr>
                <w:color w:val="auto"/>
                <w:kern w:val="0"/>
                <w:szCs w:val="21"/>
              </w:rPr>
              <w:t>合计</w:t>
            </w:r>
          </w:p>
        </w:tc>
        <w:tc>
          <w:tcPr>
            <w:tcW w:w="965" w:type="dxa"/>
            <w:shd w:val="clear" w:color="auto" w:fill="auto"/>
            <w:vAlign w:val="center"/>
          </w:tcPr>
          <w:p>
            <w:pPr>
              <w:widowControl/>
              <w:spacing w:line="360" w:lineRule="exact"/>
              <w:jc w:val="center"/>
              <w:rPr>
                <w:color w:val="auto"/>
                <w:kern w:val="0"/>
                <w:szCs w:val="21"/>
              </w:rPr>
            </w:pPr>
            <w:r>
              <w:rPr>
                <w:color w:val="auto"/>
                <w:kern w:val="0"/>
                <w:szCs w:val="21"/>
              </w:rPr>
              <w:t>2310</w:t>
            </w:r>
          </w:p>
        </w:tc>
        <w:tc>
          <w:tcPr>
            <w:tcW w:w="4161" w:type="dxa"/>
            <w:gridSpan w:val="3"/>
            <w:shd w:val="clear" w:color="auto" w:fill="auto"/>
            <w:vAlign w:val="center"/>
          </w:tcPr>
          <w:p>
            <w:pPr>
              <w:widowControl/>
              <w:spacing w:line="360" w:lineRule="exact"/>
              <w:jc w:val="center"/>
              <w:rPr>
                <w:color w:val="auto"/>
                <w:kern w:val="0"/>
                <w:szCs w:val="21"/>
              </w:rPr>
            </w:pPr>
            <w:r>
              <w:rPr>
                <w:color w:val="auto"/>
                <w:kern w:val="0"/>
                <w:szCs w:val="21"/>
              </w:rPr>
              <w:t>合计</w:t>
            </w:r>
          </w:p>
        </w:tc>
        <w:tc>
          <w:tcPr>
            <w:tcW w:w="1364" w:type="dxa"/>
            <w:shd w:val="clear" w:color="auto" w:fill="auto"/>
            <w:vAlign w:val="center"/>
          </w:tcPr>
          <w:p>
            <w:pPr>
              <w:widowControl/>
              <w:spacing w:line="360" w:lineRule="exact"/>
              <w:jc w:val="center"/>
              <w:rPr>
                <w:color w:val="auto"/>
                <w:kern w:val="0"/>
                <w:szCs w:val="21"/>
              </w:rPr>
            </w:pPr>
            <w:r>
              <w:rPr>
                <w:color w:val="auto"/>
                <w:kern w:val="0"/>
                <w:szCs w:val="21"/>
              </w:rPr>
              <w:t>2310</w:t>
            </w:r>
          </w:p>
        </w:tc>
      </w:tr>
    </w:tbl>
    <w:p>
      <w:pPr>
        <w:pStyle w:val="4"/>
        <w:numPr>
          <w:ilvl w:val="1"/>
          <w:numId w:val="0"/>
        </w:numPr>
        <w:spacing w:before="120"/>
        <w:rPr>
          <w:color w:val="auto"/>
        </w:rPr>
      </w:pPr>
      <w:bookmarkStart w:id="248" w:name="_Toc58849440"/>
      <w:bookmarkStart w:id="249" w:name="_Toc109398613"/>
      <w:r>
        <w:rPr>
          <w:color w:val="auto"/>
        </w:rPr>
        <w:t>4.7施工期污染物产排情况</w:t>
      </w:r>
      <w:bookmarkEnd w:id="248"/>
      <w:bookmarkEnd w:id="249"/>
    </w:p>
    <w:p>
      <w:pPr>
        <w:pStyle w:val="130"/>
        <w:ind w:firstLine="480"/>
        <w:rPr>
          <w:color w:val="auto"/>
        </w:rPr>
      </w:pPr>
      <w:r>
        <w:rPr>
          <w:color w:val="auto"/>
        </w:rPr>
        <w:t>根据现场勘查，项目已建成，施工期环境影响随着施工结束而结束，因此，本项目不再对施工期污染物产排情况进行分析。</w:t>
      </w:r>
    </w:p>
    <w:p>
      <w:pPr>
        <w:pStyle w:val="4"/>
        <w:numPr>
          <w:ilvl w:val="1"/>
          <w:numId w:val="0"/>
        </w:numPr>
        <w:spacing w:before="120"/>
        <w:rPr>
          <w:color w:val="auto"/>
        </w:rPr>
      </w:pPr>
      <w:bookmarkStart w:id="250" w:name="_Toc109398614"/>
      <w:bookmarkStart w:id="251" w:name="_Toc58849441"/>
      <w:r>
        <w:rPr>
          <w:color w:val="auto"/>
        </w:rPr>
        <w:t>4.8运营期污染物产排情况</w:t>
      </w:r>
      <w:bookmarkEnd w:id="250"/>
      <w:bookmarkEnd w:id="251"/>
    </w:p>
    <w:p>
      <w:pPr>
        <w:pStyle w:val="130"/>
        <w:ind w:firstLine="480"/>
        <w:rPr>
          <w:color w:val="auto"/>
        </w:rPr>
      </w:pPr>
      <w:r>
        <w:rPr>
          <w:rFonts w:hint="eastAsia"/>
          <w:color w:val="auto"/>
        </w:rPr>
        <w:t>扩建的5t/d高温蒸汽灭菌系统已开始试生产，试生产期间5t/d高温蒸汽灭菌系统能满足医疗废物处理要求，现状3t/d高温蒸汽灭菌系统未使用，因此企业委托宁夏中科精科检测技术有限公司对5t/d高温蒸汽灭菌系统污染源情况进行了现状检测，项目通过现场污染源实际检测数据确定各污染物源强</w:t>
      </w:r>
      <w:r>
        <w:rPr>
          <w:color w:val="auto"/>
        </w:rPr>
        <w:t xml:space="preserve">。 </w:t>
      </w:r>
    </w:p>
    <w:p>
      <w:pPr>
        <w:pStyle w:val="5"/>
        <w:numPr>
          <w:ilvl w:val="2"/>
          <w:numId w:val="0"/>
        </w:numPr>
        <w:ind w:left="-720" w:leftChars="-343" w:firstLine="723" w:firstLineChars="300"/>
        <w:rPr>
          <w:color w:val="auto"/>
        </w:rPr>
      </w:pPr>
      <w:bookmarkStart w:id="252" w:name="_Toc58849442"/>
      <w:bookmarkStart w:id="253" w:name="_Toc109398615"/>
      <w:r>
        <w:rPr>
          <w:color w:val="auto"/>
        </w:rPr>
        <w:t>4.8.1废水</w:t>
      </w:r>
      <w:bookmarkEnd w:id="252"/>
      <w:bookmarkEnd w:id="253"/>
    </w:p>
    <w:p>
      <w:pPr>
        <w:pStyle w:val="6"/>
        <w:numPr>
          <w:ilvl w:val="3"/>
          <w:numId w:val="0"/>
        </w:numPr>
        <w:rPr>
          <w:color w:val="auto"/>
        </w:rPr>
      </w:pPr>
      <w:r>
        <w:rPr>
          <w:color w:val="auto"/>
        </w:rPr>
        <w:t>4</w:t>
      </w:r>
      <w:r>
        <w:rPr>
          <w:rFonts w:hint="eastAsia"/>
          <w:color w:val="auto"/>
        </w:rPr>
        <w:t>.8.1.1本项目废水</w:t>
      </w:r>
    </w:p>
    <w:p>
      <w:pPr>
        <w:pStyle w:val="130"/>
        <w:ind w:firstLine="480"/>
        <w:rPr>
          <w:color w:val="auto"/>
        </w:rPr>
      </w:pPr>
      <w:r>
        <w:rPr>
          <w:color w:val="auto"/>
        </w:rPr>
        <w:t>本项目废水包括高温蒸煮冷凝废水及渗滤液、场地冲洗废水、车辆冲洗废水、周转箱冲洗废水、蒸汽发生器及电锅炉软水制备废水、碱洗喷淋水箱废水和生活污水。</w:t>
      </w:r>
    </w:p>
    <w:p>
      <w:pPr>
        <w:pStyle w:val="130"/>
        <w:ind w:firstLine="480"/>
        <w:rPr>
          <w:color w:val="auto"/>
        </w:rPr>
      </w:pPr>
      <w:r>
        <w:rPr>
          <w:color w:val="auto"/>
        </w:rPr>
        <w:t>⑴生产废水</w:t>
      </w:r>
    </w:p>
    <w:p>
      <w:pPr>
        <w:pStyle w:val="130"/>
        <w:ind w:firstLine="480"/>
        <w:rPr>
          <w:color w:val="auto"/>
        </w:rPr>
      </w:pPr>
      <w:r>
        <w:rPr>
          <w:color w:val="auto"/>
        </w:rPr>
        <w:fldChar w:fldCharType="begin"/>
      </w:r>
      <w:r>
        <w:rPr>
          <w:color w:val="auto"/>
        </w:rPr>
        <w:instrText xml:space="preserve"> = 1 \* GB3 </w:instrText>
      </w:r>
      <w:r>
        <w:rPr>
          <w:color w:val="auto"/>
        </w:rPr>
        <w:fldChar w:fldCharType="separate"/>
      </w:r>
      <w:r>
        <w:rPr>
          <w:color w:val="auto"/>
        </w:rPr>
        <w:t>①</w:t>
      </w:r>
      <w:r>
        <w:rPr>
          <w:color w:val="auto"/>
        </w:rPr>
        <w:fldChar w:fldCharType="end"/>
      </w:r>
      <w:r>
        <w:rPr>
          <w:color w:val="auto"/>
        </w:rPr>
        <w:t>高温蒸煮冷凝废水及渗滤液</w:t>
      </w:r>
    </w:p>
    <w:p>
      <w:pPr>
        <w:pStyle w:val="130"/>
        <w:ind w:firstLine="480"/>
        <w:rPr>
          <w:color w:val="auto"/>
        </w:rPr>
      </w:pPr>
      <w:r>
        <w:rPr>
          <w:color w:val="auto"/>
        </w:rPr>
        <w:t>高温蒸煮冷凝废水产生量约2.14m</w:t>
      </w:r>
      <w:r>
        <w:rPr>
          <w:color w:val="auto"/>
          <w:vertAlign w:val="superscript"/>
        </w:rPr>
        <w:t>3</w:t>
      </w:r>
      <w:r>
        <w:rPr>
          <w:color w:val="auto"/>
        </w:rPr>
        <w:t>/d（706.2m</w:t>
      </w:r>
      <w:r>
        <w:rPr>
          <w:color w:val="auto"/>
          <w:vertAlign w:val="superscript"/>
        </w:rPr>
        <w:t>3</w:t>
      </w:r>
      <w:r>
        <w:rPr>
          <w:color w:val="auto"/>
        </w:rPr>
        <w:t>/a），主要包括高温蒸汽在灭菌器内腔形成冷凝液和废气通过换热器冷凝过程产生的冷凝废水；卸料、医废暂存及破碎机渗滤液废水量0.25m</w:t>
      </w:r>
      <w:r>
        <w:rPr>
          <w:color w:val="auto"/>
          <w:vertAlign w:val="superscript"/>
        </w:rPr>
        <w:t>3</w:t>
      </w:r>
      <w:r>
        <w:rPr>
          <w:color w:val="auto"/>
        </w:rPr>
        <w:t>/d、82.5m</w:t>
      </w:r>
      <w:r>
        <w:rPr>
          <w:color w:val="auto"/>
          <w:vertAlign w:val="superscript"/>
        </w:rPr>
        <w:t>3</w:t>
      </w:r>
      <w:r>
        <w:rPr>
          <w:color w:val="auto"/>
        </w:rPr>
        <w:t>/a，高温蒸煮冷凝废水及渗滤液产生总量为2.39m</w:t>
      </w:r>
      <w:r>
        <w:rPr>
          <w:color w:val="auto"/>
          <w:vertAlign w:val="superscript"/>
        </w:rPr>
        <w:t>3</w:t>
      </w:r>
      <w:r>
        <w:rPr>
          <w:color w:val="auto"/>
        </w:rPr>
        <w:t>/d、788.7m</w:t>
      </w:r>
      <w:r>
        <w:rPr>
          <w:color w:val="auto"/>
          <w:vertAlign w:val="superscript"/>
        </w:rPr>
        <w:t>3</w:t>
      </w:r>
      <w:r>
        <w:rPr>
          <w:color w:val="auto"/>
        </w:rPr>
        <w:t>/a。灭菌器在对废物进行灭菌处理的同时，灭菌过程中废水不排放，保持在柜体内部，与医疗废物一起灭菌，灭菌结束后排到污水处理站进行处理。</w:t>
      </w:r>
    </w:p>
    <w:p>
      <w:pPr>
        <w:pStyle w:val="130"/>
        <w:ind w:firstLine="480"/>
        <w:rPr>
          <w:color w:val="auto"/>
        </w:rPr>
      </w:pPr>
      <w:r>
        <w:rPr>
          <w:color w:val="auto"/>
        </w:rPr>
        <w:fldChar w:fldCharType="begin"/>
      </w:r>
      <w:r>
        <w:rPr>
          <w:color w:val="auto"/>
        </w:rPr>
        <w:instrText xml:space="preserve"> = 2 \* GB3 </w:instrText>
      </w:r>
      <w:r>
        <w:rPr>
          <w:color w:val="auto"/>
        </w:rPr>
        <w:fldChar w:fldCharType="separate"/>
      </w:r>
      <w:r>
        <w:rPr>
          <w:color w:val="auto"/>
        </w:rPr>
        <w:t>②</w:t>
      </w:r>
      <w:r>
        <w:rPr>
          <w:color w:val="auto"/>
        </w:rPr>
        <w:fldChar w:fldCharType="end"/>
      </w:r>
      <w:r>
        <w:rPr>
          <w:color w:val="auto"/>
        </w:rPr>
        <w:t>冲洗污水</w:t>
      </w:r>
    </w:p>
    <w:p>
      <w:pPr>
        <w:pStyle w:val="130"/>
        <w:ind w:firstLine="480"/>
        <w:rPr>
          <w:color w:val="auto"/>
        </w:rPr>
      </w:pPr>
      <w:r>
        <w:rPr>
          <w:color w:val="auto"/>
        </w:rPr>
        <w:t>冲洗废水包括车辆冲洗废水、周转箱冲洗废水和场地冲洗废水，废水产生量为3.29m</w:t>
      </w:r>
      <w:r>
        <w:rPr>
          <w:color w:val="auto"/>
          <w:vertAlign w:val="superscript"/>
        </w:rPr>
        <w:t>3</w:t>
      </w:r>
      <w:r>
        <w:rPr>
          <w:color w:val="auto"/>
        </w:rPr>
        <w:t>/d，1085.7m</w:t>
      </w:r>
      <w:r>
        <w:rPr>
          <w:color w:val="auto"/>
          <w:vertAlign w:val="superscript"/>
        </w:rPr>
        <w:t>3</w:t>
      </w:r>
      <w:r>
        <w:rPr>
          <w:color w:val="auto"/>
        </w:rPr>
        <w:t>/a，排入污水处理站进行处理。</w:t>
      </w:r>
    </w:p>
    <w:p>
      <w:pPr>
        <w:pStyle w:val="130"/>
        <w:ind w:firstLine="480"/>
        <w:rPr>
          <w:color w:val="auto"/>
        </w:rPr>
      </w:pPr>
      <w:r>
        <w:rPr>
          <w:color w:val="auto"/>
        </w:rPr>
        <w:fldChar w:fldCharType="begin"/>
      </w:r>
      <w:r>
        <w:rPr>
          <w:color w:val="auto"/>
        </w:rPr>
        <w:instrText xml:space="preserve"> = 3 \* GB3 </w:instrText>
      </w:r>
      <w:r>
        <w:rPr>
          <w:color w:val="auto"/>
        </w:rPr>
        <w:fldChar w:fldCharType="separate"/>
      </w:r>
      <w:r>
        <w:rPr>
          <w:color w:val="auto"/>
        </w:rPr>
        <w:t>③</w:t>
      </w:r>
      <w:r>
        <w:rPr>
          <w:color w:val="auto"/>
        </w:rPr>
        <w:fldChar w:fldCharType="end"/>
      </w:r>
      <w:r>
        <w:rPr>
          <w:color w:val="auto"/>
        </w:rPr>
        <w:t>清净下水</w:t>
      </w:r>
    </w:p>
    <w:p>
      <w:pPr>
        <w:pStyle w:val="130"/>
        <w:ind w:firstLine="480"/>
        <w:rPr>
          <w:color w:val="auto"/>
        </w:rPr>
      </w:pPr>
      <w:r>
        <w:rPr>
          <w:color w:val="auto"/>
        </w:rPr>
        <w:t>主要包括冷却水循环系统排水和软水制备排水，排放量为冬季</w:t>
      </w:r>
      <w:r>
        <w:rPr>
          <w:rFonts w:hint="eastAsia"/>
          <w:color w:val="auto"/>
        </w:rPr>
        <w:t>1.04</w:t>
      </w:r>
      <w:r>
        <w:rPr>
          <w:color w:val="auto"/>
        </w:rPr>
        <w:t>m</w:t>
      </w:r>
      <w:r>
        <w:rPr>
          <w:color w:val="auto"/>
          <w:vertAlign w:val="superscript"/>
        </w:rPr>
        <w:t>3</w:t>
      </w:r>
      <w:r>
        <w:rPr>
          <w:color w:val="auto"/>
        </w:rPr>
        <w:t>/d；其他季节0.</w:t>
      </w:r>
      <w:r>
        <w:rPr>
          <w:rFonts w:hint="eastAsia"/>
          <w:color w:val="auto"/>
        </w:rPr>
        <w:t>72</w:t>
      </w:r>
      <w:r>
        <w:rPr>
          <w:color w:val="auto"/>
        </w:rPr>
        <w:t>m</w:t>
      </w:r>
      <w:r>
        <w:rPr>
          <w:color w:val="auto"/>
          <w:vertAlign w:val="superscript"/>
        </w:rPr>
        <w:t>3</w:t>
      </w:r>
      <w:r>
        <w:rPr>
          <w:color w:val="auto"/>
        </w:rPr>
        <w:t>/d、全年</w:t>
      </w:r>
      <w:r>
        <w:rPr>
          <w:rFonts w:hint="eastAsia"/>
          <w:color w:val="auto"/>
        </w:rPr>
        <w:t>282.25</w:t>
      </w:r>
      <w:r>
        <w:rPr>
          <w:color w:val="auto"/>
        </w:rPr>
        <w:t>m</w:t>
      </w:r>
      <w:r>
        <w:rPr>
          <w:color w:val="auto"/>
          <w:vertAlign w:val="superscript"/>
        </w:rPr>
        <w:t>3</w:t>
      </w:r>
      <w:r>
        <w:rPr>
          <w:color w:val="auto"/>
        </w:rPr>
        <w:t>/a，排入污水处理站进行处理。</w:t>
      </w:r>
    </w:p>
    <w:p>
      <w:pPr>
        <w:pStyle w:val="130"/>
        <w:ind w:firstLine="480"/>
        <w:rPr>
          <w:color w:val="auto"/>
        </w:rPr>
      </w:pPr>
      <w:r>
        <w:rPr>
          <w:color w:val="auto"/>
        </w:rPr>
        <w:fldChar w:fldCharType="begin"/>
      </w:r>
      <w:r>
        <w:rPr>
          <w:color w:val="auto"/>
        </w:rPr>
        <w:instrText xml:space="preserve"> = 4 \* GB3 </w:instrText>
      </w:r>
      <w:r>
        <w:rPr>
          <w:color w:val="auto"/>
        </w:rPr>
        <w:fldChar w:fldCharType="separate"/>
      </w:r>
      <w:r>
        <w:rPr>
          <w:color w:val="auto"/>
        </w:rPr>
        <w:t>④</w:t>
      </w:r>
      <w:r>
        <w:rPr>
          <w:color w:val="auto"/>
        </w:rPr>
        <w:fldChar w:fldCharType="end"/>
      </w:r>
      <w:r>
        <w:rPr>
          <w:color w:val="auto"/>
        </w:rPr>
        <w:t>碱洗喷淋水箱废水</w:t>
      </w:r>
    </w:p>
    <w:p>
      <w:pPr>
        <w:pStyle w:val="130"/>
        <w:ind w:firstLine="480"/>
        <w:rPr>
          <w:color w:val="auto"/>
        </w:rPr>
      </w:pPr>
      <w:r>
        <w:rPr>
          <w:color w:val="auto"/>
        </w:rPr>
        <w:t>碱洗喷淋水箱废水产生量为0.32m</w:t>
      </w:r>
      <w:r>
        <w:rPr>
          <w:color w:val="auto"/>
          <w:vertAlign w:val="superscript"/>
        </w:rPr>
        <w:t>3</w:t>
      </w:r>
      <w:r>
        <w:rPr>
          <w:color w:val="auto"/>
        </w:rPr>
        <w:t>/d，105.6m</w:t>
      </w:r>
      <w:r>
        <w:rPr>
          <w:color w:val="auto"/>
          <w:vertAlign w:val="superscript"/>
        </w:rPr>
        <w:t>3</w:t>
      </w:r>
      <w:r>
        <w:rPr>
          <w:color w:val="auto"/>
        </w:rPr>
        <w:t>/a，排入污水处理站进行处理。</w:t>
      </w:r>
    </w:p>
    <w:p>
      <w:pPr>
        <w:pStyle w:val="130"/>
        <w:ind w:firstLine="480"/>
        <w:rPr>
          <w:color w:val="auto"/>
        </w:rPr>
      </w:pPr>
      <w:r>
        <w:rPr>
          <w:color w:val="auto"/>
        </w:rPr>
        <w:t>综上，项目生产废水产生总量为冬季7.04m</w:t>
      </w:r>
      <w:r>
        <w:rPr>
          <w:color w:val="auto"/>
          <w:vertAlign w:val="superscript"/>
        </w:rPr>
        <w:t>3</w:t>
      </w:r>
      <w:r>
        <w:rPr>
          <w:color w:val="auto"/>
        </w:rPr>
        <w:t>/d，其他季节6.72m</w:t>
      </w:r>
      <w:r>
        <w:rPr>
          <w:color w:val="auto"/>
          <w:vertAlign w:val="superscript"/>
        </w:rPr>
        <w:t>3</w:t>
      </w:r>
      <w:r>
        <w:rPr>
          <w:color w:val="auto"/>
        </w:rPr>
        <w:t>/d，全年排放量为2261.76m</w:t>
      </w:r>
      <w:r>
        <w:rPr>
          <w:color w:val="auto"/>
          <w:vertAlign w:val="superscript"/>
        </w:rPr>
        <w:t>3</w:t>
      </w:r>
      <w:r>
        <w:rPr>
          <w:color w:val="auto"/>
        </w:rPr>
        <w:t>/a。生产废水进入污水处理站进行处理达标后用于中卫市垃圾填埋场道路洒水抑尘。</w:t>
      </w:r>
    </w:p>
    <w:p>
      <w:pPr>
        <w:pStyle w:val="130"/>
        <w:ind w:firstLine="480"/>
        <w:rPr>
          <w:color w:val="auto"/>
        </w:rPr>
        <w:sectPr>
          <w:pgSz w:w="11906" w:h="16838"/>
          <w:pgMar w:top="1701" w:right="1701" w:bottom="1701" w:left="1701" w:header="851" w:footer="851" w:gutter="0"/>
          <w:cols w:space="720" w:num="1"/>
          <w:docGrid w:linePitch="466" w:charSpace="0"/>
        </w:sectPr>
      </w:pPr>
      <w:r>
        <w:rPr>
          <w:color w:val="auto"/>
        </w:rPr>
        <w:t>本项目生产废水进出厂区污水站水质根据现状污染源实测数据进行确实（见附件12，现状污染源监测报告）：厂区新建10m</w:t>
      </w:r>
      <w:r>
        <w:rPr>
          <w:color w:val="auto"/>
          <w:vertAlign w:val="superscript"/>
        </w:rPr>
        <w:t>3</w:t>
      </w:r>
      <w:r>
        <w:rPr>
          <w:color w:val="auto"/>
        </w:rPr>
        <w:t>/d一体化污水处理站（A²O+MBR+消毒）处理后达到《医疗机构水污染物排放标准》（GB18466-2005）综合医疗机构和其他医疗机构水污染物排放限值及《城市污水再生利用 城市杂用水水质》（GB/T18920-2020）中城市绿化、道路清扫、消防、建筑施工用水要求，处理后废水全部回用于中卫市生活垃圾填埋场道路抑尘，不外排，生产废水产生及排放情况见下表。</w:t>
      </w:r>
    </w:p>
    <w:p>
      <w:pPr>
        <w:pStyle w:val="114"/>
        <w:spacing w:before="120"/>
        <w:rPr>
          <w:color w:val="auto"/>
        </w:rPr>
      </w:pPr>
      <w:r>
        <w:rPr>
          <w:color w:val="auto"/>
        </w:rPr>
        <w:t>表4.8-1  生产废水产生及排放情况一览表</w:t>
      </w:r>
    </w:p>
    <w:tbl>
      <w:tblPr>
        <w:tblStyle w:val="74"/>
        <w:tblW w:w="13652"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969"/>
        <w:gridCol w:w="1758"/>
        <w:gridCol w:w="874"/>
        <w:gridCol w:w="860"/>
        <w:gridCol w:w="762"/>
        <w:gridCol w:w="702"/>
        <w:gridCol w:w="704"/>
        <w:gridCol w:w="863"/>
        <w:gridCol w:w="975"/>
        <w:gridCol w:w="901"/>
        <w:gridCol w:w="937"/>
        <w:gridCol w:w="890"/>
        <w:gridCol w:w="947"/>
        <w:gridCol w:w="704"/>
        <w:gridCol w:w="80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969" w:type="dxa"/>
            <w:vMerge w:val="restart"/>
            <w:shd w:val="clear" w:color="auto" w:fill="auto"/>
            <w:vAlign w:val="center"/>
          </w:tcPr>
          <w:p>
            <w:pPr>
              <w:spacing w:line="360" w:lineRule="exact"/>
              <w:jc w:val="center"/>
              <w:rPr>
                <w:color w:val="auto"/>
                <w:kern w:val="0"/>
                <w:szCs w:val="21"/>
              </w:rPr>
            </w:pPr>
            <w:r>
              <w:rPr>
                <w:color w:val="auto"/>
                <w:kern w:val="0"/>
                <w:szCs w:val="21"/>
              </w:rPr>
              <w:t>检测时间</w:t>
            </w:r>
          </w:p>
        </w:tc>
        <w:tc>
          <w:tcPr>
            <w:tcW w:w="1758" w:type="dxa"/>
            <w:vMerge w:val="restart"/>
            <w:shd w:val="clear" w:color="auto" w:fill="auto"/>
            <w:vAlign w:val="center"/>
          </w:tcPr>
          <w:p>
            <w:pPr>
              <w:spacing w:line="360" w:lineRule="exact"/>
              <w:jc w:val="center"/>
              <w:rPr>
                <w:color w:val="auto"/>
                <w:kern w:val="0"/>
                <w:szCs w:val="21"/>
              </w:rPr>
            </w:pPr>
            <w:r>
              <w:rPr>
                <w:color w:val="auto"/>
                <w:kern w:val="0"/>
                <w:szCs w:val="21"/>
              </w:rPr>
              <w:t>检测项目</w:t>
            </w:r>
          </w:p>
        </w:tc>
        <w:tc>
          <w:tcPr>
            <w:tcW w:w="874" w:type="dxa"/>
            <w:vMerge w:val="restart"/>
            <w:shd w:val="clear" w:color="auto" w:fill="auto"/>
            <w:vAlign w:val="center"/>
          </w:tcPr>
          <w:p>
            <w:pPr>
              <w:spacing w:line="360" w:lineRule="exact"/>
              <w:jc w:val="center"/>
              <w:rPr>
                <w:color w:val="auto"/>
                <w:kern w:val="0"/>
                <w:szCs w:val="21"/>
              </w:rPr>
            </w:pPr>
            <w:r>
              <w:rPr>
                <w:color w:val="auto"/>
                <w:kern w:val="0"/>
                <w:szCs w:val="21"/>
              </w:rPr>
              <w:t>单位</w:t>
            </w:r>
          </w:p>
        </w:tc>
        <w:tc>
          <w:tcPr>
            <w:tcW w:w="3891" w:type="dxa"/>
            <w:gridSpan w:val="5"/>
            <w:shd w:val="clear" w:color="auto" w:fill="auto"/>
            <w:vAlign w:val="center"/>
          </w:tcPr>
          <w:p>
            <w:pPr>
              <w:widowControl/>
              <w:spacing w:line="360" w:lineRule="exact"/>
              <w:jc w:val="center"/>
              <w:rPr>
                <w:color w:val="auto"/>
                <w:kern w:val="0"/>
                <w:szCs w:val="21"/>
              </w:rPr>
            </w:pPr>
            <w:r>
              <w:rPr>
                <w:color w:val="auto"/>
                <w:kern w:val="0"/>
                <w:szCs w:val="21"/>
              </w:rPr>
              <w:t>污水处理站进口</w:t>
            </w:r>
          </w:p>
        </w:tc>
        <w:tc>
          <w:tcPr>
            <w:tcW w:w="6160" w:type="dxa"/>
            <w:gridSpan w:val="7"/>
            <w:shd w:val="clear" w:color="auto" w:fill="auto"/>
            <w:vAlign w:val="center"/>
          </w:tcPr>
          <w:p>
            <w:pPr>
              <w:widowControl/>
              <w:spacing w:line="360" w:lineRule="exact"/>
              <w:jc w:val="center"/>
              <w:rPr>
                <w:color w:val="auto"/>
                <w:kern w:val="0"/>
                <w:szCs w:val="21"/>
              </w:rPr>
            </w:pPr>
            <w:r>
              <w:rPr>
                <w:color w:val="auto"/>
                <w:kern w:val="0"/>
                <w:szCs w:val="21"/>
              </w:rPr>
              <w:t>污水处理站出口</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855" w:hRule="atLeast"/>
        </w:trPr>
        <w:tc>
          <w:tcPr>
            <w:tcW w:w="969" w:type="dxa"/>
            <w:vMerge w:val="continue"/>
            <w:shd w:val="clear" w:color="auto" w:fill="auto"/>
            <w:vAlign w:val="center"/>
          </w:tcPr>
          <w:p>
            <w:pPr>
              <w:widowControl/>
              <w:spacing w:line="360" w:lineRule="exact"/>
              <w:jc w:val="center"/>
              <w:rPr>
                <w:color w:val="auto"/>
                <w:kern w:val="0"/>
                <w:szCs w:val="21"/>
              </w:rPr>
            </w:pPr>
          </w:p>
        </w:tc>
        <w:tc>
          <w:tcPr>
            <w:tcW w:w="1758" w:type="dxa"/>
            <w:vMerge w:val="continue"/>
            <w:shd w:val="clear" w:color="auto" w:fill="auto"/>
            <w:vAlign w:val="center"/>
          </w:tcPr>
          <w:p>
            <w:pPr>
              <w:widowControl/>
              <w:spacing w:line="360" w:lineRule="exact"/>
              <w:jc w:val="center"/>
              <w:rPr>
                <w:color w:val="auto"/>
                <w:kern w:val="0"/>
                <w:szCs w:val="21"/>
              </w:rPr>
            </w:pPr>
          </w:p>
        </w:tc>
        <w:tc>
          <w:tcPr>
            <w:tcW w:w="874" w:type="dxa"/>
            <w:vMerge w:val="continue"/>
            <w:shd w:val="clear" w:color="auto" w:fill="auto"/>
            <w:vAlign w:val="center"/>
          </w:tcPr>
          <w:p>
            <w:pPr>
              <w:widowControl/>
              <w:spacing w:line="360" w:lineRule="exact"/>
              <w:jc w:val="center"/>
              <w:rPr>
                <w:color w:val="auto"/>
                <w:kern w:val="0"/>
                <w:szCs w:val="21"/>
              </w:rPr>
            </w:pPr>
          </w:p>
        </w:tc>
        <w:tc>
          <w:tcPr>
            <w:tcW w:w="860" w:type="dxa"/>
            <w:shd w:val="clear" w:color="auto" w:fill="auto"/>
            <w:vAlign w:val="center"/>
          </w:tcPr>
          <w:p>
            <w:pPr>
              <w:widowControl/>
              <w:spacing w:line="360" w:lineRule="exact"/>
              <w:jc w:val="center"/>
              <w:rPr>
                <w:color w:val="auto"/>
                <w:kern w:val="0"/>
                <w:szCs w:val="21"/>
              </w:rPr>
            </w:pPr>
            <w:r>
              <w:rPr>
                <w:color w:val="auto"/>
                <w:kern w:val="0"/>
                <w:szCs w:val="21"/>
              </w:rPr>
              <w:t>第1次</w:t>
            </w:r>
          </w:p>
        </w:tc>
        <w:tc>
          <w:tcPr>
            <w:tcW w:w="762" w:type="dxa"/>
            <w:shd w:val="clear" w:color="auto" w:fill="auto"/>
            <w:vAlign w:val="center"/>
          </w:tcPr>
          <w:p>
            <w:pPr>
              <w:widowControl/>
              <w:spacing w:line="360" w:lineRule="exact"/>
              <w:jc w:val="center"/>
              <w:rPr>
                <w:color w:val="auto"/>
                <w:kern w:val="0"/>
                <w:szCs w:val="21"/>
              </w:rPr>
            </w:pPr>
            <w:r>
              <w:rPr>
                <w:color w:val="auto"/>
                <w:kern w:val="0"/>
                <w:szCs w:val="21"/>
              </w:rPr>
              <w:t>第2次</w:t>
            </w:r>
          </w:p>
        </w:tc>
        <w:tc>
          <w:tcPr>
            <w:tcW w:w="702" w:type="dxa"/>
            <w:shd w:val="clear" w:color="auto" w:fill="auto"/>
            <w:vAlign w:val="center"/>
          </w:tcPr>
          <w:p>
            <w:pPr>
              <w:widowControl/>
              <w:spacing w:line="360" w:lineRule="exact"/>
              <w:jc w:val="center"/>
              <w:rPr>
                <w:color w:val="auto"/>
                <w:kern w:val="0"/>
                <w:szCs w:val="21"/>
              </w:rPr>
            </w:pPr>
            <w:r>
              <w:rPr>
                <w:color w:val="auto"/>
                <w:kern w:val="0"/>
                <w:szCs w:val="21"/>
              </w:rPr>
              <w:t>第3次</w:t>
            </w:r>
          </w:p>
        </w:tc>
        <w:tc>
          <w:tcPr>
            <w:tcW w:w="704" w:type="dxa"/>
            <w:shd w:val="clear" w:color="auto" w:fill="auto"/>
            <w:vAlign w:val="center"/>
          </w:tcPr>
          <w:p>
            <w:pPr>
              <w:widowControl/>
              <w:spacing w:line="360" w:lineRule="exact"/>
              <w:jc w:val="center"/>
              <w:rPr>
                <w:color w:val="auto"/>
                <w:kern w:val="0"/>
                <w:szCs w:val="21"/>
              </w:rPr>
            </w:pPr>
            <w:r>
              <w:rPr>
                <w:color w:val="auto"/>
                <w:kern w:val="0"/>
                <w:szCs w:val="21"/>
              </w:rPr>
              <w:t>第4次</w:t>
            </w:r>
          </w:p>
        </w:tc>
        <w:tc>
          <w:tcPr>
            <w:tcW w:w="863" w:type="dxa"/>
            <w:shd w:val="clear" w:color="auto" w:fill="auto"/>
            <w:vAlign w:val="center"/>
          </w:tcPr>
          <w:p>
            <w:pPr>
              <w:widowControl/>
              <w:spacing w:line="360" w:lineRule="exact"/>
              <w:jc w:val="center"/>
              <w:rPr>
                <w:color w:val="auto"/>
                <w:kern w:val="0"/>
                <w:szCs w:val="21"/>
              </w:rPr>
            </w:pPr>
            <w:r>
              <w:rPr>
                <w:color w:val="auto"/>
                <w:kern w:val="0"/>
                <w:szCs w:val="21"/>
              </w:rPr>
              <w:t>平均值/ 范围</w:t>
            </w:r>
          </w:p>
        </w:tc>
        <w:tc>
          <w:tcPr>
            <w:tcW w:w="975" w:type="dxa"/>
            <w:shd w:val="clear" w:color="auto" w:fill="auto"/>
            <w:vAlign w:val="center"/>
          </w:tcPr>
          <w:p>
            <w:pPr>
              <w:widowControl/>
              <w:spacing w:line="360" w:lineRule="exact"/>
              <w:jc w:val="center"/>
              <w:rPr>
                <w:color w:val="auto"/>
                <w:kern w:val="0"/>
                <w:szCs w:val="21"/>
              </w:rPr>
            </w:pPr>
            <w:r>
              <w:rPr>
                <w:color w:val="auto"/>
                <w:kern w:val="0"/>
                <w:szCs w:val="21"/>
              </w:rPr>
              <w:t>第1次</w:t>
            </w:r>
          </w:p>
        </w:tc>
        <w:tc>
          <w:tcPr>
            <w:tcW w:w="901" w:type="dxa"/>
            <w:shd w:val="clear" w:color="auto" w:fill="auto"/>
            <w:vAlign w:val="center"/>
          </w:tcPr>
          <w:p>
            <w:pPr>
              <w:widowControl/>
              <w:spacing w:line="360" w:lineRule="exact"/>
              <w:jc w:val="center"/>
              <w:rPr>
                <w:color w:val="auto"/>
                <w:kern w:val="0"/>
                <w:szCs w:val="21"/>
              </w:rPr>
            </w:pPr>
            <w:r>
              <w:rPr>
                <w:color w:val="auto"/>
                <w:kern w:val="0"/>
                <w:szCs w:val="21"/>
              </w:rPr>
              <w:t>第2次</w:t>
            </w:r>
          </w:p>
        </w:tc>
        <w:tc>
          <w:tcPr>
            <w:tcW w:w="937" w:type="dxa"/>
            <w:shd w:val="clear" w:color="auto" w:fill="auto"/>
            <w:vAlign w:val="center"/>
          </w:tcPr>
          <w:p>
            <w:pPr>
              <w:widowControl/>
              <w:spacing w:line="360" w:lineRule="exact"/>
              <w:jc w:val="center"/>
              <w:rPr>
                <w:color w:val="auto"/>
                <w:kern w:val="0"/>
                <w:szCs w:val="21"/>
              </w:rPr>
            </w:pPr>
            <w:r>
              <w:rPr>
                <w:color w:val="auto"/>
                <w:kern w:val="0"/>
                <w:szCs w:val="21"/>
              </w:rPr>
              <w:t>第3次</w:t>
            </w:r>
          </w:p>
        </w:tc>
        <w:tc>
          <w:tcPr>
            <w:tcW w:w="890" w:type="dxa"/>
            <w:shd w:val="clear" w:color="auto" w:fill="auto"/>
            <w:vAlign w:val="center"/>
          </w:tcPr>
          <w:p>
            <w:pPr>
              <w:widowControl/>
              <w:spacing w:line="360" w:lineRule="exact"/>
              <w:jc w:val="center"/>
              <w:rPr>
                <w:color w:val="auto"/>
                <w:kern w:val="0"/>
                <w:szCs w:val="21"/>
              </w:rPr>
            </w:pPr>
            <w:r>
              <w:rPr>
                <w:color w:val="auto"/>
                <w:kern w:val="0"/>
                <w:szCs w:val="21"/>
              </w:rPr>
              <w:t>第4次</w:t>
            </w:r>
          </w:p>
        </w:tc>
        <w:tc>
          <w:tcPr>
            <w:tcW w:w="947" w:type="dxa"/>
            <w:shd w:val="clear" w:color="auto" w:fill="auto"/>
            <w:vAlign w:val="center"/>
          </w:tcPr>
          <w:p>
            <w:pPr>
              <w:widowControl/>
              <w:spacing w:line="360" w:lineRule="exact"/>
              <w:jc w:val="center"/>
              <w:rPr>
                <w:color w:val="auto"/>
                <w:kern w:val="0"/>
                <w:szCs w:val="21"/>
              </w:rPr>
            </w:pPr>
            <w:r>
              <w:rPr>
                <w:color w:val="auto"/>
                <w:kern w:val="0"/>
                <w:szCs w:val="21"/>
              </w:rPr>
              <w:t>平均值/ 范围</w:t>
            </w:r>
          </w:p>
        </w:tc>
        <w:tc>
          <w:tcPr>
            <w:tcW w:w="704" w:type="dxa"/>
            <w:shd w:val="clear" w:color="auto" w:fill="auto"/>
            <w:vAlign w:val="center"/>
          </w:tcPr>
          <w:p>
            <w:pPr>
              <w:widowControl/>
              <w:spacing w:line="360" w:lineRule="exact"/>
              <w:jc w:val="center"/>
              <w:rPr>
                <w:color w:val="auto"/>
                <w:kern w:val="0"/>
                <w:szCs w:val="21"/>
              </w:rPr>
            </w:pPr>
            <w:r>
              <w:rPr>
                <w:color w:val="auto"/>
                <w:kern w:val="0"/>
                <w:szCs w:val="21"/>
              </w:rPr>
              <w:t>标准 限值</w:t>
            </w:r>
          </w:p>
        </w:tc>
        <w:tc>
          <w:tcPr>
            <w:tcW w:w="806" w:type="dxa"/>
            <w:shd w:val="clear" w:color="auto" w:fill="auto"/>
            <w:vAlign w:val="center"/>
          </w:tcPr>
          <w:p>
            <w:pPr>
              <w:widowControl/>
              <w:spacing w:line="360" w:lineRule="exact"/>
              <w:jc w:val="center"/>
              <w:rPr>
                <w:color w:val="auto"/>
                <w:kern w:val="0"/>
                <w:szCs w:val="21"/>
              </w:rPr>
            </w:pPr>
            <w:r>
              <w:rPr>
                <w:color w:val="auto"/>
                <w:kern w:val="0"/>
                <w:szCs w:val="21"/>
              </w:rPr>
              <w:t>是否达标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restart"/>
            <w:shd w:val="clear" w:color="auto" w:fill="auto"/>
            <w:vAlign w:val="center"/>
          </w:tcPr>
          <w:p>
            <w:pPr>
              <w:widowControl/>
              <w:spacing w:line="360" w:lineRule="exact"/>
              <w:jc w:val="center"/>
              <w:rPr>
                <w:color w:val="auto"/>
                <w:szCs w:val="20"/>
              </w:rPr>
            </w:pPr>
            <w:r>
              <w:rPr>
                <w:color w:val="auto"/>
                <w:szCs w:val="20"/>
              </w:rPr>
              <w:t>2022.5.6</w:t>
            </w:r>
          </w:p>
        </w:tc>
        <w:tc>
          <w:tcPr>
            <w:tcW w:w="1758" w:type="dxa"/>
            <w:shd w:val="clear" w:color="auto" w:fill="auto"/>
            <w:vAlign w:val="center"/>
          </w:tcPr>
          <w:p>
            <w:pPr>
              <w:widowControl/>
              <w:spacing w:line="360" w:lineRule="exact"/>
              <w:jc w:val="center"/>
              <w:rPr>
                <w:color w:val="auto"/>
                <w:kern w:val="0"/>
                <w:szCs w:val="21"/>
              </w:rPr>
            </w:pPr>
            <w:r>
              <w:rPr>
                <w:color w:val="auto"/>
                <w:szCs w:val="20"/>
              </w:rPr>
              <w:t>PH</w:t>
            </w:r>
          </w:p>
        </w:tc>
        <w:tc>
          <w:tcPr>
            <w:tcW w:w="874" w:type="dxa"/>
            <w:shd w:val="clear" w:color="auto" w:fill="auto"/>
            <w:vAlign w:val="center"/>
          </w:tcPr>
          <w:p>
            <w:pPr>
              <w:widowControl/>
              <w:spacing w:line="360" w:lineRule="exact"/>
              <w:jc w:val="center"/>
              <w:rPr>
                <w:color w:val="auto"/>
                <w:kern w:val="0"/>
                <w:szCs w:val="21"/>
              </w:rPr>
            </w:pPr>
            <w:r>
              <w:rPr>
                <w:color w:val="auto"/>
                <w:szCs w:val="20"/>
              </w:rPr>
              <w:t>无量纲</w:t>
            </w:r>
          </w:p>
        </w:tc>
        <w:tc>
          <w:tcPr>
            <w:tcW w:w="860" w:type="dxa"/>
            <w:shd w:val="clear" w:color="auto" w:fill="auto"/>
            <w:vAlign w:val="center"/>
          </w:tcPr>
          <w:p>
            <w:pPr>
              <w:widowControl/>
              <w:spacing w:line="360" w:lineRule="exact"/>
              <w:jc w:val="center"/>
              <w:rPr>
                <w:color w:val="auto"/>
                <w:kern w:val="0"/>
                <w:szCs w:val="21"/>
              </w:rPr>
            </w:pPr>
            <w:r>
              <w:rPr>
                <w:color w:val="auto"/>
                <w:szCs w:val="20"/>
              </w:rPr>
              <w:t>7.5</w:t>
            </w:r>
          </w:p>
        </w:tc>
        <w:tc>
          <w:tcPr>
            <w:tcW w:w="762" w:type="dxa"/>
            <w:shd w:val="clear" w:color="auto" w:fill="auto"/>
            <w:vAlign w:val="center"/>
          </w:tcPr>
          <w:p>
            <w:pPr>
              <w:widowControl/>
              <w:spacing w:line="360" w:lineRule="exact"/>
              <w:jc w:val="center"/>
              <w:rPr>
                <w:color w:val="auto"/>
                <w:kern w:val="0"/>
                <w:szCs w:val="21"/>
              </w:rPr>
            </w:pPr>
            <w:r>
              <w:rPr>
                <w:color w:val="auto"/>
                <w:szCs w:val="20"/>
              </w:rPr>
              <w:t>7.4</w:t>
            </w:r>
          </w:p>
        </w:tc>
        <w:tc>
          <w:tcPr>
            <w:tcW w:w="702" w:type="dxa"/>
            <w:shd w:val="clear" w:color="auto" w:fill="auto"/>
            <w:vAlign w:val="center"/>
          </w:tcPr>
          <w:p>
            <w:pPr>
              <w:widowControl/>
              <w:spacing w:line="360" w:lineRule="exact"/>
              <w:jc w:val="center"/>
              <w:rPr>
                <w:color w:val="auto"/>
                <w:kern w:val="0"/>
                <w:szCs w:val="21"/>
              </w:rPr>
            </w:pPr>
            <w:r>
              <w:rPr>
                <w:color w:val="auto"/>
                <w:szCs w:val="20"/>
              </w:rPr>
              <w:t>7.5</w:t>
            </w:r>
          </w:p>
        </w:tc>
        <w:tc>
          <w:tcPr>
            <w:tcW w:w="704" w:type="dxa"/>
            <w:shd w:val="clear" w:color="auto" w:fill="auto"/>
            <w:vAlign w:val="center"/>
          </w:tcPr>
          <w:p>
            <w:pPr>
              <w:widowControl/>
              <w:spacing w:line="360" w:lineRule="exact"/>
              <w:jc w:val="center"/>
              <w:rPr>
                <w:color w:val="auto"/>
                <w:kern w:val="0"/>
                <w:szCs w:val="21"/>
              </w:rPr>
            </w:pPr>
            <w:r>
              <w:rPr>
                <w:color w:val="auto"/>
                <w:szCs w:val="20"/>
              </w:rPr>
              <w:t>7.4</w:t>
            </w:r>
          </w:p>
        </w:tc>
        <w:tc>
          <w:tcPr>
            <w:tcW w:w="863" w:type="dxa"/>
            <w:shd w:val="clear" w:color="auto" w:fill="auto"/>
            <w:vAlign w:val="center"/>
          </w:tcPr>
          <w:p>
            <w:pPr>
              <w:widowControl/>
              <w:spacing w:line="360" w:lineRule="exact"/>
              <w:jc w:val="center"/>
              <w:rPr>
                <w:color w:val="auto"/>
                <w:kern w:val="0"/>
                <w:szCs w:val="21"/>
              </w:rPr>
            </w:pPr>
            <w:r>
              <w:rPr>
                <w:color w:val="auto"/>
                <w:szCs w:val="20"/>
              </w:rPr>
              <w:t>7.4~7.5</w:t>
            </w:r>
          </w:p>
        </w:tc>
        <w:tc>
          <w:tcPr>
            <w:tcW w:w="975" w:type="dxa"/>
            <w:shd w:val="clear" w:color="auto" w:fill="auto"/>
            <w:vAlign w:val="center"/>
          </w:tcPr>
          <w:p>
            <w:pPr>
              <w:widowControl/>
              <w:spacing w:line="360" w:lineRule="exact"/>
              <w:jc w:val="center"/>
              <w:rPr>
                <w:color w:val="auto"/>
                <w:kern w:val="0"/>
                <w:szCs w:val="21"/>
              </w:rPr>
            </w:pPr>
            <w:r>
              <w:rPr>
                <w:color w:val="auto"/>
                <w:szCs w:val="20"/>
              </w:rPr>
              <w:t>6.4</w:t>
            </w:r>
          </w:p>
        </w:tc>
        <w:tc>
          <w:tcPr>
            <w:tcW w:w="901" w:type="dxa"/>
            <w:shd w:val="clear" w:color="auto" w:fill="auto"/>
            <w:vAlign w:val="center"/>
          </w:tcPr>
          <w:p>
            <w:pPr>
              <w:widowControl/>
              <w:spacing w:line="360" w:lineRule="exact"/>
              <w:jc w:val="center"/>
              <w:rPr>
                <w:color w:val="auto"/>
                <w:kern w:val="0"/>
                <w:szCs w:val="21"/>
              </w:rPr>
            </w:pPr>
            <w:r>
              <w:rPr>
                <w:color w:val="auto"/>
                <w:szCs w:val="20"/>
              </w:rPr>
              <w:t>6.5</w:t>
            </w:r>
          </w:p>
        </w:tc>
        <w:tc>
          <w:tcPr>
            <w:tcW w:w="937" w:type="dxa"/>
            <w:shd w:val="clear" w:color="auto" w:fill="auto"/>
            <w:vAlign w:val="center"/>
          </w:tcPr>
          <w:p>
            <w:pPr>
              <w:widowControl/>
              <w:spacing w:line="360" w:lineRule="exact"/>
              <w:jc w:val="center"/>
              <w:rPr>
                <w:color w:val="auto"/>
                <w:kern w:val="0"/>
                <w:szCs w:val="21"/>
              </w:rPr>
            </w:pPr>
            <w:r>
              <w:rPr>
                <w:color w:val="auto"/>
                <w:szCs w:val="20"/>
              </w:rPr>
              <w:t>6.3</w:t>
            </w:r>
          </w:p>
        </w:tc>
        <w:tc>
          <w:tcPr>
            <w:tcW w:w="890" w:type="dxa"/>
            <w:shd w:val="clear" w:color="auto" w:fill="auto"/>
            <w:vAlign w:val="center"/>
          </w:tcPr>
          <w:p>
            <w:pPr>
              <w:widowControl/>
              <w:spacing w:line="360" w:lineRule="exact"/>
              <w:jc w:val="center"/>
              <w:rPr>
                <w:color w:val="auto"/>
                <w:kern w:val="0"/>
                <w:szCs w:val="21"/>
              </w:rPr>
            </w:pPr>
            <w:r>
              <w:rPr>
                <w:color w:val="auto"/>
                <w:szCs w:val="20"/>
              </w:rPr>
              <w:t>6.4</w:t>
            </w:r>
          </w:p>
        </w:tc>
        <w:tc>
          <w:tcPr>
            <w:tcW w:w="947" w:type="dxa"/>
            <w:shd w:val="clear" w:color="auto" w:fill="auto"/>
            <w:vAlign w:val="center"/>
          </w:tcPr>
          <w:p>
            <w:pPr>
              <w:widowControl/>
              <w:spacing w:line="360" w:lineRule="exact"/>
              <w:jc w:val="center"/>
              <w:rPr>
                <w:color w:val="auto"/>
                <w:kern w:val="0"/>
                <w:szCs w:val="21"/>
              </w:rPr>
            </w:pPr>
            <w:r>
              <w:rPr>
                <w:color w:val="auto"/>
                <w:szCs w:val="20"/>
              </w:rPr>
              <w:t>6.3~</w:t>
            </w:r>
            <w:r>
              <w:rPr>
                <w:color w:val="auto"/>
              </w:rPr>
              <w:t>6.5</w:t>
            </w:r>
          </w:p>
        </w:tc>
        <w:tc>
          <w:tcPr>
            <w:tcW w:w="704" w:type="dxa"/>
            <w:shd w:val="clear" w:color="auto" w:fill="auto"/>
            <w:vAlign w:val="center"/>
          </w:tcPr>
          <w:p>
            <w:pPr>
              <w:widowControl/>
              <w:spacing w:line="360" w:lineRule="exact"/>
              <w:jc w:val="center"/>
              <w:rPr>
                <w:color w:val="auto"/>
                <w:kern w:val="0"/>
                <w:szCs w:val="21"/>
              </w:rPr>
            </w:pPr>
            <w:r>
              <w:rPr>
                <w:color w:val="auto"/>
                <w:szCs w:val="20"/>
              </w:rPr>
              <w:t>6~9</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szCs w:val="20"/>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氨氮</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szCs w:val="20"/>
              </w:rPr>
              <w:t>7.82</w:t>
            </w:r>
          </w:p>
        </w:tc>
        <w:tc>
          <w:tcPr>
            <w:tcW w:w="762" w:type="dxa"/>
            <w:shd w:val="clear" w:color="auto" w:fill="auto"/>
            <w:vAlign w:val="center"/>
          </w:tcPr>
          <w:p>
            <w:pPr>
              <w:widowControl/>
              <w:spacing w:line="360" w:lineRule="exact"/>
              <w:jc w:val="center"/>
              <w:rPr>
                <w:color w:val="auto"/>
                <w:kern w:val="0"/>
                <w:szCs w:val="21"/>
              </w:rPr>
            </w:pPr>
            <w:r>
              <w:rPr>
                <w:color w:val="auto"/>
                <w:szCs w:val="20"/>
              </w:rPr>
              <w:t>7.65</w:t>
            </w:r>
          </w:p>
        </w:tc>
        <w:tc>
          <w:tcPr>
            <w:tcW w:w="702" w:type="dxa"/>
            <w:shd w:val="clear" w:color="auto" w:fill="auto"/>
            <w:vAlign w:val="center"/>
          </w:tcPr>
          <w:p>
            <w:pPr>
              <w:widowControl/>
              <w:spacing w:line="360" w:lineRule="exact"/>
              <w:jc w:val="center"/>
              <w:rPr>
                <w:color w:val="auto"/>
                <w:kern w:val="0"/>
                <w:szCs w:val="21"/>
              </w:rPr>
            </w:pPr>
            <w:r>
              <w:rPr>
                <w:color w:val="auto"/>
                <w:szCs w:val="20"/>
              </w:rPr>
              <w:t>7.26</w:t>
            </w:r>
          </w:p>
        </w:tc>
        <w:tc>
          <w:tcPr>
            <w:tcW w:w="704" w:type="dxa"/>
            <w:shd w:val="clear" w:color="auto" w:fill="auto"/>
            <w:vAlign w:val="center"/>
          </w:tcPr>
          <w:p>
            <w:pPr>
              <w:widowControl/>
              <w:spacing w:line="360" w:lineRule="exact"/>
              <w:jc w:val="center"/>
              <w:rPr>
                <w:color w:val="auto"/>
                <w:kern w:val="0"/>
                <w:szCs w:val="21"/>
              </w:rPr>
            </w:pPr>
            <w:r>
              <w:rPr>
                <w:color w:val="auto"/>
                <w:szCs w:val="20"/>
              </w:rPr>
              <w:t>7.37</w:t>
            </w:r>
          </w:p>
        </w:tc>
        <w:tc>
          <w:tcPr>
            <w:tcW w:w="863" w:type="dxa"/>
            <w:shd w:val="clear" w:color="auto" w:fill="auto"/>
            <w:vAlign w:val="center"/>
          </w:tcPr>
          <w:p>
            <w:pPr>
              <w:widowControl/>
              <w:spacing w:line="360" w:lineRule="exact"/>
              <w:jc w:val="center"/>
              <w:rPr>
                <w:color w:val="auto"/>
                <w:kern w:val="0"/>
                <w:szCs w:val="21"/>
              </w:rPr>
            </w:pPr>
            <w:r>
              <w:rPr>
                <w:color w:val="auto"/>
                <w:szCs w:val="20"/>
              </w:rPr>
              <w:t>7.52</w:t>
            </w:r>
          </w:p>
        </w:tc>
        <w:tc>
          <w:tcPr>
            <w:tcW w:w="975" w:type="dxa"/>
            <w:shd w:val="clear" w:color="auto" w:fill="auto"/>
            <w:vAlign w:val="center"/>
          </w:tcPr>
          <w:p>
            <w:pPr>
              <w:widowControl/>
              <w:spacing w:line="360" w:lineRule="exact"/>
              <w:jc w:val="center"/>
              <w:rPr>
                <w:color w:val="auto"/>
                <w:kern w:val="0"/>
                <w:szCs w:val="21"/>
              </w:rPr>
            </w:pPr>
            <w:r>
              <w:rPr>
                <w:color w:val="auto"/>
                <w:szCs w:val="20"/>
              </w:rPr>
              <w:t>0.573</w:t>
            </w:r>
          </w:p>
        </w:tc>
        <w:tc>
          <w:tcPr>
            <w:tcW w:w="901" w:type="dxa"/>
            <w:shd w:val="clear" w:color="auto" w:fill="auto"/>
            <w:vAlign w:val="center"/>
          </w:tcPr>
          <w:p>
            <w:pPr>
              <w:widowControl/>
              <w:spacing w:line="360" w:lineRule="exact"/>
              <w:jc w:val="center"/>
              <w:rPr>
                <w:color w:val="auto"/>
                <w:kern w:val="0"/>
                <w:szCs w:val="21"/>
              </w:rPr>
            </w:pPr>
            <w:r>
              <w:rPr>
                <w:color w:val="auto"/>
                <w:szCs w:val="20"/>
              </w:rPr>
              <w:t>0.516</w:t>
            </w:r>
          </w:p>
        </w:tc>
        <w:tc>
          <w:tcPr>
            <w:tcW w:w="937" w:type="dxa"/>
            <w:shd w:val="clear" w:color="auto" w:fill="auto"/>
            <w:vAlign w:val="center"/>
          </w:tcPr>
          <w:p>
            <w:pPr>
              <w:widowControl/>
              <w:spacing w:line="360" w:lineRule="exact"/>
              <w:jc w:val="center"/>
              <w:rPr>
                <w:color w:val="auto"/>
                <w:kern w:val="0"/>
                <w:szCs w:val="21"/>
              </w:rPr>
            </w:pPr>
            <w:r>
              <w:rPr>
                <w:color w:val="auto"/>
                <w:szCs w:val="20"/>
              </w:rPr>
              <w:t>0.329</w:t>
            </w:r>
          </w:p>
        </w:tc>
        <w:tc>
          <w:tcPr>
            <w:tcW w:w="890" w:type="dxa"/>
            <w:shd w:val="clear" w:color="auto" w:fill="auto"/>
            <w:vAlign w:val="center"/>
          </w:tcPr>
          <w:p>
            <w:pPr>
              <w:widowControl/>
              <w:spacing w:line="360" w:lineRule="exact"/>
              <w:jc w:val="center"/>
              <w:rPr>
                <w:color w:val="auto"/>
                <w:kern w:val="0"/>
                <w:szCs w:val="21"/>
              </w:rPr>
            </w:pPr>
            <w:r>
              <w:rPr>
                <w:color w:val="auto"/>
                <w:szCs w:val="20"/>
              </w:rPr>
              <w:t>0.426</w:t>
            </w:r>
          </w:p>
        </w:tc>
        <w:tc>
          <w:tcPr>
            <w:tcW w:w="947" w:type="dxa"/>
            <w:shd w:val="clear" w:color="auto" w:fill="auto"/>
            <w:vAlign w:val="center"/>
          </w:tcPr>
          <w:p>
            <w:pPr>
              <w:widowControl/>
              <w:spacing w:line="360" w:lineRule="exact"/>
              <w:jc w:val="center"/>
              <w:rPr>
                <w:color w:val="auto"/>
                <w:kern w:val="0"/>
                <w:szCs w:val="21"/>
              </w:rPr>
            </w:pPr>
            <w:r>
              <w:rPr>
                <w:color w:val="auto"/>
                <w:szCs w:val="20"/>
              </w:rPr>
              <w:t>0.461</w:t>
            </w:r>
          </w:p>
        </w:tc>
        <w:tc>
          <w:tcPr>
            <w:tcW w:w="704" w:type="dxa"/>
            <w:shd w:val="clear" w:color="auto" w:fill="auto"/>
            <w:vAlign w:val="center"/>
          </w:tcPr>
          <w:p>
            <w:pPr>
              <w:widowControl/>
              <w:spacing w:line="360" w:lineRule="exact"/>
              <w:jc w:val="center"/>
              <w:rPr>
                <w:color w:val="auto"/>
                <w:kern w:val="0"/>
                <w:szCs w:val="21"/>
              </w:rPr>
            </w:pPr>
            <w:r>
              <w:rPr>
                <w:color w:val="auto"/>
                <w:szCs w:val="20"/>
              </w:rPr>
              <w:t>8</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szCs w:val="20"/>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总余氯</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szCs w:val="20"/>
              </w:rPr>
              <w:t>1.86</w:t>
            </w:r>
          </w:p>
        </w:tc>
        <w:tc>
          <w:tcPr>
            <w:tcW w:w="762" w:type="dxa"/>
            <w:shd w:val="clear" w:color="auto" w:fill="auto"/>
            <w:vAlign w:val="center"/>
          </w:tcPr>
          <w:p>
            <w:pPr>
              <w:widowControl/>
              <w:spacing w:line="360" w:lineRule="exact"/>
              <w:jc w:val="center"/>
              <w:rPr>
                <w:color w:val="auto"/>
                <w:kern w:val="0"/>
                <w:szCs w:val="21"/>
              </w:rPr>
            </w:pPr>
            <w:r>
              <w:rPr>
                <w:color w:val="auto"/>
                <w:szCs w:val="20"/>
              </w:rPr>
              <w:t>1.93</w:t>
            </w:r>
          </w:p>
        </w:tc>
        <w:tc>
          <w:tcPr>
            <w:tcW w:w="702" w:type="dxa"/>
            <w:shd w:val="clear" w:color="auto" w:fill="auto"/>
            <w:vAlign w:val="center"/>
          </w:tcPr>
          <w:p>
            <w:pPr>
              <w:widowControl/>
              <w:spacing w:line="360" w:lineRule="exact"/>
              <w:jc w:val="center"/>
              <w:rPr>
                <w:color w:val="auto"/>
                <w:kern w:val="0"/>
                <w:szCs w:val="21"/>
              </w:rPr>
            </w:pPr>
            <w:r>
              <w:rPr>
                <w:color w:val="auto"/>
                <w:szCs w:val="20"/>
              </w:rPr>
              <w:t>1.64</w:t>
            </w:r>
          </w:p>
        </w:tc>
        <w:tc>
          <w:tcPr>
            <w:tcW w:w="704" w:type="dxa"/>
            <w:shd w:val="clear" w:color="auto" w:fill="auto"/>
            <w:vAlign w:val="center"/>
          </w:tcPr>
          <w:p>
            <w:pPr>
              <w:widowControl/>
              <w:spacing w:line="360" w:lineRule="exact"/>
              <w:jc w:val="center"/>
              <w:rPr>
                <w:color w:val="auto"/>
                <w:kern w:val="0"/>
                <w:szCs w:val="21"/>
              </w:rPr>
            </w:pPr>
            <w:r>
              <w:rPr>
                <w:color w:val="auto"/>
                <w:szCs w:val="20"/>
              </w:rPr>
              <w:t>1.7</w:t>
            </w:r>
          </w:p>
        </w:tc>
        <w:tc>
          <w:tcPr>
            <w:tcW w:w="863" w:type="dxa"/>
            <w:shd w:val="clear" w:color="auto" w:fill="auto"/>
            <w:vAlign w:val="center"/>
          </w:tcPr>
          <w:p>
            <w:pPr>
              <w:widowControl/>
              <w:spacing w:line="360" w:lineRule="exact"/>
              <w:jc w:val="center"/>
              <w:rPr>
                <w:color w:val="auto"/>
                <w:kern w:val="0"/>
                <w:szCs w:val="21"/>
              </w:rPr>
            </w:pPr>
            <w:r>
              <w:rPr>
                <w:color w:val="auto"/>
                <w:szCs w:val="20"/>
              </w:rPr>
              <w:t>1.78</w:t>
            </w:r>
          </w:p>
        </w:tc>
        <w:tc>
          <w:tcPr>
            <w:tcW w:w="975" w:type="dxa"/>
            <w:shd w:val="clear" w:color="auto" w:fill="auto"/>
            <w:vAlign w:val="center"/>
          </w:tcPr>
          <w:p>
            <w:pPr>
              <w:widowControl/>
              <w:spacing w:line="360" w:lineRule="exact"/>
              <w:jc w:val="center"/>
              <w:rPr>
                <w:color w:val="auto"/>
                <w:kern w:val="0"/>
                <w:szCs w:val="21"/>
              </w:rPr>
            </w:pPr>
            <w:r>
              <w:rPr>
                <w:color w:val="auto"/>
                <w:szCs w:val="20"/>
              </w:rPr>
              <w:t>0.48</w:t>
            </w:r>
          </w:p>
        </w:tc>
        <w:tc>
          <w:tcPr>
            <w:tcW w:w="901" w:type="dxa"/>
            <w:shd w:val="clear" w:color="auto" w:fill="auto"/>
            <w:vAlign w:val="center"/>
          </w:tcPr>
          <w:p>
            <w:pPr>
              <w:widowControl/>
              <w:spacing w:line="360" w:lineRule="exact"/>
              <w:jc w:val="center"/>
              <w:rPr>
                <w:color w:val="auto"/>
                <w:kern w:val="0"/>
                <w:szCs w:val="21"/>
              </w:rPr>
            </w:pPr>
            <w:r>
              <w:rPr>
                <w:color w:val="auto"/>
                <w:szCs w:val="20"/>
              </w:rPr>
              <w:t>0.42</w:t>
            </w:r>
          </w:p>
        </w:tc>
        <w:tc>
          <w:tcPr>
            <w:tcW w:w="937" w:type="dxa"/>
            <w:shd w:val="clear" w:color="auto" w:fill="auto"/>
            <w:vAlign w:val="center"/>
          </w:tcPr>
          <w:p>
            <w:pPr>
              <w:widowControl/>
              <w:spacing w:line="360" w:lineRule="exact"/>
              <w:jc w:val="center"/>
              <w:rPr>
                <w:color w:val="auto"/>
                <w:kern w:val="0"/>
                <w:szCs w:val="21"/>
              </w:rPr>
            </w:pPr>
            <w:r>
              <w:rPr>
                <w:color w:val="auto"/>
                <w:szCs w:val="20"/>
              </w:rPr>
              <w:t>0.39</w:t>
            </w:r>
          </w:p>
        </w:tc>
        <w:tc>
          <w:tcPr>
            <w:tcW w:w="890" w:type="dxa"/>
            <w:shd w:val="clear" w:color="auto" w:fill="auto"/>
            <w:vAlign w:val="center"/>
          </w:tcPr>
          <w:p>
            <w:pPr>
              <w:widowControl/>
              <w:spacing w:line="360" w:lineRule="exact"/>
              <w:jc w:val="center"/>
              <w:rPr>
                <w:color w:val="auto"/>
                <w:kern w:val="0"/>
                <w:szCs w:val="21"/>
              </w:rPr>
            </w:pPr>
            <w:r>
              <w:rPr>
                <w:color w:val="auto"/>
                <w:szCs w:val="20"/>
              </w:rPr>
              <w:t>0.49</w:t>
            </w:r>
          </w:p>
        </w:tc>
        <w:tc>
          <w:tcPr>
            <w:tcW w:w="947" w:type="dxa"/>
            <w:shd w:val="clear" w:color="auto" w:fill="auto"/>
            <w:vAlign w:val="center"/>
          </w:tcPr>
          <w:p>
            <w:pPr>
              <w:widowControl/>
              <w:spacing w:line="360" w:lineRule="exact"/>
              <w:jc w:val="center"/>
              <w:rPr>
                <w:color w:val="auto"/>
                <w:kern w:val="0"/>
                <w:szCs w:val="21"/>
              </w:rPr>
            </w:pPr>
            <w:r>
              <w:rPr>
                <w:color w:val="auto"/>
                <w:szCs w:val="20"/>
              </w:rPr>
              <w:t>0.44</w:t>
            </w:r>
          </w:p>
        </w:tc>
        <w:tc>
          <w:tcPr>
            <w:tcW w:w="704" w:type="dxa"/>
            <w:shd w:val="clear" w:color="auto" w:fill="auto"/>
            <w:vAlign w:val="center"/>
          </w:tcPr>
          <w:p>
            <w:pPr>
              <w:widowControl/>
              <w:spacing w:line="360" w:lineRule="exact"/>
              <w:jc w:val="center"/>
              <w:rPr>
                <w:color w:val="auto"/>
                <w:kern w:val="0"/>
                <w:szCs w:val="21"/>
              </w:rPr>
            </w:pPr>
            <w:r>
              <w:rPr>
                <w:color w:val="auto"/>
                <w:szCs w:val="20"/>
              </w:rPr>
              <w:t>3~10</w:t>
            </w:r>
            <w:r>
              <w:rPr>
                <w:color w:val="auto"/>
                <w:kern w:val="0"/>
                <w:szCs w:val="21"/>
              </w:rPr>
              <w:t xml:space="preserve"> </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szCs w:val="20"/>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化学需氧量</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szCs w:val="20"/>
              </w:rPr>
              <w:t>1920</w:t>
            </w:r>
          </w:p>
        </w:tc>
        <w:tc>
          <w:tcPr>
            <w:tcW w:w="762" w:type="dxa"/>
            <w:shd w:val="clear" w:color="auto" w:fill="auto"/>
            <w:vAlign w:val="center"/>
          </w:tcPr>
          <w:p>
            <w:pPr>
              <w:widowControl/>
              <w:spacing w:line="360" w:lineRule="exact"/>
              <w:jc w:val="center"/>
              <w:rPr>
                <w:color w:val="auto"/>
                <w:kern w:val="0"/>
                <w:szCs w:val="21"/>
              </w:rPr>
            </w:pPr>
            <w:r>
              <w:rPr>
                <w:color w:val="auto"/>
                <w:szCs w:val="20"/>
              </w:rPr>
              <w:t>1940</w:t>
            </w:r>
          </w:p>
        </w:tc>
        <w:tc>
          <w:tcPr>
            <w:tcW w:w="702" w:type="dxa"/>
            <w:shd w:val="clear" w:color="auto" w:fill="auto"/>
            <w:vAlign w:val="center"/>
          </w:tcPr>
          <w:p>
            <w:pPr>
              <w:widowControl/>
              <w:spacing w:line="360" w:lineRule="exact"/>
              <w:jc w:val="center"/>
              <w:rPr>
                <w:color w:val="auto"/>
                <w:kern w:val="0"/>
                <w:szCs w:val="21"/>
              </w:rPr>
            </w:pPr>
            <w:r>
              <w:rPr>
                <w:color w:val="auto"/>
                <w:szCs w:val="20"/>
              </w:rPr>
              <w:t>1860</w:t>
            </w:r>
          </w:p>
        </w:tc>
        <w:tc>
          <w:tcPr>
            <w:tcW w:w="704" w:type="dxa"/>
            <w:shd w:val="clear" w:color="auto" w:fill="auto"/>
            <w:vAlign w:val="center"/>
          </w:tcPr>
          <w:p>
            <w:pPr>
              <w:widowControl/>
              <w:spacing w:line="360" w:lineRule="exact"/>
              <w:jc w:val="center"/>
              <w:rPr>
                <w:color w:val="auto"/>
                <w:kern w:val="0"/>
                <w:szCs w:val="21"/>
              </w:rPr>
            </w:pPr>
            <w:r>
              <w:rPr>
                <w:color w:val="auto"/>
                <w:szCs w:val="20"/>
              </w:rPr>
              <w:t>1990</w:t>
            </w:r>
          </w:p>
        </w:tc>
        <w:tc>
          <w:tcPr>
            <w:tcW w:w="863" w:type="dxa"/>
            <w:shd w:val="clear" w:color="auto" w:fill="auto"/>
            <w:vAlign w:val="center"/>
          </w:tcPr>
          <w:p>
            <w:pPr>
              <w:widowControl/>
              <w:spacing w:line="360" w:lineRule="exact"/>
              <w:jc w:val="center"/>
              <w:rPr>
                <w:color w:val="auto"/>
                <w:kern w:val="0"/>
                <w:szCs w:val="21"/>
              </w:rPr>
            </w:pPr>
            <w:r>
              <w:rPr>
                <w:color w:val="auto"/>
                <w:szCs w:val="20"/>
              </w:rPr>
              <w:t>1930</w:t>
            </w:r>
          </w:p>
        </w:tc>
        <w:tc>
          <w:tcPr>
            <w:tcW w:w="975" w:type="dxa"/>
            <w:shd w:val="clear" w:color="auto" w:fill="auto"/>
            <w:vAlign w:val="center"/>
          </w:tcPr>
          <w:p>
            <w:pPr>
              <w:widowControl/>
              <w:spacing w:line="360" w:lineRule="exact"/>
              <w:jc w:val="center"/>
              <w:rPr>
                <w:color w:val="auto"/>
                <w:kern w:val="0"/>
                <w:szCs w:val="21"/>
              </w:rPr>
            </w:pPr>
            <w:r>
              <w:rPr>
                <w:color w:val="auto"/>
                <w:szCs w:val="20"/>
              </w:rPr>
              <w:t>28</w:t>
            </w:r>
          </w:p>
        </w:tc>
        <w:tc>
          <w:tcPr>
            <w:tcW w:w="901" w:type="dxa"/>
            <w:shd w:val="clear" w:color="auto" w:fill="auto"/>
            <w:vAlign w:val="center"/>
          </w:tcPr>
          <w:p>
            <w:pPr>
              <w:widowControl/>
              <w:spacing w:line="360" w:lineRule="exact"/>
              <w:jc w:val="center"/>
              <w:rPr>
                <w:color w:val="auto"/>
                <w:kern w:val="0"/>
                <w:szCs w:val="21"/>
              </w:rPr>
            </w:pPr>
            <w:r>
              <w:rPr>
                <w:color w:val="auto"/>
                <w:szCs w:val="20"/>
              </w:rPr>
              <w:t>28</w:t>
            </w:r>
          </w:p>
        </w:tc>
        <w:tc>
          <w:tcPr>
            <w:tcW w:w="937" w:type="dxa"/>
            <w:shd w:val="clear" w:color="auto" w:fill="auto"/>
            <w:vAlign w:val="center"/>
          </w:tcPr>
          <w:p>
            <w:pPr>
              <w:widowControl/>
              <w:spacing w:line="360" w:lineRule="exact"/>
              <w:jc w:val="center"/>
              <w:rPr>
                <w:color w:val="auto"/>
                <w:kern w:val="0"/>
                <w:szCs w:val="21"/>
              </w:rPr>
            </w:pPr>
            <w:r>
              <w:rPr>
                <w:color w:val="auto"/>
                <w:szCs w:val="20"/>
              </w:rPr>
              <w:t>26</w:t>
            </w:r>
          </w:p>
        </w:tc>
        <w:tc>
          <w:tcPr>
            <w:tcW w:w="890" w:type="dxa"/>
            <w:shd w:val="clear" w:color="auto" w:fill="auto"/>
            <w:vAlign w:val="center"/>
          </w:tcPr>
          <w:p>
            <w:pPr>
              <w:widowControl/>
              <w:spacing w:line="360" w:lineRule="exact"/>
              <w:jc w:val="center"/>
              <w:rPr>
                <w:color w:val="auto"/>
                <w:kern w:val="0"/>
                <w:szCs w:val="21"/>
              </w:rPr>
            </w:pPr>
            <w:r>
              <w:rPr>
                <w:color w:val="auto"/>
                <w:szCs w:val="20"/>
              </w:rPr>
              <w:t>26</w:t>
            </w:r>
          </w:p>
        </w:tc>
        <w:tc>
          <w:tcPr>
            <w:tcW w:w="947" w:type="dxa"/>
            <w:shd w:val="clear" w:color="auto" w:fill="auto"/>
            <w:vAlign w:val="center"/>
          </w:tcPr>
          <w:p>
            <w:pPr>
              <w:widowControl/>
              <w:spacing w:line="360" w:lineRule="exact"/>
              <w:jc w:val="center"/>
              <w:rPr>
                <w:color w:val="auto"/>
                <w:kern w:val="0"/>
                <w:szCs w:val="21"/>
              </w:rPr>
            </w:pPr>
            <w:r>
              <w:rPr>
                <w:color w:val="auto"/>
                <w:szCs w:val="20"/>
              </w:rPr>
              <w:t>27</w:t>
            </w:r>
          </w:p>
        </w:tc>
        <w:tc>
          <w:tcPr>
            <w:tcW w:w="704" w:type="dxa"/>
            <w:shd w:val="clear" w:color="auto" w:fill="auto"/>
            <w:vAlign w:val="center"/>
          </w:tcPr>
          <w:p>
            <w:pPr>
              <w:widowControl/>
              <w:spacing w:line="360" w:lineRule="exact"/>
              <w:jc w:val="center"/>
              <w:rPr>
                <w:color w:val="auto"/>
                <w:kern w:val="0"/>
                <w:szCs w:val="21"/>
              </w:rPr>
            </w:pPr>
            <w:r>
              <w:rPr>
                <w:color w:val="auto"/>
                <w:szCs w:val="20"/>
              </w:rPr>
              <w:t>60</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szCs w:val="20"/>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五日生化需氧量</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szCs w:val="20"/>
              </w:rPr>
              <w:t>690</w:t>
            </w:r>
          </w:p>
        </w:tc>
        <w:tc>
          <w:tcPr>
            <w:tcW w:w="762" w:type="dxa"/>
            <w:shd w:val="clear" w:color="auto" w:fill="auto"/>
            <w:vAlign w:val="center"/>
          </w:tcPr>
          <w:p>
            <w:pPr>
              <w:widowControl/>
              <w:spacing w:line="360" w:lineRule="exact"/>
              <w:jc w:val="center"/>
              <w:rPr>
                <w:color w:val="auto"/>
                <w:kern w:val="0"/>
                <w:szCs w:val="21"/>
              </w:rPr>
            </w:pPr>
            <w:r>
              <w:rPr>
                <w:color w:val="auto"/>
                <w:szCs w:val="20"/>
              </w:rPr>
              <w:t>606</w:t>
            </w:r>
          </w:p>
        </w:tc>
        <w:tc>
          <w:tcPr>
            <w:tcW w:w="702" w:type="dxa"/>
            <w:shd w:val="clear" w:color="auto" w:fill="auto"/>
            <w:vAlign w:val="center"/>
          </w:tcPr>
          <w:p>
            <w:pPr>
              <w:widowControl/>
              <w:spacing w:line="360" w:lineRule="exact"/>
              <w:jc w:val="center"/>
              <w:rPr>
                <w:color w:val="auto"/>
                <w:kern w:val="0"/>
                <w:szCs w:val="21"/>
              </w:rPr>
            </w:pPr>
            <w:r>
              <w:rPr>
                <w:color w:val="auto"/>
                <w:szCs w:val="20"/>
              </w:rPr>
              <w:t>658</w:t>
            </w:r>
          </w:p>
        </w:tc>
        <w:tc>
          <w:tcPr>
            <w:tcW w:w="704" w:type="dxa"/>
            <w:shd w:val="clear" w:color="auto" w:fill="auto"/>
            <w:vAlign w:val="center"/>
          </w:tcPr>
          <w:p>
            <w:pPr>
              <w:widowControl/>
              <w:spacing w:line="360" w:lineRule="exact"/>
              <w:jc w:val="center"/>
              <w:rPr>
                <w:color w:val="auto"/>
                <w:kern w:val="0"/>
                <w:szCs w:val="21"/>
              </w:rPr>
            </w:pPr>
            <w:r>
              <w:rPr>
                <w:color w:val="auto"/>
                <w:szCs w:val="20"/>
              </w:rPr>
              <w:t>610</w:t>
            </w:r>
          </w:p>
        </w:tc>
        <w:tc>
          <w:tcPr>
            <w:tcW w:w="863" w:type="dxa"/>
            <w:shd w:val="clear" w:color="auto" w:fill="auto"/>
            <w:vAlign w:val="center"/>
          </w:tcPr>
          <w:p>
            <w:pPr>
              <w:widowControl/>
              <w:spacing w:line="360" w:lineRule="exact"/>
              <w:jc w:val="center"/>
              <w:rPr>
                <w:color w:val="auto"/>
                <w:kern w:val="0"/>
                <w:szCs w:val="21"/>
              </w:rPr>
            </w:pPr>
            <w:r>
              <w:rPr>
                <w:color w:val="auto"/>
                <w:szCs w:val="20"/>
              </w:rPr>
              <w:t>641</w:t>
            </w:r>
          </w:p>
        </w:tc>
        <w:tc>
          <w:tcPr>
            <w:tcW w:w="975" w:type="dxa"/>
            <w:shd w:val="clear" w:color="auto" w:fill="auto"/>
            <w:vAlign w:val="center"/>
          </w:tcPr>
          <w:p>
            <w:pPr>
              <w:widowControl/>
              <w:spacing w:line="360" w:lineRule="exact"/>
              <w:jc w:val="center"/>
              <w:rPr>
                <w:color w:val="auto"/>
                <w:kern w:val="0"/>
                <w:szCs w:val="21"/>
              </w:rPr>
            </w:pPr>
            <w:r>
              <w:rPr>
                <w:color w:val="auto"/>
                <w:szCs w:val="20"/>
              </w:rPr>
              <w:t>9.9</w:t>
            </w:r>
          </w:p>
        </w:tc>
        <w:tc>
          <w:tcPr>
            <w:tcW w:w="901" w:type="dxa"/>
            <w:shd w:val="clear" w:color="auto" w:fill="auto"/>
            <w:vAlign w:val="center"/>
          </w:tcPr>
          <w:p>
            <w:pPr>
              <w:widowControl/>
              <w:spacing w:line="360" w:lineRule="exact"/>
              <w:jc w:val="center"/>
              <w:rPr>
                <w:color w:val="auto"/>
                <w:kern w:val="0"/>
                <w:szCs w:val="21"/>
              </w:rPr>
            </w:pPr>
            <w:r>
              <w:rPr>
                <w:color w:val="auto"/>
                <w:szCs w:val="20"/>
              </w:rPr>
              <w:t>9.2</w:t>
            </w:r>
          </w:p>
        </w:tc>
        <w:tc>
          <w:tcPr>
            <w:tcW w:w="937" w:type="dxa"/>
            <w:shd w:val="clear" w:color="auto" w:fill="auto"/>
            <w:vAlign w:val="center"/>
          </w:tcPr>
          <w:p>
            <w:pPr>
              <w:widowControl/>
              <w:spacing w:line="360" w:lineRule="exact"/>
              <w:jc w:val="center"/>
              <w:rPr>
                <w:color w:val="auto"/>
                <w:kern w:val="0"/>
                <w:szCs w:val="21"/>
              </w:rPr>
            </w:pPr>
            <w:r>
              <w:rPr>
                <w:color w:val="auto"/>
                <w:szCs w:val="20"/>
              </w:rPr>
              <w:t>10.2</w:t>
            </w:r>
          </w:p>
        </w:tc>
        <w:tc>
          <w:tcPr>
            <w:tcW w:w="890" w:type="dxa"/>
            <w:shd w:val="clear" w:color="auto" w:fill="auto"/>
            <w:vAlign w:val="center"/>
          </w:tcPr>
          <w:p>
            <w:pPr>
              <w:widowControl/>
              <w:spacing w:line="360" w:lineRule="exact"/>
              <w:jc w:val="center"/>
              <w:rPr>
                <w:color w:val="auto"/>
                <w:kern w:val="0"/>
                <w:szCs w:val="21"/>
              </w:rPr>
            </w:pPr>
            <w:r>
              <w:rPr>
                <w:color w:val="auto"/>
                <w:szCs w:val="20"/>
              </w:rPr>
              <w:t>10</w:t>
            </w:r>
          </w:p>
        </w:tc>
        <w:tc>
          <w:tcPr>
            <w:tcW w:w="947" w:type="dxa"/>
            <w:shd w:val="clear" w:color="auto" w:fill="auto"/>
            <w:vAlign w:val="center"/>
          </w:tcPr>
          <w:p>
            <w:pPr>
              <w:widowControl/>
              <w:spacing w:line="360" w:lineRule="exact"/>
              <w:jc w:val="center"/>
              <w:rPr>
                <w:color w:val="auto"/>
                <w:kern w:val="0"/>
                <w:szCs w:val="21"/>
              </w:rPr>
            </w:pPr>
            <w:r>
              <w:rPr>
                <w:color w:val="auto"/>
                <w:szCs w:val="20"/>
              </w:rPr>
              <w:t>9.82</w:t>
            </w:r>
          </w:p>
        </w:tc>
        <w:tc>
          <w:tcPr>
            <w:tcW w:w="704" w:type="dxa"/>
            <w:shd w:val="clear" w:color="auto" w:fill="auto"/>
            <w:vAlign w:val="center"/>
          </w:tcPr>
          <w:p>
            <w:pPr>
              <w:widowControl/>
              <w:spacing w:line="360" w:lineRule="exact"/>
              <w:jc w:val="center"/>
              <w:rPr>
                <w:color w:val="auto"/>
                <w:kern w:val="0"/>
                <w:szCs w:val="21"/>
              </w:rPr>
            </w:pPr>
            <w:r>
              <w:rPr>
                <w:color w:val="auto"/>
                <w:szCs w:val="20"/>
              </w:rPr>
              <w:t>10</w:t>
            </w:r>
          </w:p>
        </w:tc>
        <w:tc>
          <w:tcPr>
            <w:tcW w:w="806" w:type="dxa"/>
            <w:shd w:val="clear" w:color="auto" w:fill="auto"/>
            <w:vAlign w:val="center"/>
          </w:tcPr>
          <w:p>
            <w:pPr>
              <w:widowControl/>
              <w:spacing w:line="360" w:lineRule="exact"/>
              <w:jc w:val="center"/>
              <w:rPr>
                <w:color w:val="auto"/>
                <w:kern w:val="0"/>
                <w:szCs w:val="21"/>
              </w:rPr>
            </w:pPr>
            <w:r>
              <w:rPr>
                <w:color w:val="auto"/>
                <w:szCs w:val="20"/>
              </w:rPr>
              <w:t>超标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szCs w:val="20"/>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悬浮物</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szCs w:val="20"/>
              </w:rPr>
              <w:t>48</w:t>
            </w:r>
          </w:p>
        </w:tc>
        <w:tc>
          <w:tcPr>
            <w:tcW w:w="762" w:type="dxa"/>
            <w:shd w:val="clear" w:color="auto" w:fill="auto"/>
            <w:vAlign w:val="center"/>
          </w:tcPr>
          <w:p>
            <w:pPr>
              <w:widowControl/>
              <w:spacing w:line="360" w:lineRule="exact"/>
              <w:jc w:val="center"/>
              <w:rPr>
                <w:color w:val="auto"/>
                <w:kern w:val="0"/>
                <w:szCs w:val="21"/>
              </w:rPr>
            </w:pPr>
            <w:r>
              <w:rPr>
                <w:color w:val="auto"/>
                <w:szCs w:val="20"/>
              </w:rPr>
              <w:t>38</w:t>
            </w:r>
          </w:p>
        </w:tc>
        <w:tc>
          <w:tcPr>
            <w:tcW w:w="702" w:type="dxa"/>
            <w:shd w:val="clear" w:color="auto" w:fill="auto"/>
            <w:vAlign w:val="center"/>
          </w:tcPr>
          <w:p>
            <w:pPr>
              <w:widowControl/>
              <w:spacing w:line="360" w:lineRule="exact"/>
              <w:jc w:val="center"/>
              <w:rPr>
                <w:color w:val="auto"/>
                <w:kern w:val="0"/>
                <w:szCs w:val="21"/>
              </w:rPr>
            </w:pPr>
            <w:r>
              <w:rPr>
                <w:color w:val="auto"/>
                <w:szCs w:val="20"/>
              </w:rPr>
              <w:t>44</w:t>
            </w:r>
          </w:p>
        </w:tc>
        <w:tc>
          <w:tcPr>
            <w:tcW w:w="704" w:type="dxa"/>
            <w:shd w:val="clear" w:color="auto" w:fill="auto"/>
            <w:vAlign w:val="center"/>
          </w:tcPr>
          <w:p>
            <w:pPr>
              <w:widowControl/>
              <w:spacing w:line="360" w:lineRule="exact"/>
              <w:jc w:val="center"/>
              <w:rPr>
                <w:color w:val="auto"/>
                <w:kern w:val="0"/>
                <w:szCs w:val="21"/>
              </w:rPr>
            </w:pPr>
            <w:r>
              <w:rPr>
                <w:color w:val="auto"/>
                <w:szCs w:val="20"/>
              </w:rPr>
              <w:t>41</w:t>
            </w:r>
          </w:p>
        </w:tc>
        <w:tc>
          <w:tcPr>
            <w:tcW w:w="863" w:type="dxa"/>
            <w:shd w:val="clear" w:color="auto" w:fill="auto"/>
            <w:vAlign w:val="center"/>
          </w:tcPr>
          <w:p>
            <w:pPr>
              <w:widowControl/>
              <w:spacing w:line="360" w:lineRule="exact"/>
              <w:jc w:val="center"/>
              <w:rPr>
                <w:color w:val="auto"/>
                <w:kern w:val="0"/>
                <w:szCs w:val="21"/>
              </w:rPr>
            </w:pPr>
            <w:r>
              <w:rPr>
                <w:color w:val="auto"/>
                <w:szCs w:val="20"/>
              </w:rPr>
              <w:t>43</w:t>
            </w:r>
          </w:p>
        </w:tc>
        <w:tc>
          <w:tcPr>
            <w:tcW w:w="975" w:type="dxa"/>
            <w:shd w:val="clear" w:color="auto" w:fill="auto"/>
            <w:vAlign w:val="center"/>
          </w:tcPr>
          <w:p>
            <w:pPr>
              <w:widowControl/>
              <w:spacing w:line="360" w:lineRule="exact"/>
              <w:jc w:val="center"/>
              <w:rPr>
                <w:color w:val="auto"/>
                <w:kern w:val="0"/>
                <w:szCs w:val="21"/>
              </w:rPr>
            </w:pPr>
            <w:r>
              <w:rPr>
                <w:color w:val="auto"/>
                <w:szCs w:val="20"/>
              </w:rPr>
              <w:t>7</w:t>
            </w:r>
          </w:p>
        </w:tc>
        <w:tc>
          <w:tcPr>
            <w:tcW w:w="901" w:type="dxa"/>
            <w:shd w:val="clear" w:color="auto" w:fill="auto"/>
            <w:vAlign w:val="center"/>
          </w:tcPr>
          <w:p>
            <w:pPr>
              <w:widowControl/>
              <w:spacing w:line="360" w:lineRule="exact"/>
              <w:jc w:val="center"/>
              <w:rPr>
                <w:color w:val="auto"/>
                <w:kern w:val="0"/>
                <w:szCs w:val="21"/>
              </w:rPr>
            </w:pPr>
            <w:r>
              <w:rPr>
                <w:color w:val="auto"/>
                <w:szCs w:val="20"/>
              </w:rPr>
              <w:t>7</w:t>
            </w:r>
          </w:p>
        </w:tc>
        <w:tc>
          <w:tcPr>
            <w:tcW w:w="937" w:type="dxa"/>
            <w:shd w:val="clear" w:color="auto" w:fill="auto"/>
            <w:vAlign w:val="center"/>
          </w:tcPr>
          <w:p>
            <w:pPr>
              <w:widowControl/>
              <w:spacing w:line="360" w:lineRule="exact"/>
              <w:jc w:val="center"/>
              <w:rPr>
                <w:color w:val="auto"/>
                <w:kern w:val="0"/>
                <w:szCs w:val="21"/>
              </w:rPr>
            </w:pPr>
            <w:r>
              <w:rPr>
                <w:color w:val="auto"/>
                <w:szCs w:val="20"/>
              </w:rPr>
              <w:t>9</w:t>
            </w:r>
          </w:p>
        </w:tc>
        <w:tc>
          <w:tcPr>
            <w:tcW w:w="890" w:type="dxa"/>
            <w:shd w:val="clear" w:color="auto" w:fill="auto"/>
            <w:vAlign w:val="center"/>
          </w:tcPr>
          <w:p>
            <w:pPr>
              <w:widowControl/>
              <w:spacing w:line="360" w:lineRule="exact"/>
              <w:jc w:val="center"/>
              <w:rPr>
                <w:color w:val="auto"/>
                <w:kern w:val="0"/>
                <w:szCs w:val="21"/>
              </w:rPr>
            </w:pPr>
            <w:r>
              <w:rPr>
                <w:color w:val="auto"/>
                <w:szCs w:val="20"/>
              </w:rPr>
              <w:t>8</w:t>
            </w:r>
          </w:p>
        </w:tc>
        <w:tc>
          <w:tcPr>
            <w:tcW w:w="947" w:type="dxa"/>
            <w:shd w:val="clear" w:color="auto" w:fill="auto"/>
            <w:vAlign w:val="center"/>
          </w:tcPr>
          <w:p>
            <w:pPr>
              <w:widowControl/>
              <w:spacing w:line="360" w:lineRule="exact"/>
              <w:jc w:val="center"/>
              <w:rPr>
                <w:color w:val="auto"/>
                <w:kern w:val="0"/>
                <w:szCs w:val="21"/>
              </w:rPr>
            </w:pPr>
            <w:r>
              <w:rPr>
                <w:color w:val="auto"/>
                <w:szCs w:val="20"/>
              </w:rPr>
              <w:t>8</w:t>
            </w:r>
          </w:p>
        </w:tc>
        <w:tc>
          <w:tcPr>
            <w:tcW w:w="704" w:type="dxa"/>
            <w:shd w:val="clear" w:color="auto" w:fill="auto"/>
            <w:vAlign w:val="center"/>
          </w:tcPr>
          <w:p>
            <w:pPr>
              <w:widowControl/>
              <w:spacing w:line="360" w:lineRule="exact"/>
              <w:jc w:val="center"/>
              <w:rPr>
                <w:color w:val="auto"/>
                <w:kern w:val="0"/>
                <w:szCs w:val="21"/>
              </w:rPr>
            </w:pPr>
            <w:r>
              <w:rPr>
                <w:color w:val="auto"/>
                <w:szCs w:val="20"/>
              </w:rPr>
              <w:t>20</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szCs w:val="20"/>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粪大肠菌群</w:t>
            </w:r>
          </w:p>
        </w:tc>
        <w:tc>
          <w:tcPr>
            <w:tcW w:w="874" w:type="dxa"/>
            <w:shd w:val="clear" w:color="auto" w:fill="auto"/>
            <w:vAlign w:val="center"/>
          </w:tcPr>
          <w:p>
            <w:pPr>
              <w:widowControl/>
              <w:spacing w:line="360" w:lineRule="exact"/>
              <w:jc w:val="center"/>
              <w:rPr>
                <w:color w:val="auto"/>
                <w:kern w:val="0"/>
                <w:szCs w:val="21"/>
              </w:rPr>
            </w:pPr>
            <w:r>
              <w:rPr>
                <w:color w:val="auto"/>
                <w:szCs w:val="20"/>
              </w:rPr>
              <w:t>MPN/L</w:t>
            </w:r>
          </w:p>
        </w:tc>
        <w:tc>
          <w:tcPr>
            <w:tcW w:w="860" w:type="dxa"/>
            <w:shd w:val="clear" w:color="auto" w:fill="auto"/>
            <w:vAlign w:val="center"/>
          </w:tcPr>
          <w:p>
            <w:pPr>
              <w:widowControl/>
              <w:spacing w:line="360" w:lineRule="exact"/>
              <w:jc w:val="center"/>
              <w:rPr>
                <w:color w:val="auto"/>
                <w:kern w:val="0"/>
                <w:szCs w:val="21"/>
              </w:rPr>
            </w:pPr>
            <w:r>
              <w:rPr>
                <w:color w:val="auto"/>
                <w:szCs w:val="20"/>
              </w:rPr>
              <w:t>/</w:t>
            </w:r>
          </w:p>
        </w:tc>
        <w:tc>
          <w:tcPr>
            <w:tcW w:w="762" w:type="dxa"/>
            <w:shd w:val="clear" w:color="auto" w:fill="auto"/>
            <w:vAlign w:val="center"/>
          </w:tcPr>
          <w:p>
            <w:pPr>
              <w:widowControl/>
              <w:spacing w:line="360" w:lineRule="exact"/>
              <w:jc w:val="center"/>
              <w:rPr>
                <w:color w:val="auto"/>
                <w:kern w:val="0"/>
                <w:szCs w:val="21"/>
              </w:rPr>
            </w:pPr>
            <w:r>
              <w:rPr>
                <w:color w:val="auto"/>
                <w:szCs w:val="20"/>
              </w:rPr>
              <w:t>/</w:t>
            </w:r>
          </w:p>
        </w:tc>
        <w:tc>
          <w:tcPr>
            <w:tcW w:w="702" w:type="dxa"/>
            <w:shd w:val="clear" w:color="auto" w:fill="auto"/>
            <w:vAlign w:val="center"/>
          </w:tcPr>
          <w:p>
            <w:pPr>
              <w:widowControl/>
              <w:spacing w:line="360" w:lineRule="exact"/>
              <w:jc w:val="center"/>
              <w:rPr>
                <w:color w:val="auto"/>
                <w:kern w:val="0"/>
                <w:szCs w:val="21"/>
              </w:rPr>
            </w:pPr>
            <w:r>
              <w:rPr>
                <w:color w:val="auto"/>
                <w:szCs w:val="20"/>
              </w:rPr>
              <w:t>/</w:t>
            </w:r>
          </w:p>
        </w:tc>
        <w:tc>
          <w:tcPr>
            <w:tcW w:w="704" w:type="dxa"/>
            <w:shd w:val="clear" w:color="auto" w:fill="auto"/>
            <w:vAlign w:val="center"/>
          </w:tcPr>
          <w:p>
            <w:pPr>
              <w:widowControl/>
              <w:spacing w:line="360" w:lineRule="exact"/>
              <w:jc w:val="center"/>
              <w:rPr>
                <w:color w:val="auto"/>
                <w:kern w:val="0"/>
                <w:szCs w:val="21"/>
              </w:rPr>
            </w:pPr>
            <w:r>
              <w:rPr>
                <w:color w:val="auto"/>
                <w:szCs w:val="20"/>
              </w:rPr>
              <w:t>/</w:t>
            </w:r>
          </w:p>
        </w:tc>
        <w:tc>
          <w:tcPr>
            <w:tcW w:w="863" w:type="dxa"/>
            <w:shd w:val="clear" w:color="auto" w:fill="auto"/>
            <w:vAlign w:val="center"/>
          </w:tcPr>
          <w:p>
            <w:pPr>
              <w:widowControl/>
              <w:spacing w:line="360" w:lineRule="exact"/>
              <w:jc w:val="center"/>
              <w:rPr>
                <w:color w:val="auto"/>
                <w:kern w:val="0"/>
                <w:szCs w:val="21"/>
              </w:rPr>
            </w:pPr>
            <w:r>
              <w:rPr>
                <w:color w:val="auto"/>
                <w:szCs w:val="20"/>
              </w:rPr>
              <w:t>/</w:t>
            </w:r>
          </w:p>
        </w:tc>
        <w:tc>
          <w:tcPr>
            <w:tcW w:w="975"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901"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937"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890"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947"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704" w:type="dxa"/>
            <w:shd w:val="clear" w:color="auto" w:fill="auto"/>
            <w:vAlign w:val="center"/>
          </w:tcPr>
          <w:p>
            <w:pPr>
              <w:widowControl/>
              <w:spacing w:line="360" w:lineRule="exact"/>
              <w:jc w:val="center"/>
              <w:rPr>
                <w:color w:val="auto"/>
                <w:kern w:val="0"/>
                <w:szCs w:val="21"/>
              </w:rPr>
            </w:pPr>
            <w:r>
              <w:rPr>
                <w:color w:val="auto"/>
                <w:szCs w:val="20"/>
              </w:rPr>
              <w:t>500</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restart"/>
            <w:shd w:val="clear" w:color="auto" w:fill="auto"/>
            <w:vAlign w:val="center"/>
          </w:tcPr>
          <w:p>
            <w:pPr>
              <w:widowControl/>
              <w:spacing w:line="360" w:lineRule="exact"/>
              <w:jc w:val="center"/>
              <w:rPr>
                <w:color w:val="auto"/>
                <w:kern w:val="0"/>
                <w:szCs w:val="21"/>
              </w:rPr>
            </w:pPr>
            <w:r>
              <w:rPr>
                <w:color w:val="auto"/>
                <w:kern w:val="0"/>
                <w:szCs w:val="21"/>
              </w:rPr>
              <w:t>2022.5.7</w:t>
            </w:r>
          </w:p>
        </w:tc>
        <w:tc>
          <w:tcPr>
            <w:tcW w:w="1758" w:type="dxa"/>
            <w:shd w:val="clear" w:color="auto" w:fill="auto"/>
            <w:vAlign w:val="center"/>
          </w:tcPr>
          <w:p>
            <w:pPr>
              <w:widowControl/>
              <w:spacing w:line="360" w:lineRule="exact"/>
              <w:jc w:val="center"/>
              <w:rPr>
                <w:color w:val="auto"/>
                <w:kern w:val="0"/>
                <w:szCs w:val="21"/>
              </w:rPr>
            </w:pPr>
            <w:r>
              <w:rPr>
                <w:color w:val="auto"/>
                <w:szCs w:val="20"/>
              </w:rPr>
              <w:t>pH</w:t>
            </w:r>
          </w:p>
        </w:tc>
        <w:tc>
          <w:tcPr>
            <w:tcW w:w="874" w:type="dxa"/>
            <w:shd w:val="clear" w:color="auto" w:fill="auto"/>
            <w:vAlign w:val="center"/>
          </w:tcPr>
          <w:p>
            <w:pPr>
              <w:widowControl/>
              <w:spacing w:line="360" w:lineRule="exact"/>
              <w:jc w:val="center"/>
              <w:rPr>
                <w:color w:val="auto"/>
                <w:kern w:val="0"/>
                <w:szCs w:val="21"/>
              </w:rPr>
            </w:pPr>
            <w:r>
              <w:rPr>
                <w:color w:val="auto"/>
                <w:szCs w:val="20"/>
              </w:rPr>
              <w:t>无量纲</w:t>
            </w:r>
          </w:p>
        </w:tc>
        <w:tc>
          <w:tcPr>
            <w:tcW w:w="860" w:type="dxa"/>
            <w:shd w:val="clear" w:color="auto" w:fill="auto"/>
            <w:vAlign w:val="center"/>
          </w:tcPr>
          <w:p>
            <w:pPr>
              <w:widowControl/>
              <w:spacing w:line="360" w:lineRule="exact"/>
              <w:jc w:val="center"/>
              <w:rPr>
                <w:color w:val="auto"/>
                <w:kern w:val="0"/>
                <w:szCs w:val="21"/>
              </w:rPr>
            </w:pPr>
            <w:r>
              <w:rPr>
                <w:color w:val="auto"/>
                <w:szCs w:val="20"/>
              </w:rPr>
              <w:t>7.6</w:t>
            </w:r>
          </w:p>
        </w:tc>
        <w:tc>
          <w:tcPr>
            <w:tcW w:w="762" w:type="dxa"/>
            <w:shd w:val="clear" w:color="auto" w:fill="auto"/>
            <w:vAlign w:val="center"/>
          </w:tcPr>
          <w:p>
            <w:pPr>
              <w:widowControl/>
              <w:spacing w:line="360" w:lineRule="exact"/>
              <w:jc w:val="center"/>
              <w:rPr>
                <w:color w:val="auto"/>
                <w:kern w:val="0"/>
                <w:szCs w:val="21"/>
              </w:rPr>
            </w:pPr>
            <w:r>
              <w:rPr>
                <w:color w:val="auto"/>
                <w:szCs w:val="20"/>
              </w:rPr>
              <w:t>7.5</w:t>
            </w:r>
          </w:p>
        </w:tc>
        <w:tc>
          <w:tcPr>
            <w:tcW w:w="702" w:type="dxa"/>
            <w:shd w:val="clear" w:color="auto" w:fill="auto"/>
            <w:vAlign w:val="center"/>
          </w:tcPr>
          <w:p>
            <w:pPr>
              <w:widowControl/>
              <w:spacing w:line="360" w:lineRule="exact"/>
              <w:jc w:val="center"/>
              <w:rPr>
                <w:color w:val="auto"/>
                <w:kern w:val="0"/>
                <w:szCs w:val="21"/>
              </w:rPr>
            </w:pPr>
            <w:r>
              <w:rPr>
                <w:color w:val="auto"/>
                <w:szCs w:val="20"/>
              </w:rPr>
              <w:t>7.6</w:t>
            </w:r>
          </w:p>
        </w:tc>
        <w:tc>
          <w:tcPr>
            <w:tcW w:w="704" w:type="dxa"/>
            <w:shd w:val="clear" w:color="auto" w:fill="auto"/>
            <w:vAlign w:val="center"/>
          </w:tcPr>
          <w:p>
            <w:pPr>
              <w:widowControl/>
              <w:spacing w:line="360" w:lineRule="exact"/>
              <w:jc w:val="center"/>
              <w:rPr>
                <w:color w:val="auto"/>
                <w:kern w:val="0"/>
                <w:szCs w:val="21"/>
              </w:rPr>
            </w:pPr>
            <w:r>
              <w:rPr>
                <w:color w:val="auto"/>
                <w:szCs w:val="20"/>
              </w:rPr>
              <w:t>7.6</w:t>
            </w:r>
          </w:p>
        </w:tc>
        <w:tc>
          <w:tcPr>
            <w:tcW w:w="863" w:type="dxa"/>
            <w:shd w:val="clear" w:color="auto" w:fill="auto"/>
            <w:vAlign w:val="center"/>
          </w:tcPr>
          <w:p>
            <w:pPr>
              <w:widowControl/>
              <w:spacing w:line="360" w:lineRule="exact"/>
              <w:jc w:val="center"/>
              <w:rPr>
                <w:color w:val="auto"/>
                <w:kern w:val="0"/>
                <w:szCs w:val="21"/>
              </w:rPr>
            </w:pPr>
            <w:r>
              <w:rPr>
                <w:color w:val="auto"/>
                <w:szCs w:val="20"/>
              </w:rPr>
              <w:t>7.5~7.6</w:t>
            </w:r>
          </w:p>
        </w:tc>
        <w:tc>
          <w:tcPr>
            <w:tcW w:w="975" w:type="dxa"/>
            <w:shd w:val="clear" w:color="auto" w:fill="auto"/>
            <w:vAlign w:val="center"/>
          </w:tcPr>
          <w:p>
            <w:pPr>
              <w:widowControl/>
              <w:spacing w:line="360" w:lineRule="exact"/>
              <w:jc w:val="center"/>
              <w:rPr>
                <w:color w:val="auto"/>
                <w:kern w:val="0"/>
                <w:szCs w:val="21"/>
              </w:rPr>
            </w:pPr>
            <w:r>
              <w:rPr>
                <w:color w:val="auto"/>
                <w:szCs w:val="20"/>
              </w:rPr>
              <w:t>6.6</w:t>
            </w:r>
          </w:p>
        </w:tc>
        <w:tc>
          <w:tcPr>
            <w:tcW w:w="901" w:type="dxa"/>
            <w:shd w:val="clear" w:color="auto" w:fill="auto"/>
            <w:vAlign w:val="center"/>
          </w:tcPr>
          <w:p>
            <w:pPr>
              <w:widowControl/>
              <w:spacing w:line="360" w:lineRule="exact"/>
              <w:jc w:val="center"/>
              <w:rPr>
                <w:color w:val="auto"/>
                <w:kern w:val="0"/>
                <w:szCs w:val="21"/>
              </w:rPr>
            </w:pPr>
            <w:r>
              <w:rPr>
                <w:color w:val="auto"/>
                <w:szCs w:val="20"/>
              </w:rPr>
              <w:t>6.5</w:t>
            </w:r>
          </w:p>
        </w:tc>
        <w:tc>
          <w:tcPr>
            <w:tcW w:w="937" w:type="dxa"/>
            <w:shd w:val="clear" w:color="auto" w:fill="auto"/>
            <w:vAlign w:val="center"/>
          </w:tcPr>
          <w:p>
            <w:pPr>
              <w:widowControl/>
              <w:spacing w:line="360" w:lineRule="exact"/>
              <w:jc w:val="center"/>
              <w:rPr>
                <w:color w:val="auto"/>
                <w:kern w:val="0"/>
                <w:szCs w:val="21"/>
              </w:rPr>
            </w:pPr>
            <w:r>
              <w:rPr>
                <w:color w:val="auto"/>
                <w:szCs w:val="20"/>
              </w:rPr>
              <w:t>6.4</w:t>
            </w:r>
          </w:p>
        </w:tc>
        <w:tc>
          <w:tcPr>
            <w:tcW w:w="890" w:type="dxa"/>
            <w:shd w:val="clear" w:color="auto" w:fill="auto"/>
            <w:vAlign w:val="center"/>
          </w:tcPr>
          <w:p>
            <w:pPr>
              <w:widowControl/>
              <w:spacing w:line="360" w:lineRule="exact"/>
              <w:jc w:val="center"/>
              <w:rPr>
                <w:color w:val="auto"/>
                <w:kern w:val="0"/>
                <w:szCs w:val="21"/>
              </w:rPr>
            </w:pPr>
            <w:r>
              <w:rPr>
                <w:color w:val="auto"/>
                <w:szCs w:val="20"/>
              </w:rPr>
              <w:t>6.5</w:t>
            </w:r>
          </w:p>
        </w:tc>
        <w:tc>
          <w:tcPr>
            <w:tcW w:w="947" w:type="dxa"/>
            <w:shd w:val="clear" w:color="auto" w:fill="auto"/>
            <w:vAlign w:val="center"/>
          </w:tcPr>
          <w:p>
            <w:pPr>
              <w:widowControl/>
              <w:spacing w:line="360" w:lineRule="exact"/>
              <w:jc w:val="center"/>
              <w:rPr>
                <w:color w:val="auto"/>
                <w:kern w:val="0"/>
                <w:szCs w:val="21"/>
              </w:rPr>
            </w:pPr>
            <w:r>
              <w:rPr>
                <w:color w:val="auto"/>
                <w:szCs w:val="20"/>
              </w:rPr>
              <w:t>6.4~6.6</w:t>
            </w:r>
          </w:p>
        </w:tc>
        <w:tc>
          <w:tcPr>
            <w:tcW w:w="704" w:type="dxa"/>
            <w:shd w:val="clear" w:color="auto" w:fill="auto"/>
            <w:vAlign w:val="center"/>
          </w:tcPr>
          <w:p>
            <w:pPr>
              <w:widowControl/>
              <w:spacing w:line="360" w:lineRule="exact"/>
              <w:jc w:val="center"/>
              <w:rPr>
                <w:color w:val="auto"/>
                <w:kern w:val="0"/>
                <w:szCs w:val="21"/>
              </w:rPr>
            </w:pPr>
            <w:r>
              <w:rPr>
                <w:color w:val="auto"/>
                <w:szCs w:val="20"/>
              </w:rPr>
              <w:t>6~9</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kern w:val="0"/>
                <w:szCs w:val="21"/>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氨氮</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szCs w:val="20"/>
              </w:rPr>
              <w:t>7.15</w:t>
            </w:r>
          </w:p>
        </w:tc>
        <w:tc>
          <w:tcPr>
            <w:tcW w:w="762" w:type="dxa"/>
            <w:shd w:val="clear" w:color="auto" w:fill="auto"/>
            <w:vAlign w:val="center"/>
          </w:tcPr>
          <w:p>
            <w:pPr>
              <w:widowControl/>
              <w:spacing w:line="360" w:lineRule="exact"/>
              <w:jc w:val="center"/>
              <w:rPr>
                <w:color w:val="auto"/>
                <w:kern w:val="0"/>
                <w:szCs w:val="21"/>
              </w:rPr>
            </w:pPr>
            <w:r>
              <w:rPr>
                <w:color w:val="auto"/>
                <w:szCs w:val="20"/>
              </w:rPr>
              <w:t>6.73</w:t>
            </w:r>
          </w:p>
        </w:tc>
        <w:tc>
          <w:tcPr>
            <w:tcW w:w="702" w:type="dxa"/>
            <w:shd w:val="clear" w:color="auto" w:fill="auto"/>
            <w:vAlign w:val="center"/>
          </w:tcPr>
          <w:p>
            <w:pPr>
              <w:widowControl/>
              <w:spacing w:line="360" w:lineRule="exact"/>
              <w:jc w:val="center"/>
              <w:rPr>
                <w:color w:val="auto"/>
                <w:kern w:val="0"/>
                <w:szCs w:val="21"/>
              </w:rPr>
            </w:pPr>
            <w:r>
              <w:rPr>
                <w:color w:val="auto"/>
                <w:szCs w:val="20"/>
              </w:rPr>
              <w:t>6.29</w:t>
            </w:r>
          </w:p>
        </w:tc>
        <w:tc>
          <w:tcPr>
            <w:tcW w:w="704" w:type="dxa"/>
            <w:shd w:val="clear" w:color="auto" w:fill="auto"/>
            <w:vAlign w:val="center"/>
          </w:tcPr>
          <w:p>
            <w:pPr>
              <w:widowControl/>
              <w:spacing w:line="360" w:lineRule="exact"/>
              <w:jc w:val="center"/>
              <w:rPr>
                <w:color w:val="auto"/>
                <w:kern w:val="0"/>
                <w:szCs w:val="21"/>
              </w:rPr>
            </w:pPr>
            <w:r>
              <w:rPr>
                <w:color w:val="auto"/>
                <w:szCs w:val="20"/>
              </w:rPr>
              <w:t>6.85</w:t>
            </w:r>
          </w:p>
        </w:tc>
        <w:tc>
          <w:tcPr>
            <w:tcW w:w="863" w:type="dxa"/>
            <w:shd w:val="clear" w:color="auto" w:fill="auto"/>
            <w:vAlign w:val="center"/>
          </w:tcPr>
          <w:p>
            <w:pPr>
              <w:widowControl/>
              <w:spacing w:line="360" w:lineRule="exact"/>
              <w:jc w:val="center"/>
              <w:rPr>
                <w:color w:val="auto"/>
                <w:kern w:val="0"/>
                <w:szCs w:val="21"/>
              </w:rPr>
            </w:pPr>
            <w:r>
              <w:rPr>
                <w:color w:val="auto"/>
                <w:szCs w:val="20"/>
              </w:rPr>
              <w:t>6.76</w:t>
            </w:r>
          </w:p>
        </w:tc>
        <w:tc>
          <w:tcPr>
            <w:tcW w:w="975" w:type="dxa"/>
            <w:shd w:val="clear" w:color="auto" w:fill="auto"/>
            <w:vAlign w:val="center"/>
          </w:tcPr>
          <w:p>
            <w:pPr>
              <w:widowControl/>
              <w:spacing w:line="360" w:lineRule="exact"/>
              <w:jc w:val="center"/>
              <w:rPr>
                <w:color w:val="auto"/>
                <w:kern w:val="0"/>
                <w:szCs w:val="21"/>
              </w:rPr>
            </w:pPr>
            <w:r>
              <w:rPr>
                <w:color w:val="auto"/>
                <w:szCs w:val="20"/>
              </w:rPr>
              <w:t>0.519</w:t>
            </w:r>
          </w:p>
        </w:tc>
        <w:tc>
          <w:tcPr>
            <w:tcW w:w="901" w:type="dxa"/>
            <w:shd w:val="clear" w:color="auto" w:fill="auto"/>
            <w:vAlign w:val="center"/>
          </w:tcPr>
          <w:p>
            <w:pPr>
              <w:widowControl/>
              <w:spacing w:line="360" w:lineRule="exact"/>
              <w:jc w:val="center"/>
              <w:rPr>
                <w:color w:val="auto"/>
                <w:kern w:val="0"/>
                <w:szCs w:val="21"/>
              </w:rPr>
            </w:pPr>
            <w:r>
              <w:rPr>
                <w:color w:val="auto"/>
                <w:szCs w:val="20"/>
              </w:rPr>
              <w:t>0.414</w:t>
            </w:r>
          </w:p>
        </w:tc>
        <w:tc>
          <w:tcPr>
            <w:tcW w:w="937" w:type="dxa"/>
            <w:shd w:val="clear" w:color="auto" w:fill="auto"/>
            <w:vAlign w:val="center"/>
          </w:tcPr>
          <w:p>
            <w:pPr>
              <w:widowControl/>
              <w:spacing w:line="360" w:lineRule="exact"/>
              <w:jc w:val="center"/>
              <w:rPr>
                <w:color w:val="auto"/>
                <w:kern w:val="0"/>
                <w:szCs w:val="21"/>
              </w:rPr>
            </w:pPr>
            <w:r>
              <w:rPr>
                <w:color w:val="auto"/>
                <w:szCs w:val="20"/>
              </w:rPr>
              <w:t>0.375</w:t>
            </w:r>
          </w:p>
        </w:tc>
        <w:tc>
          <w:tcPr>
            <w:tcW w:w="890" w:type="dxa"/>
            <w:shd w:val="clear" w:color="auto" w:fill="auto"/>
            <w:vAlign w:val="center"/>
          </w:tcPr>
          <w:p>
            <w:pPr>
              <w:widowControl/>
              <w:spacing w:line="360" w:lineRule="exact"/>
              <w:jc w:val="center"/>
              <w:rPr>
                <w:color w:val="auto"/>
                <w:kern w:val="0"/>
                <w:szCs w:val="21"/>
              </w:rPr>
            </w:pPr>
            <w:r>
              <w:rPr>
                <w:color w:val="auto"/>
                <w:szCs w:val="20"/>
              </w:rPr>
              <w:t>0.467</w:t>
            </w:r>
          </w:p>
        </w:tc>
        <w:tc>
          <w:tcPr>
            <w:tcW w:w="947" w:type="dxa"/>
            <w:shd w:val="clear" w:color="auto" w:fill="auto"/>
            <w:vAlign w:val="center"/>
          </w:tcPr>
          <w:p>
            <w:pPr>
              <w:widowControl/>
              <w:spacing w:line="360" w:lineRule="exact"/>
              <w:jc w:val="center"/>
              <w:rPr>
                <w:color w:val="auto"/>
                <w:kern w:val="0"/>
                <w:szCs w:val="21"/>
              </w:rPr>
            </w:pPr>
            <w:r>
              <w:rPr>
                <w:color w:val="auto"/>
                <w:szCs w:val="20"/>
              </w:rPr>
              <w:t>0.444</w:t>
            </w:r>
          </w:p>
        </w:tc>
        <w:tc>
          <w:tcPr>
            <w:tcW w:w="704" w:type="dxa"/>
            <w:shd w:val="clear" w:color="auto" w:fill="auto"/>
            <w:vAlign w:val="center"/>
          </w:tcPr>
          <w:p>
            <w:pPr>
              <w:widowControl/>
              <w:spacing w:line="360" w:lineRule="exact"/>
              <w:jc w:val="center"/>
              <w:rPr>
                <w:color w:val="auto"/>
                <w:kern w:val="0"/>
                <w:szCs w:val="21"/>
              </w:rPr>
            </w:pPr>
            <w:r>
              <w:rPr>
                <w:color w:val="auto"/>
                <w:szCs w:val="20"/>
              </w:rPr>
              <w:t>8</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kern w:val="0"/>
                <w:szCs w:val="21"/>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总余氯</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szCs w:val="20"/>
              </w:rPr>
              <w:t>1.75</w:t>
            </w:r>
          </w:p>
        </w:tc>
        <w:tc>
          <w:tcPr>
            <w:tcW w:w="762" w:type="dxa"/>
            <w:shd w:val="clear" w:color="auto" w:fill="auto"/>
            <w:vAlign w:val="center"/>
          </w:tcPr>
          <w:p>
            <w:pPr>
              <w:widowControl/>
              <w:spacing w:line="360" w:lineRule="exact"/>
              <w:jc w:val="center"/>
              <w:rPr>
                <w:color w:val="auto"/>
                <w:kern w:val="0"/>
                <w:szCs w:val="21"/>
              </w:rPr>
            </w:pPr>
            <w:r>
              <w:rPr>
                <w:color w:val="auto"/>
                <w:szCs w:val="20"/>
              </w:rPr>
              <w:t>1.72</w:t>
            </w:r>
          </w:p>
        </w:tc>
        <w:tc>
          <w:tcPr>
            <w:tcW w:w="702" w:type="dxa"/>
            <w:shd w:val="clear" w:color="auto" w:fill="auto"/>
            <w:vAlign w:val="center"/>
          </w:tcPr>
          <w:p>
            <w:pPr>
              <w:widowControl/>
              <w:spacing w:line="360" w:lineRule="exact"/>
              <w:jc w:val="center"/>
              <w:rPr>
                <w:color w:val="auto"/>
                <w:kern w:val="0"/>
                <w:szCs w:val="21"/>
              </w:rPr>
            </w:pPr>
            <w:r>
              <w:rPr>
                <w:color w:val="auto"/>
                <w:szCs w:val="20"/>
              </w:rPr>
              <w:t>1.8</w:t>
            </w:r>
          </w:p>
        </w:tc>
        <w:tc>
          <w:tcPr>
            <w:tcW w:w="704" w:type="dxa"/>
            <w:shd w:val="clear" w:color="auto" w:fill="auto"/>
            <w:vAlign w:val="center"/>
          </w:tcPr>
          <w:p>
            <w:pPr>
              <w:widowControl/>
              <w:spacing w:line="360" w:lineRule="exact"/>
              <w:jc w:val="center"/>
              <w:rPr>
                <w:color w:val="auto"/>
                <w:kern w:val="0"/>
                <w:szCs w:val="21"/>
              </w:rPr>
            </w:pPr>
            <w:r>
              <w:rPr>
                <w:color w:val="auto"/>
                <w:szCs w:val="20"/>
              </w:rPr>
              <w:t>1.8</w:t>
            </w:r>
          </w:p>
        </w:tc>
        <w:tc>
          <w:tcPr>
            <w:tcW w:w="863" w:type="dxa"/>
            <w:shd w:val="clear" w:color="auto" w:fill="auto"/>
            <w:vAlign w:val="center"/>
          </w:tcPr>
          <w:p>
            <w:pPr>
              <w:widowControl/>
              <w:spacing w:line="360" w:lineRule="exact"/>
              <w:jc w:val="center"/>
              <w:rPr>
                <w:color w:val="auto"/>
                <w:kern w:val="0"/>
                <w:szCs w:val="21"/>
              </w:rPr>
            </w:pPr>
            <w:r>
              <w:rPr>
                <w:color w:val="auto"/>
                <w:szCs w:val="20"/>
              </w:rPr>
              <w:t>1.77</w:t>
            </w:r>
          </w:p>
        </w:tc>
        <w:tc>
          <w:tcPr>
            <w:tcW w:w="975" w:type="dxa"/>
            <w:shd w:val="clear" w:color="auto" w:fill="auto"/>
            <w:vAlign w:val="center"/>
          </w:tcPr>
          <w:p>
            <w:pPr>
              <w:widowControl/>
              <w:spacing w:line="360" w:lineRule="exact"/>
              <w:jc w:val="center"/>
              <w:rPr>
                <w:color w:val="auto"/>
                <w:kern w:val="0"/>
                <w:szCs w:val="21"/>
              </w:rPr>
            </w:pPr>
            <w:r>
              <w:rPr>
                <w:color w:val="auto"/>
                <w:szCs w:val="20"/>
              </w:rPr>
              <w:t>0.44</w:t>
            </w:r>
          </w:p>
        </w:tc>
        <w:tc>
          <w:tcPr>
            <w:tcW w:w="901" w:type="dxa"/>
            <w:shd w:val="clear" w:color="auto" w:fill="auto"/>
            <w:vAlign w:val="center"/>
          </w:tcPr>
          <w:p>
            <w:pPr>
              <w:widowControl/>
              <w:spacing w:line="360" w:lineRule="exact"/>
              <w:jc w:val="center"/>
              <w:rPr>
                <w:color w:val="auto"/>
                <w:kern w:val="0"/>
                <w:szCs w:val="21"/>
              </w:rPr>
            </w:pPr>
            <w:r>
              <w:rPr>
                <w:color w:val="auto"/>
                <w:szCs w:val="20"/>
              </w:rPr>
              <w:t>0.45</w:t>
            </w:r>
          </w:p>
        </w:tc>
        <w:tc>
          <w:tcPr>
            <w:tcW w:w="937" w:type="dxa"/>
            <w:shd w:val="clear" w:color="auto" w:fill="auto"/>
            <w:vAlign w:val="center"/>
          </w:tcPr>
          <w:p>
            <w:pPr>
              <w:widowControl/>
              <w:spacing w:line="360" w:lineRule="exact"/>
              <w:jc w:val="center"/>
              <w:rPr>
                <w:color w:val="auto"/>
                <w:kern w:val="0"/>
                <w:szCs w:val="21"/>
              </w:rPr>
            </w:pPr>
            <w:r>
              <w:rPr>
                <w:color w:val="auto"/>
                <w:szCs w:val="20"/>
              </w:rPr>
              <w:t>0.49</w:t>
            </w:r>
          </w:p>
        </w:tc>
        <w:tc>
          <w:tcPr>
            <w:tcW w:w="890" w:type="dxa"/>
            <w:shd w:val="clear" w:color="auto" w:fill="auto"/>
            <w:vAlign w:val="center"/>
          </w:tcPr>
          <w:p>
            <w:pPr>
              <w:widowControl/>
              <w:spacing w:line="360" w:lineRule="exact"/>
              <w:jc w:val="center"/>
              <w:rPr>
                <w:color w:val="auto"/>
                <w:kern w:val="0"/>
                <w:szCs w:val="21"/>
              </w:rPr>
            </w:pPr>
            <w:r>
              <w:rPr>
                <w:color w:val="auto"/>
                <w:szCs w:val="20"/>
              </w:rPr>
              <w:t>0.48</w:t>
            </w:r>
          </w:p>
        </w:tc>
        <w:tc>
          <w:tcPr>
            <w:tcW w:w="947" w:type="dxa"/>
            <w:shd w:val="clear" w:color="auto" w:fill="auto"/>
            <w:vAlign w:val="center"/>
          </w:tcPr>
          <w:p>
            <w:pPr>
              <w:widowControl/>
              <w:spacing w:line="360" w:lineRule="exact"/>
              <w:jc w:val="center"/>
              <w:rPr>
                <w:color w:val="auto"/>
                <w:kern w:val="0"/>
                <w:szCs w:val="21"/>
              </w:rPr>
            </w:pPr>
            <w:r>
              <w:rPr>
                <w:color w:val="auto"/>
                <w:szCs w:val="20"/>
              </w:rPr>
              <w:t>0.46</w:t>
            </w:r>
          </w:p>
        </w:tc>
        <w:tc>
          <w:tcPr>
            <w:tcW w:w="704" w:type="dxa"/>
            <w:shd w:val="clear" w:color="auto" w:fill="auto"/>
            <w:vAlign w:val="center"/>
          </w:tcPr>
          <w:p>
            <w:pPr>
              <w:widowControl/>
              <w:spacing w:line="360" w:lineRule="exact"/>
              <w:jc w:val="center"/>
              <w:rPr>
                <w:color w:val="auto"/>
                <w:kern w:val="0"/>
                <w:szCs w:val="21"/>
              </w:rPr>
            </w:pPr>
            <w:r>
              <w:rPr>
                <w:color w:val="auto"/>
                <w:szCs w:val="20"/>
              </w:rPr>
              <w:t>3~10</w:t>
            </w:r>
            <w:r>
              <w:rPr>
                <w:color w:val="auto"/>
                <w:kern w:val="0"/>
                <w:szCs w:val="21"/>
              </w:rPr>
              <w:t xml:space="preserve"> </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kern w:val="0"/>
                <w:szCs w:val="21"/>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化学需氧量</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kern w:val="0"/>
                <w:szCs w:val="21"/>
              </w:rPr>
              <w:t>1980</w:t>
            </w:r>
          </w:p>
        </w:tc>
        <w:tc>
          <w:tcPr>
            <w:tcW w:w="762" w:type="dxa"/>
            <w:shd w:val="clear" w:color="auto" w:fill="auto"/>
            <w:vAlign w:val="center"/>
          </w:tcPr>
          <w:p>
            <w:pPr>
              <w:widowControl/>
              <w:spacing w:line="360" w:lineRule="exact"/>
              <w:jc w:val="center"/>
              <w:rPr>
                <w:color w:val="auto"/>
                <w:kern w:val="0"/>
                <w:szCs w:val="21"/>
              </w:rPr>
            </w:pPr>
            <w:r>
              <w:rPr>
                <w:color w:val="auto"/>
                <w:kern w:val="0"/>
                <w:szCs w:val="21"/>
              </w:rPr>
              <w:t>1900</w:t>
            </w:r>
          </w:p>
        </w:tc>
        <w:tc>
          <w:tcPr>
            <w:tcW w:w="702" w:type="dxa"/>
            <w:shd w:val="clear" w:color="auto" w:fill="auto"/>
            <w:vAlign w:val="center"/>
          </w:tcPr>
          <w:p>
            <w:pPr>
              <w:widowControl/>
              <w:spacing w:line="360" w:lineRule="exact"/>
              <w:jc w:val="center"/>
              <w:rPr>
                <w:color w:val="auto"/>
                <w:kern w:val="0"/>
                <w:szCs w:val="21"/>
              </w:rPr>
            </w:pPr>
            <w:r>
              <w:rPr>
                <w:color w:val="auto"/>
                <w:kern w:val="0"/>
                <w:szCs w:val="21"/>
              </w:rPr>
              <w:t>2020</w:t>
            </w:r>
          </w:p>
        </w:tc>
        <w:tc>
          <w:tcPr>
            <w:tcW w:w="704" w:type="dxa"/>
            <w:shd w:val="clear" w:color="auto" w:fill="auto"/>
            <w:vAlign w:val="center"/>
          </w:tcPr>
          <w:p>
            <w:pPr>
              <w:widowControl/>
              <w:spacing w:line="360" w:lineRule="exact"/>
              <w:jc w:val="center"/>
              <w:rPr>
                <w:color w:val="auto"/>
                <w:kern w:val="0"/>
                <w:szCs w:val="21"/>
              </w:rPr>
            </w:pPr>
            <w:r>
              <w:rPr>
                <w:color w:val="auto"/>
                <w:kern w:val="0"/>
                <w:szCs w:val="21"/>
              </w:rPr>
              <w:t>2080</w:t>
            </w:r>
          </w:p>
        </w:tc>
        <w:tc>
          <w:tcPr>
            <w:tcW w:w="863" w:type="dxa"/>
            <w:shd w:val="clear" w:color="auto" w:fill="auto"/>
            <w:vAlign w:val="center"/>
          </w:tcPr>
          <w:p>
            <w:pPr>
              <w:widowControl/>
              <w:spacing w:line="360" w:lineRule="exact"/>
              <w:jc w:val="center"/>
              <w:rPr>
                <w:color w:val="auto"/>
                <w:kern w:val="0"/>
                <w:szCs w:val="21"/>
              </w:rPr>
            </w:pPr>
            <w:r>
              <w:rPr>
                <w:color w:val="auto"/>
                <w:kern w:val="0"/>
                <w:szCs w:val="21"/>
              </w:rPr>
              <w:t>2000</w:t>
            </w:r>
          </w:p>
        </w:tc>
        <w:tc>
          <w:tcPr>
            <w:tcW w:w="975" w:type="dxa"/>
            <w:shd w:val="clear" w:color="auto" w:fill="auto"/>
            <w:vAlign w:val="center"/>
          </w:tcPr>
          <w:p>
            <w:pPr>
              <w:widowControl/>
              <w:spacing w:line="360" w:lineRule="exact"/>
              <w:jc w:val="center"/>
              <w:rPr>
                <w:color w:val="auto"/>
                <w:kern w:val="0"/>
                <w:szCs w:val="21"/>
              </w:rPr>
            </w:pPr>
            <w:r>
              <w:rPr>
                <w:color w:val="auto"/>
                <w:szCs w:val="20"/>
              </w:rPr>
              <w:t>33</w:t>
            </w:r>
          </w:p>
        </w:tc>
        <w:tc>
          <w:tcPr>
            <w:tcW w:w="901" w:type="dxa"/>
            <w:shd w:val="clear" w:color="auto" w:fill="auto"/>
            <w:vAlign w:val="center"/>
          </w:tcPr>
          <w:p>
            <w:pPr>
              <w:widowControl/>
              <w:spacing w:line="360" w:lineRule="exact"/>
              <w:jc w:val="center"/>
              <w:rPr>
                <w:color w:val="auto"/>
                <w:kern w:val="0"/>
                <w:szCs w:val="21"/>
              </w:rPr>
            </w:pPr>
            <w:r>
              <w:rPr>
                <w:color w:val="auto"/>
                <w:szCs w:val="20"/>
              </w:rPr>
              <w:t>29</w:t>
            </w:r>
          </w:p>
        </w:tc>
        <w:tc>
          <w:tcPr>
            <w:tcW w:w="937" w:type="dxa"/>
            <w:shd w:val="clear" w:color="auto" w:fill="auto"/>
            <w:vAlign w:val="center"/>
          </w:tcPr>
          <w:p>
            <w:pPr>
              <w:widowControl/>
              <w:spacing w:line="360" w:lineRule="exact"/>
              <w:jc w:val="center"/>
              <w:rPr>
                <w:color w:val="auto"/>
                <w:kern w:val="0"/>
                <w:szCs w:val="21"/>
              </w:rPr>
            </w:pPr>
            <w:r>
              <w:rPr>
                <w:color w:val="auto"/>
                <w:szCs w:val="20"/>
              </w:rPr>
              <w:t>33</w:t>
            </w:r>
          </w:p>
        </w:tc>
        <w:tc>
          <w:tcPr>
            <w:tcW w:w="890" w:type="dxa"/>
            <w:shd w:val="clear" w:color="auto" w:fill="auto"/>
            <w:vAlign w:val="center"/>
          </w:tcPr>
          <w:p>
            <w:pPr>
              <w:widowControl/>
              <w:spacing w:line="360" w:lineRule="exact"/>
              <w:jc w:val="center"/>
              <w:rPr>
                <w:color w:val="auto"/>
                <w:kern w:val="0"/>
                <w:szCs w:val="21"/>
              </w:rPr>
            </w:pPr>
            <w:r>
              <w:rPr>
                <w:color w:val="auto"/>
                <w:szCs w:val="20"/>
              </w:rPr>
              <w:t>36</w:t>
            </w:r>
          </w:p>
        </w:tc>
        <w:tc>
          <w:tcPr>
            <w:tcW w:w="947" w:type="dxa"/>
            <w:shd w:val="clear" w:color="auto" w:fill="auto"/>
            <w:vAlign w:val="center"/>
          </w:tcPr>
          <w:p>
            <w:pPr>
              <w:widowControl/>
              <w:spacing w:line="360" w:lineRule="exact"/>
              <w:jc w:val="center"/>
              <w:rPr>
                <w:color w:val="auto"/>
                <w:kern w:val="0"/>
                <w:szCs w:val="21"/>
              </w:rPr>
            </w:pPr>
            <w:r>
              <w:rPr>
                <w:color w:val="auto"/>
                <w:szCs w:val="20"/>
              </w:rPr>
              <w:t>33</w:t>
            </w:r>
          </w:p>
        </w:tc>
        <w:tc>
          <w:tcPr>
            <w:tcW w:w="704" w:type="dxa"/>
            <w:shd w:val="clear" w:color="auto" w:fill="auto"/>
            <w:vAlign w:val="center"/>
          </w:tcPr>
          <w:p>
            <w:pPr>
              <w:widowControl/>
              <w:spacing w:line="360" w:lineRule="exact"/>
              <w:jc w:val="center"/>
              <w:rPr>
                <w:color w:val="auto"/>
                <w:kern w:val="0"/>
                <w:szCs w:val="21"/>
              </w:rPr>
            </w:pPr>
            <w:r>
              <w:rPr>
                <w:color w:val="auto"/>
                <w:szCs w:val="20"/>
              </w:rPr>
              <w:t>60</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kern w:val="0"/>
                <w:szCs w:val="21"/>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五日生化需氧量</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szCs w:val="20"/>
              </w:rPr>
              <w:t>606</w:t>
            </w:r>
          </w:p>
        </w:tc>
        <w:tc>
          <w:tcPr>
            <w:tcW w:w="762" w:type="dxa"/>
            <w:shd w:val="clear" w:color="auto" w:fill="auto"/>
            <w:vAlign w:val="center"/>
          </w:tcPr>
          <w:p>
            <w:pPr>
              <w:widowControl/>
              <w:spacing w:line="360" w:lineRule="exact"/>
              <w:jc w:val="center"/>
              <w:rPr>
                <w:color w:val="auto"/>
                <w:kern w:val="0"/>
                <w:szCs w:val="21"/>
              </w:rPr>
            </w:pPr>
            <w:r>
              <w:rPr>
                <w:color w:val="auto"/>
                <w:szCs w:val="20"/>
              </w:rPr>
              <w:t>652</w:t>
            </w:r>
          </w:p>
        </w:tc>
        <w:tc>
          <w:tcPr>
            <w:tcW w:w="702" w:type="dxa"/>
            <w:shd w:val="clear" w:color="auto" w:fill="auto"/>
            <w:vAlign w:val="center"/>
          </w:tcPr>
          <w:p>
            <w:pPr>
              <w:widowControl/>
              <w:spacing w:line="360" w:lineRule="exact"/>
              <w:jc w:val="center"/>
              <w:rPr>
                <w:color w:val="auto"/>
                <w:kern w:val="0"/>
                <w:szCs w:val="21"/>
              </w:rPr>
            </w:pPr>
            <w:r>
              <w:rPr>
                <w:color w:val="auto"/>
                <w:szCs w:val="20"/>
              </w:rPr>
              <w:t>664</w:t>
            </w:r>
          </w:p>
        </w:tc>
        <w:tc>
          <w:tcPr>
            <w:tcW w:w="704" w:type="dxa"/>
            <w:shd w:val="clear" w:color="auto" w:fill="auto"/>
            <w:vAlign w:val="center"/>
          </w:tcPr>
          <w:p>
            <w:pPr>
              <w:widowControl/>
              <w:spacing w:line="360" w:lineRule="exact"/>
              <w:jc w:val="center"/>
              <w:rPr>
                <w:color w:val="auto"/>
                <w:kern w:val="0"/>
                <w:szCs w:val="21"/>
              </w:rPr>
            </w:pPr>
            <w:r>
              <w:rPr>
                <w:color w:val="auto"/>
                <w:szCs w:val="20"/>
              </w:rPr>
              <w:t>658</w:t>
            </w:r>
          </w:p>
        </w:tc>
        <w:tc>
          <w:tcPr>
            <w:tcW w:w="863" w:type="dxa"/>
            <w:shd w:val="clear" w:color="auto" w:fill="auto"/>
            <w:vAlign w:val="center"/>
          </w:tcPr>
          <w:p>
            <w:pPr>
              <w:widowControl/>
              <w:spacing w:line="360" w:lineRule="exact"/>
              <w:jc w:val="center"/>
              <w:rPr>
                <w:color w:val="auto"/>
                <w:kern w:val="0"/>
                <w:szCs w:val="21"/>
              </w:rPr>
            </w:pPr>
            <w:r>
              <w:rPr>
                <w:color w:val="auto"/>
                <w:szCs w:val="20"/>
              </w:rPr>
              <w:t>645</w:t>
            </w:r>
          </w:p>
        </w:tc>
        <w:tc>
          <w:tcPr>
            <w:tcW w:w="975" w:type="dxa"/>
            <w:shd w:val="clear" w:color="auto" w:fill="auto"/>
            <w:vAlign w:val="center"/>
          </w:tcPr>
          <w:p>
            <w:pPr>
              <w:widowControl/>
              <w:spacing w:line="360" w:lineRule="exact"/>
              <w:jc w:val="center"/>
              <w:rPr>
                <w:color w:val="auto"/>
                <w:kern w:val="0"/>
                <w:szCs w:val="21"/>
              </w:rPr>
            </w:pPr>
            <w:r>
              <w:rPr>
                <w:color w:val="auto"/>
                <w:szCs w:val="20"/>
              </w:rPr>
              <w:t>11.2</w:t>
            </w:r>
          </w:p>
        </w:tc>
        <w:tc>
          <w:tcPr>
            <w:tcW w:w="901" w:type="dxa"/>
            <w:shd w:val="clear" w:color="auto" w:fill="auto"/>
            <w:vAlign w:val="center"/>
          </w:tcPr>
          <w:p>
            <w:pPr>
              <w:widowControl/>
              <w:spacing w:line="360" w:lineRule="exact"/>
              <w:jc w:val="center"/>
              <w:rPr>
                <w:color w:val="auto"/>
                <w:kern w:val="0"/>
                <w:szCs w:val="21"/>
              </w:rPr>
            </w:pPr>
            <w:r>
              <w:rPr>
                <w:color w:val="auto"/>
                <w:szCs w:val="20"/>
              </w:rPr>
              <w:t>10.5</w:t>
            </w:r>
          </w:p>
        </w:tc>
        <w:tc>
          <w:tcPr>
            <w:tcW w:w="937" w:type="dxa"/>
            <w:shd w:val="clear" w:color="auto" w:fill="auto"/>
            <w:vAlign w:val="center"/>
          </w:tcPr>
          <w:p>
            <w:pPr>
              <w:widowControl/>
              <w:spacing w:line="360" w:lineRule="exact"/>
              <w:jc w:val="center"/>
              <w:rPr>
                <w:color w:val="auto"/>
                <w:kern w:val="0"/>
                <w:szCs w:val="21"/>
              </w:rPr>
            </w:pPr>
            <w:r>
              <w:rPr>
                <w:color w:val="auto"/>
                <w:szCs w:val="20"/>
              </w:rPr>
              <w:t>9.7</w:t>
            </w:r>
          </w:p>
        </w:tc>
        <w:tc>
          <w:tcPr>
            <w:tcW w:w="890" w:type="dxa"/>
            <w:shd w:val="clear" w:color="auto" w:fill="auto"/>
            <w:vAlign w:val="center"/>
          </w:tcPr>
          <w:p>
            <w:pPr>
              <w:widowControl/>
              <w:spacing w:line="360" w:lineRule="exact"/>
              <w:jc w:val="center"/>
              <w:rPr>
                <w:color w:val="auto"/>
                <w:kern w:val="0"/>
                <w:szCs w:val="21"/>
              </w:rPr>
            </w:pPr>
            <w:r>
              <w:rPr>
                <w:color w:val="auto"/>
                <w:szCs w:val="20"/>
              </w:rPr>
              <w:t>9</w:t>
            </w:r>
          </w:p>
        </w:tc>
        <w:tc>
          <w:tcPr>
            <w:tcW w:w="947" w:type="dxa"/>
            <w:shd w:val="clear" w:color="auto" w:fill="auto"/>
            <w:vAlign w:val="center"/>
          </w:tcPr>
          <w:p>
            <w:pPr>
              <w:widowControl/>
              <w:spacing w:line="360" w:lineRule="exact"/>
              <w:jc w:val="center"/>
              <w:rPr>
                <w:color w:val="auto"/>
                <w:kern w:val="0"/>
                <w:szCs w:val="21"/>
              </w:rPr>
            </w:pPr>
            <w:r>
              <w:rPr>
                <w:color w:val="auto"/>
                <w:szCs w:val="20"/>
              </w:rPr>
              <w:t>10.1</w:t>
            </w:r>
          </w:p>
        </w:tc>
        <w:tc>
          <w:tcPr>
            <w:tcW w:w="704" w:type="dxa"/>
            <w:shd w:val="clear" w:color="auto" w:fill="auto"/>
            <w:vAlign w:val="center"/>
          </w:tcPr>
          <w:p>
            <w:pPr>
              <w:widowControl/>
              <w:spacing w:line="360" w:lineRule="exact"/>
              <w:jc w:val="center"/>
              <w:rPr>
                <w:color w:val="auto"/>
                <w:kern w:val="0"/>
                <w:szCs w:val="21"/>
              </w:rPr>
            </w:pPr>
            <w:r>
              <w:rPr>
                <w:color w:val="auto"/>
                <w:szCs w:val="20"/>
              </w:rPr>
              <w:t>10</w:t>
            </w:r>
          </w:p>
        </w:tc>
        <w:tc>
          <w:tcPr>
            <w:tcW w:w="806" w:type="dxa"/>
            <w:shd w:val="clear" w:color="auto" w:fill="auto"/>
            <w:vAlign w:val="center"/>
          </w:tcPr>
          <w:p>
            <w:pPr>
              <w:widowControl/>
              <w:spacing w:line="360" w:lineRule="exact"/>
              <w:jc w:val="center"/>
              <w:rPr>
                <w:color w:val="auto"/>
                <w:kern w:val="0"/>
                <w:szCs w:val="21"/>
              </w:rPr>
            </w:pPr>
            <w:r>
              <w:rPr>
                <w:color w:val="auto"/>
                <w:szCs w:val="20"/>
              </w:rPr>
              <w:t>超标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kern w:val="0"/>
                <w:szCs w:val="21"/>
              </w:rPr>
            </w:pPr>
          </w:p>
        </w:tc>
        <w:tc>
          <w:tcPr>
            <w:tcW w:w="1758" w:type="dxa"/>
            <w:shd w:val="clear" w:color="auto" w:fill="auto"/>
            <w:vAlign w:val="center"/>
          </w:tcPr>
          <w:p>
            <w:pPr>
              <w:widowControl/>
              <w:spacing w:line="360" w:lineRule="exact"/>
              <w:jc w:val="center"/>
              <w:rPr>
                <w:color w:val="auto"/>
                <w:kern w:val="0"/>
                <w:szCs w:val="21"/>
              </w:rPr>
            </w:pPr>
            <w:r>
              <w:rPr>
                <w:color w:val="auto"/>
                <w:szCs w:val="20"/>
              </w:rPr>
              <w:t>悬浮物</w:t>
            </w:r>
          </w:p>
        </w:tc>
        <w:tc>
          <w:tcPr>
            <w:tcW w:w="874" w:type="dxa"/>
            <w:shd w:val="clear" w:color="auto" w:fill="auto"/>
            <w:vAlign w:val="center"/>
          </w:tcPr>
          <w:p>
            <w:pPr>
              <w:widowControl/>
              <w:spacing w:line="360" w:lineRule="exact"/>
              <w:jc w:val="center"/>
              <w:rPr>
                <w:color w:val="auto"/>
                <w:kern w:val="0"/>
                <w:szCs w:val="21"/>
              </w:rPr>
            </w:pPr>
            <w:r>
              <w:rPr>
                <w:color w:val="auto"/>
                <w:szCs w:val="20"/>
              </w:rPr>
              <w:t>mg/L</w:t>
            </w:r>
          </w:p>
        </w:tc>
        <w:tc>
          <w:tcPr>
            <w:tcW w:w="860" w:type="dxa"/>
            <w:shd w:val="clear" w:color="auto" w:fill="auto"/>
            <w:vAlign w:val="center"/>
          </w:tcPr>
          <w:p>
            <w:pPr>
              <w:widowControl/>
              <w:spacing w:line="360" w:lineRule="exact"/>
              <w:jc w:val="center"/>
              <w:rPr>
                <w:color w:val="auto"/>
                <w:kern w:val="0"/>
                <w:szCs w:val="21"/>
              </w:rPr>
            </w:pPr>
            <w:r>
              <w:rPr>
                <w:color w:val="auto"/>
                <w:szCs w:val="20"/>
              </w:rPr>
              <w:t>41</w:t>
            </w:r>
          </w:p>
        </w:tc>
        <w:tc>
          <w:tcPr>
            <w:tcW w:w="762" w:type="dxa"/>
            <w:shd w:val="clear" w:color="auto" w:fill="auto"/>
            <w:vAlign w:val="center"/>
          </w:tcPr>
          <w:p>
            <w:pPr>
              <w:widowControl/>
              <w:spacing w:line="360" w:lineRule="exact"/>
              <w:jc w:val="center"/>
              <w:rPr>
                <w:color w:val="auto"/>
                <w:kern w:val="0"/>
                <w:szCs w:val="21"/>
              </w:rPr>
            </w:pPr>
            <w:r>
              <w:rPr>
                <w:color w:val="auto"/>
                <w:szCs w:val="20"/>
              </w:rPr>
              <w:t>40</w:t>
            </w:r>
          </w:p>
        </w:tc>
        <w:tc>
          <w:tcPr>
            <w:tcW w:w="702" w:type="dxa"/>
            <w:shd w:val="clear" w:color="auto" w:fill="auto"/>
            <w:vAlign w:val="center"/>
          </w:tcPr>
          <w:p>
            <w:pPr>
              <w:widowControl/>
              <w:spacing w:line="360" w:lineRule="exact"/>
              <w:jc w:val="center"/>
              <w:rPr>
                <w:color w:val="auto"/>
                <w:kern w:val="0"/>
                <w:szCs w:val="21"/>
              </w:rPr>
            </w:pPr>
            <w:r>
              <w:rPr>
                <w:color w:val="auto"/>
                <w:szCs w:val="20"/>
              </w:rPr>
              <w:t>40</w:t>
            </w:r>
          </w:p>
        </w:tc>
        <w:tc>
          <w:tcPr>
            <w:tcW w:w="704" w:type="dxa"/>
            <w:shd w:val="clear" w:color="auto" w:fill="auto"/>
            <w:vAlign w:val="center"/>
          </w:tcPr>
          <w:p>
            <w:pPr>
              <w:widowControl/>
              <w:spacing w:line="360" w:lineRule="exact"/>
              <w:jc w:val="center"/>
              <w:rPr>
                <w:color w:val="auto"/>
                <w:kern w:val="0"/>
                <w:szCs w:val="21"/>
              </w:rPr>
            </w:pPr>
            <w:r>
              <w:rPr>
                <w:color w:val="auto"/>
                <w:szCs w:val="20"/>
              </w:rPr>
              <w:t>45</w:t>
            </w:r>
          </w:p>
        </w:tc>
        <w:tc>
          <w:tcPr>
            <w:tcW w:w="863" w:type="dxa"/>
            <w:shd w:val="clear" w:color="auto" w:fill="auto"/>
            <w:vAlign w:val="center"/>
          </w:tcPr>
          <w:p>
            <w:pPr>
              <w:widowControl/>
              <w:spacing w:line="360" w:lineRule="exact"/>
              <w:jc w:val="center"/>
              <w:rPr>
                <w:color w:val="auto"/>
                <w:kern w:val="0"/>
                <w:szCs w:val="21"/>
              </w:rPr>
            </w:pPr>
            <w:r>
              <w:rPr>
                <w:color w:val="auto"/>
                <w:szCs w:val="20"/>
              </w:rPr>
              <w:t>42</w:t>
            </w:r>
          </w:p>
        </w:tc>
        <w:tc>
          <w:tcPr>
            <w:tcW w:w="975" w:type="dxa"/>
            <w:shd w:val="clear" w:color="auto" w:fill="auto"/>
            <w:vAlign w:val="center"/>
          </w:tcPr>
          <w:p>
            <w:pPr>
              <w:widowControl/>
              <w:spacing w:line="360" w:lineRule="exact"/>
              <w:jc w:val="center"/>
              <w:rPr>
                <w:color w:val="auto"/>
                <w:kern w:val="0"/>
                <w:szCs w:val="21"/>
              </w:rPr>
            </w:pPr>
            <w:r>
              <w:rPr>
                <w:color w:val="auto"/>
                <w:szCs w:val="20"/>
              </w:rPr>
              <w:t>9</w:t>
            </w:r>
          </w:p>
        </w:tc>
        <w:tc>
          <w:tcPr>
            <w:tcW w:w="901" w:type="dxa"/>
            <w:shd w:val="clear" w:color="auto" w:fill="auto"/>
            <w:vAlign w:val="center"/>
          </w:tcPr>
          <w:p>
            <w:pPr>
              <w:widowControl/>
              <w:spacing w:line="360" w:lineRule="exact"/>
              <w:jc w:val="center"/>
              <w:rPr>
                <w:color w:val="auto"/>
                <w:kern w:val="0"/>
                <w:szCs w:val="21"/>
              </w:rPr>
            </w:pPr>
            <w:r>
              <w:rPr>
                <w:color w:val="auto"/>
                <w:szCs w:val="20"/>
              </w:rPr>
              <w:t>6</w:t>
            </w:r>
          </w:p>
        </w:tc>
        <w:tc>
          <w:tcPr>
            <w:tcW w:w="937" w:type="dxa"/>
            <w:shd w:val="clear" w:color="auto" w:fill="auto"/>
            <w:vAlign w:val="center"/>
          </w:tcPr>
          <w:p>
            <w:pPr>
              <w:widowControl/>
              <w:spacing w:line="360" w:lineRule="exact"/>
              <w:jc w:val="center"/>
              <w:rPr>
                <w:color w:val="auto"/>
                <w:kern w:val="0"/>
                <w:szCs w:val="21"/>
              </w:rPr>
            </w:pPr>
            <w:r>
              <w:rPr>
                <w:color w:val="auto"/>
                <w:szCs w:val="20"/>
              </w:rPr>
              <w:t>7</w:t>
            </w:r>
          </w:p>
        </w:tc>
        <w:tc>
          <w:tcPr>
            <w:tcW w:w="890" w:type="dxa"/>
            <w:shd w:val="clear" w:color="auto" w:fill="auto"/>
            <w:vAlign w:val="center"/>
          </w:tcPr>
          <w:p>
            <w:pPr>
              <w:widowControl/>
              <w:spacing w:line="360" w:lineRule="exact"/>
              <w:jc w:val="center"/>
              <w:rPr>
                <w:color w:val="auto"/>
                <w:kern w:val="0"/>
                <w:szCs w:val="21"/>
              </w:rPr>
            </w:pPr>
            <w:r>
              <w:rPr>
                <w:color w:val="auto"/>
                <w:szCs w:val="20"/>
              </w:rPr>
              <w:t>8</w:t>
            </w:r>
          </w:p>
        </w:tc>
        <w:tc>
          <w:tcPr>
            <w:tcW w:w="947" w:type="dxa"/>
            <w:shd w:val="clear" w:color="auto" w:fill="auto"/>
            <w:vAlign w:val="center"/>
          </w:tcPr>
          <w:p>
            <w:pPr>
              <w:widowControl/>
              <w:spacing w:line="360" w:lineRule="exact"/>
              <w:jc w:val="center"/>
              <w:rPr>
                <w:color w:val="auto"/>
                <w:kern w:val="0"/>
                <w:szCs w:val="21"/>
              </w:rPr>
            </w:pPr>
            <w:r>
              <w:rPr>
                <w:color w:val="auto"/>
                <w:szCs w:val="20"/>
              </w:rPr>
              <w:t>8</w:t>
            </w:r>
          </w:p>
        </w:tc>
        <w:tc>
          <w:tcPr>
            <w:tcW w:w="704" w:type="dxa"/>
            <w:shd w:val="clear" w:color="auto" w:fill="auto"/>
            <w:vAlign w:val="center"/>
          </w:tcPr>
          <w:p>
            <w:pPr>
              <w:widowControl/>
              <w:spacing w:line="360" w:lineRule="exact"/>
              <w:jc w:val="center"/>
              <w:rPr>
                <w:color w:val="auto"/>
                <w:kern w:val="0"/>
                <w:szCs w:val="21"/>
              </w:rPr>
            </w:pPr>
            <w:r>
              <w:rPr>
                <w:color w:val="auto"/>
                <w:szCs w:val="20"/>
              </w:rPr>
              <w:t>20</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5" w:hRule="atLeast"/>
        </w:trPr>
        <w:tc>
          <w:tcPr>
            <w:tcW w:w="969" w:type="dxa"/>
            <w:vMerge w:val="continue"/>
            <w:shd w:val="clear" w:color="auto" w:fill="auto"/>
            <w:vAlign w:val="center"/>
          </w:tcPr>
          <w:p>
            <w:pPr>
              <w:widowControl/>
              <w:spacing w:line="360" w:lineRule="exact"/>
              <w:jc w:val="center"/>
              <w:rPr>
                <w:color w:val="auto"/>
                <w:kern w:val="0"/>
                <w:szCs w:val="21"/>
              </w:rPr>
            </w:pPr>
          </w:p>
        </w:tc>
        <w:tc>
          <w:tcPr>
            <w:tcW w:w="1758" w:type="dxa"/>
            <w:shd w:val="clear" w:color="auto" w:fill="auto"/>
            <w:vAlign w:val="center"/>
          </w:tcPr>
          <w:p>
            <w:pPr>
              <w:widowControl/>
              <w:spacing w:line="360" w:lineRule="exact"/>
              <w:jc w:val="center"/>
              <w:rPr>
                <w:color w:val="auto"/>
                <w:szCs w:val="20"/>
              </w:rPr>
            </w:pPr>
            <w:r>
              <w:rPr>
                <w:color w:val="auto"/>
              </w:rPr>
              <w:t>粪大肠菌群</w:t>
            </w:r>
          </w:p>
        </w:tc>
        <w:tc>
          <w:tcPr>
            <w:tcW w:w="874" w:type="dxa"/>
            <w:shd w:val="clear" w:color="auto" w:fill="auto"/>
            <w:vAlign w:val="center"/>
          </w:tcPr>
          <w:p>
            <w:pPr>
              <w:widowControl/>
              <w:spacing w:line="360" w:lineRule="exact"/>
              <w:jc w:val="center"/>
              <w:rPr>
                <w:color w:val="auto"/>
                <w:szCs w:val="20"/>
              </w:rPr>
            </w:pPr>
            <w:r>
              <w:rPr>
                <w:color w:val="auto"/>
              </w:rPr>
              <w:t>MPN/L</w:t>
            </w:r>
          </w:p>
        </w:tc>
        <w:tc>
          <w:tcPr>
            <w:tcW w:w="860" w:type="dxa"/>
            <w:shd w:val="clear" w:color="auto" w:fill="auto"/>
            <w:vAlign w:val="center"/>
          </w:tcPr>
          <w:p>
            <w:pPr>
              <w:widowControl/>
              <w:spacing w:line="360" w:lineRule="exact"/>
              <w:jc w:val="center"/>
              <w:rPr>
                <w:color w:val="auto"/>
                <w:szCs w:val="20"/>
              </w:rPr>
            </w:pPr>
            <w:r>
              <w:rPr>
                <w:color w:val="auto"/>
              </w:rPr>
              <w:t>/</w:t>
            </w:r>
          </w:p>
        </w:tc>
        <w:tc>
          <w:tcPr>
            <w:tcW w:w="762" w:type="dxa"/>
            <w:shd w:val="clear" w:color="auto" w:fill="auto"/>
            <w:vAlign w:val="center"/>
          </w:tcPr>
          <w:p>
            <w:pPr>
              <w:widowControl/>
              <w:spacing w:line="360" w:lineRule="exact"/>
              <w:jc w:val="center"/>
              <w:rPr>
                <w:color w:val="auto"/>
                <w:szCs w:val="20"/>
              </w:rPr>
            </w:pPr>
            <w:r>
              <w:rPr>
                <w:color w:val="auto"/>
              </w:rPr>
              <w:t>/</w:t>
            </w:r>
          </w:p>
        </w:tc>
        <w:tc>
          <w:tcPr>
            <w:tcW w:w="702" w:type="dxa"/>
            <w:shd w:val="clear" w:color="auto" w:fill="auto"/>
            <w:vAlign w:val="center"/>
          </w:tcPr>
          <w:p>
            <w:pPr>
              <w:widowControl/>
              <w:spacing w:line="360" w:lineRule="exact"/>
              <w:jc w:val="center"/>
              <w:rPr>
                <w:color w:val="auto"/>
                <w:szCs w:val="20"/>
              </w:rPr>
            </w:pPr>
            <w:r>
              <w:rPr>
                <w:color w:val="auto"/>
              </w:rPr>
              <w:t>/</w:t>
            </w:r>
          </w:p>
        </w:tc>
        <w:tc>
          <w:tcPr>
            <w:tcW w:w="704" w:type="dxa"/>
            <w:shd w:val="clear" w:color="auto" w:fill="auto"/>
            <w:vAlign w:val="center"/>
          </w:tcPr>
          <w:p>
            <w:pPr>
              <w:widowControl/>
              <w:spacing w:line="360" w:lineRule="exact"/>
              <w:jc w:val="center"/>
              <w:rPr>
                <w:color w:val="auto"/>
                <w:szCs w:val="20"/>
              </w:rPr>
            </w:pPr>
            <w:r>
              <w:rPr>
                <w:color w:val="auto"/>
              </w:rPr>
              <w:t>/</w:t>
            </w:r>
          </w:p>
        </w:tc>
        <w:tc>
          <w:tcPr>
            <w:tcW w:w="863" w:type="dxa"/>
            <w:shd w:val="clear" w:color="auto" w:fill="auto"/>
            <w:vAlign w:val="center"/>
          </w:tcPr>
          <w:p>
            <w:pPr>
              <w:widowControl/>
              <w:spacing w:line="360" w:lineRule="exact"/>
              <w:jc w:val="center"/>
              <w:rPr>
                <w:color w:val="auto"/>
                <w:szCs w:val="20"/>
              </w:rPr>
            </w:pPr>
            <w:r>
              <w:rPr>
                <w:color w:val="auto"/>
              </w:rPr>
              <w:t>/</w:t>
            </w:r>
          </w:p>
        </w:tc>
        <w:tc>
          <w:tcPr>
            <w:tcW w:w="975"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901"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937"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890"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947" w:type="dxa"/>
            <w:shd w:val="clear" w:color="auto" w:fill="auto"/>
            <w:vAlign w:val="center"/>
          </w:tcPr>
          <w:p>
            <w:pPr>
              <w:widowControl/>
              <w:spacing w:line="360" w:lineRule="exact"/>
              <w:jc w:val="center"/>
              <w:rPr>
                <w:color w:val="auto"/>
                <w:kern w:val="0"/>
                <w:szCs w:val="21"/>
              </w:rPr>
            </w:pPr>
            <w:r>
              <w:rPr>
                <w:color w:val="auto"/>
                <w:szCs w:val="20"/>
              </w:rPr>
              <w:t>未检出</w:t>
            </w:r>
          </w:p>
        </w:tc>
        <w:tc>
          <w:tcPr>
            <w:tcW w:w="704" w:type="dxa"/>
            <w:shd w:val="clear" w:color="auto" w:fill="auto"/>
            <w:vAlign w:val="center"/>
          </w:tcPr>
          <w:p>
            <w:pPr>
              <w:widowControl/>
              <w:spacing w:line="360" w:lineRule="exact"/>
              <w:jc w:val="center"/>
              <w:rPr>
                <w:color w:val="auto"/>
                <w:kern w:val="0"/>
                <w:szCs w:val="21"/>
              </w:rPr>
            </w:pPr>
            <w:r>
              <w:rPr>
                <w:color w:val="auto"/>
                <w:szCs w:val="20"/>
              </w:rPr>
              <w:t>500</w:t>
            </w:r>
          </w:p>
        </w:tc>
        <w:tc>
          <w:tcPr>
            <w:tcW w:w="806" w:type="dxa"/>
            <w:shd w:val="clear" w:color="auto" w:fill="auto"/>
            <w:vAlign w:val="center"/>
          </w:tcPr>
          <w:p>
            <w:pPr>
              <w:widowControl/>
              <w:spacing w:line="360" w:lineRule="exact"/>
              <w:jc w:val="center"/>
              <w:rPr>
                <w:color w:val="auto"/>
                <w:kern w:val="0"/>
                <w:szCs w:val="21"/>
              </w:rPr>
            </w:pPr>
            <w:r>
              <w:rPr>
                <w:color w:val="auto"/>
                <w:szCs w:val="20"/>
              </w:rPr>
              <w:t>达标</w:t>
            </w:r>
          </w:p>
        </w:tc>
      </w:tr>
    </w:tbl>
    <w:p>
      <w:pPr>
        <w:pStyle w:val="130"/>
        <w:ind w:firstLine="420"/>
        <w:rPr>
          <w:color w:val="auto"/>
          <w:sz w:val="21"/>
          <w:szCs w:val="21"/>
        </w:rPr>
        <w:sectPr>
          <w:pgSz w:w="16838" w:h="11906" w:orient="landscape"/>
          <w:pgMar w:top="1701" w:right="1701" w:bottom="1701" w:left="1701" w:header="851" w:footer="851" w:gutter="0"/>
          <w:cols w:space="720" w:num="1"/>
          <w:docGrid w:linePitch="466" w:charSpace="0"/>
        </w:sectPr>
      </w:pPr>
      <w:r>
        <w:rPr>
          <w:color w:val="auto"/>
          <w:sz w:val="21"/>
          <w:szCs w:val="21"/>
        </w:rPr>
        <w:t>注：由于现状污染源监测期间，污水处理站尚在试调试阶段不稳定，出水BOD</w:t>
      </w:r>
      <w:r>
        <w:rPr>
          <w:color w:val="auto"/>
          <w:sz w:val="21"/>
          <w:szCs w:val="21"/>
          <w:vertAlign w:val="subscript"/>
        </w:rPr>
        <w:t>5</w:t>
      </w:r>
      <w:r>
        <w:rPr>
          <w:color w:val="auto"/>
          <w:sz w:val="21"/>
          <w:szCs w:val="21"/>
        </w:rPr>
        <w:t>略有超标，后续由厂家继续调试，直至稳定达标运行。</w:t>
      </w:r>
    </w:p>
    <w:p>
      <w:pPr>
        <w:pStyle w:val="130"/>
        <w:ind w:firstLine="480"/>
        <w:rPr>
          <w:color w:val="auto"/>
          <w:position w:val="2"/>
        </w:rPr>
      </w:pPr>
      <w:r>
        <w:rPr>
          <w:color w:val="auto"/>
        </w:rPr>
        <w:t>⑵生活污水</w:t>
      </w:r>
    </w:p>
    <w:p>
      <w:pPr>
        <w:pStyle w:val="130"/>
        <w:ind w:firstLine="480"/>
        <w:rPr>
          <w:color w:val="auto"/>
        </w:rPr>
      </w:pPr>
      <w:r>
        <w:rPr>
          <w:color w:val="auto"/>
        </w:rPr>
        <w:t>生活污水产生量为1.94m</w:t>
      </w:r>
      <w:r>
        <w:rPr>
          <w:color w:val="auto"/>
          <w:vertAlign w:val="superscript"/>
        </w:rPr>
        <w:t>3</w:t>
      </w:r>
      <w:r>
        <w:rPr>
          <w:color w:val="auto"/>
        </w:rPr>
        <w:t>/d，638.88m</w:t>
      </w:r>
      <w:r>
        <w:rPr>
          <w:color w:val="auto"/>
          <w:vertAlign w:val="superscript"/>
        </w:rPr>
        <w:t>3</w:t>
      </w:r>
      <w:r>
        <w:rPr>
          <w:color w:val="auto"/>
        </w:rPr>
        <w:t>/a，依托现有化粪池处理，化粪池满后用吸污车运送至中卫市生活垃圾填埋场的渗滤液调蓄池。</w:t>
      </w:r>
    </w:p>
    <w:p>
      <w:pPr>
        <w:pStyle w:val="130"/>
        <w:ind w:firstLine="480"/>
        <w:rPr>
          <w:color w:val="auto"/>
        </w:rPr>
      </w:pPr>
      <w:r>
        <w:rPr>
          <w:color w:val="auto"/>
        </w:rPr>
        <w:t>本项目生产废水产生、排放情况水质因子浓度按2022年5月6日~5月7日两日平均值中最大值考虑，由于现状污染源监测期间，污水处理站尚在试调试阶段不稳定，出水BOD</w:t>
      </w:r>
      <w:r>
        <w:rPr>
          <w:color w:val="auto"/>
          <w:vertAlign w:val="subscript"/>
        </w:rPr>
        <w:t>5</w:t>
      </w:r>
      <w:r>
        <w:rPr>
          <w:color w:val="auto"/>
        </w:rPr>
        <w:t>略有超标，后续由厂家继续调试，直至稳定达标运行，因此BOD</w:t>
      </w:r>
      <w:r>
        <w:rPr>
          <w:color w:val="auto"/>
          <w:vertAlign w:val="subscript"/>
        </w:rPr>
        <w:t>5</w:t>
      </w:r>
      <w:r>
        <w:rPr>
          <w:color w:val="auto"/>
        </w:rPr>
        <w:t>出水按达标值10进行计算。本项目废水产生及排放情况见表4.8-2。</w:t>
      </w:r>
    </w:p>
    <w:p>
      <w:pPr>
        <w:pStyle w:val="114"/>
        <w:spacing w:before="0" w:beforeLines="0"/>
        <w:rPr>
          <w:color w:val="auto"/>
        </w:rPr>
      </w:pPr>
      <w:r>
        <w:rPr>
          <w:color w:val="auto"/>
        </w:rPr>
        <w:t>表4.8-2   本项目废水产生及排放情况一览表</w:t>
      </w:r>
    </w:p>
    <w:tbl>
      <w:tblPr>
        <w:tblStyle w:val="74"/>
        <w:tblW w:w="904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78"/>
        <w:gridCol w:w="1022"/>
        <w:gridCol w:w="888"/>
        <w:gridCol w:w="851"/>
        <w:gridCol w:w="1032"/>
        <w:gridCol w:w="1516"/>
        <w:gridCol w:w="923"/>
        <w:gridCol w:w="671"/>
        <w:gridCol w:w="863"/>
        <w:gridCol w:w="7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78" w:type="dxa"/>
            <w:vMerge w:val="restart"/>
            <w:shd w:val="clear" w:color="auto" w:fill="auto"/>
            <w:vAlign w:val="center"/>
          </w:tcPr>
          <w:p>
            <w:pPr>
              <w:pStyle w:val="164"/>
              <w:spacing w:line="240" w:lineRule="auto"/>
              <w:rPr>
                <w:color w:val="auto"/>
                <w:szCs w:val="21"/>
              </w:rPr>
            </w:pPr>
            <w:r>
              <w:rPr>
                <w:color w:val="auto"/>
                <w:szCs w:val="21"/>
              </w:rPr>
              <w:t>废水类型</w:t>
            </w:r>
          </w:p>
        </w:tc>
        <w:tc>
          <w:tcPr>
            <w:tcW w:w="1022" w:type="dxa"/>
            <w:vMerge w:val="restart"/>
            <w:shd w:val="clear" w:color="auto" w:fill="auto"/>
            <w:vAlign w:val="center"/>
          </w:tcPr>
          <w:p>
            <w:pPr>
              <w:pStyle w:val="164"/>
              <w:spacing w:line="240" w:lineRule="auto"/>
              <w:rPr>
                <w:color w:val="auto"/>
                <w:szCs w:val="21"/>
              </w:rPr>
            </w:pPr>
            <w:r>
              <w:rPr>
                <w:color w:val="auto"/>
                <w:szCs w:val="21"/>
              </w:rPr>
              <w:t>废水量</w:t>
            </w:r>
          </w:p>
          <w:p>
            <w:pPr>
              <w:pStyle w:val="164"/>
              <w:spacing w:line="240" w:lineRule="auto"/>
              <w:rPr>
                <w:color w:val="auto"/>
                <w:szCs w:val="21"/>
              </w:rPr>
            </w:pPr>
            <w:r>
              <w:rPr>
                <w:color w:val="auto"/>
                <w:szCs w:val="21"/>
              </w:rPr>
              <w:t>(m</w:t>
            </w:r>
            <w:r>
              <w:rPr>
                <w:color w:val="auto"/>
                <w:szCs w:val="21"/>
                <w:vertAlign w:val="superscript"/>
              </w:rPr>
              <w:t>3</w:t>
            </w:r>
            <w:r>
              <w:rPr>
                <w:color w:val="auto"/>
                <w:szCs w:val="21"/>
              </w:rPr>
              <w:t>/a)</w:t>
            </w:r>
          </w:p>
        </w:tc>
        <w:tc>
          <w:tcPr>
            <w:tcW w:w="888" w:type="dxa"/>
            <w:vMerge w:val="restart"/>
            <w:shd w:val="clear" w:color="auto" w:fill="auto"/>
            <w:vAlign w:val="center"/>
          </w:tcPr>
          <w:p>
            <w:pPr>
              <w:pStyle w:val="164"/>
              <w:spacing w:line="240" w:lineRule="auto"/>
              <w:rPr>
                <w:color w:val="auto"/>
                <w:szCs w:val="21"/>
              </w:rPr>
            </w:pPr>
            <w:r>
              <w:rPr>
                <w:color w:val="auto"/>
                <w:szCs w:val="21"/>
              </w:rPr>
              <w:t>污染物</w:t>
            </w:r>
          </w:p>
        </w:tc>
        <w:tc>
          <w:tcPr>
            <w:tcW w:w="1883" w:type="dxa"/>
            <w:gridSpan w:val="2"/>
            <w:shd w:val="clear" w:color="auto" w:fill="auto"/>
            <w:vAlign w:val="center"/>
          </w:tcPr>
          <w:p>
            <w:pPr>
              <w:pStyle w:val="164"/>
              <w:spacing w:line="240" w:lineRule="auto"/>
              <w:rPr>
                <w:color w:val="auto"/>
                <w:szCs w:val="21"/>
              </w:rPr>
            </w:pPr>
            <w:r>
              <w:rPr>
                <w:color w:val="auto"/>
                <w:szCs w:val="21"/>
              </w:rPr>
              <w:t>产生情况</w:t>
            </w:r>
          </w:p>
        </w:tc>
        <w:tc>
          <w:tcPr>
            <w:tcW w:w="1516" w:type="dxa"/>
            <w:vMerge w:val="restart"/>
            <w:shd w:val="clear" w:color="auto" w:fill="auto"/>
            <w:vAlign w:val="center"/>
          </w:tcPr>
          <w:p>
            <w:pPr>
              <w:pStyle w:val="164"/>
              <w:spacing w:line="360" w:lineRule="exact"/>
              <w:rPr>
                <w:color w:val="auto"/>
                <w:szCs w:val="21"/>
              </w:rPr>
            </w:pPr>
            <w:r>
              <w:rPr>
                <w:color w:val="auto"/>
                <w:szCs w:val="21"/>
              </w:rPr>
              <w:t>废水防治措施</w:t>
            </w:r>
          </w:p>
        </w:tc>
        <w:tc>
          <w:tcPr>
            <w:tcW w:w="1594" w:type="dxa"/>
            <w:gridSpan w:val="2"/>
            <w:shd w:val="clear" w:color="auto" w:fill="auto"/>
            <w:vAlign w:val="center"/>
          </w:tcPr>
          <w:p>
            <w:pPr>
              <w:pStyle w:val="164"/>
              <w:spacing w:line="240" w:lineRule="auto"/>
              <w:rPr>
                <w:color w:val="auto"/>
                <w:szCs w:val="21"/>
              </w:rPr>
            </w:pPr>
            <w:r>
              <w:rPr>
                <w:color w:val="auto"/>
                <w:szCs w:val="21"/>
              </w:rPr>
              <w:t>排放情况</w:t>
            </w:r>
          </w:p>
        </w:tc>
        <w:tc>
          <w:tcPr>
            <w:tcW w:w="863" w:type="dxa"/>
            <w:vMerge w:val="restart"/>
            <w:vAlign w:val="center"/>
          </w:tcPr>
          <w:p>
            <w:pPr>
              <w:pStyle w:val="164"/>
              <w:spacing w:line="240" w:lineRule="auto"/>
              <w:rPr>
                <w:color w:val="auto"/>
                <w:szCs w:val="21"/>
              </w:rPr>
            </w:pPr>
            <w:r>
              <w:rPr>
                <w:color w:val="auto"/>
                <w:szCs w:val="21"/>
              </w:rPr>
              <w:t>排放标准</w:t>
            </w:r>
          </w:p>
        </w:tc>
        <w:tc>
          <w:tcPr>
            <w:tcW w:w="702" w:type="dxa"/>
            <w:vMerge w:val="restart"/>
            <w:vAlign w:val="center"/>
          </w:tcPr>
          <w:p>
            <w:pPr>
              <w:pStyle w:val="164"/>
              <w:spacing w:line="240" w:lineRule="auto"/>
              <w:rPr>
                <w:color w:val="auto"/>
                <w:szCs w:val="21"/>
              </w:rPr>
            </w:pPr>
            <w:r>
              <w:rPr>
                <w:color w:val="auto"/>
                <w:szCs w:val="21"/>
              </w:rPr>
              <w:t>是否达标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78" w:type="dxa"/>
            <w:vMerge w:val="continue"/>
            <w:vAlign w:val="center"/>
          </w:tcPr>
          <w:p>
            <w:pPr>
              <w:pStyle w:val="164"/>
              <w:spacing w:line="240" w:lineRule="auto"/>
              <w:rPr>
                <w:color w:val="auto"/>
                <w:szCs w:val="21"/>
              </w:rPr>
            </w:pPr>
          </w:p>
        </w:tc>
        <w:tc>
          <w:tcPr>
            <w:tcW w:w="1022" w:type="dxa"/>
            <w:vMerge w:val="continue"/>
            <w:shd w:val="clear" w:color="auto" w:fill="auto"/>
            <w:vAlign w:val="center"/>
          </w:tcPr>
          <w:p>
            <w:pPr>
              <w:pStyle w:val="164"/>
              <w:spacing w:line="240" w:lineRule="auto"/>
              <w:rPr>
                <w:color w:val="auto"/>
                <w:szCs w:val="21"/>
              </w:rPr>
            </w:pPr>
          </w:p>
        </w:tc>
        <w:tc>
          <w:tcPr>
            <w:tcW w:w="888" w:type="dxa"/>
            <w:vMerge w:val="continue"/>
            <w:vAlign w:val="center"/>
          </w:tcPr>
          <w:p>
            <w:pPr>
              <w:pStyle w:val="164"/>
              <w:spacing w:line="240" w:lineRule="auto"/>
              <w:rPr>
                <w:color w:val="auto"/>
                <w:szCs w:val="21"/>
              </w:rPr>
            </w:pPr>
          </w:p>
        </w:tc>
        <w:tc>
          <w:tcPr>
            <w:tcW w:w="851" w:type="dxa"/>
            <w:shd w:val="clear" w:color="auto" w:fill="auto"/>
            <w:vAlign w:val="center"/>
          </w:tcPr>
          <w:p>
            <w:pPr>
              <w:pStyle w:val="164"/>
              <w:spacing w:line="240" w:lineRule="auto"/>
              <w:rPr>
                <w:color w:val="auto"/>
                <w:szCs w:val="21"/>
              </w:rPr>
            </w:pPr>
            <w:r>
              <w:rPr>
                <w:color w:val="auto"/>
                <w:szCs w:val="21"/>
              </w:rPr>
              <w:t>浓度</w:t>
            </w:r>
          </w:p>
          <w:p>
            <w:pPr>
              <w:pStyle w:val="164"/>
              <w:spacing w:line="240" w:lineRule="auto"/>
              <w:rPr>
                <w:color w:val="auto"/>
                <w:szCs w:val="21"/>
              </w:rPr>
            </w:pPr>
            <w:r>
              <w:rPr>
                <w:color w:val="auto"/>
                <w:szCs w:val="21"/>
              </w:rPr>
              <w:t>(mg/L)</w:t>
            </w:r>
          </w:p>
        </w:tc>
        <w:tc>
          <w:tcPr>
            <w:tcW w:w="1032" w:type="dxa"/>
            <w:shd w:val="clear" w:color="auto" w:fill="auto"/>
            <w:vAlign w:val="center"/>
          </w:tcPr>
          <w:p>
            <w:pPr>
              <w:pStyle w:val="164"/>
              <w:spacing w:line="240" w:lineRule="auto"/>
              <w:rPr>
                <w:color w:val="auto"/>
                <w:szCs w:val="21"/>
              </w:rPr>
            </w:pPr>
            <w:r>
              <w:rPr>
                <w:color w:val="auto"/>
                <w:szCs w:val="21"/>
              </w:rPr>
              <w:t>产生量(t/a)</w:t>
            </w:r>
          </w:p>
        </w:tc>
        <w:tc>
          <w:tcPr>
            <w:tcW w:w="1516" w:type="dxa"/>
            <w:vMerge w:val="continue"/>
            <w:vAlign w:val="center"/>
          </w:tcPr>
          <w:p>
            <w:pPr>
              <w:pStyle w:val="164"/>
              <w:spacing w:line="360" w:lineRule="exact"/>
              <w:rPr>
                <w:color w:val="auto"/>
                <w:szCs w:val="21"/>
              </w:rPr>
            </w:pPr>
          </w:p>
        </w:tc>
        <w:tc>
          <w:tcPr>
            <w:tcW w:w="923" w:type="dxa"/>
            <w:shd w:val="clear" w:color="auto" w:fill="auto"/>
            <w:vAlign w:val="center"/>
          </w:tcPr>
          <w:p>
            <w:pPr>
              <w:pStyle w:val="164"/>
              <w:spacing w:line="240" w:lineRule="auto"/>
              <w:rPr>
                <w:color w:val="auto"/>
                <w:szCs w:val="21"/>
              </w:rPr>
            </w:pPr>
            <w:r>
              <w:rPr>
                <w:color w:val="auto"/>
                <w:szCs w:val="21"/>
              </w:rPr>
              <w:t>浓度</w:t>
            </w:r>
          </w:p>
          <w:p>
            <w:pPr>
              <w:pStyle w:val="164"/>
              <w:spacing w:line="240" w:lineRule="auto"/>
              <w:rPr>
                <w:color w:val="auto"/>
                <w:szCs w:val="21"/>
              </w:rPr>
            </w:pPr>
            <w:r>
              <w:rPr>
                <w:color w:val="auto"/>
                <w:szCs w:val="21"/>
              </w:rPr>
              <w:t>(mg/L)</w:t>
            </w:r>
          </w:p>
        </w:tc>
        <w:tc>
          <w:tcPr>
            <w:tcW w:w="671" w:type="dxa"/>
            <w:shd w:val="clear" w:color="auto" w:fill="auto"/>
            <w:vAlign w:val="center"/>
          </w:tcPr>
          <w:p>
            <w:pPr>
              <w:pStyle w:val="164"/>
              <w:spacing w:line="240" w:lineRule="auto"/>
              <w:rPr>
                <w:color w:val="auto"/>
                <w:szCs w:val="21"/>
              </w:rPr>
            </w:pPr>
            <w:r>
              <w:rPr>
                <w:color w:val="auto"/>
                <w:szCs w:val="21"/>
              </w:rPr>
              <w:t>排放量</w:t>
            </w:r>
          </w:p>
          <w:p>
            <w:pPr>
              <w:pStyle w:val="164"/>
              <w:spacing w:line="240" w:lineRule="auto"/>
              <w:rPr>
                <w:color w:val="auto"/>
                <w:szCs w:val="21"/>
              </w:rPr>
            </w:pPr>
            <w:r>
              <w:rPr>
                <w:color w:val="auto"/>
                <w:szCs w:val="21"/>
              </w:rPr>
              <w:t>(t/a)</w:t>
            </w:r>
          </w:p>
        </w:tc>
        <w:tc>
          <w:tcPr>
            <w:tcW w:w="863" w:type="dxa"/>
            <w:vMerge w:val="continue"/>
            <w:vAlign w:val="center"/>
          </w:tcPr>
          <w:p>
            <w:pPr>
              <w:pStyle w:val="164"/>
              <w:spacing w:line="360" w:lineRule="exact"/>
              <w:rPr>
                <w:color w:val="auto"/>
                <w:szCs w:val="21"/>
              </w:rPr>
            </w:pPr>
          </w:p>
        </w:tc>
        <w:tc>
          <w:tcPr>
            <w:tcW w:w="702" w:type="dxa"/>
            <w:vMerge w:val="continue"/>
            <w:vAlign w:val="center"/>
          </w:tcPr>
          <w:p>
            <w:pPr>
              <w:pStyle w:val="164"/>
              <w:spacing w:line="360" w:lineRule="exact"/>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jc w:val="center"/>
        </w:trPr>
        <w:tc>
          <w:tcPr>
            <w:tcW w:w="578" w:type="dxa"/>
            <w:vMerge w:val="restart"/>
            <w:shd w:val="clear" w:color="auto" w:fill="auto"/>
            <w:vAlign w:val="center"/>
          </w:tcPr>
          <w:p>
            <w:pPr>
              <w:pStyle w:val="164"/>
              <w:spacing w:line="360" w:lineRule="exact"/>
              <w:rPr>
                <w:color w:val="auto"/>
                <w:szCs w:val="21"/>
              </w:rPr>
            </w:pPr>
            <w:r>
              <w:rPr>
                <w:color w:val="auto"/>
                <w:szCs w:val="21"/>
              </w:rPr>
              <w:t>生产废水</w:t>
            </w:r>
          </w:p>
        </w:tc>
        <w:tc>
          <w:tcPr>
            <w:tcW w:w="1022" w:type="dxa"/>
            <w:vMerge w:val="restart"/>
            <w:shd w:val="clear" w:color="auto" w:fill="auto"/>
            <w:vAlign w:val="center"/>
          </w:tcPr>
          <w:p>
            <w:pPr>
              <w:pStyle w:val="164"/>
              <w:spacing w:line="360" w:lineRule="exact"/>
              <w:rPr>
                <w:color w:val="auto"/>
                <w:szCs w:val="21"/>
              </w:rPr>
            </w:pPr>
            <w:r>
              <w:rPr>
                <w:color w:val="auto"/>
                <w:szCs w:val="21"/>
              </w:rPr>
              <w:t>2261.76</w:t>
            </w:r>
          </w:p>
        </w:tc>
        <w:tc>
          <w:tcPr>
            <w:tcW w:w="888" w:type="dxa"/>
            <w:shd w:val="clear" w:color="auto" w:fill="auto"/>
            <w:vAlign w:val="center"/>
          </w:tcPr>
          <w:p>
            <w:pPr>
              <w:pStyle w:val="164"/>
              <w:spacing w:line="360" w:lineRule="exact"/>
              <w:rPr>
                <w:color w:val="auto"/>
                <w:szCs w:val="21"/>
              </w:rPr>
            </w:pPr>
            <w:r>
              <w:rPr>
                <w:color w:val="auto"/>
                <w:szCs w:val="21"/>
              </w:rPr>
              <w:t>pH</w:t>
            </w:r>
          </w:p>
        </w:tc>
        <w:tc>
          <w:tcPr>
            <w:tcW w:w="1883" w:type="dxa"/>
            <w:gridSpan w:val="2"/>
            <w:shd w:val="clear" w:color="auto" w:fill="auto"/>
            <w:vAlign w:val="center"/>
          </w:tcPr>
          <w:p>
            <w:pPr>
              <w:pStyle w:val="164"/>
              <w:spacing w:line="360" w:lineRule="exact"/>
              <w:rPr>
                <w:color w:val="auto"/>
                <w:szCs w:val="21"/>
              </w:rPr>
            </w:pPr>
            <w:r>
              <w:rPr>
                <w:color w:val="auto"/>
                <w:szCs w:val="21"/>
              </w:rPr>
              <w:t>7.4~7.6</w:t>
            </w:r>
          </w:p>
        </w:tc>
        <w:tc>
          <w:tcPr>
            <w:tcW w:w="1516" w:type="dxa"/>
            <w:vMerge w:val="restart"/>
            <w:shd w:val="clear" w:color="auto" w:fill="auto"/>
            <w:vAlign w:val="center"/>
          </w:tcPr>
          <w:p>
            <w:pPr>
              <w:pStyle w:val="164"/>
              <w:spacing w:line="240" w:lineRule="auto"/>
              <w:rPr>
                <w:color w:val="auto"/>
                <w:szCs w:val="21"/>
              </w:rPr>
            </w:pPr>
            <w:r>
              <w:rPr>
                <w:color w:val="auto"/>
                <w:szCs w:val="21"/>
              </w:rPr>
              <w:t>经厂区新建10m</w:t>
            </w:r>
            <w:r>
              <w:rPr>
                <w:color w:val="auto"/>
                <w:szCs w:val="21"/>
                <w:vertAlign w:val="superscript"/>
              </w:rPr>
              <w:t>3</w:t>
            </w:r>
            <w:r>
              <w:rPr>
                <w:color w:val="auto"/>
                <w:szCs w:val="21"/>
              </w:rPr>
              <w:t>/d一体化污水处理站（A</w:t>
            </w:r>
            <w:r>
              <w:rPr>
                <w:color w:val="auto"/>
                <w:szCs w:val="21"/>
                <w:vertAlign w:val="superscript"/>
              </w:rPr>
              <w:t>2</w:t>
            </w:r>
            <w:r>
              <w:rPr>
                <w:color w:val="auto"/>
                <w:szCs w:val="21"/>
              </w:rPr>
              <w:t>O+MBR+消毒）处理后</w:t>
            </w:r>
            <w:r>
              <w:rPr>
                <w:color w:val="auto"/>
                <w:lang w:bidi="en-GB"/>
              </w:rPr>
              <w:t>作为中卫市生活垃圾填埋场道路抑尘用水</w:t>
            </w:r>
          </w:p>
        </w:tc>
        <w:tc>
          <w:tcPr>
            <w:tcW w:w="1594" w:type="dxa"/>
            <w:gridSpan w:val="2"/>
            <w:shd w:val="clear" w:color="auto" w:fill="auto"/>
            <w:vAlign w:val="center"/>
          </w:tcPr>
          <w:p>
            <w:pPr>
              <w:pStyle w:val="164"/>
              <w:spacing w:line="360" w:lineRule="exact"/>
              <w:rPr>
                <w:color w:val="auto"/>
                <w:szCs w:val="21"/>
              </w:rPr>
            </w:pPr>
            <w:r>
              <w:rPr>
                <w:color w:val="auto"/>
                <w:szCs w:val="21"/>
              </w:rPr>
              <w:t>8.5</w:t>
            </w:r>
          </w:p>
        </w:tc>
        <w:tc>
          <w:tcPr>
            <w:tcW w:w="863" w:type="dxa"/>
            <w:vAlign w:val="center"/>
          </w:tcPr>
          <w:p>
            <w:pPr>
              <w:pStyle w:val="164"/>
              <w:spacing w:line="360" w:lineRule="exact"/>
              <w:rPr>
                <w:color w:val="auto"/>
                <w:szCs w:val="21"/>
              </w:rPr>
            </w:pPr>
            <w:r>
              <w:rPr>
                <w:color w:val="auto"/>
                <w:szCs w:val="21"/>
              </w:rPr>
              <w:t>6~9</w:t>
            </w:r>
          </w:p>
        </w:tc>
        <w:tc>
          <w:tcPr>
            <w:tcW w:w="702"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jc w:val="center"/>
        </w:trPr>
        <w:tc>
          <w:tcPr>
            <w:tcW w:w="578" w:type="dxa"/>
            <w:vMerge w:val="continue"/>
            <w:shd w:val="clear" w:color="auto" w:fill="auto"/>
            <w:vAlign w:val="center"/>
          </w:tcPr>
          <w:p>
            <w:pPr>
              <w:pStyle w:val="164"/>
              <w:spacing w:line="360" w:lineRule="exact"/>
              <w:rPr>
                <w:color w:val="auto"/>
                <w:szCs w:val="21"/>
              </w:rPr>
            </w:pPr>
          </w:p>
        </w:tc>
        <w:tc>
          <w:tcPr>
            <w:tcW w:w="1022" w:type="dxa"/>
            <w:vMerge w:val="continue"/>
            <w:shd w:val="clear" w:color="auto" w:fill="auto"/>
            <w:vAlign w:val="center"/>
          </w:tcPr>
          <w:p>
            <w:pPr>
              <w:pStyle w:val="164"/>
              <w:spacing w:line="360" w:lineRule="exact"/>
              <w:rPr>
                <w:color w:val="auto"/>
                <w:szCs w:val="21"/>
              </w:rPr>
            </w:pPr>
          </w:p>
        </w:tc>
        <w:tc>
          <w:tcPr>
            <w:tcW w:w="888" w:type="dxa"/>
            <w:shd w:val="clear" w:color="auto" w:fill="auto"/>
            <w:vAlign w:val="center"/>
          </w:tcPr>
          <w:p>
            <w:pPr>
              <w:pStyle w:val="164"/>
              <w:spacing w:line="360" w:lineRule="exact"/>
              <w:rPr>
                <w:color w:val="auto"/>
                <w:szCs w:val="21"/>
              </w:rPr>
            </w:pPr>
            <w:r>
              <w:rPr>
                <w:color w:val="auto"/>
                <w:szCs w:val="21"/>
              </w:rPr>
              <w:t>COD</w:t>
            </w:r>
          </w:p>
        </w:tc>
        <w:tc>
          <w:tcPr>
            <w:tcW w:w="851" w:type="dxa"/>
            <w:shd w:val="clear" w:color="auto" w:fill="auto"/>
            <w:vAlign w:val="center"/>
          </w:tcPr>
          <w:p>
            <w:pPr>
              <w:pStyle w:val="164"/>
              <w:spacing w:line="360" w:lineRule="exact"/>
              <w:rPr>
                <w:color w:val="auto"/>
                <w:szCs w:val="21"/>
              </w:rPr>
            </w:pPr>
            <w:r>
              <w:rPr>
                <w:color w:val="auto"/>
                <w:szCs w:val="21"/>
              </w:rPr>
              <w:t>2000</w:t>
            </w:r>
          </w:p>
        </w:tc>
        <w:tc>
          <w:tcPr>
            <w:tcW w:w="1032" w:type="dxa"/>
            <w:shd w:val="clear" w:color="auto" w:fill="auto"/>
            <w:vAlign w:val="center"/>
          </w:tcPr>
          <w:p>
            <w:pPr>
              <w:pStyle w:val="164"/>
              <w:spacing w:line="360" w:lineRule="exact"/>
              <w:rPr>
                <w:color w:val="auto"/>
                <w:szCs w:val="21"/>
              </w:rPr>
            </w:pPr>
            <w:r>
              <w:rPr>
                <w:color w:val="auto"/>
                <w:szCs w:val="21"/>
              </w:rPr>
              <w:t xml:space="preserve">4.524 </w:t>
            </w:r>
          </w:p>
        </w:tc>
        <w:tc>
          <w:tcPr>
            <w:tcW w:w="1516" w:type="dxa"/>
            <w:vMerge w:val="continue"/>
            <w:shd w:val="clear" w:color="auto" w:fill="auto"/>
            <w:vAlign w:val="center"/>
          </w:tcPr>
          <w:p>
            <w:pPr>
              <w:pStyle w:val="164"/>
              <w:spacing w:line="360" w:lineRule="exact"/>
              <w:rPr>
                <w:color w:val="auto"/>
                <w:szCs w:val="21"/>
              </w:rPr>
            </w:pPr>
          </w:p>
        </w:tc>
        <w:tc>
          <w:tcPr>
            <w:tcW w:w="923" w:type="dxa"/>
            <w:shd w:val="clear" w:color="auto" w:fill="auto"/>
            <w:vAlign w:val="center"/>
          </w:tcPr>
          <w:p>
            <w:pPr>
              <w:pStyle w:val="164"/>
              <w:spacing w:line="360" w:lineRule="exact"/>
              <w:rPr>
                <w:color w:val="auto"/>
                <w:szCs w:val="21"/>
              </w:rPr>
            </w:pPr>
            <w:r>
              <w:rPr>
                <w:color w:val="auto"/>
                <w:szCs w:val="21"/>
              </w:rPr>
              <w:t>33</w:t>
            </w:r>
          </w:p>
        </w:tc>
        <w:tc>
          <w:tcPr>
            <w:tcW w:w="671" w:type="dxa"/>
            <w:shd w:val="clear" w:color="auto" w:fill="auto"/>
            <w:vAlign w:val="center"/>
          </w:tcPr>
          <w:p>
            <w:pPr>
              <w:pStyle w:val="164"/>
              <w:spacing w:line="360" w:lineRule="exact"/>
              <w:rPr>
                <w:color w:val="auto"/>
                <w:szCs w:val="21"/>
              </w:rPr>
            </w:pPr>
            <w:r>
              <w:rPr>
                <w:color w:val="auto"/>
                <w:szCs w:val="21"/>
              </w:rPr>
              <w:t>0</w:t>
            </w:r>
          </w:p>
        </w:tc>
        <w:tc>
          <w:tcPr>
            <w:tcW w:w="863" w:type="dxa"/>
            <w:vAlign w:val="center"/>
          </w:tcPr>
          <w:p>
            <w:pPr>
              <w:pStyle w:val="164"/>
              <w:spacing w:line="360" w:lineRule="exact"/>
              <w:rPr>
                <w:color w:val="auto"/>
                <w:szCs w:val="21"/>
              </w:rPr>
            </w:pPr>
            <w:r>
              <w:rPr>
                <w:color w:val="auto"/>
                <w:szCs w:val="21"/>
              </w:rPr>
              <w:t>60</w:t>
            </w:r>
          </w:p>
        </w:tc>
        <w:tc>
          <w:tcPr>
            <w:tcW w:w="702"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jc w:val="center"/>
        </w:trPr>
        <w:tc>
          <w:tcPr>
            <w:tcW w:w="578" w:type="dxa"/>
            <w:vMerge w:val="continue"/>
            <w:vAlign w:val="center"/>
          </w:tcPr>
          <w:p>
            <w:pPr>
              <w:pStyle w:val="164"/>
              <w:spacing w:line="360" w:lineRule="exact"/>
              <w:rPr>
                <w:color w:val="auto"/>
                <w:szCs w:val="21"/>
              </w:rPr>
            </w:pPr>
          </w:p>
        </w:tc>
        <w:tc>
          <w:tcPr>
            <w:tcW w:w="1022" w:type="dxa"/>
            <w:vMerge w:val="continue"/>
            <w:vAlign w:val="center"/>
          </w:tcPr>
          <w:p>
            <w:pPr>
              <w:pStyle w:val="164"/>
              <w:spacing w:line="360" w:lineRule="exact"/>
              <w:rPr>
                <w:color w:val="auto"/>
                <w:szCs w:val="21"/>
              </w:rPr>
            </w:pPr>
          </w:p>
        </w:tc>
        <w:tc>
          <w:tcPr>
            <w:tcW w:w="888" w:type="dxa"/>
            <w:shd w:val="clear" w:color="auto" w:fill="auto"/>
            <w:vAlign w:val="center"/>
          </w:tcPr>
          <w:p>
            <w:pPr>
              <w:pStyle w:val="164"/>
              <w:spacing w:line="360" w:lineRule="exact"/>
              <w:rPr>
                <w:color w:val="auto"/>
                <w:szCs w:val="21"/>
              </w:rPr>
            </w:pPr>
            <w:r>
              <w:rPr>
                <w:color w:val="auto"/>
                <w:szCs w:val="21"/>
              </w:rPr>
              <w:t>BOD</w:t>
            </w:r>
            <w:r>
              <w:rPr>
                <w:color w:val="auto"/>
                <w:szCs w:val="21"/>
                <w:vertAlign w:val="subscript"/>
              </w:rPr>
              <w:t>5</w:t>
            </w:r>
          </w:p>
        </w:tc>
        <w:tc>
          <w:tcPr>
            <w:tcW w:w="851" w:type="dxa"/>
            <w:shd w:val="clear" w:color="auto" w:fill="auto"/>
            <w:vAlign w:val="center"/>
          </w:tcPr>
          <w:p>
            <w:pPr>
              <w:pStyle w:val="164"/>
              <w:spacing w:line="360" w:lineRule="exact"/>
              <w:rPr>
                <w:color w:val="auto"/>
                <w:szCs w:val="21"/>
              </w:rPr>
            </w:pPr>
            <w:r>
              <w:rPr>
                <w:color w:val="auto"/>
                <w:szCs w:val="21"/>
              </w:rPr>
              <w:t>645</w:t>
            </w:r>
          </w:p>
        </w:tc>
        <w:tc>
          <w:tcPr>
            <w:tcW w:w="1032" w:type="dxa"/>
            <w:shd w:val="clear" w:color="auto" w:fill="auto"/>
            <w:vAlign w:val="center"/>
          </w:tcPr>
          <w:p>
            <w:pPr>
              <w:pStyle w:val="164"/>
              <w:spacing w:line="360" w:lineRule="exact"/>
              <w:rPr>
                <w:color w:val="auto"/>
                <w:szCs w:val="21"/>
              </w:rPr>
            </w:pPr>
            <w:r>
              <w:rPr>
                <w:color w:val="auto"/>
                <w:szCs w:val="21"/>
              </w:rPr>
              <w:t xml:space="preserve">1.459 </w:t>
            </w:r>
          </w:p>
        </w:tc>
        <w:tc>
          <w:tcPr>
            <w:tcW w:w="1516" w:type="dxa"/>
            <w:vMerge w:val="continue"/>
            <w:vAlign w:val="center"/>
          </w:tcPr>
          <w:p>
            <w:pPr>
              <w:pStyle w:val="164"/>
              <w:spacing w:line="360" w:lineRule="exact"/>
              <w:rPr>
                <w:color w:val="auto"/>
                <w:szCs w:val="21"/>
              </w:rPr>
            </w:pPr>
          </w:p>
        </w:tc>
        <w:tc>
          <w:tcPr>
            <w:tcW w:w="923" w:type="dxa"/>
            <w:shd w:val="clear" w:color="auto" w:fill="auto"/>
            <w:vAlign w:val="center"/>
          </w:tcPr>
          <w:p>
            <w:pPr>
              <w:pStyle w:val="164"/>
              <w:spacing w:line="360" w:lineRule="exact"/>
              <w:rPr>
                <w:color w:val="auto"/>
                <w:szCs w:val="21"/>
              </w:rPr>
            </w:pPr>
            <w:r>
              <w:rPr>
                <w:color w:val="auto"/>
                <w:szCs w:val="21"/>
              </w:rPr>
              <w:t>10</w:t>
            </w:r>
          </w:p>
        </w:tc>
        <w:tc>
          <w:tcPr>
            <w:tcW w:w="671" w:type="dxa"/>
            <w:shd w:val="clear" w:color="auto" w:fill="auto"/>
            <w:vAlign w:val="center"/>
          </w:tcPr>
          <w:p>
            <w:pPr>
              <w:pStyle w:val="164"/>
              <w:spacing w:line="360" w:lineRule="exact"/>
              <w:rPr>
                <w:color w:val="auto"/>
                <w:szCs w:val="21"/>
              </w:rPr>
            </w:pPr>
            <w:r>
              <w:rPr>
                <w:color w:val="auto"/>
                <w:szCs w:val="21"/>
              </w:rPr>
              <w:t>0</w:t>
            </w:r>
          </w:p>
        </w:tc>
        <w:tc>
          <w:tcPr>
            <w:tcW w:w="863" w:type="dxa"/>
            <w:vAlign w:val="center"/>
          </w:tcPr>
          <w:p>
            <w:pPr>
              <w:pStyle w:val="164"/>
              <w:spacing w:line="360" w:lineRule="exact"/>
              <w:rPr>
                <w:color w:val="auto"/>
                <w:szCs w:val="21"/>
              </w:rPr>
            </w:pPr>
            <w:r>
              <w:rPr>
                <w:color w:val="auto"/>
                <w:szCs w:val="21"/>
              </w:rPr>
              <w:t>10</w:t>
            </w:r>
          </w:p>
        </w:tc>
        <w:tc>
          <w:tcPr>
            <w:tcW w:w="702"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jc w:val="center"/>
        </w:trPr>
        <w:tc>
          <w:tcPr>
            <w:tcW w:w="578" w:type="dxa"/>
            <w:vMerge w:val="continue"/>
            <w:vAlign w:val="center"/>
          </w:tcPr>
          <w:p>
            <w:pPr>
              <w:pStyle w:val="164"/>
              <w:spacing w:line="360" w:lineRule="exact"/>
              <w:rPr>
                <w:color w:val="auto"/>
                <w:szCs w:val="21"/>
              </w:rPr>
            </w:pPr>
          </w:p>
        </w:tc>
        <w:tc>
          <w:tcPr>
            <w:tcW w:w="1022" w:type="dxa"/>
            <w:vMerge w:val="continue"/>
            <w:vAlign w:val="center"/>
          </w:tcPr>
          <w:p>
            <w:pPr>
              <w:pStyle w:val="164"/>
              <w:spacing w:line="360" w:lineRule="exact"/>
              <w:rPr>
                <w:color w:val="auto"/>
                <w:szCs w:val="21"/>
              </w:rPr>
            </w:pPr>
          </w:p>
        </w:tc>
        <w:tc>
          <w:tcPr>
            <w:tcW w:w="888" w:type="dxa"/>
            <w:shd w:val="clear" w:color="auto" w:fill="auto"/>
            <w:vAlign w:val="center"/>
          </w:tcPr>
          <w:p>
            <w:pPr>
              <w:pStyle w:val="164"/>
              <w:spacing w:line="360" w:lineRule="exact"/>
              <w:rPr>
                <w:color w:val="auto"/>
                <w:szCs w:val="21"/>
              </w:rPr>
            </w:pPr>
            <w:r>
              <w:rPr>
                <w:color w:val="auto"/>
                <w:szCs w:val="21"/>
              </w:rPr>
              <w:t>NH</w:t>
            </w:r>
            <w:r>
              <w:rPr>
                <w:color w:val="auto"/>
                <w:szCs w:val="21"/>
                <w:vertAlign w:val="subscript"/>
              </w:rPr>
              <w:t>3</w:t>
            </w:r>
            <w:r>
              <w:rPr>
                <w:color w:val="auto"/>
                <w:szCs w:val="21"/>
              </w:rPr>
              <w:t>-N</w:t>
            </w:r>
          </w:p>
        </w:tc>
        <w:tc>
          <w:tcPr>
            <w:tcW w:w="851" w:type="dxa"/>
            <w:shd w:val="clear" w:color="auto" w:fill="auto"/>
            <w:vAlign w:val="center"/>
          </w:tcPr>
          <w:p>
            <w:pPr>
              <w:pStyle w:val="164"/>
              <w:spacing w:line="360" w:lineRule="exact"/>
              <w:rPr>
                <w:color w:val="auto"/>
                <w:szCs w:val="21"/>
              </w:rPr>
            </w:pPr>
            <w:r>
              <w:rPr>
                <w:color w:val="auto"/>
                <w:szCs w:val="21"/>
              </w:rPr>
              <w:t>7.52</w:t>
            </w:r>
          </w:p>
        </w:tc>
        <w:tc>
          <w:tcPr>
            <w:tcW w:w="1032" w:type="dxa"/>
            <w:shd w:val="clear" w:color="auto" w:fill="auto"/>
            <w:vAlign w:val="center"/>
          </w:tcPr>
          <w:p>
            <w:pPr>
              <w:pStyle w:val="164"/>
              <w:spacing w:line="360" w:lineRule="exact"/>
              <w:rPr>
                <w:color w:val="auto"/>
                <w:szCs w:val="21"/>
              </w:rPr>
            </w:pPr>
            <w:r>
              <w:rPr>
                <w:color w:val="auto"/>
                <w:szCs w:val="21"/>
              </w:rPr>
              <w:t xml:space="preserve">0.017 </w:t>
            </w:r>
          </w:p>
        </w:tc>
        <w:tc>
          <w:tcPr>
            <w:tcW w:w="1516" w:type="dxa"/>
            <w:vMerge w:val="continue"/>
            <w:vAlign w:val="center"/>
          </w:tcPr>
          <w:p>
            <w:pPr>
              <w:pStyle w:val="164"/>
              <w:spacing w:line="360" w:lineRule="exact"/>
              <w:rPr>
                <w:color w:val="auto"/>
                <w:szCs w:val="21"/>
              </w:rPr>
            </w:pPr>
          </w:p>
        </w:tc>
        <w:tc>
          <w:tcPr>
            <w:tcW w:w="923" w:type="dxa"/>
            <w:shd w:val="clear" w:color="auto" w:fill="auto"/>
            <w:vAlign w:val="center"/>
          </w:tcPr>
          <w:p>
            <w:pPr>
              <w:pStyle w:val="164"/>
              <w:spacing w:line="360" w:lineRule="exact"/>
              <w:rPr>
                <w:color w:val="auto"/>
                <w:szCs w:val="21"/>
              </w:rPr>
            </w:pPr>
            <w:r>
              <w:rPr>
                <w:color w:val="auto"/>
                <w:szCs w:val="21"/>
              </w:rPr>
              <w:t>0.461</w:t>
            </w:r>
          </w:p>
        </w:tc>
        <w:tc>
          <w:tcPr>
            <w:tcW w:w="671" w:type="dxa"/>
            <w:shd w:val="clear" w:color="auto" w:fill="auto"/>
            <w:vAlign w:val="center"/>
          </w:tcPr>
          <w:p>
            <w:pPr>
              <w:pStyle w:val="164"/>
              <w:spacing w:line="360" w:lineRule="exact"/>
              <w:rPr>
                <w:color w:val="auto"/>
                <w:szCs w:val="21"/>
              </w:rPr>
            </w:pPr>
            <w:r>
              <w:rPr>
                <w:color w:val="auto"/>
                <w:szCs w:val="21"/>
              </w:rPr>
              <w:t>0</w:t>
            </w:r>
          </w:p>
        </w:tc>
        <w:tc>
          <w:tcPr>
            <w:tcW w:w="863" w:type="dxa"/>
            <w:vAlign w:val="center"/>
          </w:tcPr>
          <w:p>
            <w:pPr>
              <w:pStyle w:val="164"/>
              <w:spacing w:line="360" w:lineRule="exact"/>
              <w:rPr>
                <w:color w:val="auto"/>
                <w:szCs w:val="21"/>
              </w:rPr>
            </w:pPr>
            <w:r>
              <w:rPr>
                <w:color w:val="auto"/>
                <w:szCs w:val="21"/>
              </w:rPr>
              <w:t>8</w:t>
            </w:r>
          </w:p>
        </w:tc>
        <w:tc>
          <w:tcPr>
            <w:tcW w:w="702"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jc w:val="center"/>
        </w:trPr>
        <w:tc>
          <w:tcPr>
            <w:tcW w:w="578" w:type="dxa"/>
            <w:vMerge w:val="continue"/>
            <w:vAlign w:val="center"/>
          </w:tcPr>
          <w:p>
            <w:pPr>
              <w:pStyle w:val="164"/>
              <w:spacing w:line="360" w:lineRule="exact"/>
              <w:rPr>
                <w:color w:val="auto"/>
                <w:szCs w:val="21"/>
              </w:rPr>
            </w:pPr>
          </w:p>
        </w:tc>
        <w:tc>
          <w:tcPr>
            <w:tcW w:w="1022" w:type="dxa"/>
            <w:vMerge w:val="continue"/>
            <w:vAlign w:val="center"/>
          </w:tcPr>
          <w:p>
            <w:pPr>
              <w:pStyle w:val="164"/>
              <w:spacing w:line="360" w:lineRule="exact"/>
              <w:rPr>
                <w:color w:val="auto"/>
                <w:szCs w:val="21"/>
              </w:rPr>
            </w:pPr>
          </w:p>
        </w:tc>
        <w:tc>
          <w:tcPr>
            <w:tcW w:w="888" w:type="dxa"/>
            <w:shd w:val="clear" w:color="auto" w:fill="auto"/>
            <w:vAlign w:val="center"/>
          </w:tcPr>
          <w:p>
            <w:pPr>
              <w:pStyle w:val="164"/>
              <w:spacing w:line="360" w:lineRule="exact"/>
              <w:rPr>
                <w:color w:val="auto"/>
                <w:szCs w:val="21"/>
              </w:rPr>
            </w:pPr>
            <w:r>
              <w:rPr>
                <w:color w:val="auto"/>
                <w:szCs w:val="21"/>
              </w:rPr>
              <w:t>SS</w:t>
            </w:r>
          </w:p>
        </w:tc>
        <w:tc>
          <w:tcPr>
            <w:tcW w:w="851" w:type="dxa"/>
            <w:shd w:val="clear" w:color="auto" w:fill="auto"/>
            <w:vAlign w:val="center"/>
          </w:tcPr>
          <w:p>
            <w:pPr>
              <w:pStyle w:val="164"/>
              <w:spacing w:line="360" w:lineRule="exact"/>
              <w:rPr>
                <w:color w:val="auto"/>
                <w:szCs w:val="21"/>
              </w:rPr>
            </w:pPr>
            <w:r>
              <w:rPr>
                <w:color w:val="auto"/>
                <w:szCs w:val="21"/>
              </w:rPr>
              <w:t>43</w:t>
            </w:r>
          </w:p>
        </w:tc>
        <w:tc>
          <w:tcPr>
            <w:tcW w:w="1032" w:type="dxa"/>
            <w:shd w:val="clear" w:color="auto" w:fill="auto"/>
            <w:vAlign w:val="center"/>
          </w:tcPr>
          <w:p>
            <w:pPr>
              <w:pStyle w:val="164"/>
              <w:spacing w:line="360" w:lineRule="exact"/>
              <w:rPr>
                <w:color w:val="auto"/>
                <w:szCs w:val="21"/>
              </w:rPr>
            </w:pPr>
            <w:r>
              <w:rPr>
                <w:color w:val="auto"/>
                <w:szCs w:val="21"/>
              </w:rPr>
              <w:t xml:space="preserve">0.097 </w:t>
            </w:r>
          </w:p>
        </w:tc>
        <w:tc>
          <w:tcPr>
            <w:tcW w:w="1516" w:type="dxa"/>
            <w:vMerge w:val="continue"/>
            <w:vAlign w:val="center"/>
          </w:tcPr>
          <w:p>
            <w:pPr>
              <w:pStyle w:val="164"/>
              <w:spacing w:line="360" w:lineRule="exact"/>
              <w:rPr>
                <w:color w:val="auto"/>
                <w:szCs w:val="21"/>
              </w:rPr>
            </w:pPr>
          </w:p>
        </w:tc>
        <w:tc>
          <w:tcPr>
            <w:tcW w:w="923" w:type="dxa"/>
            <w:shd w:val="clear" w:color="auto" w:fill="auto"/>
            <w:vAlign w:val="center"/>
          </w:tcPr>
          <w:p>
            <w:pPr>
              <w:pStyle w:val="164"/>
              <w:spacing w:line="360" w:lineRule="exact"/>
              <w:rPr>
                <w:color w:val="auto"/>
                <w:szCs w:val="21"/>
              </w:rPr>
            </w:pPr>
            <w:r>
              <w:rPr>
                <w:color w:val="auto"/>
                <w:szCs w:val="21"/>
              </w:rPr>
              <w:t>8</w:t>
            </w:r>
          </w:p>
        </w:tc>
        <w:tc>
          <w:tcPr>
            <w:tcW w:w="671" w:type="dxa"/>
            <w:shd w:val="clear" w:color="auto" w:fill="auto"/>
            <w:vAlign w:val="center"/>
          </w:tcPr>
          <w:p>
            <w:pPr>
              <w:pStyle w:val="164"/>
              <w:spacing w:line="360" w:lineRule="exact"/>
              <w:rPr>
                <w:color w:val="auto"/>
                <w:szCs w:val="21"/>
              </w:rPr>
            </w:pPr>
            <w:r>
              <w:rPr>
                <w:color w:val="auto"/>
                <w:szCs w:val="21"/>
              </w:rPr>
              <w:t>0</w:t>
            </w:r>
          </w:p>
        </w:tc>
        <w:tc>
          <w:tcPr>
            <w:tcW w:w="863" w:type="dxa"/>
            <w:vAlign w:val="center"/>
          </w:tcPr>
          <w:p>
            <w:pPr>
              <w:pStyle w:val="164"/>
              <w:spacing w:line="360" w:lineRule="exact"/>
              <w:rPr>
                <w:color w:val="auto"/>
                <w:szCs w:val="21"/>
              </w:rPr>
            </w:pPr>
            <w:r>
              <w:rPr>
                <w:color w:val="auto"/>
                <w:szCs w:val="21"/>
              </w:rPr>
              <w:t>20</w:t>
            </w:r>
          </w:p>
        </w:tc>
        <w:tc>
          <w:tcPr>
            <w:tcW w:w="702"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jc w:val="center"/>
        </w:trPr>
        <w:tc>
          <w:tcPr>
            <w:tcW w:w="578" w:type="dxa"/>
            <w:vMerge w:val="continue"/>
            <w:vAlign w:val="center"/>
          </w:tcPr>
          <w:p>
            <w:pPr>
              <w:pStyle w:val="164"/>
              <w:spacing w:line="360" w:lineRule="exact"/>
              <w:rPr>
                <w:color w:val="auto"/>
                <w:szCs w:val="21"/>
              </w:rPr>
            </w:pPr>
          </w:p>
        </w:tc>
        <w:tc>
          <w:tcPr>
            <w:tcW w:w="1022" w:type="dxa"/>
            <w:vMerge w:val="continue"/>
            <w:vAlign w:val="center"/>
          </w:tcPr>
          <w:p>
            <w:pPr>
              <w:pStyle w:val="164"/>
              <w:spacing w:line="360" w:lineRule="exact"/>
              <w:rPr>
                <w:color w:val="auto"/>
                <w:szCs w:val="21"/>
              </w:rPr>
            </w:pPr>
          </w:p>
        </w:tc>
        <w:tc>
          <w:tcPr>
            <w:tcW w:w="888" w:type="dxa"/>
            <w:shd w:val="clear" w:color="auto" w:fill="auto"/>
            <w:vAlign w:val="center"/>
          </w:tcPr>
          <w:p>
            <w:pPr>
              <w:pStyle w:val="164"/>
              <w:spacing w:line="240" w:lineRule="auto"/>
              <w:rPr>
                <w:color w:val="auto"/>
                <w:szCs w:val="21"/>
              </w:rPr>
            </w:pPr>
            <w:r>
              <w:rPr>
                <w:color w:val="auto"/>
                <w:szCs w:val="21"/>
              </w:rPr>
              <w:t>粪大肠菌群</w:t>
            </w:r>
          </w:p>
        </w:tc>
        <w:tc>
          <w:tcPr>
            <w:tcW w:w="851" w:type="dxa"/>
            <w:shd w:val="clear" w:color="auto" w:fill="auto"/>
            <w:vAlign w:val="center"/>
          </w:tcPr>
          <w:p>
            <w:pPr>
              <w:pStyle w:val="164"/>
              <w:spacing w:line="360" w:lineRule="exact"/>
              <w:rPr>
                <w:color w:val="auto"/>
                <w:szCs w:val="21"/>
              </w:rPr>
            </w:pPr>
            <w:r>
              <w:rPr>
                <w:color w:val="auto"/>
              </w:rPr>
              <w:t>/</w:t>
            </w:r>
          </w:p>
        </w:tc>
        <w:tc>
          <w:tcPr>
            <w:tcW w:w="1032" w:type="dxa"/>
            <w:shd w:val="clear" w:color="auto" w:fill="auto"/>
            <w:vAlign w:val="center"/>
          </w:tcPr>
          <w:p>
            <w:pPr>
              <w:pStyle w:val="164"/>
              <w:spacing w:line="360" w:lineRule="exact"/>
              <w:rPr>
                <w:color w:val="auto"/>
                <w:szCs w:val="21"/>
              </w:rPr>
            </w:pPr>
            <w:r>
              <w:rPr>
                <w:color w:val="auto"/>
              </w:rPr>
              <w:t>/</w:t>
            </w:r>
          </w:p>
        </w:tc>
        <w:tc>
          <w:tcPr>
            <w:tcW w:w="1516" w:type="dxa"/>
            <w:vMerge w:val="continue"/>
            <w:vAlign w:val="center"/>
          </w:tcPr>
          <w:p>
            <w:pPr>
              <w:pStyle w:val="164"/>
              <w:spacing w:line="360" w:lineRule="exact"/>
              <w:rPr>
                <w:color w:val="auto"/>
                <w:szCs w:val="21"/>
              </w:rPr>
            </w:pPr>
          </w:p>
        </w:tc>
        <w:tc>
          <w:tcPr>
            <w:tcW w:w="923" w:type="dxa"/>
            <w:shd w:val="clear" w:color="auto" w:fill="auto"/>
            <w:vAlign w:val="center"/>
          </w:tcPr>
          <w:p>
            <w:pPr>
              <w:pStyle w:val="164"/>
              <w:spacing w:line="240" w:lineRule="auto"/>
              <w:rPr>
                <w:color w:val="auto"/>
                <w:szCs w:val="21"/>
              </w:rPr>
            </w:pPr>
            <w:r>
              <w:rPr>
                <w:color w:val="auto"/>
                <w:szCs w:val="21"/>
              </w:rPr>
              <w:t>未检出</w:t>
            </w:r>
          </w:p>
        </w:tc>
        <w:tc>
          <w:tcPr>
            <w:tcW w:w="671" w:type="dxa"/>
            <w:shd w:val="clear" w:color="auto" w:fill="auto"/>
            <w:vAlign w:val="center"/>
          </w:tcPr>
          <w:p>
            <w:pPr>
              <w:pStyle w:val="164"/>
              <w:spacing w:line="240" w:lineRule="auto"/>
              <w:rPr>
                <w:color w:val="auto"/>
                <w:szCs w:val="21"/>
              </w:rPr>
            </w:pPr>
            <w:r>
              <w:rPr>
                <w:color w:val="auto"/>
                <w:szCs w:val="21"/>
              </w:rPr>
              <w:t>0</w:t>
            </w:r>
          </w:p>
        </w:tc>
        <w:tc>
          <w:tcPr>
            <w:tcW w:w="863" w:type="dxa"/>
            <w:vAlign w:val="center"/>
          </w:tcPr>
          <w:p>
            <w:pPr>
              <w:pStyle w:val="164"/>
              <w:spacing w:line="240" w:lineRule="auto"/>
              <w:rPr>
                <w:color w:val="auto"/>
                <w:szCs w:val="21"/>
              </w:rPr>
            </w:pPr>
            <w:r>
              <w:rPr>
                <w:color w:val="auto"/>
                <w:szCs w:val="21"/>
              </w:rPr>
              <w:t>500</w:t>
            </w:r>
            <w:r>
              <w:rPr>
                <w:color w:val="auto"/>
              </w:rPr>
              <w:t xml:space="preserve"> </w:t>
            </w:r>
            <w:r>
              <w:rPr>
                <w:color w:val="auto"/>
                <w:szCs w:val="21"/>
              </w:rPr>
              <w:t>MPN/L</w:t>
            </w:r>
          </w:p>
        </w:tc>
        <w:tc>
          <w:tcPr>
            <w:tcW w:w="702"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jc w:val="center"/>
        </w:trPr>
        <w:tc>
          <w:tcPr>
            <w:tcW w:w="578" w:type="dxa"/>
            <w:vMerge w:val="continue"/>
            <w:vAlign w:val="center"/>
          </w:tcPr>
          <w:p>
            <w:pPr>
              <w:pStyle w:val="164"/>
              <w:spacing w:line="360" w:lineRule="exact"/>
              <w:rPr>
                <w:color w:val="auto"/>
                <w:szCs w:val="21"/>
              </w:rPr>
            </w:pPr>
          </w:p>
        </w:tc>
        <w:tc>
          <w:tcPr>
            <w:tcW w:w="1022" w:type="dxa"/>
            <w:vMerge w:val="continue"/>
            <w:vAlign w:val="center"/>
          </w:tcPr>
          <w:p>
            <w:pPr>
              <w:pStyle w:val="164"/>
              <w:spacing w:line="360" w:lineRule="exact"/>
              <w:rPr>
                <w:color w:val="auto"/>
                <w:szCs w:val="21"/>
              </w:rPr>
            </w:pPr>
          </w:p>
        </w:tc>
        <w:tc>
          <w:tcPr>
            <w:tcW w:w="888" w:type="dxa"/>
            <w:shd w:val="clear" w:color="auto" w:fill="auto"/>
            <w:vAlign w:val="center"/>
          </w:tcPr>
          <w:p>
            <w:pPr>
              <w:pStyle w:val="164"/>
              <w:spacing w:line="360" w:lineRule="exact"/>
              <w:rPr>
                <w:color w:val="auto"/>
                <w:szCs w:val="21"/>
              </w:rPr>
            </w:pPr>
            <w:r>
              <w:rPr>
                <w:color w:val="auto"/>
                <w:szCs w:val="21"/>
              </w:rPr>
              <w:t>余氯</w:t>
            </w:r>
          </w:p>
        </w:tc>
        <w:tc>
          <w:tcPr>
            <w:tcW w:w="851" w:type="dxa"/>
            <w:shd w:val="clear" w:color="auto" w:fill="auto"/>
            <w:vAlign w:val="center"/>
          </w:tcPr>
          <w:p>
            <w:pPr>
              <w:pStyle w:val="164"/>
              <w:spacing w:line="360" w:lineRule="exact"/>
              <w:rPr>
                <w:color w:val="auto"/>
              </w:rPr>
            </w:pPr>
            <w:r>
              <w:rPr>
                <w:color w:val="auto"/>
              </w:rPr>
              <w:t>1.78</w:t>
            </w:r>
          </w:p>
        </w:tc>
        <w:tc>
          <w:tcPr>
            <w:tcW w:w="1032" w:type="dxa"/>
            <w:shd w:val="clear" w:color="auto" w:fill="auto"/>
            <w:vAlign w:val="center"/>
          </w:tcPr>
          <w:p>
            <w:pPr>
              <w:pStyle w:val="164"/>
              <w:spacing w:line="360" w:lineRule="exact"/>
              <w:rPr>
                <w:color w:val="auto"/>
              </w:rPr>
            </w:pPr>
            <w:r>
              <w:rPr>
                <w:color w:val="auto"/>
              </w:rPr>
              <w:t>0.004</w:t>
            </w:r>
          </w:p>
        </w:tc>
        <w:tc>
          <w:tcPr>
            <w:tcW w:w="1516" w:type="dxa"/>
            <w:vMerge w:val="continue"/>
            <w:vAlign w:val="center"/>
          </w:tcPr>
          <w:p>
            <w:pPr>
              <w:pStyle w:val="164"/>
              <w:spacing w:line="360" w:lineRule="exact"/>
              <w:rPr>
                <w:color w:val="auto"/>
                <w:szCs w:val="21"/>
              </w:rPr>
            </w:pPr>
          </w:p>
        </w:tc>
        <w:tc>
          <w:tcPr>
            <w:tcW w:w="923" w:type="dxa"/>
            <w:shd w:val="clear" w:color="auto" w:fill="auto"/>
            <w:vAlign w:val="center"/>
          </w:tcPr>
          <w:p>
            <w:pPr>
              <w:pStyle w:val="164"/>
              <w:spacing w:line="360" w:lineRule="exact"/>
              <w:rPr>
                <w:color w:val="auto"/>
                <w:szCs w:val="21"/>
              </w:rPr>
            </w:pPr>
            <w:r>
              <w:rPr>
                <w:color w:val="auto"/>
                <w:szCs w:val="21"/>
              </w:rPr>
              <w:t>0.44</w:t>
            </w:r>
          </w:p>
        </w:tc>
        <w:tc>
          <w:tcPr>
            <w:tcW w:w="671" w:type="dxa"/>
            <w:shd w:val="clear" w:color="auto" w:fill="auto"/>
            <w:vAlign w:val="center"/>
          </w:tcPr>
          <w:p>
            <w:pPr>
              <w:pStyle w:val="164"/>
              <w:spacing w:line="360" w:lineRule="exact"/>
              <w:rPr>
                <w:color w:val="auto"/>
                <w:szCs w:val="21"/>
              </w:rPr>
            </w:pPr>
            <w:r>
              <w:rPr>
                <w:color w:val="auto"/>
                <w:szCs w:val="21"/>
              </w:rPr>
              <w:t>0</w:t>
            </w:r>
          </w:p>
        </w:tc>
        <w:tc>
          <w:tcPr>
            <w:tcW w:w="863" w:type="dxa"/>
            <w:vAlign w:val="center"/>
          </w:tcPr>
          <w:p>
            <w:pPr>
              <w:pStyle w:val="164"/>
              <w:spacing w:line="360" w:lineRule="exact"/>
              <w:rPr>
                <w:color w:val="auto"/>
                <w:szCs w:val="21"/>
              </w:rPr>
            </w:pPr>
            <w:r>
              <w:rPr>
                <w:color w:val="auto"/>
                <w:szCs w:val="21"/>
              </w:rPr>
              <w:t>0.5</w:t>
            </w:r>
          </w:p>
        </w:tc>
        <w:tc>
          <w:tcPr>
            <w:tcW w:w="702"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02" w:hRule="atLeast"/>
          <w:jc w:val="center"/>
        </w:trPr>
        <w:tc>
          <w:tcPr>
            <w:tcW w:w="578" w:type="dxa"/>
            <w:vMerge w:val="restart"/>
            <w:shd w:val="clear" w:color="auto" w:fill="auto"/>
            <w:vAlign w:val="center"/>
          </w:tcPr>
          <w:p>
            <w:pPr>
              <w:pStyle w:val="164"/>
              <w:spacing w:line="360" w:lineRule="exact"/>
              <w:rPr>
                <w:color w:val="auto"/>
                <w:szCs w:val="21"/>
              </w:rPr>
            </w:pPr>
            <w:r>
              <w:rPr>
                <w:color w:val="auto"/>
                <w:szCs w:val="21"/>
              </w:rPr>
              <w:t>生活污水</w:t>
            </w:r>
          </w:p>
        </w:tc>
        <w:tc>
          <w:tcPr>
            <w:tcW w:w="1022" w:type="dxa"/>
            <w:vMerge w:val="restart"/>
            <w:shd w:val="clear" w:color="auto" w:fill="auto"/>
            <w:vAlign w:val="center"/>
          </w:tcPr>
          <w:p>
            <w:pPr>
              <w:pStyle w:val="164"/>
              <w:spacing w:line="360" w:lineRule="exact"/>
              <w:rPr>
                <w:color w:val="auto"/>
                <w:szCs w:val="21"/>
              </w:rPr>
            </w:pPr>
            <w:r>
              <w:rPr>
                <w:color w:val="auto"/>
                <w:szCs w:val="21"/>
              </w:rPr>
              <w:t>633.88</w:t>
            </w:r>
          </w:p>
        </w:tc>
        <w:tc>
          <w:tcPr>
            <w:tcW w:w="888" w:type="dxa"/>
            <w:shd w:val="clear" w:color="auto" w:fill="auto"/>
            <w:vAlign w:val="center"/>
          </w:tcPr>
          <w:p>
            <w:pPr>
              <w:pStyle w:val="164"/>
              <w:spacing w:line="360" w:lineRule="exact"/>
              <w:rPr>
                <w:color w:val="auto"/>
                <w:szCs w:val="21"/>
              </w:rPr>
            </w:pPr>
            <w:r>
              <w:rPr>
                <w:color w:val="auto"/>
                <w:szCs w:val="21"/>
              </w:rPr>
              <w:t>COD</w:t>
            </w:r>
          </w:p>
        </w:tc>
        <w:tc>
          <w:tcPr>
            <w:tcW w:w="851" w:type="dxa"/>
            <w:shd w:val="clear" w:color="auto" w:fill="auto"/>
            <w:vAlign w:val="center"/>
          </w:tcPr>
          <w:p>
            <w:pPr>
              <w:pStyle w:val="164"/>
              <w:spacing w:line="360" w:lineRule="exact"/>
              <w:rPr>
                <w:color w:val="auto"/>
                <w:szCs w:val="21"/>
              </w:rPr>
            </w:pPr>
            <w:r>
              <w:rPr>
                <w:color w:val="auto"/>
                <w:szCs w:val="21"/>
              </w:rPr>
              <w:t>300</w:t>
            </w:r>
          </w:p>
        </w:tc>
        <w:tc>
          <w:tcPr>
            <w:tcW w:w="1032" w:type="dxa"/>
            <w:shd w:val="clear" w:color="auto" w:fill="auto"/>
            <w:vAlign w:val="center"/>
          </w:tcPr>
          <w:p>
            <w:pPr>
              <w:pStyle w:val="164"/>
              <w:spacing w:line="360" w:lineRule="exact"/>
              <w:rPr>
                <w:color w:val="auto"/>
                <w:szCs w:val="21"/>
              </w:rPr>
            </w:pPr>
            <w:r>
              <w:rPr>
                <w:color w:val="auto"/>
                <w:szCs w:val="21"/>
              </w:rPr>
              <w:t>0.190</w:t>
            </w:r>
          </w:p>
        </w:tc>
        <w:tc>
          <w:tcPr>
            <w:tcW w:w="1516" w:type="dxa"/>
            <w:vMerge w:val="restart"/>
            <w:shd w:val="clear" w:color="auto" w:fill="auto"/>
            <w:vAlign w:val="center"/>
          </w:tcPr>
          <w:p>
            <w:pPr>
              <w:pStyle w:val="164"/>
              <w:spacing w:line="240" w:lineRule="auto"/>
              <w:rPr>
                <w:color w:val="auto"/>
                <w:szCs w:val="21"/>
              </w:rPr>
            </w:pPr>
            <w:r>
              <w:rPr>
                <w:color w:val="auto"/>
              </w:rPr>
              <w:t>依托现有化粪池处理，化粪池满后用吸污车运送至中卫市生活垃圾填埋场的渗滤液调蓄池</w:t>
            </w:r>
          </w:p>
        </w:tc>
        <w:tc>
          <w:tcPr>
            <w:tcW w:w="923" w:type="dxa"/>
            <w:shd w:val="clear" w:color="auto" w:fill="auto"/>
            <w:vAlign w:val="center"/>
          </w:tcPr>
          <w:p>
            <w:pPr>
              <w:pStyle w:val="164"/>
              <w:spacing w:line="360" w:lineRule="exact"/>
              <w:rPr>
                <w:color w:val="auto"/>
                <w:szCs w:val="21"/>
              </w:rPr>
            </w:pPr>
            <w:r>
              <w:rPr>
                <w:color w:val="auto"/>
                <w:szCs w:val="21"/>
              </w:rPr>
              <w:t>255</w:t>
            </w:r>
          </w:p>
        </w:tc>
        <w:tc>
          <w:tcPr>
            <w:tcW w:w="671" w:type="dxa"/>
            <w:shd w:val="clear" w:color="auto" w:fill="auto"/>
            <w:vAlign w:val="center"/>
          </w:tcPr>
          <w:p>
            <w:pPr>
              <w:pStyle w:val="164"/>
              <w:spacing w:line="360" w:lineRule="exact"/>
              <w:rPr>
                <w:color w:val="auto"/>
                <w:szCs w:val="21"/>
              </w:rPr>
            </w:pPr>
            <w:r>
              <w:rPr>
                <w:color w:val="auto"/>
                <w:szCs w:val="21"/>
              </w:rPr>
              <w:t>0</w:t>
            </w:r>
          </w:p>
        </w:tc>
        <w:tc>
          <w:tcPr>
            <w:tcW w:w="863" w:type="dxa"/>
            <w:vAlign w:val="center"/>
          </w:tcPr>
          <w:p>
            <w:pPr>
              <w:pStyle w:val="164"/>
              <w:spacing w:line="360" w:lineRule="exact"/>
              <w:rPr>
                <w:color w:val="auto"/>
                <w:szCs w:val="21"/>
              </w:rPr>
            </w:pPr>
            <w:r>
              <w:rPr>
                <w:rFonts w:hint="eastAsia"/>
                <w:color w:val="auto"/>
                <w:szCs w:val="21"/>
              </w:rPr>
              <w:t>/</w:t>
            </w:r>
          </w:p>
        </w:tc>
        <w:tc>
          <w:tcPr>
            <w:tcW w:w="702" w:type="dxa"/>
            <w:vAlign w:val="center"/>
          </w:tcPr>
          <w:p>
            <w:pPr>
              <w:pStyle w:val="164"/>
              <w:spacing w:line="360" w:lineRule="exact"/>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80" w:hRule="atLeast"/>
          <w:jc w:val="center"/>
        </w:trPr>
        <w:tc>
          <w:tcPr>
            <w:tcW w:w="578" w:type="dxa"/>
            <w:vMerge w:val="continue"/>
            <w:vAlign w:val="center"/>
          </w:tcPr>
          <w:p>
            <w:pPr>
              <w:pStyle w:val="164"/>
              <w:spacing w:line="360" w:lineRule="exact"/>
              <w:rPr>
                <w:color w:val="auto"/>
                <w:szCs w:val="21"/>
              </w:rPr>
            </w:pPr>
          </w:p>
        </w:tc>
        <w:tc>
          <w:tcPr>
            <w:tcW w:w="1022" w:type="dxa"/>
            <w:vMerge w:val="continue"/>
            <w:vAlign w:val="center"/>
          </w:tcPr>
          <w:p>
            <w:pPr>
              <w:pStyle w:val="164"/>
              <w:spacing w:line="360" w:lineRule="exact"/>
              <w:rPr>
                <w:color w:val="auto"/>
                <w:szCs w:val="21"/>
              </w:rPr>
            </w:pPr>
          </w:p>
        </w:tc>
        <w:tc>
          <w:tcPr>
            <w:tcW w:w="888" w:type="dxa"/>
            <w:shd w:val="clear" w:color="auto" w:fill="auto"/>
            <w:vAlign w:val="center"/>
          </w:tcPr>
          <w:p>
            <w:pPr>
              <w:pStyle w:val="164"/>
              <w:spacing w:line="360" w:lineRule="exact"/>
              <w:rPr>
                <w:color w:val="auto"/>
                <w:szCs w:val="21"/>
              </w:rPr>
            </w:pPr>
            <w:r>
              <w:rPr>
                <w:color w:val="auto"/>
                <w:szCs w:val="21"/>
              </w:rPr>
              <w:t>BOD</w:t>
            </w:r>
            <w:r>
              <w:rPr>
                <w:color w:val="auto"/>
                <w:szCs w:val="21"/>
                <w:vertAlign w:val="subscript"/>
              </w:rPr>
              <w:t>5</w:t>
            </w:r>
          </w:p>
        </w:tc>
        <w:tc>
          <w:tcPr>
            <w:tcW w:w="851" w:type="dxa"/>
            <w:shd w:val="clear" w:color="auto" w:fill="auto"/>
            <w:vAlign w:val="center"/>
          </w:tcPr>
          <w:p>
            <w:pPr>
              <w:pStyle w:val="164"/>
              <w:spacing w:line="360" w:lineRule="exact"/>
              <w:rPr>
                <w:color w:val="auto"/>
                <w:szCs w:val="21"/>
              </w:rPr>
            </w:pPr>
            <w:r>
              <w:rPr>
                <w:color w:val="auto"/>
                <w:szCs w:val="21"/>
              </w:rPr>
              <w:t>260</w:t>
            </w:r>
          </w:p>
        </w:tc>
        <w:tc>
          <w:tcPr>
            <w:tcW w:w="1032" w:type="dxa"/>
            <w:shd w:val="clear" w:color="auto" w:fill="auto"/>
            <w:vAlign w:val="center"/>
          </w:tcPr>
          <w:p>
            <w:pPr>
              <w:pStyle w:val="164"/>
              <w:spacing w:line="360" w:lineRule="exact"/>
              <w:rPr>
                <w:color w:val="auto"/>
                <w:szCs w:val="21"/>
              </w:rPr>
            </w:pPr>
            <w:r>
              <w:rPr>
                <w:color w:val="auto"/>
                <w:szCs w:val="21"/>
              </w:rPr>
              <w:t>0.165</w:t>
            </w:r>
          </w:p>
        </w:tc>
        <w:tc>
          <w:tcPr>
            <w:tcW w:w="1516" w:type="dxa"/>
            <w:vMerge w:val="continue"/>
            <w:vAlign w:val="center"/>
          </w:tcPr>
          <w:p>
            <w:pPr>
              <w:pStyle w:val="164"/>
              <w:spacing w:line="360" w:lineRule="exact"/>
              <w:rPr>
                <w:color w:val="auto"/>
                <w:szCs w:val="21"/>
              </w:rPr>
            </w:pPr>
          </w:p>
        </w:tc>
        <w:tc>
          <w:tcPr>
            <w:tcW w:w="923" w:type="dxa"/>
            <w:shd w:val="clear" w:color="auto" w:fill="auto"/>
            <w:vAlign w:val="center"/>
          </w:tcPr>
          <w:p>
            <w:pPr>
              <w:pStyle w:val="164"/>
              <w:spacing w:line="360" w:lineRule="exact"/>
              <w:rPr>
                <w:color w:val="auto"/>
                <w:szCs w:val="21"/>
              </w:rPr>
            </w:pPr>
            <w:r>
              <w:rPr>
                <w:color w:val="auto"/>
                <w:szCs w:val="21"/>
              </w:rPr>
              <w:t>225</w:t>
            </w:r>
          </w:p>
        </w:tc>
        <w:tc>
          <w:tcPr>
            <w:tcW w:w="671" w:type="dxa"/>
            <w:shd w:val="clear" w:color="auto" w:fill="auto"/>
            <w:vAlign w:val="center"/>
          </w:tcPr>
          <w:p>
            <w:pPr>
              <w:pStyle w:val="164"/>
              <w:spacing w:line="360" w:lineRule="exact"/>
              <w:rPr>
                <w:color w:val="auto"/>
                <w:szCs w:val="21"/>
              </w:rPr>
            </w:pPr>
            <w:r>
              <w:rPr>
                <w:color w:val="auto"/>
                <w:szCs w:val="21"/>
              </w:rPr>
              <w:t>0</w:t>
            </w:r>
          </w:p>
        </w:tc>
        <w:tc>
          <w:tcPr>
            <w:tcW w:w="863" w:type="dxa"/>
            <w:vAlign w:val="center"/>
          </w:tcPr>
          <w:p>
            <w:pPr>
              <w:pStyle w:val="164"/>
              <w:spacing w:line="360" w:lineRule="exact"/>
              <w:rPr>
                <w:color w:val="auto"/>
                <w:szCs w:val="21"/>
              </w:rPr>
            </w:pPr>
            <w:r>
              <w:rPr>
                <w:rFonts w:hint="eastAsia"/>
                <w:color w:val="auto"/>
                <w:szCs w:val="21"/>
              </w:rPr>
              <w:t>/</w:t>
            </w:r>
          </w:p>
        </w:tc>
        <w:tc>
          <w:tcPr>
            <w:tcW w:w="702" w:type="dxa"/>
            <w:vAlign w:val="center"/>
          </w:tcPr>
          <w:p>
            <w:pPr>
              <w:pStyle w:val="164"/>
              <w:spacing w:line="360" w:lineRule="exact"/>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72" w:hRule="atLeast"/>
          <w:jc w:val="center"/>
        </w:trPr>
        <w:tc>
          <w:tcPr>
            <w:tcW w:w="578" w:type="dxa"/>
            <w:vMerge w:val="continue"/>
            <w:vAlign w:val="center"/>
          </w:tcPr>
          <w:p>
            <w:pPr>
              <w:pStyle w:val="164"/>
              <w:spacing w:line="360" w:lineRule="exact"/>
              <w:rPr>
                <w:color w:val="auto"/>
                <w:szCs w:val="21"/>
              </w:rPr>
            </w:pPr>
          </w:p>
        </w:tc>
        <w:tc>
          <w:tcPr>
            <w:tcW w:w="1022" w:type="dxa"/>
            <w:vMerge w:val="continue"/>
            <w:vAlign w:val="center"/>
          </w:tcPr>
          <w:p>
            <w:pPr>
              <w:pStyle w:val="164"/>
              <w:spacing w:line="360" w:lineRule="exact"/>
              <w:rPr>
                <w:color w:val="auto"/>
                <w:szCs w:val="21"/>
              </w:rPr>
            </w:pPr>
          </w:p>
        </w:tc>
        <w:tc>
          <w:tcPr>
            <w:tcW w:w="888" w:type="dxa"/>
            <w:shd w:val="clear" w:color="auto" w:fill="auto"/>
            <w:vAlign w:val="center"/>
          </w:tcPr>
          <w:p>
            <w:pPr>
              <w:pStyle w:val="164"/>
              <w:spacing w:line="360" w:lineRule="exact"/>
              <w:rPr>
                <w:color w:val="auto"/>
                <w:szCs w:val="21"/>
              </w:rPr>
            </w:pPr>
            <w:r>
              <w:rPr>
                <w:color w:val="auto"/>
                <w:szCs w:val="21"/>
              </w:rPr>
              <w:t>SS</w:t>
            </w:r>
          </w:p>
        </w:tc>
        <w:tc>
          <w:tcPr>
            <w:tcW w:w="851" w:type="dxa"/>
            <w:shd w:val="clear" w:color="auto" w:fill="auto"/>
            <w:vAlign w:val="center"/>
          </w:tcPr>
          <w:p>
            <w:pPr>
              <w:pStyle w:val="164"/>
              <w:spacing w:line="360" w:lineRule="exact"/>
              <w:rPr>
                <w:color w:val="auto"/>
                <w:szCs w:val="21"/>
              </w:rPr>
            </w:pPr>
            <w:r>
              <w:rPr>
                <w:color w:val="auto"/>
                <w:szCs w:val="21"/>
              </w:rPr>
              <w:t>300</w:t>
            </w:r>
          </w:p>
        </w:tc>
        <w:tc>
          <w:tcPr>
            <w:tcW w:w="1032" w:type="dxa"/>
            <w:shd w:val="clear" w:color="auto" w:fill="auto"/>
            <w:vAlign w:val="center"/>
          </w:tcPr>
          <w:p>
            <w:pPr>
              <w:pStyle w:val="164"/>
              <w:spacing w:line="360" w:lineRule="exact"/>
              <w:rPr>
                <w:color w:val="auto"/>
                <w:szCs w:val="21"/>
              </w:rPr>
            </w:pPr>
            <w:r>
              <w:rPr>
                <w:color w:val="auto"/>
                <w:szCs w:val="21"/>
              </w:rPr>
              <w:t>0.190</w:t>
            </w:r>
          </w:p>
        </w:tc>
        <w:tc>
          <w:tcPr>
            <w:tcW w:w="1516" w:type="dxa"/>
            <w:vMerge w:val="continue"/>
            <w:vAlign w:val="center"/>
          </w:tcPr>
          <w:p>
            <w:pPr>
              <w:pStyle w:val="164"/>
              <w:spacing w:line="360" w:lineRule="exact"/>
              <w:rPr>
                <w:color w:val="auto"/>
                <w:szCs w:val="21"/>
              </w:rPr>
            </w:pPr>
          </w:p>
        </w:tc>
        <w:tc>
          <w:tcPr>
            <w:tcW w:w="923" w:type="dxa"/>
            <w:shd w:val="clear" w:color="auto" w:fill="auto"/>
            <w:vAlign w:val="center"/>
          </w:tcPr>
          <w:p>
            <w:pPr>
              <w:pStyle w:val="164"/>
              <w:spacing w:line="360" w:lineRule="exact"/>
              <w:rPr>
                <w:color w:val="auto"/>
                <w:szCs w:val="21"/>
              </w:rPr>
            </w:pPr>
            <w:r>
              <w:rPr>
                <w:color w:val="auto"/>
                <w:szCs w:val="21"/>
              </w:rPr>
              <w:t>210</w:t>
            </w:r>
          </w:p>
        </w:tc>
        <w:tc>
          <w:tcPr>
            <w:tcW w:w="671" w:type="dxa"/>
            <w:shd w:val="clear" w:color="auto" w:fill="auto"/>
            <w:vAlign w:val="center"/>
          </w:tcPr>
          <w:p>
            <w:pPr>
              <w:pStyle w:val="164"/>
              <w:spacing w:line="360" w:lineRule="exact"/>
              <w:rPr>
                <w:color w:val="auto"/>
                <w:szCs w:val="21"/>
              </w:rPr>
            </w:pPr>
            <w:r>
              <w:rPr>
                <w:color w:val="auto"/>
                <w:szCs w:val="21"/>
              </w:rPr>
              <w:t>0</w:t>
            </w:r>
          </w:p>
        </w:tc>
        <w:tc>
          <w:tcPr>
            <w:tcW w:w="863" w:type="dxa"/>
            <w:vAlign w:val="center"/>
          </w:tcPr>
          <w:p>
            <w:pPr>
              <w:pStyle w:val="164"/>
              <w:spacing w:line="360" w:lineRule="exact"/>
              <w:rPr>
                <w:color w:val="auto"/>
                <w:szCs w:val="21"/>
              </w:rPr>
            </w:pPr>
            <w:r>
              <w:rPr>
                <w:rFonts w:hint="eastAsia"/>
                <w:color w:val="auto"/>
                <w:szCs w:val="21"/>
              </w:rPr>
              <w:t>/</w:t>
            </w:r>
          </w:p>
        </w:tc>
        <w:tc>
          <w:tcPr>
            <w:tcW w:w="702" w:type="dxa"/>
            <w:vAlign w:val="center"/>
          </w:tcPr>
          <w:p>
            <w:pPr>
              <w:pStyle w:val="164"/>
              <w:spacing w:line="360" w:lineRule="exact"/>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5" w:hRule="atLeast"/>
          <w:jc w:val="center"/>
        </w:trPr>
        <w:tc>
          <w:tcPr>
            <w:tcW w:w="578" w:type="dxa"/>
            <w:vMerge w:val="continue"/>
            <w:vAlign w:val="center"/>
          </w:tcPr>
          <w:p>
            <w:pPr>
              <w:pStyle w:val="164"/>
              <w:spacing w:line="360" w:lineRule="exact"/>
              <w:rPr>
                <w:color w:val="auto"/>
                <w:szCs w:val="21"/>
              </w:rPr>
            </w:pPr>
          </w:p>
        </w:tc>
        <w:tc>
          <w:tcPr>
            <w:tcW w:w="1022" w:type="dxa"/>
            <w:vMerge w:val="continue"/>
            <w:vAlign w:val="center"/>
          </w:tcPr>
          <w:p>
            <w:pPr>
              <w:pStyle w:val="164"/>
              <w:spacing w:line="360" w:lineRule="exact"/>
              <w:rPr>
                <w:color w:val="auto"/>
                <w:szCs w:val="21"/>
              </w:rPr>
            </w:pPr>
          </w:p>
        </w:tc>
        <w:tc>
          <w:tcPr>
            <w:tcW w:w="888" w:type="dxa"/>
            <w:shd w:val="clear" w:color="auto" w:fill="auto"/>
            <w:vAlign w:val="center"/>
          </w:tcPr>
          <w:p>
            <w:pPr>
              <w:pStyle w:val="164"/>
              <w:spacing w:line="360" w:lineRule="exact"/>
              <w:rPr>
                <w:color w:val="auto"/>
                <w:szCs w:val="21"/>
              </w:rPr>
            </w:pPr>
            <w:r>
              <w:rPr>
                <w:color w:val="auto"/>
                <w:szCs w:val="21"/>
              </w:rPr>
              <w:t>NH</w:t>
            </w:r>
            <w:r>
              <w:rPr>
                <w:color w:val="auto"/>
                <w:szCs w:val="21"/>
                <w:vertAlign w:val="subscript"/>
              </w:rPr>
              <w:t>3</w:t>
            </w:r>
            <w:r>
              <w:rPr>
                <w:color w:val="auto"/>
                <w:szCs w:val="21"/>
              </w:rPr>
              <w:t>-N</w:t>
            </w:r>
          </w:p>
        </w:tc>
        <w:tc>
          <w:tcPr>
            <w:tcW w:w="851" w:type="dxa"/>
            <w:shd w:val="clear" w:color="auto" w:fill="auto"/>
            <w:vAlign w:val="center"/>
          </w:tcPr>
          <w:p>
            <w:pPr>
              <w:pStyle w:val="164"/>
              <w:spacing w:line="360" w:lineRule="exact"/>
              <w:rPr>
                <w:color w:val="auto"/>
                <w:szCs w:val="21"/>
              </w:rPr>
            </w:pPr>
            <w:r>
              <w:rPr>
                <w:color w:val="auto"/>
                <w:szCs w:val="21"/>
              </w:rPr>
              <w:t>30</w:t>
            </w:r>
          </w:p>
        </w:tc>
        <w:tc>
          <w:tcPr>
            <w:tcW w:w="1032" w:type="dxa"/>
            <w:shd w:val="clear" w:color="auto" w:fill="auto"/>
            <w:vAlign w:val="center"/>
          </w:tcPr>
          <w:p>
            <w:pPr>
              <w:pStyle w:val="164"/>
              <w:spacing w:line="360" w:lineRule="exact"/>
              <w:rPr>
                <w:color w:val="auto"/>
                <w:szCs w:val="21"/>
              </w:rPr>
            </w:pPr>
            <w:r>
              <w:rPr>
                <w:color w:val="auto"/>
                <w:szCs w:val="21"/>
              </w:rPr>
              <w:t>0.019</w:t>
            </w:r>
          </w:p>
        </w:tc>
        <w:tc>
          <w:tcPr>
            <w:tcW w:w="1516" w:type="dxa"/>
            <w:vMerge w:val="continue"/>
            <w:vAlign w:val="center"/>
          </w:tcPr>
          <w:p>
            <w:pPr>
              <w:pStyle w:val="164"/>
              <w:spacing w:line="360" w:lineRule="exact"/>
              <w:rPr>
                <w:color w:val="auto"/>
                <w:szCs w:val="21"/>
              </w:rPr>
            </w:pPr>
          </w:p>
        </w:tc>
        <w:tc>
          <w:tcPr>
            <w:tcW w:w="923" w:type="dxa"/>
            <w:shd w:val="clear" w:color="auto" w:fill="auto"/>
            <w:vAlign w:val="center"/>
          </w:tcPr>
          <w:p>
            <w:pPr>
              <w:pStyle w:val="164"/>
              <w:spacing w:line="360" w:lineRule="exact"/>
              <w:rPr>
                <w:color w:val="auto"/>
                <w:szCs w:val="21"/>
              </w:rPr>
            </w:pPr>
            <w:r>
              <w:rPr>
                <w:color w:val="auto"/>
                <w:szCs w:val="21"/>
              </w:rPr>
              <w:t>29</w:t>
            </w:r>
          </w:p>
        </w:tc>
        <w:tc>
          <w:tcPr>
            <w:tcW w:w="671" w:type="dxa"/>
            <w:shd w:val="clear" w:color="auto" w:fill="auto"/>
            <w:vAlign w:val="center"/>
          </w:tcPr>
          <w:p>
            <w:pPr>
              <w:pStyle w:val="164"/>
              <w:spacing w:line="360" w:lineRule="exact"/>
              <w:rPr>
                <w:color w:val="auto"/>
                <w:szCs w:val="21"/>
              </w:rPr>
            </w:pPr>
            <w:r>
              <w:rPr>
                <w:color w:val="auto"/>
                <w:szCs w:val="21"/>
              </w:rPr>
              <w:t>0</w:t>
            </w:r>
          </w:p>
        </w:tc>
        <w:tc>
          <w:tcPr>
            <w:tcW w:w="863" w:type="dxa"/>
            <w:vAlign w:val="center"/>
          </w:tcPr>
          <w:p>
            <w:pPr>
              <w:pStyle w:val="164"/>
              <w:spacing w:line="360" w:lineRule="exact"/>
              <w:rPr>
                <w:color w:val="auto"/>
                <w:szCs w:val="21"/>
              </w:rPr>
            </w:pPr>
            <w:r>
              <w:rPr>
                <w:rFonts w:hint="eastAsia"/>
                <w:color w:val="auto"/>
                <w:szCs w:val="21"/>
              </w:rPr>
              <w:t>/</w:t>
            </w:r>
          </w:p>
        </w:tc>
        <w:tc>
          <w:tcPr>
            <w:tcW w:w="702" w:type="dxa"/>
            <w:vAlign w:val="center"/>
          </w:tcPr>
          <w:p>
            <w:pPr>
              <w:pStyle w:val="164"/>
              <w:spacing w:line="360" w:lineRule="exact"/>
              <w:rPr>
                <w:color w:val="auto"/>
                <w:szCs w:val="21"/>
              </w:rPr>
            </w:pPr>
            <w:r>
              <w:rPr>
                <w:color w:val="auto"/>
                <w:szCs w:val="21"/>
              </w:rPr>
              <w:t>/</w:t>
            </w:r>
          </w:p>
        </w:tc>
      </w:tr>
    </w:tbl>
    <w:p>
      <w:pPr>
        <w:pStyle w:val="6"/>
        <w:numPr>
          <w:ilvl w:val="3"/>
          <w:numId w:val="0"/>
        </w:numPr>
        <w:spacing w:before="120" w:beforeLines="50"/>
        <w:ind w:left="-861" w:leftChars="-410" w:firstLine="964" w:firstLineChars="400"/>
        <w:rPr>
          <w:color w:val="auto"/>
        </w:rPr>
      </w:pPr>
      <w:r>
        <w:rPr>
          <w:color w:val="auto"/>
        </w:rPr>
        <w:t>4</w:t>
      </w:r>
      <w:r>
        <w:rPr>
          <w:rFonts w:hint="eastAsia"/>
          <w:color w:val="auto"/>
        </w:rPr>
        <w:t>.8.1.2本项目建成后全厂废水</w:t>
      </w:r>
    </w:p>
    <w:p>
      <w:pPr>
        <w:pStyle w:val="130"/>
        <w:ind w:firstLine="439" w:firstLineChars="183"/>
        <w:rPr>
          <w:color w:val="auto"/>
        </w:rPr>
      </w:pPr>
      <w:r>
        <w:rPr>
          <w:rFonts w:hint="eastAsia"/>
          <w:color w:val="auto"/>
        </w:rPr>
        <w:t>（1）生产废水</w:t>
      </w:r>
    </w:p>
    <w:p>
      <w:pPr>
        <w:pStyle w:val="130"/>
        <w:ind w:firstLine="480"/>
        <w:rPr>
          <w:color w:val="auto"/>
        </w:rPr>
      </w:pPr>
      <w:r>
        <w:rPr>
          <w:rFonts w:hint="eastAsia"/>
          <w:color w:val="auto"/>
        </w:rPr>
        <w:t>本项目建成后全厂废水主要变化为增加现有工程3t/d</w:t>
      </w:r>
      <w:r>
        <w:rPr>
          <w:color w:val="auto"/>
        </w:rPr>
        <w:t>高温蒸煮冷凝废水及渗滤液</w:t>
      </w:r>
      <w:r>
        <w:rPr>
          <w:rFonts w:hint="eastAsia"/>
          <w:color w:val="auto"/>
        </w:rPr>
        <w:t>，</w:t>
      </w:r>
      <w:r>
        <w:rPr>
          <w:color w:val="auto"/>
        </w:rPr>
        <w:t>现有工程3t/d高温蒸煮冷凝废水及渗滤液产生总量为</w:t>
      </w:r>
      <w:r>
        <w:rPr>
          <w:rFonts w:hint="eastAsia"/>
          <w:color w:val="auto"/>
        </w:rPr>
        <w:t>1.43</w:t>
      </w:r>
      <w:r>
        <w:rPr>
          <w:color w:val="auto"/>
        </w:rPr>
        <w:t>m</w:t>
      </w:r>
      <w:r>
        <w:rPr>
          <w:color w:val="auto"/>
          <w:vertAlign w:val="superscript"/>
        </w:rPr>
        <w:t>3</w:t>
      </w:r>
      <w:r>
        <w:rPr>
          <w:color w:val="auto"/>
        </w:rPr>
        <w:t>/d、</w:t>
      </w:r>
      <w:r>
        <w:rPr>
          <w:rFonts w:hint="eastAsia"/>
          <w:color w:val="auto"/>
        </w:rPr>
        <w:t>471.9</w:t>
      </w:r>
      <w:r>
        <w:rPr>
          <w:color w:val="auto"/>
        </w:rPr>
        <w:t>m</w:t>
      </w:r>
      <w:r>
        <w:rPr>
          <w:color w:val="auto"/>
          <w:vertAlign w:val="superscript"/>
        </w:rPr>
        <w:t>3</w:t>
      </w:r>
      <w:r>
        <w:rPr>
          <w:color w:val="auto"/>
        </w:rPr>
        <w:t>/a</w:t>
      </w:r>
      <w:r>
        <w:rPr>
          <w:rFonts w:hint="eastAsia"/>
          <w:color w:val="auto"/>
        </w:rPr>
        <w:t>；现有工程3t/d灭菌系统冷却水循环系统排水</w:t>
      </w:r>
      <w:r>
        <w:rPr>
          <w:color w:val="auto"/>
        </w:rPr>
        <w:t>排水量为0.</w:t>
      </w:r>
      <w:r>
        <w:rPr>
          <w:rFonts w:hint="eastAsia"/>
          <w:color w:val="auto"/>
        </w:rPr>
        <w:t>24</w:t>
      </w:r>
      <w:r>
        <w:rPr>
          <w:color w:val="auto"/>
        </w:rPr>
        <w:t>m</w:t>
      </w:r>
      <w:r>
        <w:rPr>
          <w:color w:val="auto"/>
          <w:vertAlign w:val="superscript"/>
        </w:rPr>
        <w:t>3</w:t>
      </w:r>
      <w:r>
        <w:rPr>
          <w:color w:val="auto"/>
        </w:rPr>
        <w:t>/d（</w:t>
      </w:r>
      <w:r>
        <w:rPr>
          <w:rFonts w:hint="eastAsia"/>
          <w:color w:val="auto"/>
        </w:rPr>
        <w:t>79.2</w:t>
      </w:r>
      <w:r>
        <w:rPr>
          <w:color w:val="auto"/>
        </w:rPr>
        <w:t>m</w:t>
      </w:r>
      <w:r>
        <w:rPr>
          <w:color w:val="auto"/>
          <w:vertAlign w:val="superscript"/>
        </w:rPr>
        <w:t>3</w:t>
      </w:r>
      <w:r>
        <w:rPr>
          <w:color w:val="auto"/>
        </w:rPr>
        <w:t>/a）</w:t>
      </w:r>
      <w:r>
        <w:rPr>
          <w:rFonts w:hint="eastAsia"/>
          <w:color w:val="auto"/>
        </w:rPr>
        <w:t>；</w:t>
      </w:r>
      <w:r>
        <w:rPr>
          <w:color w:val="auto"/>
        </w:rPr>
        <w:t>蒸汽发生器软水制备废水排水量为0.</w:t>
      </w:r>
      <w:r>
        <w:rPr>
          <w:rFonts w:hint="eastAsia"/>
          <w:color w:val="auto"/>
        </w:rPr>
        <w:t>21</w:t>
      </w:r>
      <w:r>
        <w:rPr>
          <w:color w:val="auto"/>
        </w:rPr>
        <w:t>m</w:t>
      </w:r>
      <w:r>
        <w:rPr>
          <w:color w:val="auto"/>
          <w:vertAlign w:val="superscript"/>
        </w:rPr>
        <w:t>3</w:t>
      </w:r>
      <w:r>
        <w:rPr>
          <w:color w:val="auto"/>
        </w:rPr>
        <w:t>/d，全年</w:t>
      </w:r>
      <w:r>
        <w:rPr>
          <w:rFonts w:hint="eastAsia"/>
          <w:color w:val="auto"/>
        </w:rPr>
        <w:t>69.88</w:t>
      </w:r>
      <w:r>
        <w:rPr>
          <w:color w:val="auto"/>
        </w:rPr>
        <w:t>m</w:t>
      </w:r>
      <w:r>
        <w:rPr>
          <w:color w:val="auto"/>
          <w:vertAlign w:val="superscript"/>
        </w:rPr>
        <w:t>3</w:t>
      </w:r>
      <w:r>
        <w:rPr>
          <w:color w:val="auto"/>
        </w:rPr>
        <w:t>/a。</w:t>
      </w:r>
    </w:p>
    <w:p>
      <w:pPr>
        <w:pStyle w:val="130"/>
        <w:ind w:firstLine="480"/>
        <w:rPr>
          <w:color w:val="auto"/>
        </w:rPr>
      </w:pPr>
      <w:r>
        <w:rPr>
          <w:rFonts w:hint="eastAsia"/>
          <w:color w:val="auto"/>
        </w:rPr>
        <w:t>本项目建成后全厂生产废水排放量为冬季8.92</w:t>
      </w:r>
      <w:r>
        <w:rPr>
          <w:color w:val="auto"/>
        </w:rPr>
        <w:t>m</w:t>
      </w:r>
      <w:r>
        <w:rPr>
          <w:color w:val="auto"/>
          <w:vertAlign w:val="superscript"/>
        </w:rPr>
        <w:t>3</w:t>
      </w:r>
      <w:r>
        <w:rPr>
          <w:color w:val="auto"/>
        </w:rPr>
        <w:t>/d</w:t>
      </w:r>
      <w:r>
        <w:rPr>
          <w:rFonts w:hint="eastAsia"/>
          <w:color w:val="auto"/>
        </w:rPr>
        <w:t>，其他季节8.6</w:t>
      </w:r>
      <w:r>
        <w:rPr>
          <w:color w:val="auto"/>
        </w:rPr>
        <w:t>m</w:t>
      </w:r>
      <w:r>
        <w:rPr>
          <w:color w:val="auto"/>
          <w:vertAlign w:val="superscript"/>
        </w:rPr>
        <w:t>3</w:t>
      </w:r>
      <w:r>
        <w:rPr>
          <w:color w:val="auto"/>
        </w:rPr>
        <w:t>/d</w:t>
      </w:r>
      <w:r>
        <w:rPr>
          <w:rFonts w:hint="eastAsia"/>
          <w:color w:val="auto"/>
        </w:rPr>
        <w:t>，2882.16m</w:t>
      </w:r>
      <w:r>
        <w:rPr>
          <w:rFonts w:hint="eastAsia"/>
          <w:color w:val="auto"/>
          <w:vertAlign w:val="superscript"/>
        </w:rPr>
        <w:t>3</w:t>
      </w:r>
      <w:r>
        <w:rPr>
          <w:rFonts w:hint="eastAsia"/>
          <w:color w:val="auto"/>
        </w:rPr>
        <w:t>/a，生产废水收集后进入污水处理站进行处理达标后用于中卫市生活垃圾填埋场道路洒水抑尘。</w:t>
      </w:r>
    </w:p>
    <w:p>
      <w:pPr>
        <w:pStyle w:val="130"/>
        <w:ind w:firstLine="480"/>
        <w:rPr>
          <w:color w:val="auto"/>
        </w:rPr>
      </w:pPr>
      <w:r>
        <w:rPr>
          <w:rFonts w:hint="eastAsia"/>
          <w:color w:val="auto"/>
        </w:rPr>
        <w:t>（2）生活废水</w:t>
      </w:r>
    </w:p>
    <w:p>
      <w:pPr>
        <w:pStyle w:val="130"/>
        <w:ind w:firstLine="480"/>
        <w:rPr>
          <w:color w:val="auto"/>
        </w:rPr>
      </w:pPr>
      <w:r>
        <w:rPr>
          <w:rFonts w:hint="eastAsia"/>
          <w:color w:val="auto"/>
        </w:rPr>
        <w:t>项目建成后全厂生活废水不变。</w:t>
      </w:r>
    </w:p>
    <w:p>
      <w:pPr>
        <w:pStyle w:val="130"/>
        <w:ind w:firstLine="480"/>
        <w:rPr>
          <w:color w:val="auto"/>
        </w:rPr>
      </w:pPr>
      <w:r>
        <w:rPr>
          <w:rFonts w:hint="eastAsia"/>
          <w:color w:val="auto"/>
        </w:rPr>
        <w:t>综上，本项目建成后全厂废水总量为冬季10.86</w:t>
      </w:r>
      <w:r>
        <w:rPr>
          <w:color w:val="auto"/>
        </w:rPr>
        <w:t>m</w:t>
      </w:r>
      <w:r>
        <w:rPr>
          <w:color w:val="auto"/>
          <w:vertAlign w:val="superscript"/>
        </w:rPr>
        <w:t>3</w:t>
      </w:r>
      <w:r>
        <w:rPr>
          <w:color w:val="auto"/>
        </w:rPr>
        <w:t>/d</w:t>
      </w:r>
      <w:r>
        <w:rPr>
          <w:rFonts w:hint="eastAsia"/>
          <w:color w:val="auto"/>
        </w:rPr>
        <w:t>，其他季节10.54</w:t>
      </w:r>
      <w:r>
        <w:rPr>
          <w:color w:val="auto"/>
        </w:rPr>
        <w:t>m</w:t>
      </w:r>
      <w:r>
        <w:rPr>
          <w:color w:val="auto"/>
          <w:vertAlign w:val="superscript"/>
        </w:rPr>
        <w:t>3</w:t>
      </w:r>
      <w:r>
        <w:rPr>
          <w:color w:val="auto"/>
        </w:rPr>
        <w:t>/d</w:t>
      </w:r>
      <w:r>
        <w:rPr>
          <w:rFonts w:hint="eastAsia"/>
          <w:color w:val="auto"/>
        </w:rPr>
        <w:t>，3521.04m</w:t>
      </w:r>
      <w:r>
        <w:rPr>
          <w:rFonts w:hint="eastAsia"/>
          <w:color w:val="auto"/>
          <w:vertAlign w:val="superscript"/>
        </w:rPr>
        <w:t>3</w:t>
      </w:r>
      <w:r>
        <w:rPr>
          <w:rFonts w:hint="eastAsia"/>
          <w:color w:val="auto"/>
        </w:rPr>
        <w:t>/a，生活污水依托现有化粪池处理，化粪池满后用吸污车运送至中卫市生活垃圾填埋场的渗滤液调蓄池。本项目建成后全厂废水产排情况见下表。</w:t>
      </w:r>
    </w:p>
    <w:p>
      <w:pPr>
        <w:pStyle w:val="114"/>
        <w:spacing w:before="0" w:beforeLines="0"/>
        <w:rPr>
          <w:color w:val="auto"/>
        </w:rPr>
      </w:pPr>
      <w:r>
        <w:rPr>
          <w:color w:val="auto"/>
        </w:rPr>
        <w:t>表4.8-</w:t>
      </w:r>
      <w:r>
        <w:rPr>
          <w:rFonts w:hint="eastAsia"/>
          <w:color w:val="auto"/>
        </w:rPr>
        <w:t>3</w:t>
      </w:r>
      <w:r>
        <w:rPr>
          <w:color w:val="auto"/>
        </w:rPr>
        <w:t xml:space="preserve">   本项目</w:t>
      </w:r>
      <w:r>
        <w:rPr>
          <w:rFonts w:hint="eastAsia"/>
          <w:color w:val="auto"/>
        </w:rPr>
        <w:t>建成后全厂</w:t>
      </w:r>
      <w:r>
        <w:rPr>
          <w:color w:val="auto"/>
        </w:rPr>
        <w:t>废水产生及排放情况一览表</w:t>
      </w:r>
    </w:p>
    <w:tbl>
      <w:tblPr>
        <w:tblStyle w:val="74"/>
        <w:tblW w:w="886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29"/>
        <w:gridCol w:w="898"/>
        <w:gridCol w:w="887"/>
        <w:gridCol w:w="851"/>
        <w:gridCol w:w="1034"/>
        <w:gridCol w:w="1520"/>
        <w:gridCol w:w="907"/>
        <w:gridCol w:w="673"/>
        <w:gridCol w:w="866"/>
        <w:gridCol w:w="70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29" w:type="dxa"/>
            <w:vMerge w:val="restart"/>
            <w:shd w:val="clear" w:color="auto" w:fill="auto"/>
            <w:vAlign w:val="center"/>
          </w:tcPr>
          <w:p>
            <w:pPr>
              <w:pStyle w:val="164"/>
              <w:spacing w:line="240" w:lineRule="auto"/>
              <w:rPr>
                <w:color w:val="auto"/>
                <w:szCs w:val="21"/>
              </w:rPr>
            </w:pPr>
            <w:bookmarkStart w:id="254" w:name="OLE_LINK3"/>
            <w:r>
              <w:rPr>
                <w:color w:val="auto"/>
                <w:szCs w:val="21"/>
              </w:rPr>
              <w:t>废水类型</w:t>
            </w:r>
          </w:p>
        </w:tc>
        <w:tc>
          <w:tcPr>
            <w:tcW w:w="898" w:type="dxa"/>
            <w:vMerge w:val="restart"/>
            <w:shd w:val="clear" w:color="auto" w:fill="auto"/>
            <w:vAlign w:val="center"/>
          </w:tcPr>
          <w:p>
            <w:pPr>
              <w:pStyle w:val="164"/>
              <w:spacing w:line="240" w:lineRule="auto"/>
              <w:rPr>
                <w:color w:val="auto"/>
                <w:szCs w:val="21"/>
              </w:rPr>
            </w:pPr>
            <w:r>
              <w:rPr>
                <w:color w:val="auto"/>
                <w:szCs w:val="21"/>
              </w:rPr>
              <w:t>废水量</w:t>
            </w:r>
          </w:p>
          <w:p>
            <w:pPr>
              <w:pStyle w:val="164"/>
              <w:spacing w:line="240" w:lineRule="auto"/>
              <w:rPr>
                <w:color w:val="auto"/>
                <w:szCs w:val="21"/>
              </w:rPr>
            </w:pPr>
            <w:r>
              <w:rPr>
                <w:color w:val="auto"/>
                <w:szCs w:val="21"/>
              </w:rPr>
              <w:t>(m</w:t>
            </w:r>
            <w:r>
              <w:rPr>
                <w:color w:val="auto"/>
                <w:szCs w:val="21"/>
                <w:vertAlign w:val="superscript"/>
              </w:rPr>
              <w:t>3</w:t>
            </w:r>
            <w:r>
              <w:rPr>
                <w:color w:val="auto"/>
                <w:szCs w:val="21"/>
              </w:rPr>
              <w:t>/a)</w:t>
            </w:r>
          </w:p>
        </w:tc>
        <w:tc>
          <w:tcPr>
            <w:tcW w:w="887" w:type="dxa"/>
            <w:vMerge w:val="restart"/>
            <w:shd w:val="clear" w:color="auto" w:fill="auto"/>
            <w:vAlign w:val="center"/>
          </w:tcPr>
          <w:p>
            <w:pPr>
              <w:pStyle w:val="164"/>
              <w:spacing w:line="240" w:lineRule="auto"/>
              <w:rPr>
                <w:color w:val="auto"/>
                <w:szCs w:val="21"/>
              </w:rPr>
            </w:pPr>
            <w:r>
              <w:rPr>
                <w:color w:val="auto"/>
                <w:szCs w:val="21"/>
              </w:rPr>
              <w:t>污染物</w:t>
            </w:r>
          </w:p>
        </w:tc>
        <w:tc>
          <w:tcPr>
            <w:tcW w:w="1885" w:type="dxa"/>
            <w:gridSpan w:val="2"/>
            <w:shd w:val="clear" w:color="auto" w:fill="auto"/>
            <w:vAlign w:val="center"/>
          </w:tcPr>
          <w:p>
            <w:pPr>
              <w:pStyle w:val="164"/>
              <w:spacing w:line="240" w:lineRule="auto"/>
              <w:rPr>
                <w:color w:val="auto"/>
                <w:szCs w:val="21"/>
              </w:rPr>
            </w:pPr>
            <w:r>
              <w:rPr>
                <w:color w:val="auto"/>
                <w:szCs w:val="21"/>
              </w:rPr>
              <w:t>产生情况</w:t>
            </w:r>
          </w:p>
        </w:tc>
        <w:tc>
          <w:tcPr>
            <w:tcW w:w="1520" w:type="dxa"/>
            <w:vMerge w:val="restart"/>
            <w:shd w:val="clear" w:color="auto" w:fill="auto"/>
            <w:vAlign w:val="center"/>
          </w:tcPr>
          <w:p>
            <w:pPr>
              <w:pStyle w:val="164"/>
              <w:spacing w:line="360" w:lineRule="exact"/>
              <w:rPr>
                <w:color w:val="auto"/>
                <w:szCs w:val="21"/>
              </w:rPr>
            </w:pPr>
            <w:r>
              <w:rPr>
                <w:color w:val="auto"/>
                <w:szCs w:val="21"/>
              </w:rPr>
              <w:t>废水防治措施</w:t>
            </w:r>
          </w:p>
        </w:tc>
        <w:tc>
          <w:tcPr>
            <w:tcW w:w="1580" w:type="dxa"/>
            <w:gridSpan w:val="2"/>
            <w:shd w:val="clear" w:color="auto" w:fill="auto"/>
            <w:vAlign w:val="center"/>
          </w:tcPr>
          <w:p>
            <w:pPr>
              <w:pStyle w:val="164"/>
              <w:spacing w:line="240" w:lineRule="auto"/>
              <w:rPr>
                <w:color w:val="auto"/>
                <w:szCs w:val="21"/>
              </w:rPr>
            </w:pPr>
            <w:r>
              <w:rPr>
                <w:color w:val="auto"/>
                <w:szCs w:val="21"/>
              </w:rPr>
              <w:t>排放情况</w:t>
            </w:r>
          </w:p>
        </w:tc>
        <w:tc>
          <w:tcPr>
            <w:tcW w:w="866" w:type="dxa"/>
            <w:vMerge w:val="restart"/>
            <w:vAlign w:val="center"/>
          </w:tcPr>
          <w:p>
            <w:pPr>
              <w:pStyle w:val="164"/>
              <w:spacing w:line="240" w:lineRule="auto"/>
              <w:rPr>
                <w:color w:val="auto"/>
                <w:szCs w:val="21"/>
              </w:rPr>
            </w:pPr>
            <w:r>
              <w:rPr>
                <w:color w:val="auto"/>
                <w:szCs w:val="21"/>
              </w:rPr>
              <w:t>排放标准</w:t>
            </w:r>
          </w:p>
        </w:tc>
        <w:tc>
          <w:tcPr>
            <w:tcW w:w="703" w:type="dxa"/>
            <w:vMerge w:val="restart"/>
            <w:vAlign w:val="center"/>
          </w:tcPr>
          <w:p>
            <w:pPr>
              <w:pStyle w:val="164"/>
              <w:spacing w:line="240" w:lineRule="auto"/>
              <w:rPr>
                <w:color w:val="auto"/>
                <w:szCs w:val="21"/>
              </w:rPr>
            </w:pPr>
            <w:r>
              <w:rPr>
                <w:color w:val="auto"/>
                <w:szCs w:val="21"/>
              </w:rPr>
              <w:t>是否达标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29" w:type="dxa"/>
            <w:vMerge w:val="continue"/>
            <w:vAlign w:val="center"/>
          </w:tcPr>
          <w:p>
            <w:pPr>
              <w:pStyle w:val="164"/>
              <w:spacing w:line="240" w:lineRule="auto"/>
              <w:rPr>
                <w:color w:val="auto"/>
                <w:szCs w:val="21"/>
              </w:rPr>
            </w:pPr>
          </w:p>
        </w:tc>
        <w:tc>
          <w:tcPr>
            <w:tcW w:w="898" w:type="dxa"/>
            <w:vMerge w:val="continue"/>
            <w:shd w:val="clear" w:color="auto" w:fill="auto"/>
            <w:vAlign w:val="center"/>
          </w:tcPr>
          <w:p>
            <w:pPr>
              <w:pStyle w:val="164"/>
              <w:spacing w:line="240" w:lineRule="auto"/>
              <w:rPr>
                <w:color w:val="auto"/>
                <w:szCs w:val="21"/>
              </w:rPr>
            </w:pPr>
          </w:p>
        </w:tc>
        <w:tc>
          <w:tcPr>
            <w:tcW w:w="887" w:type="dxa"/>
            <w:vMerge w:val="continue"/>
            <w:vAlign w:val="center"/>
          </w:tcPr>
          <w:p>
            <w:pPr>
              <w:pStyle w:val="164"/>
              <w:spacing w:line="240" w:lineRule="auto"/>
              <w:rPr>
                <w:color w:val="auto"/>
                <w:szCs w:val="21"/>
              </w:rPr>
            </w:pPr>
          </w:p>
        </w:tc>
        <w:tc>
          <w:tcPr>
            <w:tcW w:w="851" w:type="dxa"/>
            <w:shd w:val="clear" w:color="auto" w:fill="auto"/>
            <w:vAlign w:val="center"/>
          </w:tcPr>
          <w:p>
            <w:pPr>
              <w:pStyle w:val="164"/>
              <w:spacing w:line="240" w:lineRule="auto"/>
              <w:rPr>
                <w:color w:val="auto"/>
                <w:szCs w:val="21"/>
              </w:rPr>
            </w:pPr>
            <w:r>
              <w:rPr>
                <w:color w:val="auto"/>
                <w:szCs w:val="21"/>
              </w:rPr>
              <w:t>浓度</w:t>
            </w:r>
          </w:p>
          <w:p>
            <w:pPr>
              <w:pStyle w:val="164"/>
              <w:spacing w:line="240" w:lineRule="auto"/>
              <w:rPr>
                <w:color w:val="auto"/>
                <w:szCs w:val="21"/>
              </w:rPr>
            </w:pPr>
            <w:r>
              <w:rPr>
                <w:color w:val="auto"/>
                <w:szCs w:val="21"/>
              </w:rPr>
              <w:t>(mg/L)</w:t>
            </w:r>
          </w:p>
        </w:tc>
        <w:tc>
          <w:tcPr>
            <w:tcW w:w="1034" w:type="dxa"/>
            <w:shd w:val="clear" w:color="auto" w:fill="auto"/>
            <w:vAlign w:val="center"/>
          </w:tcPr>
          <w:p>
            <w:pPr>
              <w:pStyle w:val="164"/>
              <w:spacing w:line="240" w:lineRule="auto"/>
              <w:rPr>
                <w:color w:val="auto"/>
                <w:szCs w:val="21"/>
              </w:rPr>
            </w:pPr>
            <w:r>
              <w:rPr>
                <w:color w:val="auto"/>
                <w:szCs w:val="21"/>
              </w:rPr>
              <w:t>产生量(t/a)</w:t>
            </w:r>
          </w:p>
        </w:tc>
        <w:tc>
          <w:tcPr>
            <w:tcW w:w="1520" w:type="dxa"/>
            <w:vMerge w:val="continue"/>
            <w:vAlign w:val="center"/>
          </w:tcPr>
          <w:p>
            <w:pPr>
              <w:pStyle w:val="164"/>
              <w:spacing w:line="360" w:lineRule="exact"/>
              <w:rPr>
                <w:color w:val="auto"/>
                <w:szCs w:val="21"/>
              </w:rPr>
            </w:pPr>
          </w:p>
        </w:tc>
        <w:tc>
          <w:tcPr>
            <w:tcW w:w="907" w:type="dxa"/>
            <w:shd w:val="clear" w:color="auto" w:fill="auto"/>
            <w:vAlign w:val="center"/>
          </w:tcPr>
          <w:p>
            <w:pPr>
              <w:pStyle w:val="164"/>
              <w:spacing w:line="240" w:lineRule="auto"/>
              <w:rPr>
                <w:color w:val="auto"/>
                <w:szCs w:val="21"/>
              </w:rPr>
            </w:pPr>
            <w:r>
              <w:rPr>
                <w:color w:val="auto"/>
                <w:szCs w:val="21"/>
              </w:rPr>
              <w:t>浓度</w:t>
            </w:r>
          </w:p>
          <w:p>
            <w:pPr>
              <w:pStyle w:val="164"/>
              <w:spacing w:line="240" w:lineRule="auto"/>
              <w:rPr>
                <w:color w:val="auto"/>
                <w:szCs w:val="21"/>
              </w:rPr>
            </w:pPr>
            <w:r>
              <w:rPr>
                <w:color w:val="auto"/>
                <w:szCs w:val="21"/>
              </w:rPr>
              <w:t>(mg/L)</w:t>
            </w:r>
          </w:p>
        </w:tc>
        <w:tc>
          <w:tcPr>
            <w:tcW w:w="673" w:type="dxa"/>
            <w:shd w:val="clear" w:color="auto" w:fill="auto"/>
            <w:vAlign w:val="center"/>
          </w:tcPr>
          <w:p>
            <w:pPr>
              <w:pStyle w:val="164"/>
              <w:spacing w:line="240" w:lineRule="auto"/>
              <w:rPr>
                <w:color w:val="auto"/>
                <w:szCs w:val="21"/>
              </w:rPr>
            </w:pPr>
            <w:r>
              <w:rPr>
                <w:color w:val="auto"/>
                <w:szCs w:val="21"/>
              </w:rPr>
              <w:t>排放量</w:t>
            </w:r>
          </w:p>
          <w:p>
            <w:pPr>
              <w:pStyle w:val="164"/>
              <w:spacing w:line="240" w:lineRule="auto"/>
              <w:rPr>
                <w:color w:val="auto"/>
                <w:szCs w:val="21"/>
              </w:rPr>
            </w:pPr>
            <w:r>
              <w:rPr>
                <w:color w:val="auto"/>
                <w:szCs w:val="21"/>
              </w:rPr>
              <w:t>(t/a)</w:t>
            </w:r>
          </w:p>
        </w:tc>
        <w:tc>
          <w:tcPr>
            <w:tcW w:w="866" w:type="dxa"/>
            <w:vMerge w:val="continue"/>
            <w:vAlign w:val="center"/>
          </w:tcPr>
          <w:p>
            <w:pPr>
              <w:pStyle w:val="164"/>
              <w:spacing w:line="360" w:lineRule="exact"/>
              <w:rPr>
                <w:color w:val="auto"/>
                <w:szCs w:val="21"/>
              </w:rPr>
            </w:pPr>
          </w:p>
        </w:tc>
        <w:tc>
          <w:tcPr>
            <w:tcW w:w="703" w:type="dxa"/>
            <w:vMerge w:val="continue"/>
            <w:vAlign w:val="center"/>
          </w:tcPr>
          <w:p>
            <w:pPr>
              <w:pStyle w:val="164"/>
              <w:spacing w:line="360" w:lineRule="exact"/>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29" w:type="dxa"/>
            <w:vMerge w:val="restart"/>
            <w:shd w:val="clear" w:color="auto" w:fill="auto"/>
            <w:vAlign w:val="center"/>
          </w:tcPr>
          <w:p>
            <w:pPr>
              <w:pStyle w:val="164"/>
              <w:spacing w:line="360" w:lineRule="exact"/>
              <w:rPr>
                <w:color w:val="auto"/>
                <w:szCs w:val="21"/>
              </w:rPr>
            </w:pPr>
            <w:r>
              <w:rPr>
                <w:color w:val="auto"/>
                <w:szCs w:val="21"/>
              </w:rPr>
              <w:t>生产废水</w:t>
            </w:r>
          </w:p>
        </w:tc>
        <w:tc>
          <w:tcPr>
            <w:tcW w:w="898" w:type="dxa"/>
            <w:vMerge w:val="restart"/>
            <w:shd w:val="clear" w:color="auto" w:fill="auto"/>
            <w:vAlign w:val="center"/>
          </w:tcPr>
          <w:p>
            <w:pPr>
              <w:pStyle w:val="164"/>
              <w:spacing w:line="360" w:lineRule="exact"/>
              <w:rPr>
                <w:color w:val="auto"/>
                <w:szCs w:val="21"/>
              </w:rPr>
            </w:pPr>
            <w:r>
              <w:rPr>
                <w:rFonts w:hint="eastAsia"/>
                <w:color w:val="auto"/>
                <w:szCs w:val="21"/>
              </w:rPr>
              <w:t>2882.16</w:t>
            </w:r>
          </w:p>
        </w:tc>
        <w:tc>
          <w:tcPr>
            <w:tcW w:w="887" w:type="dxa"/>
            <w:shd w:val="clear" w:color="auto" w:fill="auto"/>
            <w:vAlign w:val="center"/>
          </w:tcPr>
          <w:p>
            <w:pPr>
              <w:pStyle w:val="164"/>
              <w:spacing w:line="360" w:lineRule="exact"/>
              <w:rPr>
                <w:color w:val="auto"/>
                <w:szCs w:val="21"/>
              </w:rPr>
            </w:pPr>
            <w:r>
              <w:rPr>
                <w:color w:val="auto"/>
                <w:szCs w:val="21"/>
              </w:rPr>
              <w:t>pH</w:t>
            </w:r>
          </w:p>
        </w:tc>
        <w:tc>
          <w:tcPr>
            <w:tcW w:w="1885" w:type="dxa"/>
            <w:gridSpan w:val="2"/>
            <w:shd w:val="clear" w:color="auto" w:fill="auto"/>
            <w:vAlign w:val="center"/>
          </w:tcPr>
          <w:p>
            <w:pPr>
              <w:pStyle w:val="164"/>
              <w:spacing w:line="360" w:lineRule="exact"/>
              <w:rPr>
                <w:color w:val="auto"/>
                <w:szCs w:val="21"/>
              </w:rPr>
            </w:pPr>
            <w:r>
              <w:rPr>
                <w:color w:val="auto"/>
                <w:szCs w:val="21"/>
              </w:rPr>
              <w:t>7.4~7.6</w:t>
            </w:r>
          </w:p>
        </w:tc>
        <w:tc>
          <w:tcPr>
            <w:tcW w:w="1520" w:type="dxa"/>
            <w:vMerge w:val="restart"/>
            <w:shd w:val="clear" w:color="auto" w:fill="auto"/>
            <w:vAlign w:val="center"/>
          </w:tcPr>
          <w:p>
            <w:pPr>
              <w:pStyle w:val="164"/>
              <w:spacing w:line="240" w:lineRule="auto"/>
              <w:rPr>
                <w:color w:val="auto"/>
                <w:szCs w:val="21"/>
              </w:rPr>
            </w:pPr>
            <w:r>
              <w:rPr>
                <w:color w:val="auto"/>
                <w:szCs w:val="21"/>
              </w:rPr>
              <w:t>经厂区新建10m</w:t>
            </w:r>
            <w:r>
              <w:rPr>
                <w:color w:val="auto"/>
                <w:szCs w:val="21"/>
                <w:vertAlign w:val="superscript"/>
              </w:rPr>
              <w:t>3</w:t>
            </w:r>
            <w:r>
              <w:rPr>
                <w:color w:val="auto"/>
                <w:szCs w:val="21"/>
              </w:rPr>
              <w:t>/d一体化污水处理站（A</w:t>
            </w:r>
            <w:r>
              <w:rPr>
                <w:color w:val="auto"/>
                <w:szCs w:val="21"/>
                <w:vertAlign w:val="superscript"/>
              </w:rPr>
              <w:t>2</w:t>
            </w:r>
            <w:r>
              <w:rPr>
                <w:color w:val="auto"/>
                <w:szCs w:val="21"/>
              </w:rPr>
              <w:t>O+MBR+消毒）处理后</w:t>
            </w:r>
            <w:r>
              <w:rPr>
                <w:color w:val="auto"/>
                <w:lang w:bidi="en-GB"/>
              </w:rPr>
              <w:t>作为中卫市生活垃圾填埋场道路抑尘用水</w:t>
            </w:r>
          </w:p>
        </w:tc>
        <w:tc>
          <w:tcPr>
            <w:tcW w:w="1580" w:type="dxa"/>
            <w:gridSpan w:val="2"/>
            <w:shd w:val="clear" w:color="auto" w:fill="auto"/>
            <w:vAlign w:val="center"/>
          </w:tcPr>
          <w:p>
            <w:pPr>
              <w:pStyle w:val="164"/>
              <w:spacing w:line="360" w:lineRule="exact"/>
              <w:rPr>
                <w:color w:val="auto"/>
                <w:szCs w:val="21"/>
              </w:rPr>
            </w:pPr>
            <w:r>
              <w:rPr>
                <w:color w:val="auto"/>
                <w:szCs w:val="21"/>
              </w:rPr>
              <w:t>8.5</w:t>
            </w:r>
          </w:p>
        </w:tc>
        <w:tc>
          <w:tcPr>
            <w:tcW w:w="866" w:type="dxa"/>
            <w:vAlign w:val="center"/>
          </w:tcPr>
          <w:p>
            <w:pPr>
              <w:pStyle w:val="164"/>
              <w:spacing w:line="360" w:lineRule="exact"/>
              <w:rPr>
                <w:color w:val="auto"/>
                <w:szCs w:val="21"/>
              </w:rPr>
            </w:pPr>
            <w:r>
              <w:rPr>
                <w:color w:val="auto"/>
                <w:szCs w:val="21"/>
              </w:rPr>
              <w:t>6~9</w:t>
            </w:r>
          </w:p>
        </w:tc>
        <w:tc>
          <w:tcPr>
            <w:tcW w:w="703"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29" w:type="dxa"/>
            <w:vMerge w:val="continue"/>
            <w:shd w:val="clear" w:color="auto" w:fill="auto"/>
            <w:vAlign w:val="center"/>
          </w:tcPr>
          <w:p>
            <w:pPr>
              <w:pStyle w:val="164"/>
              <w:spacing w:line="360" w:lineRule="exact"/>
              <w:rPr>
                <w:color w:val="auto"/>
                <w:szCs w:val="21"/>
              </w:rPr>
            </w:pPr>
          </w:p>
        </w:tc>
        <w:tc>
          <w:tcPr>
            <w:tcW w:w="898" w:type="dxa"/>
            <w:vMerge w:val="continue"/>
            <w:shd w:val="clear" w:color="auto" w:fill="auto"/>
            <w:vAlign w:val="center"/>
          </w:tcPr>
          <w:p>
            <w:pPr>
              <w:pStyle w:val="164"/>
              <w:spacing w:line="360" w:lineRule="exact"/>
              <w:rPr>
                <w:color w:val="auto"/>
                <w:szCs w:val="21"/>
              </w:rPr>
            </w:pPr>
          </w:p>
        </w:tc>
        <w:tc>
          <w:tcPr>
            <w:tcW w:w="887" w:type="dxa"/>
            <w:shd w:val="clear" w:color="auto" w:fill="auto"/>
            <w:vAlign w:val="center"/>
          </w:tcPr>
          <w:p>
            <w:pPr>
              <w:pStyle w:val="164"/>
              <w:spacing w:line="360" w:lineRule="exact"/>
              <w:rPr>
                <w:color w:val="auto"/>
                <w:szCs w:val="21"/>
              </w:rPr>
            </w:pPr>
            <w:r>
              <w:rPr>
                <w:color w:val="auto"/>
                <w:szCs w:val="21"/>
              </w:rPr>
              <w:t>COD</w:t>
            </w:r>
          </w:p>
        </w:tc>
        <w:tc>
          <w:tcPr>
            <w:tcW w:w="851" w:type="dxa"/>
            <w:shd w:val="clear" w:color="auto" w:fill="auto"/>
            <w:vAlign w:val="center"/>
          </w:tcPr>
          <w:p>
            <w:pPr>
              <w:pStyle w:val="164"/>
              <w:spacing w:line="360" w:lineRule="exact"/>
              <w:rPr>
                <w:color w:val="auto"/>
                <w:szCs w:val="21"/>
              </w:rPr>
            </w:pPr>
            <w:r>
              <w:rPr>
                <w:color w:val="auto"/>
                <w:szCs w:val="21"/>
              </w:rPr>
              <w:t>2000</w:t>
            </w:r>
          </w:p>
        </w:tc>
        <w:tc>
          <w:tcPr>
            <w:tcW w:w="1034" w:type="dxa"/>
            <w:shd w:val="clear" w:color="auto" w:fill="auto"/>
            <w:vAlign w:val="center"/>
          </w:tcPr>
          <w:p>
            <w:pPr>
              <w:pStyle w:val="164"/>
              <w:spacing w:line="360" w:lineRule="exact"/>
              <w:rPr>
                <w:color w:val="auto"/>
                <w:szCs w:val="21"/>
              </w:rPr>
            </w:pPr>
            <w:r>
              <w:rPr>
                <w:rFonts w:hint="eastAsia"/>
                <w:color w:val="auto"/>
                <w:szCs w:val="21"/>
              </w:rPr>
              <w:t>5.764</w:t>
            </w:r>
          </w:p>
        </w:tc>
        <w:tc>
          <w:tcPr>
            <w:tcW w:w="1520" w:type="dxa"/>
            <w:vMerge w:val="continue"/>
            <w:shd w:val="clear" w:color="auto" w:fill="auto"/>
            <w:vAlign w:val="center"/>
          </w:tcPr>
          <w:p>
            <w:pPr>
              <w:pStyle w:val="164"/>
              <w:spacing w:line="360" w:lineRule="exact"/>
              <w:rPr>
                <w:color w:val="auto"/>
                <w:szCs w:val="21"/>
              </w:rPr>
            </w:pPr>
          </w:p>
        </w:tc>
        <w:tc>
          <w:tcPr>
            <w:tcW w:w="907" w:type="dxa"/>
            <w:shd w:val="clear" w:color="auto" w:fill="auto"/>
            <w:vAlign w:val="center"/>
          </w:tcPr>
          <w:p>
            <w:pPr>
              <w:pStyle w:val="164"/>
              <w:spacing w:line="360" w:lineRule="exact"/>
              <w:rPr>
                <w:color w:val="auto"/>
                <w:szCs w:val="21"/>
              </w:rPr>
            </w:pPr>
            <w:r>
              <w:rPr>
                <w:color w:val="auto"/>
                <w:szCs w:val="21"/>
              </w:rPr>
              <w:t>33</w:t>
            </w:r>
          </w:p>
        </w:tc>
        <w:tc>
          <w:tcPr>
            <w:tcW w:w="673" w:type="dxa"/>
            <w:shd w:val="clear" w:color="auto" w:fill="auto"/>
            <w:vAlign w:val="center"/>
          </w:tcPr>
          <w:p>
            <w:pPr>
              <w:pStyle w:val="164"/>
              <w:spacing w:line="360" w:lineRule="exact"/>
              <w:rPr>
                <w:color w:val="auto"/>
                <w:szCs w:val="21"/>
              </w:rPr>
            </w:pPr>
            <w:r>
              <w:rPr>
                <w:color w:val="auto"/>
                <w:szCs w:val="21"/>
              </w:rPr>
              <w:t>0</w:t>
            </w:r>
          </w:p>
        </w:tc>
        <w:tc>
          <w:tcPr>
            <w:tcW w:w="866" w:type="dxa"/>
            <w:vAlign w:val="center"/>
          </w:tcPr>
          <w:p>
            <w:pPr>
              <w:pStyle w:val="164"/>
              <w:spacing w:line="360" w:lineRule="exact"/>
              <w:rPr>
                <w:color w:val="auto"/>
                <w:szCs w:val="21"/>
              </w:rPr>
            </w:pPr>
            <w:r>
              <w:rPr>
                <w:color w:val="auto"/>
                <w:szCs w:val="21"/>
              </w:rPr>
              <w:t>60</w:t>
            </w:r>
          </w:p>
        </w:tc>
        <w:tc>
          <w:tcPr>
            <w:tcW w:w="703"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29" w:type="dxa"/>
            <w:vMerge w:val="continue"/>
            <w:vAlign w:val="center"/>
          </w:tcPr>
          <w:p>
            <w:pPr>
              <w:pStyle w:val="164"/>
              <w:spacing w:line="360" w:lineRule="exact"/>
              <w:rPr>
                <w:color w:val="auto"/>
                <w:szCs w:val="21"/>
              </w:rPr>
            </w:pPr>
          </w:p>
        </w:tc>
        <w:tc>
          <w:tcPr>
            <w:tcW w:w="898" w:type="dxa"/>
            <w:vMerge w:val="continue"/>
            <w:vAlign w:val="center"/>
          </w:tcPr>
          <w:p>
            <w:pPr>
              <w:pStyle w:val="164"/>
              <w:spacing w:line="360" w:lineRule="exact"/>
              <w:rPr>
                <w:color w:val="auto"/>
                <w:szCs w:val="21"/>
              </w:rPr>
            </w:pPr>
          </w:p>
        </w:tc>
        <w:tc>
          <w:tcPr>
            <w:tcW w:w="887" w:type="dxa"/>
            <w:shd w:val="clear" w:color="auto" w:fill="auto"/>
            <w:vAlign w:val="center"/>
          </w:tcPr>
          <w:p>
            <w:pPr>
              <w:pStyle w:val="164"/>
              <w:spacing w:line="360" w:lineRule="exact"/>
              <w:rPr>
                <w:color w:val="auto"/>
                <w:szCs w:val="21"/>
              </w:rPr>
            </w:pPr>
            <w:r>
              <w:rPr>
                <w:color w:val="auto"/>
                <w:szCs w:val="21"/>
              </w:rPr>
              <w:t>BOD</w:t>
            </w:r>
            <w:r>
              <w:rPr>
                <w:color w:val="auto"/>
                <w:szCs w:val="21"/>
                <w:vertAlign w:val="subscript"/>
              </w:rPr>
              <w:t>5</w:t>
            </w:r>
          </w:p>
        </w:tc>
        <w:tc>
          <w:tcPr>
            <w:tcW w:w="851" w:type="dxa"/>
            <w:shd w:val="clear" w:color="auto" w:fill="auto"/>
            <w:vAlign w:val="center"/>
          </w:tcPr>
          <w:p>
            <w:pPr>
              <w:pStyle w:val="164"/>
              <w:spacing w:line="360" w:lineRule="exact"/>
              <w:rPr>
                <w:color w:val="auto"/>
                <w:szCs w:val="21"/>
              </w:rPr>
            </w:pPr>
            <w:r>
              <w:rPr>
                <w:color w:val="auto"/>
                <w:szCs w:val="21"/>
              </w:rPr>
              <w:t>645</w:t>
            </w:r>
          </w:p>
        </w:tc>
        <w:tc>
          <w:tcPr>
            <w:tcW w:w="1034" w:type="dxa"/>
            <w:shd w:val="clear" w:color="auto" w:fill="auto"/>
            <w:vAlign w:val="center"/>
          </w:tcPr>
          <w:p>
            <w:pPr>
              <w:pStyle w:val="164"/>
              <w:spacing w:line="360" w:lineRule="exact"/>
              <w:rPr>
                <w:color w:val="auto"/>
                <w:szCs w:val="21"/>
              </w:rPr>
            </w:pPr>
            <w:r>
              <w:rPr>
                <w:color w:val="auto"/>
                <w:szCs w:val="21"/>
              </w:rPr>
              <w:t>1.</w:t>
            </w:r>
            <w:r>
              <w:rPr>
                <w:rFonts w:hint="eastAsia"/>
                <w:color w:val="auto"/>
                <w:szCs w:val="21"/>
              </w:rPr>
              <w:t>859</w:t>
            </w:r>
            <w:r>
              <w:rPr>
                <w:color w:val="auto"/>
                <w:szCs w:val="21"/>
              </w:rPr>
              <w:t xml:space="preserve"> </w:t>
            </w:r>
          </w:p>
        </w:tc>
        <w:tc>
          <w:tcPr>
            <w:tcW w:w="1520" w:type="dxa"/>
            <w:vMerge w:val="continue"/>
            <w:vAlign w:val="center"/>
          </w:tcPr>
          <w:p>
            <w:pPr>
              <w:pStyle w:val="164"/>
              <w:spacing w:line="360" w:lineRule="exact"/>
              <w:rPr>
                <w:color w:val="auto"/>
                <w:szCs w:val="21"/>
              </w:rPr>
            </w:pPr>
          </w:p>
        </w:tc>
        <w:tc>
          <w:tcPr>
            <w:tcW w:w="907" w:type="dxa"/>
            <w:shd w:val="clear" w:color="auto" w:fill="auto"/>
            <w:vAlign w:val="center"/>
          </w:tcPr>
          <w:p>
            <w:pPr>
              <w:pStyle w:val="164"/>
              <w:spacing w:line="360" w:lineRule="exact"/>
              <w:rPr>
                <w:color w:val="auto"/>
                <w:szCs w:val="21"/>
              </w:rPr>
            </w:pPr>
            <w:r>
              <w:rPr>
                <w:color w:val="auto"/>
                <w:szCs w:val="21"/>
              </w:rPr>
              <w:t>10</w:t>
            </w:r>
          </w:p>
        </w:tc>
        <w:tc>
          <w:tcPr>
            <w:tcW w:w="673" w:type="dxa"/>
            <w:shd w:val="clear" w:color="auto" w:fill="auto"/>
            <w:vAlign w:val="center"/>
          </w:tcPr>
          <w:p>
            <w:pPr>
              <w:pStyle w:val="164"/>
              <w:spacing w:line="360" w:lineRule="exact"/>
              <w:rPr>
                <w:color w:val="auto"/>
                <w:szCs w:val="21"/>
              </w:rPr>
            </w:pPr>
            <w:r>
              <w:rPr>
                <w:color w:val="auto"/>
                <w:szCs w:val="21"/>
              </w:rPr>
              <w:t>0</w:t>
            </w:r>
          </w:p>
        </w:tc>
        <w:tc>
          <w:tcPr>
            <w:tcW w:w="866" w:type="dxa"/>
            <w:vAlign w:val="center"/>
          </w:tcPr>
          <w:p>
            <w:pPr>
              <w:pStyle w:val="164"/>
              <w:spacing w:line="360" w:lineRule="exact"/>
              <w:rPr>
                <w:color w:val="auto"/>
                <w:szCs w:val="21"/>
              </w:rPr>
            </w:pPr>
            <w:r>
              <w:rPr>
                <w:color w:val="auto"/>
                <w:szCs w:val="21"/>
              </w:rPr>
              <w:t>10</w:t>
            </w:r>
          </w:p>
        </w:tc>
        <w:tc>
          <w:tcPr>
            <w:tcW w:w="703"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29" w:type="dxa"/>
            <w:vMerge w:val="continue"/>
            <w:vAlign w:val="center"/>
          </w:tcPr>
          <w:p>
            <w:pPr>
              <w:pStyle w:val="164"/>
              <w:spacing w:line="360" w:lineRule="exact"/>
              <w:rPr>
                <w:color w:val="auto"/>
                <w:szCs w:val="21"/>
              </w:rPr>
            </w:pPr>
          </w:p>
        </w:tc>
        <w:tc>
          <w:tcPr>
            <w:tcW w:w="898" w:type="dxa"/>
            <w:vMerge w:val="continue"/>
            <w:vAlign w:val="center"/>
          </w:tcPr>
          <w:p>
            <w:pPr>
              <w:pStyle w:val="164"/>
              <w:spacing w:line="360" w:lineRule="exact"/>
              <w:rPr>
                <w:color w:val="auto"/>
                <w:szCs w:val="21"/>
              </w:rPr>
            </w:pPr>
          </w:p>
        </w:tc>
        <w:tc>
          <w:tcPr>
            <w:tcW w:w="887" w:type="dxa"/>
            <w:shd w:val="clear" w:color="auto" w:fill="auto"/>
            <w:vAlign w:val="center"/>
          </w:tcPr>
          <w:p>
            <w:pPr>
              <w:pStyle w:val="164"/>
              <w:spacing w:line="360" w:lineRule="exact"/>
              <w:rPr>
                <w:color w:val="auto"/>
                <w:szCs w:val="21"/>
              </w:rPr>
            </w:pPr>
            <w:r>
              <w:rPr>
                <w:color w:val="auto"/>
                <w:szCs w:val="21"/>
              </w:rPr>
              <w:t>NH</w:t>
            </w:r>
            <w:r>
              <w:rPr>
                <w:color w:val="auto"/>
                <w:szCs w:val="21"/>
                <w:vertAlign w:val="subscript"/>
              </w:rPr>
              <w:t>3</w:t>
            </w:r>
            <w:r>
              <w:rPr>
                <w:color w:val="auto"/>
                <w:szCs w:val="21"/>
              </w:rPr>
              <w:t>-N</w:t>
            </w:r>
          </w:p>
        </w:tc>
        <w:tc>
          <w:tcPr>
            <w:tcW w:w="851" w:type="dxa"/>
            <w:shd w:val="clear" w:color="auto" w:fill="auto"/>
            <w:vAlign w:val="center"/>
          </w:tcPr>
          <w:p>
            <w:pPr>
              <w:pStyle w:val="164"/>
              <w:spacing w:line="360" w:lineRule="exact"/>
              <w:rPr>
                <w:color w:val="auto"/>
                <w:szCs w:val="21"/>
              </w:rPr>
            </w:pPr>
            <w:r>
              <w:rPr>
                <w:color w:val="auto"/>
                <w:szCs w:val="21"/>
              </w:rPr>
              <w:t>7.52</w:t>
            </w:r>
          </w:p>
        </w:tc>
        <w:tc>
          <w:tcPr>
            <w:tcW w:w="1034" w:type="dxa"/>
            <w:shd w:val="clear" w:color="auto" w:fill="auto"/>
            <w:vAlign w:val="center"/>
          </w:tcPr>
          <w:p>
            <w:pPr>
              <w:pStyle w:val="164"/>
              <w:spacing w:line="360" w:lineRule="exact"/>
              <w:rPr>
                <w:color w:val="auto"/>
                <w:szCs w:val="21"/>
              </w:rPr>
            </w:pPr>
            <w:r>
              <w:rPr>
                <w:color w:val="auto"/>
                <w:szCs w:val="21"/>
              </w:rPr>
              <w:t>0.0</w:t>
            </w:r>
            <w:r>
              <w:rPr>
                <w:rFonts w:hint="eastAsia"/>
                <w:color w:val="auto"/>
                <w:szCs w:val="21"/>
              </w:rPr>
              <w:t>22</w:t>
            </w:r>
            <w:r>
              <w:rPr>
                <w:color w:val="auto"/>
                <w:szCs w:val="21"/>
              </w:rPr>
              <w:t xml:space="preserve"> </w:t>
            </w:r>
          </w:p>
        </w:tc>
        <w:tc>
          <w:tcPr>
            <w:tcW w:w="1520" w:type="dxa"/>
            <w:vMerge w:val="continue"/>
            <w:vAlign w:val="center"/>
          </w:tcPr>
          <w:p>
            <w:pPr>
              <w:pStyle w:val="164"/>
              <w:spacing w:line="360" w:lineRule="exact"/>
              <w:rPr>
                <w:color w:val="auto"/>
                <w:szCs w:val="21"/>
              </w:rPr>
            </w:pPr>
          </w:p>
        </w:tc>
        <w:tc>
          <w:tcPr>
            <w:tcW w:w="907" w:type="dxa"/>
            <w:shd w:val="clear" w:color="auto" w:fill="auto"/>
            <w:vAlign w:val="center"/>
          </w:tcPr>
          <w:p>
            <w:pPr>
              <w:pStyle w:val="164"/>
              <w:spacing w:line="360" w:lineRule="exact"/>
              <w:rPr>
                <w:color w:val="auto"/>
                <w:szCs w:val="21"/>
              </w:rPr>
            </w:pPr>
            <w:r>
              <w:rPr>
                <w:color w:val="auto"/>
                <w:szCs w:val="21"/>
              </w:rPr>
              <w:t>0.461</w:t>
            </w:r>
          </w:p>
        </w:tc>
        <w:tc>
          <w:tcPr>
            <w:tcW w:w="673" w:type="dxa"/>
            <w:shd w:val="clear" w:color="auto" w:fill="auto"/>
            <w:vAlign w:val="center"/>
          </w:tcPr>
          <w:p>
            <w:pPr>
              <w:pStyle w:val="164"/>
              <w:spacing w:line="360" w:lineRule="exact"/>
              <w:rPr>
                <w:color w:val="auto"/>
                <w:szCs w:val="21"/>
              </w:rPr>
            </w:pPr>
            <w:r>
              <w:rPr>
                <w:color w:val="auto"/>
                <w:szCs w:val="21"/>
              </w:rPr>
              <w:t>0</w:t>
            </w:r>
          </w:p>
        </w:tc>
        <w:tc>
          <w:tcPr>
            <w:tcW w:w="866" w:type="dxa"/>
            <w:vAlign w:val="center"/>
          </w:tcPr>
          <w:p>
            <w:pPr>
              <w:pStyle w:val="164"/>
              <w:spacing w:line="360" w:lineRule="exact"/>
              <w:rPr>
                <w:color w:val="auto"/>
                <w:szCs w:val="21"/>
              </w:rPr>
            </w:pPr>
            <w:r>
              <w:rPr>
                <w:color w:val="auto"/>
                <w:szCs w:val="21"/>
              </w:rPr>
              <w:t>8</w:t>
            </w:r>
          </w:p>
        </w:tc>
        <w:tc>
          <w:tcPr>
            <w:tcW w:w="703"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29" w:type="dxa"/>
            <w:vMerge w:val="continue"/>
            <w:vAlign w:val="center"/>
          </w:tcPr>
          <w:p>
            <w:pPr>
              <w:pStyle w:val="164"/>
              <w:spacing w:line="360" w:lineRule="exact"/>
              <w:rPr>
                <w:color w:val="auto"/>
                <w:szCs w:val="21"/>
              </w:rPr>
            </w:pPr>
          </w:p>
        </w:tc>
        <w:tc>
          <w:tcPr>
            <w:tcW w:w="898" w:type="dxa"/>
            <w:vMerge w:val="continue"/>
            <w:vAlign w:val="center"/>
          </w:tcPr>
          <w:p>
            <w:pPr>
              <w:pStyle w:val="164"/>
              <w:spacing w:line="360" w:lineRule="exact"/>
              <w:rPr>
                <w:color w:val="auto"/>
                <w:szCs w:val="21"/>
              </w:rPr>
            </w:pPr>
          </w:p>
        </w:tc>
        <w:tc>
          <w:tcPr>
            <w:tcW w:w="887" w:type="dxa"/>
            <w:shd w:val="clear" w:color="auto" w:fill="auto"/>
            <w:vAlign w:val="center"/>
          </w:tcPr>
          <w:p>
            <w:pPr>
              <w:pStyle w:val="164"/>
              <w:spacing w:line="360" w:lineRule="exact"/>
              <w:rPr>
                <w:color w:val="auto"/>
                <w:szCs w:val="21"/>
              </w:rPr>
            </w:pPr>
            <w:r>
              <w:rPr>
                <w:color w:val="auto"/>
                <w:szCs w:val="21"/>
              </w:rPr>
              <w:t>SS</w:t>
            </w:r>
          </w:p>
        </w:tc>
        <w:tc>
          <w:tcPr>
            <w:tcW w:w="851" w:type="dxa"/>
            <w:shd w:val="clear" w:color="auto" w:fill="auto"/>
            <w:vAlign w:val="center"/>
          </w:tcPr>
          <w:p>
            <w:pPr>
              <w:pStyle w:val="164"/>
              <w:spacing w:line="360" w:lineRule="exact"/>
              <w:rPr>
                <w:color w:val="auto"/>
                <w:szCs w:val="21"/>
              </w:rPr>
            </w:pPr>
            <w:r>
              <w:rPr>
                <w:color w:val="auto"/>
                <w:szCs w:val="21"/>
              </w:rPr>
              <w:t>43</w:t>
            </w:r>
          </w:p>
        </w:tc>
        <w:tc>
          <w:tcPr>
            <w:tcW w:w="1034" w:type="dxa"/>
            <w:shd w:val="clear" w:color="auto" w:fill="auto"/>
            <w:vAlign w:val="center"/>
          </w:tcPr>
          <w:p>
            <w:pPr>
              <w:pStyle w:val="164"/>
              <w:spacing w:line="360" w:lineRule="exact"/>
              <w:rPr>
                <w:color w:val="auto"/>
                <w:szCs w:val="21"/>
              </w:rPr>
            </w:pPr>
            <w:r>
              <w:rPr>
                <w:color w:val="auto"/>
                <w:szCs w:val="21"/>
              </w:rPr>
              <w:t>0.</w:t>
            </w:r>
            <w:r>
              <w:rPr>
                <w:rFonts w:hint="eastAsia"/>
                <w:color w:val="auto"/>
                <w:szCs w:val="21"/>
              </w:rPr>
              <w:t>124</w:t>
            </w:r>
            <w:r>
              <w:rPr>
                <w:color w:val="auto"/>
                <w:szCs w:val="21"/>
              </w:rPr>
              <w:t xml:space="preserve"> </w:t>
            </w:r>
          </w:p>
        </w:tc>
        <w:tc>
          <w:tcPr>
            <w:tcW w:w="1520" w:type="dxa"/>
            <w:vMerge w:val="continue"/>
            <w:vAlign w:val="center"/>
          </w:tcPr>
          <w:p>
            <w:pPr>
              <w:pStyle w:val="164"/>
              <w:spacing w:line="360" w:lineRule="exact"/>
              <w:rPr>
                <w:color w:val="auto"/>
                <w:szCs w:val="21"/>
              </w:rPr>
            </w:pPr>
          </w:p>
        </w:tc>
        <w:tc>
          <w:tcPr>
            <w:tcW w:w="907" w:type="dxa"/>
            <w:shd w:val="clear" w:color="auto" w:fill="auto"/>
            <w:vAlign w:val="center"/>
          </w:tcPr>
          <w:p>
            <w:pPr>
              <w:pStyle w:val="164"/>
              <w:spacing w:line="360" w:lineRule="exact"/>
              <w:rPr>
                <w:color w:val="auto"/>
                <w:szCs w:val="21"/>
              </w:rPr>
            </w:pPr>
            <w:r>
              <w:rPr>
                <w:color w:val="auto"/>
                <w:szCs w:val="21"/>
              </w:rPr>
              <w:t>8</w:t>
            </w:r>
          </w:p>
        </w:tc>
        <w:tc>
          <w:tcPr>
            <w:tcW w:w="673" w:type="dxa"/>
            <w:shd w:val="clear" w:color="auto" w:fill="auto"/>
            <w:vAlign w:val="center"/>
          </w:tcPr>
          <w:p>
            <w:pPr>
              <w:pStyle w:val="164"/>
              <w:spacing w:line="360" w:lineRule="exact"/>
              <w:rPr>
                <w:color w:val="auto"/>
                <w:szCs w:val="21"/>
              </w:rPr>
            </w:pPr>
            <w:r>
              <w:rPr>
                <w:color w:val="auto"/>
                <w:szCs w:val="21"/>
              </w:rPr>
              <w:t>0</w:t>
            </w:r>
          </w:p>
        </w:tc>
        <w:tc>
          <w:tcPr>
            <w:tcW w:w="866" w:type="dxa"/>
            <w:vAlign w:val="center"/>
          </w:tcPr>
          <w:p>
            <w:pPr>
              <w:pStyle w:val="164"/>
              <w:spacing w:line="360" w:lineRule="exact"/>
              <w:rPr>
                <w:color w:val="auto"/>
                <w:szCs w:val="21"/>
              </w:rPr>
            </w:pPr>
            <w:r>
              <w:rPr>
                <w:color w:val="auto"/>
                <w:szCs w:val="21"/>
              </w:rPr>
              <w:t>20</w:t>
            </w:r>
          </w:p>
        </w:tc>
        <w:tc>
          <w:tcPr>
            <w:tcW w:w="703"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29" w:type="dxa"/>
            <w:vMerge w:val="continue"/>
            <w:vAlign w:val="center"/>
          </w:tcPr>
          <w:p>
            <w:pPr>
              <w:pStyle w:val="164"/>
              <w:spacing w:line="360" w:lineRule="exact"/>
              <w:rPr>
                <w:color w:val="auto"/>
                <w:szCs w:val="21"/>
              </w:rPr>
            </w:pPr>
          </w:p>
        </w:tc>
        <w:tc>
          <w:tcPr>
            <w:tcW w:w="898" w:type="dxa"/>
            <w:vMerge w:val="continue"/>
            <w:vAlign w:val="center"/>
          </w:tcPr>
          <w:p>
            <w:pPr>
              <w:pStyle w:val="164"/>
              <w:spacing w:line="360" w:lineRule="exact"/>
              <w:rPr>
                <w:color w:val="auto"/>
                <w:szCs w:val="21"/>
              </w:rPr>
            </w:pPr>
          </w:p>
        </w:tc>
        <w:tc>
          <w:tcPr>
            <w:tcW w:w="887" w:type="dxa"/>
            <w:shd w:val="clear" w:color="auto" w:fill="auto"/>
            <w:vAlign w:val="center"/>
          </w:tcPr>
          <w:p>
            <w:pPr>
              <w:pStyle w:val="164"/>
              <w:spacing w:line="240" w:lineRule="auto"/>
              <w:rPr>
                <w:color w:val="auto"/>
                <w:szCs w:val="21"/>
              </w:rPr>
            </w:pPr>
            <w:r>
              <w:rPr>
                <w:color w:val="auto"/>
                <w:szCs w:val="21"/>
              </w:rPr>
              <w:t>粪大肠菌群</w:t>
            </w:r>
          </w:p>
        </w:tc>
        <w:tc>
          <w:tcPr>
            <w:tcW w:w="851" w:type="dxa"/>
            <w:shd w:val="clear" w:color="auto" w:fill="auto"/>
            <w:vAlign w:val="center"/>
          </w:tcPr>
          <w:p>
            <w:pPr>
              <w:pStyle w:val="164"/>
              <w:spacing w:line="360" w:lineRule="exact"/>
              <w:rPr>
                <w:color w:val="auto"/>
                <w:szCs w:val="21"/>
              </w:rPr>
            </w:pPr>
            <w:r>
              <w:rPr>
                <w:color w:val="auto"/>
              </w:rPr>
              <w:t>/</w:t>
            </w:r>
          </w:p>
        </w:tc>
        <w:tc>
          <w:tcPr>
            <w:tcW w:w="1034" w:type="dxa"/>
            <w:shd w:val="clear" w:color="auto" w:fill="auto"/>
            <w:vAlign w:val="center"/>
          </w:tcPr>
          <w:p>
            <w:pPr>
              <w:pStyle w:val="164"/>
              <w:spacing w:line="360" w:lineRule="exact"/>
              <w:rPr>
                <w:color w:val="auto"/>
                <w:szCs w:val="21"/>
              </w:rPr>
            </w:pPr>
            <w:r>
              <w:rPr>
                <w:color w:val="auto"/>
              </w:rPr>
              <w:t>/</w:t>
            </w:r>
          </w:p>
        </w:tc>
        <w:tc>
          <w:tcPr>
            <w:tcW w:w="1520" w:type="dxa"/>
            <w:vMerge w:val="continue"/>
            <w:vAlign w:val="center"/>
          </w:tcPr>
          <w:p>
            <w:pPr>
              <w:pStyle w:val="164"/>
              <w:spacing w:line="360" w:lineRule="exact"/>
              <w:rPr>
                <w:color w:val="auto"/>
                <w:szCs w:val="21"/>
              </w:rPr>
            </w:pPr>
          </w:p>
        </w:tc>
        <w:tc>
          <w:tcPr>
            <w:tcW w:w="907" w:type="dxa"/>
            <w:shd w:val="clear" w:color="auto" w:fill="auto"/>
            <w:vAlign w:val="center"/>
          </w:tcPr>
          <w:p>
            <w:pPr>
              <w:pStyle w:val="164"/>
              <w:spacing w:line="240" w:lineRule="auto"/>
              <w:rPr>
                <w:color w:val="auto"/>
                <w:szCs w:val="21"/>
              </w:rPr>
            </w:pPr>
            <w:r>
              <w:rPr>
                <w:color w:val="auto"/>
                <w:szCs w:val="21"/>
              </w:rPr>
              <w:t>未检出</w:t>
            </w:r>
          </w:p>
        </w:tc>
        <w:tc>
          <w:tcPr>
            <w:tcW w:w="673" w:type="dxa"/>
            <w:shd w:val="clear" w:color="auto" w:fill="auto"/>
            <w:vAlign w:val="center"/>
          </w:tcPr>
          <w:p>
            <w:pPr>
              <w:pStyle w:val="164"/>
              <w:spacing w:line="240" w:lineRule="auto"/>
              <w:rPr>
                <w:color w:val="auto"/>
                <w:szCs w:val="21"/>
              </w:rPr>
            </w:pPr>
            <w:r>
              <w:rPr>
                <w:color w:val="auto"/>
                <w:szCs w:val="21"/>
              </w:rPr>
              <w:t>0</w:t>
            </w:r>
          </w:p>
        </w:tc>
        <w:tc>
          <w:tcPr>
            <w:tcW w:w="866" w:type="dxa"/>
            <w:vAlign w:val="center"/>
          </w:tcPr>
          <w:p>
            <w:pPr>
              <w:pStyle w:val="164"/>
              <w:spacing w:line="240" w:lineRule="auto"/>
              <w:rPr>
                <w:color w:val="auto"/>
                <w:szCs w:val="21"/>
              </w:rPr>
            </w:pPr>
            <w:r>
              <w:rPr>
                <w:color w:val="auto"/>
                <w:szCs w:val="21"/>
              </w:rPr>
              <w:t>500</w:t>
            </w:r>
            <w:r>
              <w:rPr>
                <w:color w:val="auto"/>
              </w:rPr>
              <w:t xml:space="preserve"> </w:t>
            </w:r>
            <w:r>
              <w:rPr>
                <w:color w:val="auto"/>
                <w:szCs w:val="21"/>
              </w:rPr>
              <w:t>MPN/L</w:t>
            </w:r>
          </w:p>
        </w:tc>
        <w:tc>
          <w:tcPr>
            <w:tcW w:w="703"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529" w:type="dxa"/>
            <w:vMerge w:val="continue"/>
            <w:vAlign w:val="center"/>
          </w:tcPr>
          <w:p>
            <w:pPr>
              <w:pStyle w:val="164"/>
              <w:spacing w:line="360" w:lineRule="exact"/>
              <w:rPr>
                <w:color w:val="auto"/>
                <w:szCs w:val="21"/>
              </w:rPr>
            </w:pPr>
          </w:p>
        </w:tc>
        <w:tc>
          <w:tcPr>
            <w:tcW w:w="898" w:type="dxa"/>
            <w:vMerge w:val="continue"/>
            <w:vAlign w:val="center"/>
          </w:tcPr>
          <w:p>
            <w:pPr>
              <w:pStyle w:val="164"/>
              <w:spacing w:line="360" w:lineRule="exact"/>
              <w:rPr>
                <w:color w:val="auto"/>
                <w:szCs w:val="21"/>
              </w:rPr>
            </w:pPr>
          </w:p>
        </w:tc>
        <w:tc>
          <w:tcPr>
            <w:tcW w:w="887" w:type="dxa"/>
            <w:shd w:val="clear" w:color="auto" w:fill="auto"/>
            <w:vAlign w:val="center"/>
          </w:tcPr>
          <w:p>
            <w:pPr>
              <w:pStyle w:val="164"/>
              <w:spacing w:line="360" w:lineRule="exact"/>
              <w:rPr>
                <w:color w:val="auto"/>
                <w:szCs w:val="21"/>
              </w:rPr>
            </w:pPr>
            <w:r>
              <w:rPr>
                <w:color w:val="auto"/>
                <w:szCs w:val="21"/>
              </w:rPr>
              <w:t>余氯</w:t>
            </w:r>
          </w:p>
        </w:tc>
        <w:tc>
          <w:tcPr>
            <w:tcW w:w="851" w:type="dxa"/>
            <w:shd w:val="clear" w:color="auto" w:fill="auto"/>
            <w:vAlign w:val="center"/>
          </w:tcPr>
          <w:p>
            <w:pPr>
              <w:pStyle w:val="164"/>
              <w:spacing w:line="360" w:lineRule="exact"/>
              <w:rPr>
                <w:color w:val="auto"/>
              </w:rPr>
            </w:pPr>
            <w:r>
              <w:rPr>
                <w:color w:val="auto"/>
              </w:rPr>
              <w:t>1.78</w:t>
            </w:r>
          </w:p>
        </w:tc>
        <w:tc>
          <w:tcPr>
            <w:tcW w:w="1034" w:type="dxa"/>
            <w:shd w:val="clear" w:color="auto" w:fill="auto"/>
            <w:vAlign w:val="center"/>
          </w:tcPr>
          <w:p>
            <w:pPr>
              <w:pStyle w:val="164"/>
              <w:spacing w:line="360" w:lineRule="exact"/>
              <w:rPr>
                <w:color w:val="auto"/>
              </w:rPr>
            </w:pPr>
            <w:r>
              <w:rPr>
                <w:color w:val="auto"/>
              </w:rPr>
              <w:t>0.00</w:t>
            </w:r>
            <w:r>
              <w:rPr>
                <w:rFonts w:hint="eastAsia"/>
                <w:color w:val="auto"/>
              </w:rPr>
              <w:t>5</w:t>
            </w:r>
          </w:p>
        </w:tc>
        <w:tc>
          <w:tcPr>
            <w:tcW w:w="1520" w:type="dxa"/>
            <w:vMerge w:val="continue"/>
            <w:vAlign w:val="center"/>
          </w:tcPr>
          <w:p>
            <w:pPr>
              <w:pStyle w:val="164"/>
              <w:spacing w:line="360" w:lineRule="exact"/>
              <w:rPr>
                <w:color w:val="auto"/>
                <w:szCs w:val="21"/>
              </w:rPr>
            </w:pPr>
          </w:p>
        </w:tc>
        <w:tc>
          <w:tcPr>
            <w:tcW w:w="907" w:type="dxa"/>
            <w:shd w:val="clear" w:color="auto" w:fill="auto"/>
            <w:vAlign w:val="center"/>
          </w:tcPr>
          <w:p>
            <w:pPr>
              <w:pStyle w:val="164"/>
              <w:spacing w:line="360" w:lineRule="exact"/>
              <w:rPr>
                <w:color w:val="auto"/>
                <w:szCs w:val="21"/>
              </w:rPr>
            </w:pPr>
            <w:r>
              <w:rPr>
                <w:color w:val="auto"/>
                <w:szCs w:val="21"/>
              </w:rPr>
              <w:t>0.44</w:t>
            </w:r>
          </w:p>
        </w:tc>
        <w:tc>
          <w:tcPr>
            <w:tcW w:w="673" w:type="dxa"/>
            <w:shd w:val="clear" w:color="auto" w:fill="auto"/>
            <w:vAlign w:val="center"/>
          </w:tcPr>
          <w:p>
            <w:pPr>
              <w:pStyle w:val="164"/>
              <w:spacing w:line="360" w:lineRule="exact"/>
              <w:rPr>
                <w:color w:val="auto"/>
                <w:szCs w:val="21"/>
              </w:rPr>
            </w:pPr>
            <w:r>
              <w:rPr>
                <w:color w:val="auto"/>
                <w:szCs w:val="21"/>
              </w:rPr>
              <w:t>0</w:t>
            </w:r>
          </w:p>
        </w:tc>
        <w:tc>
          <w:tcPr>
            <w:tcW w:w="866" w:type="dxa"/>
            <w:vAlign w:val="center"/>
          </w:tcPr>
          <w:p>
            <w:pPr>
              <w:pStyle w:val="164"/>
              <w:spacing w:line="360" w:lineRule="exact"/>
              <w:rPr>
                <w:color w:val="auto"/>
                <w:szCs w:val="21"/>
              </w:rPr>
            </w:pPr>
            <w:r>
              <w:rPr>
                <w:color w:val="auto"/>
                <w:szCs w:val="21"/>
              </w:rPr>
              <w:t>0.5</w:t>
            </w:r>
          </w:p>
        </w:tc>
        <w:tc>
          <w:tcPr>
            <w:tcW w:w="703" w:type="dxa"/>
            <w:vAlign w:val="center"/>
          </w:tcPr>
          <w:p>
            <w:pPr>
              <w:pStyle w:val="164"/>
              <w:spacing w:line="360" w:lineRule="exact"/>
              <w:rPr>
                <w:color w:val="auto"/>
                <w:szCs w:val="21"/>
              </w:rPr>
            </w:pPr>
            <w:r>
              <w:rPr>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32" w:hRule="atLeast"/>
          <w:jc w:val="center"/>
        </w:trPr>
        <w:tc>
          <w:tcPr>
            <w:tcW w:w="529" w:type="dxa"/>
            <w:vMerge w:val="restart"/>
            <w:shd w:val="clear" w:color="auto" w:fill="auto"/>
            <w:vAlign w:val="center"/>
          </w:tcPr>
          <w:p>
            <w:pPr>
              <w:pStyle w:val="164"/>
              <w:spacing w:line="360" w:lineRule="exact"/>
              <w:rPr>
                <w:color w:val="auto"/>
                <w:szCs w:val="21"/>
              </w:rPr>
            </w:pPr>
            <w:r>
              <w:rPr>
                <w:color w:val="auto"/>
                <w:szCs w:val="21"/>
              </w:rPr>
              <w:t>生活污水</w:t>
            </w:r>
          </w:p>
        </w:tc>
        <w:tc>
          <w:tcPr>
            <w:tcW w:w="898" w:type="dxa"/>
            <w:vMerge w:val="restart"/>
            <w:shd w:val="clear" w:color="auto" w:fill="auto"/>
            <w:vAlign w:val="center"/>
          </w:tcPr>
          <w:p>
            <w:pPr>
              <w:pStyle w:val="164"/>
              <w:spacing w:line="360" w:lineRule="exact"/>
              <w:rPr>
                <w:color w:val="auto"/>
                <w:szCs w:val="21"/>
              </w:rPr>
            </w:pPr>
            <w:r>
              <w:rPr>
                <w:color w:val="auto"/>
                <w:szCs w:val="21"/>
              </w:rPr>
              <w:t>633.88</w:t>
            </w:r>
          </w:p>
        </w:tc>
        <w:tc>
          <w:tcPr>
            <w:tcW w:w="887" w:type="dxa"/>
            <w:shd w:val="clear" w:color="auto" w:fill="auto"/>
            <w:vAlign w:val="center"/>
          </w:tcPr>
          <w:p>
            <w:pPr>
              <w:pStyle w:val="164"/>
              <w:spacing w:line="360" w:lineRule="exact"/>
              <w:rPr>
                <w:color w:val="auto"/>
                <w:szCs w:val="21"/>
              </w:rPr>
            </w:pPr>
            <w:r>
              <w:rPr>
                <w:color w:val="auto"/>
                <w:szCs w:val="21"/>
              </w:rPr>
              <w:t>COD</w:t>
            </w:r>
          </w:p>
        </w:tc>
        <w:tc>
          <w:tcPr>
            <w:tcW w:w="851" w:type="dxa"/>
            <w:shd w:val="clear" w:color="auto" w:fill="auto"/>
            <w:vAlign w:val="center"/>
          </w:tcPr>
          <w:p>
            <w:pPr>
              <w:pStyle w:val="164"/>
              <w:spacing w:line="360" w:lineRule="exact"/>
              <w:rPr>
                <w:color w:val="auto"/>
                <w:szCs w:val="21"/>
              </w:rPr>
            </w:pPr>
            <w:r>
              <w:rPr>
                <w:color w:val="auto"/>
                <w:szCs w:val="21"/>
              </w:rPr>
              <w:t>300</w:t>
            </w:r>
          </w:p>
        </w:tc>
        <w:tc>
          <w:tcPr>
            <w:tcW w:w="1034" w:type="dxa"/>
            <w:shd w:val="clear" w:color="auto" w:fill="auto"/>
            <w:vAlign w:val="center"/>
          </w:tcPr>
          <w:p>
            <w:pPr>
              <w:pStyle w:val="164"/>
              <w:spacing w:line="360" w:lineRule="exact"/>
              <w:rPr>
                <w:color w:val="auto"/>
                <w:szCs w:val="21"/>
              </w:rPr>
            </w:pPr>
            <w:r>
              <w:rPr>
                <w:color w:val="auto"/>
                <w:szCs w:val="21"/>
              </w:rPr>
              <w:t>0.190</w:t>
            </w:r>
          </w:p>
        </w:tc>
        <w:tc>
          <w:tcPr>
            <w:tcW w:w="1520" w:type="dxa"/>
            <w:vMerge w:val="restart"/>
            <w:shd w:val="clear" w:color="auto" w:fill="auto"/>
            <w:vAlign w:val="center"/>
          </w:tcPr>
          <w:p>
            <w:pPr>
              <w:pStyle w:val="164"/>
              <w:spacing w:line="240" w:lineRule="auto"/>
              <w:rPr>
                <w:color w:val="auto"/>
                <w:szCs w:val="21"/>
              </w:rPr>
            </w:pPr>
            <w:r>
              <w:rPr>
                <w:color w:val="auto"/>
              </w:rPr>
              <w:t>依托现有化粪池处理，化粪池满后用吸污车运送至中卫市生活垃圾填埋场的渗滤液调蓄池</w:t>
            </w:r>
          </w:p>
        </w:tc>
        <w:tc>
          <w:tcPr>
            <w:tcW w:w="907" w:type="dxa"/>
            <w:shd w:val="clear" w:color="auto" w:fill="auto"/>
            <w:vAlign w:val="center"/>
          </w:tcPr>
          <w:p>
            <w:pPr>
              <w:pStyle w:val="164"/>
              <w:spacing w:line="360" w:lineRule="exact"/>
              <w:rPr>
                <w:color w:val="auto"/>
                <w:szCs w:val="21"/>
              </w:rPr>
            </w:pPr>
            <w:r>
              <w:rPr>
                <w:color w:val="auto"/>
                <w:szCs w:val="21"/>
              </w:rPr>
              <w:t>255</w:t>
            </w:r>
          </w:p>
        </w:tc>
        <w:tc>
          <w:tcPr>
            <w:tcW w:w="673" w:type="dxa"/>
            <w:shd w:val="clear" w:color="auto" w:fill="auto"/>
            <w:vAlign w:val="center"/>
          </w:tcPr>
          <w:p>
            <w:pPr>
              <w:pStyle w:val="164"/>
              <w:spacing w:line="360" w:lineRule="exact"/>
              <w:rPr>
                <w:color w:val="auto"/>
                <w:szCs w:val="21"/>
              </w:rPr>
            </w:pPr>
            <w:r>
              <w:rPr>
                <w:color w:val="auto"/>
                <w:szCs w:val="21"/>
              </w:rPr>
              <w:t>0</w:t>
            </w:r>
          </w:p>
        </w:tc>
        <w:tc>
          <w:tcPr>
            <w:tcW w:w="866" w:type="dxa"/>
            <w:vAlign w:val="center"/>
          </w:tcPr>
          <w:p>
            <w:pPr>
              <w:pStyle w:val="164"/>
              <w:spacing w:line="360" w:lineRule="exact"/>
              <w:rPr>
                <w:color w:val="auto"/>
                <w:szCs w:val="21"/>
              </w:rPr>
            </w:pPr>
            <w:r>
              <w:rPr>
                <w:rFonts w:hint="eastAsia"/>
                <w:color w:val="auto"/>
                <w:szCs w:val="21"/>
              </w:rPr>
              <w:t>/</w:t>
            </w:r>
          </w:p>
        </w:tc>
        <w:tc>
          <w:tcPr>
            <w:tcW w:w="703" w:type="dxa"/>
            <w:vAlign w:val="center"/>
          </w:tcPr>
          <w:p>
            <w:pPr>
              <w:pStyle w:val="164"/>
              <w:spacing w:line="360" w:lineRule="exact"/>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03" w:hRule="atLeast"/>
          <w:jc w:val="center"/>
        </w:trPr>
        <w:tc>
          <w:tcPr>
            <w:tcW w:w="529" w:type="dxa"/>
            <w:vMerge w:val="continue"/>
            <w:vAlign w:val="center"/>
          </w:tcPr>
          <w:p>
            <w:pPr>
              <w:pStyle w:val="164"/>
              <w:spacing w:line="360" w:lineRule="exact"/>
              <w:rPr>
                <w:color w:val="auto"/>
                <w:szCs w:val="21"/>
              </w:rPr>
            </w:pPr>
          </w:p>
        </w:tc>
        <w:tc>
          <w:tcPr>
            <w:tcW w:w="898" w:type="dxa"/>
            <w:vMerge w:val="continue"/>
            <w:vAlign w:val="center"/>
          </w:tcPr>
          <w:p>
            <w:pPr>
              <w:pStyle w:val="164"/>
              <w:spacing w:line="360" w:lineRule="exact"/>
              <w:rPr>
                <w:color w:val="auto"/>
                <w:szCs w:val="21"/>
              </w:rPr>
            </w:pPr>
          </w:p>
        </w:tc>
        <w:tc>
          <w:tcPr>
            <w:tcW w:w="887" w:type="dxa"/>
            <w:shd w:val="clear" w:color="auto" w:fill="auto"/>
            <w:vAlign w:val="center"/>
          </w:tcPr>
          <w:p>
            <w:pPr>
              <w:pStyle w:val="164"/>
              <w:spacing w:line="360" w:lineRule="exact"/>
              <w:rPr>
                <w:color w:val="auto"/>
                <w:szCs w:val="21"/>
              </w:rPr>
            </w:pPr>
            <w:r>
              <w:rPr>
                <w:color w:val="auto"/>
                <w:szCs w:val="21"/>
              </w:rPr>
              <w:t>BOD</w:t>
            </w:r>
            <w:r>
              <w:rPr>
                <w:color w:val="auto"/>
                <w:szCs w:val="21"/>
                <w:vertAlign w:val="subscript"/>
              </w:rPr>
              <w:t>5</w:t>
            </w:r>
          </w:p>
        </w:tc>
        <w:tc>
          <w:tcPr>
            <w:tcW w:w="851" w:type="dxa"/>
            <w:shd w:val="clear" w:color="auto" w:fill="auto"/>
            <w:vAlign w:val="center"/>
          </w:tcPr>
          <w:p>
            <w:pPr>
              <w:pStyle w:val="164"/>
              <w:spacing w:line="360" w:lineRule="exact"/>
              <w:rPr>
                <w:color w:val="auto"/>
                <w:szCs w:val="21"/>
              </w:rPr>
            </w:pPr>
            <w:r>
              <w:rPr>
                <w:color w:val="auto"/>
                <w:szCs w:val="21"/>
              </w:rPr>
              <w:t>260</w:t>
            </w:r>
          </w:p>
        </w:tc>
        <w:tc>
          <w:tcPr>
            <w:tcW w:w="1034" w:type="dxa"/>
            <w:shd w:val="clear" w:color="auto" w:fill="auto"/>
            <w:vAlign w:val="center"/>
          </w:tcPr>
          <w:p>
            <w:pPr>
              <w:pStyle w:val="164"/>
              <w:spacing w:line="360" w:lineRule="exact"/>
              <w:rPr>
                <w:color w:val="auto"/>
                <w:szCs w:val="21"/>
              </w:rPr>
            </w:pPr>
            <w:r>
              <w:rPr>
                <w:color w:val="auto"/>
                <w:szCs w:val="21"/>
              </w:rPr>
              <w:t>0.165</w:t>
            </w:r>
          </w:p>
        </w:tc>
        <w:tc>
          <w:tcPr>
            <w:tcW w:w="1520" w:type="dxa"/>
            <w:vMerge w:val="continue"/>
            <w:vAlign w:val="center"/>
          </w:tcPr>
          <w:p>
            <w:pPr>
              <w:pStyle w:val="164"/>
              <w:spacing w:line="360" w:lineRule="exact"/>
              <w:rPr>
                <w:color w:val="auto"/>
                <w:szCs w:val="21"/>
              </w:rPr>
            </w:pPr>
          </w:p>
        </w:tc>
        <w:tc>
          <w:tcPr>
            <w:tcW w:w="907" w:type="dxa"/>
            <w:shd w:val="clear" w:color="auto" w:fill="auto"/>
            <w:vAlign w:val="center"/>
          </w:tcPr>
          <w:p>
            <w:pPr>
              <w:pStyle w:val="164"/>
              <w:spacing w:line="360" w:lineRule="exact"/>
              <w:rPr>
                <w:color w:val="auto"/>
                <w:szCs w:val="21"/>
              </w:rPr>
            </w:pPr>
            <w:r>
              <w:rPr>
                <w:color w:val="auto"/>
                <w:szCs w:val="21"/>
              </w:rPr>
              <w:t>225</w:t>
            </w:r>
          </w:p>
        </w:tc>
        <w:tc>
          <w:tcPr>
            <w:tcW w:w="673" w:type="dxa"/>
            <w:shd w:val="clear" w:color="auto" w:fill="auto"/>
            <w:vAlign w:val="center"/>
          </w:tcPr>
          <w:p>
            <w:pPr>
              <w:pStyle w:val="164"/>
              <w:spacing w:line="360" w:lineRule="exact"/>
              <w:rPr>
                <w:color w:val="auto"/>
                <w:szCs w:val="21"/>
              </w:rPr>
            </w:pPr>
            <w:r>
              <w:rPr>
                <w:color w:val="auto"/>
                <w:szCs w:val="21"/>
              </w:rPr>
              <w:t>0</w:t>
            </w:r>
          </w:p>
        </w:tc>
        <w:tc>
          <w:tcPr>
            <w:tcW w:w="866" w:type="dxa"/>
            <w:vAlign w:val="center"/>
          </w:tcPr>
          <w:p>
            <w:pPr>
              <w:pStyle w:val="164"/>
              <w:spacing w:line="360" w:lineRule="exact"/>
              <w:rPr>
                <w:color w:val="auto"/>
                <w:szCs w:val="21"/>
              </w:rPr>
            </w:pPr>
            <w:r>
              <w:rPr>
                <w:rFonts w:hint="eastAsia"/>
                <w:color w:val="auto"/>
                <w:szCs w:val="21"/>
              </w:rPr>
              <w:t>/</w:t>
            </w:r>
          </w:p>
        </w:tc>
        <w:tc>
          <w:tcPr>
            <w:tcW w:w="703" w:type="dxa"/>
            <w:vAlign w:val="center"/>
          </w:tcPr>
          <w:p>
            <w:pPr>
              <w:pStyle w:val="164"/>
              <w:spacing w:line="360" w:lineRule="exact"/>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00" w:hRule="atLeast"/>
          <w:jc w:val="center"/>
        </w:trPr>
        <w:tc>
          <w:tcPr>
            <w:tcW w:w="529" w:type="dxa"/>
            <w:vMerge w:val="continue"/>
            <w:vAlign w:val="center"/>
          </w:tcPr>
          <w:p>
            <w:pPr>
              <w:pStyle w:val="164"/>
              <w:spacing w:line="360" w:lineRule="exact"/>
              <w:rPr>
                <w:color w:val="auto"/>
                <w:szCs w:val="21"/>
              </w:rPr>
            </w:pPr>
          </w:p>
        </w:tc>
        <w:tc>
          <w:tcPr>
            <w:tcW w:w="898" w:type="dxa"/>
            <w:vMerge w:val="continue"/>
            <w:vAlign w:val="center"/>
          </w:tcPr>
          <w:p>
            <w:pPr>
              <w:pStyle w:val="164"/>
              <w:spacing w:line="360" w:lineRule="exact"/>
              <w:rPr>
                <w:color w:val="auto"/>
                <w:szCs w:val="21"/>
              </w:rPr>
            </w:pPr>
          </w:p>
        </w:tc>
        <w:tc>
          <w:tcPr>
            <w:tcW w:w="887" w:type="dxa"/>
            <w:shd w:val="clear" w:color="auto" w:fill="auto"/>
            <w:vAlign w:val="center"/>
          </w:tcPr>
          <w:p>
            <w:pPr>
              <w:pStyle w:val="164"/>
              <w:spacing w:line="360" w:lineRule="exact"/>
              <w:rPr>
                <w:color w:val="auto"/>
                <w:szCs w:val="21"/>
              </w:rPr>
            </w:pPr>
            <w:r>
              <w:rPr>
                <w:color w:val="auto"/>
                <w:szCs w:val="21"/>
              </w:rPr>
              <w:t>SS</w:t>
            </w:r>
          </w:p>
        </w:tc>
        <w:tc>
          <w:tcPr>
            <w:tcW w:w="851" w:type="dxa"/>
            <w:shd w:val="clear" w:color="auto" w:fill="auto"/>
            <w:vAlign w:val="center"/>
          </w:tcPr>
          <w:p>
            <w:pPr>
              <w:pStyle w:val="164"/>
              <w:spacing w:line="360" w:lineRule="exact"/>
              <w:rPr>
                <w:color w:val="auto"/>
                <w:szCs w:val="21"/>
              </w:rPr>
            </w:pPr>
            <w:r>
              <w:rPr>
                <w:color w:val="auto"/>
                <w:szCs w:val="21"/>
              </w:rPr>
              <w:t>300</w:t>
            </w:r>
          </w:p>
        </w:tc>
        <w:tc>
          <w:tcPr>
            <w:tcW w:w="1034" w:type="dxa"/>
            <w:shd w:val="clear" w:color="auto" w:fill="auto"/>
            <w:vAlign w:val="center"/>
          </w:tcPr>
          <w:p>
            <w:pPr>
              <w:pStyle w:val="164"/>
              <w:spacing w:line="360" w:lineRule="exact"/>
              <w:rPr>
                <w:color w:val="auto"/>
                <w:szCs w:val="21"/>
              </w:rPr>
            </w:pPr>
            <w:r>
              <w:rPr>
                <w:color w:val="auto"/>
                <w:szCs w:val="21"/>
              </w:rPr>
              <w:t>0.190</w:t>
            </w:r>
          </w:p>
        </w:tc>
        <w:tc>
          <w:tcPr>
            <w:tcW w:w="1520" w:type="dxa"/>
            <w:vMerge w:val="continue"/>
            <w:vAlign w:val="center"/>
          </w:tcPr>
          <w:p>
            <w:pPr>
              <w:pStyle w:val="164"/>
              <w:spacing w:line="360" w:lineRule="exact"/>
              <w:rPr>
                <w:color w:val="auto"/>
                <w:szCs w:val="21"/>
              </w:rPr>
            </w:pPr>
          </w:p>
        </w:tc>
        <w:tc>
          <w:tcPr>
            <w:tcW w:w="907" w:type="dxa"/>
            <w:shd w:val="clear" w:color="auto" w:fill="auto"/>
            <w:vAlign w:val="center"/>
          </w:tcPr>
          <w:p>
            <w:pPr>
              <w:pStyle w:val="164"/>
              <w:spacing w:line="360" w:lineRule="exact"/>
              <w:rPr>
                <w:color w:val="auto"/>
                <w:szCs w:val="21"/>
              </w:rPr>
            </w:pPr>
            <w:r>
              <w:rPr>
                <w:color w:val="auto"/>
                <w:szCs w:val="21"/>
              </w:rPr>
              <w:t>210</w:t>
            </w:r>
          </w:p>
        </w:tc>
        <w:tc>
          <w:tcPr>
            <w:tcW w:w="673" w:type="dxa"/>
            <w:shd w:val="clear" w:color="auto" w:fill="auto"/>
            <w:vAlign w:val="center"/>
          </w:tcPr>
          <w:p>
            <w:pPr>
              <w:pStyle w:val="164"/>
              <w:spacing w:line="360" w:lineRule="exact"/>
              <w:rPr>
                <w:color w:val="auto"/>
                <w:szCs w:val="21"/>
              </w:rPr>
            </w:pPr>
            <w:r>
              <w:rPr>
                <w:color w:val="auto"/>
                <w:szCs w:val="21"/>
              </w:rPr>
              <w:t>0</w:t>
            </w:r>
          </w:p>
        </w:tc>
        <w:tc>
          <w:tcPr>
            <w:tcW w:w="866" w:type="dxa"/>
            <w:vAlign w:val="center"/>
          </w:tcPr>
          <w:p>
            <w:pPr>
              <w:pStyle w:val="164"/>
              <w:spacing w:line="360" w:lineRule="exact"/>
              <w:rPr>
                <w:color w:val="auto"/>
                <w:szCs w:val="21"/>
              </w:rPr>
            </w:pPr>
            <w:r>
              <w:rPr>
                <w:rFonts w:hint="eastAsia"/>
                <w:color w:val="auto"/>
                <w:szCs w:val="21"/>
              </w:rPr>
              <w:t>/</w:t>
            </w:r>
          </w:p>
        </w:tc>
        <w:tc>
          <w:tcPr>
            <w:tcW w:w="703" w:type="dxa"/>
            <w:vAlign w:val="center"/>
          </w:tcPr>
          <w:p>
            <w:pPr>
              <w:pStyle w:val="164"/>
              <w:spacing w:line="360" w:lineRule="exact"/>
              <w:rPr>
                <w:color w:val="auto"/>
                <w:szCs w:val="21"/>
              </w:rPr>
            </w:pP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29" w:type="dxa"/>
            <w:vMerge w:val="continue"/>
            <w:vAlign w:val="center"/>
          </w:tcPr>
          <w:p>
            <w:pPr>
              <w:pStyle w:val="164"/>
              <w:spacing w:line="360" w:lineRule="exact"/>
              <w:rPr>
                <w:color w:val="auto"/>
                <w:szCs w:val="21"/>
              </w:rPr>
            </w:pPr>
          </w:p>
        </w:tc>
        <w:tc>
          <w:tcPr>
            <w:tcW w:w="898" w:type="dxa"/>
            <w:vMerge w:val="continue"/>
            <w:vAlign w:val="center"/>
          </w:tcPr>
          <w:p>
            <w:pPr>
              <w:pStyle w:val="164"/>
              <w:spacing w:line="360" w:lineRule="exact"/>
              <w:rPr>
                <w:color w:val="auto"/>
                <w:szCs w:val="21"/>
              </w:rPr>
            </w:pPr>
          </w:p>
        </w:tc>
        <w:tc>
          <w:tcPr>
            <w:tcW w:w="887" w:type="dxa"/>
            <w:shd w:val="clear" w:color="auto" w:fill="auto"/>
            <w:vAlign w:val="center"/>
          </w:tcPr>
          <w:p>
            <w:pPr>
              <w:pStyle w:val="164"/>
              <w:spacing w:line="360" w:lineRule="exact"/>
              <w:rPr>
                <w:color w:val="auto"/>
                <w:szCs w:val="21"/>
              </w:rPr>
            </w:pPr>
            <w:r>
              <w:rPr>
                <w:color w:val="auto"/>
                <w:szCs w:val="21"/>
              </w:rPr>
              <w:t>NH</w:t>
            </w:r>
            <w:r>
              <w:rPr>
                <w:color w:val="auto"/>
                <w:szCs w:val="21"/>
                <w:vertAlign w:val="subscript"/>
              </w:rPr>
              <w:t>3</w:t>
            </w:r>
            <w:r>
              <w:rPr>
                <w:color w:val="auto"/>
                <w:szCs w:val="21"/>
              </w:rPr>
              <w:t>-N</w:t>
            </w:r>
          </w:p>
        </w:tc>
        <w:tc>
          <w:tcPr>
            <w:tcW w:w="851" w:type="dxa"/>
            <w:shd w:val="clear" w:color="auto" w:fill="auto"/>
            <w:vAlign w:val="center"/>
          </w:tcPr>
          <w:p>
            <w:pPr>
              <w:pStyle w:val="164"/>
              <w:spacing w:line="360" w:lineRule="exact"/>
              <w:rPr>
                <w:color w:val="auto"/>
                <w:szCs w:val="21"/>
              </w:rPr>
            </w:pPr>
            <w:r>
              <w:rPr>
                <w:color w:val="auto"/>
                <w:szCs w:val="21"/>
              </w:rPr>
              <w:t>30</w:t>
            </w:r>
          </w:p>
        </w:tc>
        <w:tc>
          <w:tcPr>
            <w:tcW w:w="1034" w:type="dxa"/>
            <w:shd w:val="clear" w:color="auto" w:fill="auto"/>
            <w:vAlign w:val="center"/>
          </w:tcPr>
          <w:p>
            <w:pPr>
              <w:pStyle w:val="164"/>
              <w:spacing w:line="360" w:lineRule="exact"/>
              <w:rPr>
                <w:color w:val="auto"/>
                <w:szCs w:val="21"/>
              </w:rPr>
            </w:pPr>
            <w:r>
              <w:rPr>
                <w:color w:val="auto"/>
                <w:szCs w:val="21"/>
              </w:rPr>
              <w:t>0.019</w:t>
            </w:r>
          </w:p>
        </w:tc>
        <w:tc>
          <w:tcPr>
            <w:tcW w:w="1520" w:type="dxa"/>
            <w:vMerge w:val="continue"/>
            <w:vAlign w:val="center"/>
          </w:tcPr>
          <w:p>
            <w:pPr>
              <w:pStyle w:val="164"/>
              <w:spacing w:line="360" w:lineRule="exact"/>
              <w:rPr>
                <w:color w:val="auto"/>
                <w:szCs w:val="21"/>
              </w:rPr>
            </w:pPr>
          </w:p>
        </w:tc>
        <w:tc>
          <w:tcPr>
            <w:tcW w:w="907" w:type="dxa"/>
            <w:shd w:val="clear" w:color="auto" w:fill="auto"/>
            <w:vAlign w:val="center"/>
          </w:tcPr>
          <w:p>
            <w:pPr>
              <w:pStyle w:val="164"/>
              <w:spacing w:line="360" w:lineRule="exact"/>
              <w:rPr>
                <w:color w:val="auto"/>
                <w:szCs w:val="21"/>
              </w:rPr>
            </w:pPr>
            <w:r>
              <w:rPr>
                <w:color w:val="auto"/>
                <w:szCs w:val="21"/>
              </w:rPr>
              <w:t>29</w:t>
            </w:r>
          </w:p>
        </w:tc>
        <w:tc>
          <w:tcPr>
            <w:tcW w:w="673" w:type="dxa"/>
            <w:shd w:val="clear" w:color="auto" w:fill="auto"/>
            <w:vAlign w:val="center"/>
          </w:tcPr>
          <w:p>
            <w:pPr>
              <w:pStyle w:val="164"/>
              <w:spacing w:line="360" w:lineRule="exact"/>
              <w:rPr>
                <w:color w:val="auto"/>
                <w:szCs w:val="21"/>
              </w:rPr>
            </w:pPr>
            <w:r>
              <w:rPr>
                <w:color w:val="auto"/>
                <w:szCs w:val="21"/>
              </w:rPr>
              <w:t>0</w:t>
            </w:r>
          </w:p>
        </w:tc>
        <w:tc>
          <w:tcPr>
            <w:tcW w:w="866" w:type="dxa"/>
            <w:vAlign w:val="center"/>
          </w:tcPr>
          <w:p>
            <w:pPr>
              <w:pStyle w:val="164"/>
              <w:spacing w:line="360" w:lineRule="exact"/>
              <w:rPr>
                <w:color w:val="auto"/>
                <w:szCs w:val="21"/>
              </w:rPr>
            </w:pPr>
            <w:r>
              <w:rPr>
                <w:rFonts w:hint="eastAsia"/>
                <w:color w:val="auto"/>
                <w:szCs w:val="21"/>
              </w:rPr>
              <w:t>/</w:t>
            </w:r>
          </w:p>
        </w:tc>
        <w:tc>
          <w:tcPr>
            <w:tcW w:w="703" w:type="dxa"/>
            <w:vAlign w:val="center"/>
          </w:tcPr>
          <w:p>
            <w:pPr>
              <w:pStyle w:val="164"/>
              <w:spacing w:line="360" w:lineRule="exact"/>
              <w:rPr>
                <w:color w:val="auto"/>
                <w:szCs w:val="21"/>
              </w:rPr>
            </w:pPr>
            <w:r>
              <w:rPr>
                <w:color w:val="auto"/>
                <w:szCs w:val="21"/>
              </w:rPr>
              <w:t>/</w:t>
            </w:r>
          </w:p>
        </w:tc>
      </w:tr>
      <w:bookmarkEnd w:id="254"/>
    </w:tbl>
    <w:p>
      <w:pPr>
        <w:pStyle w:val="130"/>
        <w:spacing w:before="120" w:beforeLines="50"/>
        <w:ind w:firstLine="480"/>
        <w:rPr>
          <w:color w:val="auto"/>
        </w:rPr>
      </w:pPr>
      <w:r>
        <w:rPr>
          <w:color w:val="auto"/>
        </w:rPr>
        <w:t>⑶初期雨水</w:t>
      </w:r>
    </w:p>
    <w:p>
      <w:pPr>
        <w:pStyle w:val="130"/>
        <w:ind w:firstLine="480"/>
        <w:rPr>
          <w:color w:val="auto"/>
        </w:rPr>
      </w:pPr>
      <w:r>
        <w:rPr>
          <w:color w:val="auto"/>
        </w:rPr>
        <w:t>根据《室外排水设计规范（2016 年版）》（GB50014-2006）相关参数计算初期雨水量，计算公式如下：</w:t>
      </w:r>
    </w:p>
    <w:p>
      <w:pPr>
        <w:pStyle w:val="130"/>
        <w:ind w:firstLine="480"/>
        <w:jc w:val="center"/>
        <w:rPr>
          <w:color w:val="auto"/>
        </w:rPr>
      </w:pPr>
      <w:r>
        <w:rPr>
          <w:color w:val="auto"/>
        </w:rPr>
        <w:t>Q=qψF</w:t>
      </w:r>
    </w:p>
    <w:p>
      <w:pPr>
        <w:pStyle w:val="130"/>
        <w:ind w:firstLine="480"/>
        <w:rPr>
          <w:color w:val="auto"/>
        </w:rPr>
      </w:pPr>
      <w:r>
        <w:rPr>
          <w:color w:val="auto"/>
        </w:rPr>
        <w:t>式中：</w:t>
      </w:r>
    </w:p>
    <w:p>
      <w:pPr>
        <w:pStyle w:val="130"/>
        <w:ind w:firstLine="480"/>
        <w:rPr>
          <w:color w:val="auto"/>
        </w:rPr>
      </w:pPr>
      <w:r>
        <w:rPr>
          <w:color w:val="auto"/>
        </w:rPr>
        <w:t>Q：雨水设计流量，L/s；</w:t>
      </w:r>
    </w:p>
    <w:p>
      <w:pPr>
        <w:pStyle w:val="130"/>
        <w:ind w:firstLine="480"/>
        <w:rPr>
          <w:color w:val="auto"/>
        </w:rPr>
      </w:pPr>
      <w:r>
        <w:rPr>
          <w:color w:val="auto"/>
        </w:rPr>
        <w:t>q：设计暴雨强度，L/（s·hm</w:t>
      </w:r>
      <w:r>
        <w:rPr>
          <w:color w:val="auto"/>
          <w:vertAlign w:val="superscript"/>
        </w:rPr>
        <w:t>2</w:t>
      </w:r>
      <w:r>
        <w:rPr>
          <w:color w:val="auto"/>
        </w:rPr>
        <w:t>）；</w:t>
      </w:r>
    </w:p>
    <w:p>
      <w:pPr>
        <w:pStyle w:val="130"/>
        <w:ind w:firstLine="480"/>
        <w:rPr>
          <w:color w:val="auto"/>
        </w:rPr>
      </w:pPr>
      <w:r>
        <w:rPr>
          <w:color w:val="auto"/>
        </w:rPr>
        <w:t>Ψ：径流系数，取0.95；</w:t>
      </w:r>
    </w:p>
    <w:p>
      <w:pPr>
        <w:pStyle w:val="130"/>
        <w:ind w:firstLine="480"/>
        <w:rPr>
          <w:color w:val="auto"/>
        </w:rPr>
      </w:pPr>
      <w:r>
        <w:rPr>
          <w:color w:val="auto"/>
        </w:rPr>
        <w:t>F：汇水面积，hm</w:t>
      </w:r>
      <w:r>
        <w:rPr>
          <w:color w:val="auto"/>
          <w:vertAlign w:val="superscript"/>
        </w:rPr>
        <w:t>2</w:t>
      </w:r>
      <w:r>
        <w:rPr>
          <w:color w:val="auto"/>
        </w:rPr>
        <w:t>（0.35hm</w:t>
      </w:r>
      <w:r>
        <w:rPr>
          <w:color w:val="auto"/>
          <w:vertAlign w:val="superscript"/>
        </w:rPr>
        <w:t>2</w:t>
      </w:r>
      <w:r>
        <w:rPr>
          <w:color w:val="auto"/>
        </w:rPr>
        <w:t>（3500m</w:t>
      </w:r>
      <w:r>
        <w:rPr>
          <w:color w:val="auto"/>
          <w:vertAlign w:val="superscript"/>
        </w:rPr>
        <w:t>2</w:t>
      </w:r>
      <w:r>
        <w:rPr>
          <w:color w:val="auto"/>
        </w:rPr>
        <w:t>），生产装置区及道路）；</w:t>
      </w:r>
    </w:p>
    <w:p>
      <w:pPr>
        <w:pStyle w:val="130"/>
        <w:ind w:firstLine="480"/>
        <w:rPr>
          <w:color w:val="auto"/>
        </w:rPr>
      </w:pPr>
      <w:r>
        <w:rPr>
          <w:color w:val="auto"/>
        </w:rPr>
        <w:t>宁夏设计暴雨强度计算公式如下：</w:t>
      </w:r>
    </w:p>
    <w:p>
      <w:pPr>
        <w:pStyle w:val="130"/>
        <w:ind w:firstLine="480"/>
        <w:jc w:val="center"/>
        <w:rPr>
          <w:color w:val="auto"/>
        </w:rPr>
      </w:pPr>
      <w:r>
        <w:rPr>
          <w:color w:val="auto"/>
        </w:rPr>
        <w:object>
          <v:shape id="_x0000_i1027" o:spt="75" type="#_x0000_t75" style="height:34.2pt;width:107.4pt;" o:ole="t" filled="f" o:preferrelative="t" stroked="f" coordsize="21600,21600">
            <v:path/>
            <v:fill on="f" focussize="0,0"/>
            <v:stroke on="f" joinstyle="miter"/>
            <v:imagedata r:id="rId38" o:title=""/>
            <o:lock v:ext="edit" aspectratio="t"/>
            <w10:wrap type="none"/>
            <w10:anchorlock/>
          </v:shape>
          <o:OLEObject Type="Embed" ProgID="Equation.3" ShapeID="_x0000_i1027" DrawAspect="Content" ObjectID="_1468075728" r:id="rId37">
            <o:LockedField>false</o:LockedField>
          </o:OLEObject>
        </w:object>
      </w:r>
    </w:p>
    <w:p>
      <w:pPr>
        <w:pStyle w:val="130"/>
        <w:ind w:firstLine="480"/>
        <w:rPr>
          <w:color w:val="auto"/>
        </w:rPr>
      </w:pPr>
      <w:r>
        <w:rPr>
          <w:color w:val="auto"/>
        </w:rPr>
        <w:t>式中：</w:t>
      </w:r>
    </w:p>
    <w:p>
      <w:pPr>
        <w:pStyle w:val="130"/>
        <w:ind w:firstLine="480"/>
        <w:rPr>
          <w:color w:val="auto"/>
        </w:rPr>
      </w:pPr>
      <w:r>
        <w:rPr>
          <w:color w:val="auto"/>
        </w:rPr>
        <w:t>q：设计暴雨强度，L/（s·hm</w:t>
      </w:r>
      <w:r>
        <w:rPr>
          <w:color w:val="auto"/>
          <w:vertAlign w:val="superscript"/>
        </w:rPr>
        <w:t>2</w:t>
      </w:r>
      <w:r>
        <w:rPr>
          <w:color w:val="auto"/>
        </w:rPr>
        <w:t>）；</w:t>
      </w:r>
    </w:p>
    <w:p>
      <w:pPr>
        <w:pStyle w:val="130"/>
        <w:ind w:firstLine="480"/>
        <w:rPr>
          <w:color w:val="auto"/>
        </w:rPr>
      </w:pPr>
      <w:r>
        <w:rPr>
          <w:color w:val="auto"/>
        </w:rPr>
        <w:t>t：降雨历时，min，取20min；</w:t>
      </w:r>
    </w:p>
    <w:p>
      <w:pPr>
        <w:pStyle w:val="130"/>
        <w:ind w:firstLine="480"/>
        <w:rPr>
          <w:color w:val="auto"/>
        </w:rPr>
      </w:pPr>
      <w:r>
        <w:rPr>
          <w:color w:val="auto"/>
        </w:rPr>
        <w:t>p：设计重现期，a，取1.5a。</w:t>
      </w:r>
    </w:p>
    <w:p>
      <w:pPr>
        <w:pStyle w:val="130"/>
        <w:ind w:firstLine="480"/>
        <w:rPr>
          <w:color w:val="auto"/>
        </w:rPr>
      </w:pPr>
      <w:r>
        <w:rPr>
          <w:color w:val="auto"/>
        </w:rPr>
        <w:t>经计算，在重现期1.5a、降雨历时20min的情况下的暴雨强度q=66.45L/（s·hm</w:t>
      </w:r>
      <w:r>
        <w:rPr>
          <w:color w:val="auto"/>
          <w:vertAlign w:val="superscript"/>
        </w:rPr>
        <w:t>2</w:t>
      </w:r>
      <w:r>
        <w:rPr>
          <w:color w:val="auto"/>
        </w:rPr>
        <w:t>）；</w:t>
      </w:r>
    </w:p>
    <w:p>
      <w:pPr>
        <w:pStyle w:val="130"/>
        <w:ind w:firstLine="480"/>
        <w:rPr>
          <w:color w:val="auto"/>
        </w:rPr>
      </w:pPr>
      <w:r>
        <w:rPr>
          <w:color w:val="auto"/>
        </w:rPr>
        <w:t>初期雨水排放量计算如下：</w:t>
      </w:r>
    </w:p>
    <w:p>
      <w:pPr>
        <w:pStyle w:val="130"/>
        <w:ind w:firstLine="480"/>
        <w:rPr>
          <w:color w:val="auto"/>
        </w:rPr>
      </w:pPr>
      <w:r>
        <w:rPr>
          <w:color w:val="auto"/>
        </w:rPr>
        <w:t>Q=qψFT=66.45L/（s·hm</w:t>
      </w:r>
      <w:r>
        <w:rPr>
          <w:color w:val="auto"/>
          <w:vertAlign w:val="superscript"/>
        </w:rPr>
        <w:t>2</w:t>
      </w:r>
      <w:r>
        <w:rPr>
          <w:color w:val="auto"/>
        </w:rPr>
        <w:t>）×0.35hm</w:t>
      </w:r>
      <w:r>
        <w:rPr>
          <w:color w:val="auto"/>
          <w:vertAlign w:val="superscript"/>
        </w:rPr>
        <w:t>2</w:t>
      </w:r>
      <w:r>
        <w:rPr>
          <w:color w:val="auto"/>
        </w:rPr>
        <w:t>×0.95×1200s≈26.51m</w:t>
      </w:r>
      <w:r>
        <w:rPr>
          <w:color w:val="auto"/>
          <w:vertAlign w:val="superscript"/>
        </w:rPr>
        <w:t>3</w:t>
      </w:r>
    </w:p>
    <w:p>
      <w:pPr>
        <w:pStyle w:val="130"/>
        <w:ind w:firstLine="480"/>
        <w:rPr>
          <w:color w:val="auto"/>
        </w:rPr>
      </w:pPr>
      <w:r>
        <w:rPr>
          <w:color w:val="auto"/>
        </w:rPr>
        <w:t>按上式估算年平均初期雨水收集量约为26.51m</w:t>
      </w:r>
      <w:r>
        <w:rPr>
          <w:color w:val="auto"/>
          <w:vertAlign w:val="superscript"/>
        </w:rPr>
        <w:t>3</w:t>
      </w:r>
      <w:r>
        <w:rPr>
          <w:color w:val="auto"/>
        </w:rPr>
        <w:t>，初期雨水通过厂区集排雨水沟渠汇流于现有容积为50m</w:t>
      </w:r>
      <w:r>
        <w:rPr>
          <w:color w:val="auto"/>
          <w:vertAlign w:val="superscript"/>
        </w:rPr>
        <w:t>3</w:t>
      </w:r>
      <w:r>
        <w:rPr>
          <w:color w:val="auto"/>
        </w:rPr>
        <w:t>初期雨水收集池沉淀后，待非雨天回用于车间、周转箱等清洗。</w:t>
      </w:r>
    </w:p>
    <w:p>
      <w:pPr>
        <w:pStyle w:val="5"/>
        <w:numPr>
          <w:ilvl w:val="2"/>
          <w:numId w:val="0"/>
        </w:numPr>
        <w:ind w:left="-720" w:leftChars="-343" w:firstLine="723" w:firstLineChars="300"/>
        <w:rPr>
          <w:color w:val="auto"/>
        </w:rPr>
      </w:pPr>
      <w:bookmarkStart w:id="255" w:name="_Toc58849443"/>
      <w:bookmarkStart w:id="256" w:name="_Toc109398616"/>
      <w:r>
        <w:rPr>
          <w:color w:val="auto"/>
        </w:rPr>
        <w:t>4.8.2废气</w:t>
      </w:r>
      <w:bookmarkEnd w:id="255"/>
      <w:bookmarkEnd w:id="256"/>
    </w:p>
    <w:p>
      <w:pPr>
        <w:pStyle w:val="6"/>
        <w:numPr>
          <w:ilvl w:val="3"/>
          <w:numId w:val="0"/>
        </w:numPr>
        <w:ind w:left="-861" w:leftChars="-410" w:firstLine="964" w:firstLineChars="400"/>
        <w:rPr>
          <w:color w:val="auto"/>
        </w:rPr>
      </w:pPr>
      <w:r>
        <w:rPr>
          <w:color w:val="auto"/>
        </w:rPr>
        <w:t>4.8.2.1有组织废气</w:t>
      </w:r>
    </w:p>
    <w:p>
      <w:pPr>
        <w:pStyle w:val="130"/>
        <w:ind w:firstLine="480"/>
        <w:rPr>
          <w:color w:val="auto"/>
        </w:rPr>
      </w:pPr>
      <w:r>
        <w:rPr>
          <w:color w:val="auto"/>
        </w:rPr>
        <w:t>（1）医疗废物贮存废气</w:t>
      </w:r>
    </w:p>
    <w:p>
      <w:pPr>
        <w:pStyle w:val="130"/>
        <w:ind w:firstLine="480"/>
        <w:rPr>
          <w:color w:val="auto"/>
        </w:rPr>
      </w:pPr>
      <w:r>
        <w:rPr>
          <w:color w:val="auto"/>
        </w:rPr>
        <w:t>收集到医疗废物不能及时处理时，需要将医疗废物送入冷库进行暂存，暂存时需保持低温密闭。贮存物为袋装密封包装物，必须装入专用密封的周转箱中，贮存过程中会有少量贮存废气产生，主要为病菌、恶臭气体和少量挥发性有机废气（以非甲烷总烃计）。由于冷库贮存温度＜5℃，正常情况下处于密闭状态，医疗废物暂存不超过72h，仅在医疗废物存取料开关门时有少量废气外溢，该部分废气产生量较小，现状以无组织形式排放。</w:t>
      </w:r>
    </w:p>
    <w:p>
      <w:pPr>
        <w:pStyle w:val="130"/>
        <w:ind w:firstLine="480"/>
        <w:rPr>
          <w:color w:val="auto"/>
        </w:rPr>
      </w:pPr>
      <w:r>
        <w:rPr>
          <w:color w:val="auto"/>
        </w:rPr>
        <w:t>根据《医疗废物处理处置污染控制标准》（GB 39707-2020）5.4.4感染性、损伤性、病理性废物贮存设施应设置微负压及通风装置、制冷系统和设备，排风口应设置废气净化装置。环评要求企业医疗废物暂存冷库设置微负压及通风装置，排风口产生的废气经换气设施收集后引至碱喷淋+等离子+活性炭进行处理，处理后通过15m高排气筒排放。结合项目具体的规模、工艺过程、设备及处理医疗废物的物化性质，通过类比法核算本项目源强，类比《贵州环创固体废弃物处置有限公司医疗废物集中处置项目竣工环境保护验收监测报告》（http://www.eiafans.com/thread-1078375-1-1.html?_dsign =8456befd），该项目于2017年开始建设，2018年4月验收，项目日处理医疗废物5t，采用工艺与设备与本项目一致，处理医疗废物种类（感染性和损伤性）与本项目一致，类比可行。</w:t>
      </w:r>
    </w:p>
    <w:p>
      <w:pPr>
        <w:pStyle w:val="114"/>
        <w:spacing w:before="0" w:beforeLines="0"/>
        <w:rPr>
          <w:color w:val="auto"/>
        </w:rPr>
      </w:pPr>
      <w:r>
        <w:rPr>
          <w:color w:val="auto"/>
        </w:rPr>
        <w:t>表4.8-4</w:t>
      </w:r>
      <w:r>
        <w:rPr>
          <w:color w:val="auto"/>
        </w:rPr>
        <w:tab/>
      </w:r>
      <w:r>
        <w:rPr>
          <w:color w:val="auto"/>
        </w:rPr>
        <w:t xml:space="preserve">  本项目高温蒸汽处理工艺与类比项目可类比性分析表</w:t>
      </w:r>
    </w:p>
    <w:tbl>
      <w:tblPr>
        <w:tblStyle w:val="74"/>
        <w:tblW w:w="8653"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890"/>
        <w:gridCol w:w="2594"/>
        <w:gridCol w:w="2286"/>
        <w:gridCol w:w="188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62" w:hRule="atLeast"/>
        </w:trPr>
        <w:tc>
          <w:tcPr>
            <w:tcW w:w="1890" w:type="dxa"/>
            <w:shd w:val="clear" w:color="auto" w:fill="auto"/>
            <w:vAlign w:val="center"/>
          </w:tcPr>
          <w:p>
            <w:pPr>
              <w:autoSpaceDE w:val="0"/>
              <w:autoSpaceDN w:val="0"/>
              <w:jc w:val="center"/>
              <w:rPr>
                <w:b/>
                <w:color w:val="auto"/>
                <w:kern w:val="0"/>
                <w:szCs w:val="21"/>
              </w:rPr>
            </w:pPr>
            <w:r>
              <w:rPr>
                <w:b/>
                <w:color w:val="auto"/>
                <w:kern w:val="0"/>
                <w:szCs w:val="21"/>
              </w:rPr>
              <w:t>项目</w:t>
            </w:r>
          </w:p>
        </w:tc>
        <w:tc>
          <w:tcPr>
            <w:tcW w:w="2594" w:type="dxa"/>
            <w:shd w:val="clear" w:color="auto" w:fill="auto"/>
            <w:vAlign w:val="center"/>
          </w:tcPr>
          <w:p>
            <w:pPr>
              <w:autoSpaceDE w:val="0"/>
              <w:autoSpaceDN w:val="0"/>
              <w:jc w:val="center"/>
              <w:rPr>
                <w:b/>
                <w:color w:val="auto"/>
                <w:kern w:val="0"/>
                <w:szCs w:val="21"/>
              </w:rPr>
            </w:pPr>
            <w:r>
              <w:rPr>
                <w:b/>
                <w:color w:val="auto"/>
                <w:spacing w:val="-4"/>
                <w:kern w:val="0"/>
                <w:szCs w:val="21"/>
              </w:rPr>
              <w:t>贵州环创固体废弃物</w:t>
            </w:r>
            <w:r>
              <w:rPr>
                <w:b/>
                <w:color w:val="auto"/>
                <w:spacing w:val="-1"/>
                <w:kern w:val="0"/>
                <w:szCs w:val="21"/>
              </w:rPr>
              <w:t>处置有限公司</w:t>
            </w:r>
          </w:p>
        </w:tc>
        <w:tc>
          <w:tcPr>
            <w:tcW w:w="2286" w:type="dxa"/>
            <w:shd w:val="clear" w:color="auto" w:fill="auto"/>
            <w:vAlign w:val="center"/>
          </w:tcPr>
          <w:p>
            <w:pPr>
              <w:autoSpaceDE w:val="0"/>
              <w:autoSpaceDN w:val="0"/>
              <w:jc w:val="center"/>
              <w:rPr>
                <w:b/>
                <w:color w:val="auto"/>
                <w:kern w:val="0"/>
                <w:szCs w:val="21"/>
              </w:rPr>
            </w:pPr>
            <w:r>
              <w:rPr>
                <w:b/>
                <w:color w:val="auto"/>
                <w:kern w:val="0"/>
                <w:szCs w:val="21"/>
              </w:rPr>
              <w:t>本项目</w:t>
            </w:r>
          </w:p>
        </w:tc>
        <w:tc>
          <w:tcPr>
            <w:tcW w:w="1883" w:type="dxa"/>
            <w:shd w:val="clear" w:color="auto" w:fill="auto"/>
            <w:vAlign w:val="center"/>
          </w:tcPr>
          <w:p>
            <w:pPr>
              <w:autoSpaceDE w:val="0"/>
              <w:autoSpaceDN w:val="0"/>
              <w:jc w:val="center"/>
              <w:rPr>
                <w:b/>
                <w:color w:val="auto"/>
                <w:kern w:val="0"/>
                <w:szCs w:val="21"/>
              </w:rPr>
            </w:pPr>
            <w:r>
              <w:rPr>
                <w:b/>
                <w:color w:val="auto"/>
                <w:kern w:val="0"/>
                <w:szCs w:val="21"/>
              </w:rPr>
              <w:t>可类比性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669" w:hRule="atLeast"/>
        </w:trPr>
        <w:tc>
          <w:tcPr>
            <w:tcW w:w="1890" w:type="dxa"/>
            <w:shd w:val="clear" w:color="auto" w:fill="auto"/>
            <w:vAlign w:val="center"/>
          </w:tcPr>
          <w:p>
            <w:pPr>
              <w:autoSpaceDE w:val="0"/>
              <w:autoSpaceDN w:val="0"/>
              <w:jc w:val="center"/>
              <w:rPr>
                <w:color w:val="auto"/>
                <w:kern w:val="0"/>
                <w:szCs w:val="21"/>
              </w:rPr>
            </w:pPr>
            <w:r>
              <w:rPr>
                <w:color w:val="auto"/>
                <w:kern w:val="0"/>
                <w:szCs w:val="21"/>
              </w:rPr>
              <w:t>医疗废物来源</w:t>
            </w:r>
          </w:p>
        </w:tc>
        <w:tc>
          <w:tcPr>
            <w:tcW w:w="2594" w:type="dxa"/>
            <w:shd w:val="clear" w:color="auto" w:fill="auto"/>
            <w:vAlign w:val="center"/>
          </w:tcPr>
          <w:p>
            <w:pPr>
              <w:autoSpaceDE w:val="0"/>
              <w:autoSpaceDN w:val="0"/>
              <w:jc w:val="center"/>
              <w:rPr>
                <w:color w:val="auto"/>
                <w:kern w:val="0"/>
                <w:szCs w:val="21"/>
              </w:rPr>
            </w:pPr>
            <w:r>
              <w:rPr>
                <w:color w:val="auto"/>
                <w:spacing w:val="-6"/>
                <w:kern w:val="0"/>
                <w:szCs w:val="21"/>
              </w:rPr>
              <w:t>遵义市及周边医疗卫</w:t>
            </w:r>
            <w:r>
              <w:rPr>
                <w:color w:val="auto"/>
                <w:spacing w:val="-3"/>
                <w:kern w:val="0"/>
                <w:szCs w:val="21"/>
              </w:rPr>
              <w:t>生机构医疗废物</w:t>
            </w:r>
          </w:p>
        </w:tc>
        <w:tc>
          <w:tcPr>
            <w:tcW w:w="2286" w:type="dxa"/>
            <w:shd w:val="clear" w:color="auto" w:fill="auto"/>
            <w:vAlign w:val="center"/>
          </w:tcPr>
          <w:p>
            <w:pPr>
              <w:autoSpaceDE w:val="0"/>
              <w:autoSpaceDN w:val="0"/>
              <w:jc w:val="center"/>
              <w:rPr>
                <w:color w:val="auto"/>
                <w:kern w:val="0"/>
                <w:szCs w:val="21"/>
              </w:rPr>
            </w:pPr>
            <w:r>
              <w:rPr>
                <w:color w:val="auto"/>
                <w:spacing w:val="-4"/>
                <w:kern w:val="0"/>
                <w:szCs w:val="21"/>
              </w:rPr>
              <w:t>中卫市辖区范围内各区县医疗卫生机构医疗废物</w:t>
            </w:r>
          </w:p>
        </w:tc>
        <w:tc>
          <w:tcPr>
            <w:tcW w:w="1883" w:type="dxa"/>
            <w:shd w:val="clear" w:color="auto" w:fill="auto"/>
            <w:vAlign w:val="center"/>
          </w:tcPr>
          <w:p>
            <w:pPr>
              <w:autoSpaceDE w:val="0"/>
              <w:autoSpaceDN w:val="0"/>
              <w:jc w:val="center"/>
              <w:rPr>
                <w:color w:val="auto"/>
                <w:kern w:val="0"/>
                <w:szCs w:val="21"/>
              </w:rPr>
            </w:pPr>
            <w:r>
              <w:rPr>
                <w:color w:val="auto"/>
                <w:kern w:val="0"/>
                <w:szCs w:val="21"/>
              </w:rPr>
              <w:t>同为医疗废物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725" w:hRule="atLeast"/>
        </w:trPr>
        <w:tc>
          <w:tcPr>
            <w:tcW w:w="1890" w:type="dxa"/>
            <w:shd w:val="clear" w:color="auto" w:fill="auto"/>
            <w:vAlign w:val="center"/>
          </w:tcPr>
          <w:p>
            <w:pPr>
              <w:autoSpaceDE w:val="0"/>
              <w:autoSpaceDN w:val="0"/>
              <w:jc w:val="center"/>
              <w:rPr>
                <w:color w:val="auto"/>
                <w:kern w:val="0"/>
                <w:szCs w:val="21"/>
              </w:rPr>
            </w:pPr>
            <w:r>
              <w:rPr>
                <w:color w:val="auto"/>
                <w:kern w:val="0"/>
                <w:szCs w:val="21"/>
              </w:rPr>
              <w:t>医疗废物处理类别</w:t>
            </w:r>
          </w:p>
        </w:tc>
        <w:tc>
          <w:tcPr>
            <w:tcW w:w="2594" w:type="dxa"/>
            <w:shd w:val="clear" w:color="auto" w:fill="auto"/>
            <w:vAlign w:val="center"/>
          </w:tcPr>
          <w:p>
            <w:pPr>
              <w:autoSpaceDE w:val="0"/>
              <w:autoSpaceDN w:val="0"/>
              <w:jc w:val="center"/>
              <w:rPr>
                <w:color w:val="auto"/>
                <w:kern w:val="0"/>
                <w:szCs w:val="21"/>
              </w:rPr>
            </w:pPr>
            <w:r>
              <w:rPr>
                <w:color w:val="auto"/>
                <w:spacing w:val="-6"/>
                <w:kern w:val="0"/>
                <w:szCs w:val="21"/>
              </w:rPr>
              <w:t>收集、处理感染性医疗废物和损伤性医疗</w:t>
            </w:r>
            <w:r>
              <w:rPr>
                <w:color w:val="auto"/>
                <w:kern w:val="0"/>
                <w:szCs w:val="21"/>
              </w:rPr>
              <w:t>废物</w:t>
            </w:r>
          </w:p>
        </w:tc>
        <w:tc>
          <w:tcPr>
            <w:tcW w:w="2286" w:type="dxa"/>
            <w:shd w:val="clear" w:color="auto" w:fill="auto"/>
            <w:vAlign w:val="center"/>
          </w:tcPr>
          <w:p>
            <w:pPr>
              <w:autoSpaceDE w:val="0"/>
              <w:autoSpaceDN w:val="0"/>
              <w:jc w:val="center"/>
              <w:rPr>
                <w:color w:val="auto"/>
                <w:kern w:val="0"/>
                <w:szCs w:val="21"/>
              </w:rPr>
            </w:pPr>
            <w:r>
              <w:rPr>
                <w:color w:val="auto"/>
                <w:spacing w:val="-4"/>
                <w:kern w:val="0"/>
                <w:szCs w:val="21"/>
              </w:rPr>
              <w:t>收集、处理感染性医疗废物和损伤性医疗废物</w:t>
            </w:r>
          </w:p>
        </w:tc>
        <w:tc>
          <w:tcPr>
            <w:tcW w:w="1883" w:type="dxa"/>
            <w:shd w:val="clear" w:color="auto" w:fill="auto"/>
            <w:vAlign w:val="center"/>
          </w:tcPr>
          <w:p>
            <w:pPr>
              <w:autoSpaceDE w:val="0"/>
              <w:autoSpaceDN w:val="0"/>
              <w:jc w:val="center"/>
              <w:rPr>
                <w:color w:val="auto"/>
                <w:kern w:val="0"/>
                <w:szCs w:val="21"/>
              </w:rPr>
            </w:pPr>
            <w:r>
              <w:rPr>
                <w:color w:val="auto"/>
                <w:kern w:val="0"/>
                <w:szCs w:val="21"/>
              </w:rPr>
              <w:t>相同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62" w:hRule="atLeast"/>
        </w:trPr>
        <w:tc>
          <w:tcPr>
            <w:tcW w:w="1890" w:type="dxa"/>
            <w:shd w:val="clear" w:color="auto" w:fill="auto"/>
            <w:vAlign w:val="center"/>
          </w:tcPr>
          <w:p>
            <w:pPr>
              <w:autoSpaceDE w:val="0"/>
              <w:autoSpaceDN w:val="0"/>
              <w:jc w:val="center"/>
              <w:rPr>
                <w:color w:val="auto"/>
                <w:kern w:val="0"/>
                <w:szCs w:val="21"/>
              </w:rPr>
            </w:pPr>
            <w:r>
              <w:rPr>
                <w:color w:val="auto"/>
                <w:kern w:val="0"/>
                <w:szCs w:val="21"/>
              </w:rPr>
              <w:t>处理工艺</w:t>
            </w:r>
          </w:p>
        </w:tc>
        <w:tc>
          <w:tcPr>
            <w:tcW w:w="2594" w:type="dxa"/>
            <w:shd w:val="clear" w:color="auto" w:fill="auto"/>
            <w:vAlign w:val="center"/>
          </w:tcPr>
          <w:p>
            <w:pPr>
              <w:autoSpaceDE w:val="0"/>
              <w:autoSpaceDN w:val="0"/>
              <w:jc w:val="center"/>
              <w:rPr>
                <w:color w:val="auto"/>
                <w:kern w:val="0"/>
                <w:szCs w:val="21"/>
              </w:rPr>
            </w:pPr>
            <w:r>
              <w:rPr>
                <w:color w:val="auto"/>
                <w:kern w:val="0"/>
                <w:szCs w:val="21"/>
              </w:rPr>
              <w:t>高温蒸汽灭菌+破碎处理装置</w:t>
            </w:r>
          </w:p>
        </w:tc>
        <w:tc>
          <w:tcPr>
            <w:tcW w:w="2286" w:type="dxa"/>
            <w:shd w:val="clear" w:color="auto" w:fill="auto"/>
            <w:vAlign w:val="center"/>
          </w:tcPr>
          <w:p>
            <w:pPr>
              <w:autoSpaceDE w:val="0"/>
              <w:autoSpaceDN w:val="0"/>
              <w:jc w:val="center"/>
              <w:rPr>
                <w:color w:val="auto"/>
                <w:kern w:val="0"/>
                <w:szCs w:val="21"/>
              </w:rPr>
            </w:pPr>
            <w:r>
              <w:rPr>
                <w:color w:val="auto"/>
                <w:kern w:val="0"/>
                <w:szCs w:val="21"/>
              </w:rPr>
              <w:t>高温蒸汽灭菌+破碎处理装置</w:t>
            </w:r>
          </w:p>
        </w:tc>
        <w:tc>
          <w:tcPr>
            <w:tcW w:w="1883" w:type="dxa"/>
            <w:shd w:val="clear" w:color="auto" w:fill="auto"/>
            <w:vAlign w:val="center"/>
          </w:tcPr>
          <w:p>
            <w:pPr>
              <w:autoSpaceDE w:val="0"/>
              <w:autoSpaceDN w:val="0"/>
              <w:jc w:val="center"/>
              <w:rPr>
                <w:color w:val="auto"/>
                <w:kern w:val="0"/>
                <w:szCs w:val="21"/>
              </w:rPr>
            </w:pPr>
            <w:r>
              <w:rPr>
                <w:color w:val="auto"/>
                <w:kern w:val="0"/>
                <w:szCs w:val="21"/>
              </w:rPr>
              <w:t>相同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71" w:hRule="atLeast"/>
        </w:trPr>
        <w:tc>
          <w:tcPr>
            <w:tcW w:w="1890" w:type="dxa"/>
            <w:shd w:val="clear" w:color="auto" w:fill="auto"/>
            <w:vAlign w:val="center"/>
          </w:tcPr>
          <w:p>
            <w:pPr>
              <w:autoSpaceDE w:val="0"/>
              <w:autoSpaceDN w:val="0"/>
              <w:jc w:val="center"/>
              <w:rPr>
                <w:color w:val="auto"/>
                <w:kern w:val="0"/>
                <w:szCs w:val="21"/>
              </w:rPr>
            </w:pPr>
            <w:r>
              <w:rPr>
                <w:color w:val="auto"/>
                <w:kern w:val="0"/>
                <w:szCs w:val="21"/>
              </w:rPr>
              <w:t>处理规模</w:t>
            </w:r>
          </w:p>
        </w:tc>
        <w:tc>
          <w:tcPr>
            <w:tcW w:w="2594" w:type="dxa"/>
            <w:shd w:val="clear" w:color="auto" w:fill="auto"/>
            <w:vAlign w:val="center"/>
          </w:tcPr>
          <w:p>
            <w:pPr>
              <w:autoSpaceDE w:val="0"/>
              <w:autoSpaceDN w:val="0"/>
              <w:jc w:val="center"/>
              <w:rPr>
                <w:color w:val="auto"/>
                <w:kern w:val="0"/>
                <w:szCs w:val="21"/>
              </w:rPr>
            </w:pPr>
            <w:r>
              <w:rPr>
                <w:color w:val="auto"/>
                <w:kern w:val="0"/>
                <w:szCs w:val="21"/>
              </w:rPr>
              <w:t>5t/d</w:t>
            </w:r>
          </w:p>
        </w:tc>
        <w:tc>
          <w:tcPr>
            <w:tcW w:w="2286" w:type="dxa"/>
            <w:shd w:val="clear" w:color="auto" w:fill="auto"/>
            <w:vAlign w:val="center"/>
          </w:tcPr>
          <w:p>
            <w:pPr>
              <w:autoSpaceDE w:val="0"/>
              <w:autoSpaceDN w:val="0"/>
              <w:jc w:val="center"/>
              <w:rPr>
                <w:color w:val="auto"/>
                <w:kern w:val="0"/>
                <w:szCs w:val="21"/>
              </w:rPr>
            </w:pPr>
            <w:r>
              <w:rPr>
                <w:color w:val="auto"/>
                <w:kern w:val="0"/>
                <w:szCs w:val="21"/>
              </w:rPr>
              <w:t>5t/d</w:t>
            </w:r>
          </w:p>
        </w:tc>
        <w:tc>
          <w:tcPr>
            <w:tcW w:w="1883" w:type="dxa"/>
            <w:shd w:val="clear" w:color="auto" w:fill="auto"/>
            <w:vAlign w:val="center"/>
          </w:tcPr>
          <w:p>
            <w:pPr>
              <w:autoSpaceDE w:val="0"/>
              <w:autoSpaceDN w:val="0"/>
              <w:jc w:val="center"/>
              <w:rPr>
                <w:color w:val="auto"/>
                <w:kern w:val="0"/>
                <w:szCs w:val="21"/>
              </w:rPr>
            </w:pPr>
            <w:r>
              <w:rPr>
                <w:color w:val="auto"/>
                <w:kern w:val="0"/>
                <w:szCs w:val="21"/>
              </w:rPr>
              <w:t>相同</w:t>
            </w:r>
          </w:p>
        </w:tc>
      </w:tr>
    </w:tbl>
    <w:p>
      <w:pPr>
        <w:pStyle w:val="417"/>
        <w:spacing w:before="120" w:beforeLines="50"/>
        <w:ind w:firstLine="468"/>
        <w:rPr>
          <w:rFonts w:cs="Times New Roman"/>
          <w:color w:val="auto"/>
          <w:spacing w:val="3"/>
        </w:rPr>
      </w:pPr>
      <w:r>
        <w:rPr>
          <w:rFonts w:cs="Times New Roman"/>
          <w:color w:val="auto"/>
          <w:spacing w:val="-3"/>
        </w:rPr>
        <w:t>本项目暂</w:t>
      </w:r>
      <w:r>
        <w:rPr>
          <w:rFonts w:cs="Times New Roman"/>
          <w:color w:val="auto"/>
          <w:spacing w:val="-6"/>
        </w:rPr>
        <w:t>存库设计换风量约为</w:t>
      </w:r>
      <w:r>
        <w:rPr>
          <w:rFonts w:cs="Times New Roman"/>
          <w:color w:val="auto"/>
        </w:rPr>
        <w:t>100m</w:t>
      </w:r>
      <w:r>
        <w:rPr>
          <w:rFonts w:cs="Times New Roman"/>
          <w:color w:val="auto"/>
          <w:vertAlign w:val="superscript"/>
        </w:rPr>
        <w:t>3</w:t>
      </w:r>
      <w:r>
        <w:rPr>
          <w:rFonts w:cs="Times New Roman"/>
          <w:color w:val="auto"/>
        </w:rPr>
        <w:t>/h，</w:t>
      </w:r>
      <w:r>
        <w:rPr>
          <w:rFonts w:cs="Times New Roman"/>
          <w:color w:val="auto"/>
          <w:spacing w:val="-2"/>
        </w:rPr>
        <w:t>排风口废气经风管收集后进入碱喷淋</w:t>
      </w:r>
      <w:r>
        <w:rPr>
          <w:rFonts w:cs="Times New Roman"/>
          <w:color w:val="auto"/>
        </w:rPr>
        <w:t>+等离子+</w:t>
      </w:r>
      <w:r>
        <w:rPr>
          <w:rFonts w:cs="Times New Roman"/>
          <w:color w:val="auto"/>
          <w:spacing w:val="-3"/>
        </w:rPr>
        <w:t>活性炭处理</w:t>
      </w:r>
      <w:r>
        <w:rPr>
          <w:rFonts w:cs="Times New Roman"/>
          <w:color w:val="auto"/>
          <w:spacing w:val="-10"/>
        </w:rPr>
        <w:t>，处理后由</w:t>
      </w:r>
      <w:r>
        <w:rPr>
          <w:rFonts w:cs="Times New Roman"/>
          <w:color w:val="auto"/>
        </w:rPr>
        <w:t>15m高排气筒排放。类比《贵州环创固体废弃物处置有限公司医疗废物集中处置项目竣工环境保护验收监测报告》冷</w:t>
      </w:r>
      <w:r>
        <w:rPr>
          <w:rFonts w:cs="Times New Roman"/>
          <w:color w:val="auto"/>
          <w:spacing w:val="3"/>
        </w:rPr>
        <w:t>库废气检测结果，</w:t>
      </w:r>
      <w:r>
        <w:rPr>
          <w:rFonts w:cs="Times New Roman"/>
          <w:color w:val="auto"/>
        </w:rPr>
        <w:t>同时根据本项目现状污染源监测碱喷淋+等离子+活性炭对各个污染因子的处理效率，确定本项目</w:t>
      </w:r>
      <w:r>
        <w:rPr>
          <w:rFonts w:cs="Times New Roman"/>
          <w:color w:val="auto"/>
          <w:spacing w:val="-4"/>
        </w:rPr>
        <w:t>医疗废物贮存废气污染物产排情况见表</w:t>
      </w:r>
      <w:r>
        <w:rPr>
          <w:rFonts w:cs="Times New Roman"/>
          <w:color w:val="auto"/>
        </w:rPr>
        <w:t>4.8-5。</w:t>
      </w:r>
    </w:p>
    <w:p>
      <w:pPr>
        <w:pStyle w:val="114"/>
        <w:spacing w:before="0" w:beforeLines="0"/>
        <w:rPr>
          <w:color w:val="auto"/>
        </w:rPr>
      </w:pPr>
      <w:r>
        <w:rPr>
          <w:color w:val="auto"/>
        </w:rPr>
        <w:t>表4.8-5</w:t>
      </w:r>
      <w:r>
        <w:rPr>
          <w:color w:val="auto"/>
        </w:rPr>
        <w:tab/>
      </w:r>
      <w:r>
        <w:rPr>
          <w:color w:val="auto"/>
        </w:rPr>
        <w:t xml:space="preserve">  本项目医疗废物贮存废气污染物产排情况一览表</w:t>
      </w:r>
    </w:p>
    <w:tbl>
      <w:tblPr>
        <w:tblStyle w:val="74"/>
        <w:tblW w:w="911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64"/>
        <w:gridCol w:w="671"/>
        <w:gridCol w:w="918"/>
        <w:gridCol w:w="983"/>
        <w:gridCol w:w="1036"/>
        <w:gridCol w:w="833"/>
        <w:gridCol w:w="824"/>
        <w:gridCol w:w="996"/>
        <w:gridCol w:w="1145"/>
        <w:gridCol w:w="104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15" w:hRule="atLeast"/>
          <w:jc w:val="center"/>
        </w:trPr>
        <w:tc>
          <w:tcPr>
            <w:tcW w:w="664" w:type="dxa"/>
            <w:vMerge w:val="restart"/>
            <w:shd w:val="clear" w:color="auto" w:fill="auto"/>
            <w:vAlign w:val="center"/>
          </w:tcPr>
          <w:p>
            <w:pPr>
              <w:widowControl/>
              <w:jc w:val="center"/>
              <w:rPr>
                <w:color w:val="auto"/>
                <w:kern w:val="0"/>
                <w:szCs w:val="21"/>
              </w:rPr>
            </w:pPr>
            <w:r>
              <w:rPr>
                <w:color w:val="auto"/>
                <w:kern w:val="0"/>
                <w:szCs w:val="21"/>
              </w:rPr>
              <w:t>污染物</w:t>
            </w:r>
          </w:p>
        </w:tc>
        <w:tc>
          <w:tcPr>
            <w:tcW w:w="671" w:type="dxa"/>
            <w:shd w:val="clear" w:color="auto" w:fill="auto"/>
            <w:vAlign w:val="center"/>
          </w:tcPr>
          <w:p>
            <w:pPr>
              <w:widowControl/>
              <w:jc w:val="center"/>
              <w:rPr>
                <w:color w:val="auto"/>
                <w:kern w:val="0"/>
                <w:szCs w:val="21"/>
              </w:rPr>
            </w:pPr>
            <w:r>
              <w:rPr>
                <w:color w:val="auto"/>
                <w:kern w:val="0"/>
                <w:szCs w:val="21"/>
              </w:rPr>
              <w:t>风量</w:t>
            </w:r>
          </w:p>
        </w:tc>
        <w:tc>
          <w:tcPr>
            <w:tcW w:w="918" w:type="dxa"/>
            <w:shd w:val="clear" w:color="auto" w:fill="auto"/>
            <w:vAlign w:val="center"/>
          </w:tcPr>
          <w:p>
            <w:pPr>
              <w:widowControl/>
              <w:jc w:val="center"/>
              <w:rPr>
                <w:color w:val="auto"/>
                <w:kern w:val="0"/>
                <w:szCs w:val="21"/>
              </w:rPr>
            </w:pPr>
            <w:r>
              <w:rPr>
                <w:color w:val="auto"/>
                <w:kern w:val="0"/>
                <w:szCs w:val="21"/>
              </w:rPr>
              <w:t>产生浓度</w:t>
            </w:r>
          </w:p>
        </w:tc>
        <w:tc>
          <w:tcPr>
            <w:tcW w:w="983" w:type="dxa"/>
            <w:shd w:val="clear" w:color="auto" w:fill="auto"/>
            <w:vAlign w:val="center"/>
          </w:tcPr>
          <w:p>
            <w:pPr>
              <w:widowControl/>
              <w:jc w:val="center"/>
              <w:rPr>
                <w:color w:val="auto"/>
                <w:kern w:val="0"/>
                <w:szCs w:val="21"/>
              </w:rPr>
            </w:pPr>
            <w:r>
              <w:rPr>
                <w:color w:val="auto"/>
                <w:kern w:val="0"/>
                <w:szCs w:val="21"/>
              </w:rPr>
              <w:t>产生速率</w:t>
            </w:r>
          </w:p>
        </w:tc>
        <w:tc>
          <w:tcPr>
            <w:tcW w:w="1036" w:type="dxa"/>
            <w:shd w:val="clear" w:color="auto" w:fill="auto"/>
            <w:vAlign w:val="center"/>
          </w:tcPr>
          <w:p>
            <w:pPr>
              <w:widowControl/>
              <w:jc w:val="center"/>
              <w:rPr>
                <w:color w:val="auto"/>
                <w:kern w:val="0"/>
                <w:szCs w:val="21"/>
              </w:rPr>
            </w:pPr>
            <w:r>
              <w:rPr>
                <w:color w:val="auto"/>
                <w:kern w:val="0"/>
                <w:szCs w:val="21"/>
              </w:rPr>
              <w:t>产生量</w:t>
            </w:r>
          </w:p>
        </w:tc>
        <w:tc>
          <w:tcPr>
            <w:tcW w:w="833" w:type="dxa"/>
            <w:vMerge w:val="restart"/>
            <w:shd w:val="clear" w:color="auto" w:fill="auto"/>
            <w:vAlign w:val="center"/>
          </w:tcPr>
          <w:p>
            <w:pPr>
              <w:widowControl/>
              <w:jc w:val="center"/>
              <w:rPr>
                <w:color w:val="auto"/>
                <w:kern w:val="0"/>
                <w:szCs w:val="21"/>
              </w:rPr>
            </w:pPr>
            <w:r>
              <w:rPr>
                <w:color w:val="auto"/>
                <w:kern w:val="0"/>
                <w:szCs w:val="21"/>
              </w:rPr>
              <w:t>处理设施</w:t>
            </w:r>
          </w:p>
        </w:tc>
        <w:tc>
          <w:tcPr>
            <w:tcW w:w="824" w:type="dxa"/>
            <w:vMerge w:val="restart"/>
            <w:shd w:val="clear" w:color="auto" w:fill="auto"/>
            <w:vAlign w:val="center"/>
          </w:tcPr>
          <w:p>
            <w:pPr>
              <w:widowControl/>
              <w:jc w:val="center"/>
              <w:rPr>
                <w:color w:val="auto"/>
                <w:kern w:val="0"/>
                <w:szCs w:val="21"/>
              </w:rPr>
            </w:pPr>
            <w:r>
              <w:rPr>
                <w:color w:val="auto"/>
                <w:kern w:val="0"/>
                <w:szCs w:val="21"/>
              </w:rPr>
              <w:t>处理效率%</w:t>
            </w:r>
          </w:p>
        </w:tc>
        <w:tc>
          <w:tcPr>
            <w:tcW w:w="996" w:type="dxa"/>
            <w:shd w:val="clear" w:color="auto" w:fill="auto"/>
            <w:vAlign w:val="center"/>
          </w:tcPr>
          <w:p>
            <w:pPr>
              <w:widowControl/>
              <w:jc w:val="center"/>
              <w:rPr>
                <w:color w:val="auto"/>
                <w:kern w:val="0"/>
                <w:szCs w:val="21"/>
              </w:rPr>
            </w:pPr>
            <w:r>
              <w:rPr>
                <w:color w:val="auto"/>
                <w:kern w:val="0"/>
                <w:szCs w:val="21"/>
              </w:rPr>
              <w:t>排放浓度</w:t>
            </w:r>
          </w:p>
        </w:tc>
        <w:tc>
          <w:tcPr>
            <w:tcW w:w="1145" w:type="dxa"/>
            <w:shd w:val="clear" w:color="auto" w:fill="auto"/>
            <w:vAlign w:val="center"/>
          </w:tcPr>
          <w:p>
            <w:pPr>
              <w:widowControl/>
              <w:jc w:val="center"/>
              <w:rPr>
                <w:color w:val="auto"/>
                <w:kern w:val="0"/>
                <w:szCs w:val="21"/>
              </w:rPr>
            </w:pPr>
            <w:r>
              <w:rPr>
                <w:color w:val="auto"/>
                <w:kern w:val="0"/>
                <w:szCs w:val="21"/>
              </w:rPr>
              <w:t>排放速率</w:t>
            </w:r>
          </w:p>
        </w:tc>
        <w:tc>
          <w:tcPr>
            <w:tcW w:w="1049" w:type="dxa"/>
            <w:shd w:val="clear" w:color="auto" w:fill="auto"/>
            <w:vAlign w:val="center"/>
          </w:tcPr>
          <w:p>
            <w:pPr>
              <w:widowControl/>
              <w:jc w:val="center"/>
              <w:rPr>
                <w:color w:val="auto"/>
                <w:kern w:val="0"/>
                <w:szCs w:val="21"/>
              </w:rPr>
            </w:pPr>
            <w:r>
              <w:rPr>
                <w:color w:val="auto"/>
                <w:kern w:val="0"/>
                <w:szCs w:val="21"/>
              </w:rPr>
              <w:t>排放量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86" w:hRule="atLeast"/>
          <w:jc w:val="center"/>
        </w:trPr>
        <w:tc>
          <w:tcPr>
            <w:tcW w:w="664" w:type="dxa"/>
            <w:vMerge w:val="continue"/>
            <w:shd w:val="clear" w:color="auto" w:fill="auto"/>
            <w:vAlign w:val="center"/>
          </w:tcPr>
          <w:p>
            <w:pPr>
              <w:widowControl/>
              <w:jc w:val="center"/>
              <w:rPr>
                <w:color w:val="auto"/>
                <w:kern w:val="0"/>
                <w:szCs w:val="21"/>
              </w:rPr>
            </w:pPr>
          </w:p>
        </w:tc>
        <w:tc>
          <w:tcPr>
            <w:tcW w:w="671" w:type="dxa"/>
            <w:shd w:val="clear" w:color="auto" w:fill="auto"/>
            <w:vAlign w:val="center"/>
          </w:tcPr>
          <w:p>
            <w:pPr>
              <w:widowControl/>
              <w:jc w:val="center"/>
              <w:rPr>
                <w:color w:val="auto"/>
                <w:kern w:val="0"/>
                <w:szCs w:val="21"/>
              </w:rPr>
            </w:pPr>
            <w:r>
              <w:rPr>
                <w:color w:val="auto"/>
                <w:kern w:val="0"/>
                <w:szCs w:val="21"/>
              </w:rPr>
              <w:t>m³/h</w:t>
            </w:r>
          </w:p>
        </w:tc>
        <w:tc>
          <w:tcPr>
            <w:tcW w:w="918" w:type="dxa"/>
            <w:shd w:val="clear" w:color="auto" w:fill="auto"/>
            <w:vAlign w:val="center"/>
          </w:tcPr>
          <w:p>
            <w:pPr>
              <w:widowControl/>
              <w:jc w:val="center"/>
              <w:rPr>
                <w:color w:val="auto"/>
                <w:kern w:val="0"/>
                <w:szCs w:val="21"/>
              </w:rPr>
            </w:pPr>
            <w:r>
              <w:rPr>
                <w:color w:val="auto"/>
                <w:kern w:val="0"/>
                <w:szCs w:val="21"/>
              </w:rPr>
              <w:t>mg/m</w:t>
            </w:r>
            <w:r>
              <w:rPr>
                <w:color w:val="auto"/>
                <w:kern w:val="0"/>
                <w:szCs w:val="21"/>
                <w:vertAlign w:val="superscript"/>
              </w:rPr>
              <w:t>3</w:t>
            </w:r>
          </w:p>
        </w:tc>
        <w:tc>
          <w:tcPr>
            <w:tcW w:w="983" w:type="dxa"/>
            <w:shd w:val="clear" w:color="auto" w:fill="auto"/>
            <w:vAlign w:val="center"/>
          </w:tcPr>
          <w:p>
            <w:pPr>
              <w:widowControl/>
              <w:jc w:val="center"/>
              <w:rPr>
                <w:color w:val="auto"/>
                <w:kern w:val="0"/>
                <w:szCs w:val="21"/>
              </w:rPr>
            </w:pPr>
            <w:r>
              <w:rPr>
                <w:color w:val="auto"/>
                <w:kern w:val="0"/>
                <w:szCs w:val="21"/>
              </w:rPr>
              <w:t>kg/h</w:t>
            </w:r>
          </w:p>
        </w:tc>
        <w:tc>
          <w:tcPr>
            <w:tcW w:w="1036" w:type="dxa"/>
            <w:shd w:val="clear" w:color="auto" w:fill="auto"/>
            <w:vAlign w:val="center"/>
          </w:tcPr>
          <w:p>
            <w:pPr>
              <w:widowControl/>
              <w:jc w:val="center"/>
              <w:rPr>
                <w:color w:val="auto"/>
                <w:kern w:val="0"/>
                <w:szCs w:val="21"/>
              </w:rPr>
            </w:pPr>
            <w:r>
              <w:rPr>
                <w:color w:val="auto"/>
                <w:kern w:val="0"/>
                <w:szCs w:val="21"/>
              </w:rPr>
              <w:t>t/a</w:t>
            </w:r>
          </w:p>
        </w:tc>
        <w:tc>
          <w:tcPr>
            <w:tcW w:w="833" w:type="dxa"/>
            <w:vMerge w:val="continue"/>
            <w:shd w:val="clear" w:color="auto" w:fill="auto"/>
            <w:vAlign w:val="center"/>
          </w:tcPr>
          <w:p>
            <w:pPr>
              <w:widowControl/>
              <w:jc w:val="center"/>
              <w:rPr>
                <w:color w:val="auto"/>
                <w:kern w:val="0"/>
                <w:szCs w:val="21"/>
              </w:rPr>
            </w:pPr>
          </w:p>
        </w:tc>
        <w:tc>
          <w:tcPr>
            <w:tcW w:w="824" w:type="dxa"/>
            <w:vMerge w:val="continue"/>
            <w:shd w:val="clear" w:color="auto" w:fill="auto"/>
            <w:vAlign w:val="center"/>
          </w:tcPr>
          <w:p>
            <w:pPr>
              <w:widowControl/>
              <w:jc w:val="center"/>
              <w:rPr>
                <w:color w:val="auto"/>
                <w:kern w:val="0"/>
                <w:szCs w:val="21"/>
              </w:rPr>
            </w:pPr>
          </w:p>
        </w:tc>
        <w:tc>
          <w:tcPr>
            <w:tcW w:w="996" w:type="dxa"/>
            <w:shd w:val="clear" w:color="auto" w:fill="auto"/>
            <w:vAlign w:val="center"/>
          </w:tcPr>
          <w:p>
            <w:pPr>
              <w:widowControl/>
              <w:jc w:val="center"/>
              <w:rPr>
                <w:color w:val="auto"/>
                <w:kern w:val="0"/>
                <w:szCs w:val="21"/>
              </w:rPr>
            </w:pPr>
            <w:r>
              <w:rPr>
                <w:color w:val="auto"/>
                <w:kern w:val="0"/>
                <w:szCs w:val="21"/>
              </w:rPr>
              <w:t>mg/m</w:t>
            </w:r>
            <w:r>
              <w:rPr>
                <w:color w:val="auto"/>
                <w:kern w:val="0"/>
                <w:szCs w:val="21"/>
                <w:vertAlign w:val="superscript"/>
              </w:rPr>
              <w:t>3</w:t>
            </w:r>
          </w:p>
        </w:tc>
        <w:tc>
          <w:tcPr>
            <w:tcW w:w="1145" w:type="dxa"/>
            <w:shd w:val="clear" w:color="auto" w:fill="auto"/>
            <w:vAlign w:val="center"/>
          </w:tcPr>
          <w:p>
            <w:pPr>
              <w:widowControl/>
              <w:jc w:val="center"/>
              <w:rPr>
                <w:color w:val="auto"/>
                <w:kern w:val="0"/>
                <w:szCs w:val="21"/>
              </w:rPr>
            </w:pPr>
            <w:r>
              <w:rPr>
                <w:color w:val="auto"/>
                <w:kern w:val="0"/>
                <w:szCs w:val="21"/>
              </w:rPr>
              <w:t>kg/h</w:t>
            </w:r>
          </w:p>
        </w:tc>
        <w:tc>
          <w:tcPr>
            <w:tcW w:w="1049" w:type="dxa"/>
            <w:shd w:val="clear" w:color="auto" w:fill="auto"/>
            <w:vAlign w:val="center"/>
          </w:tcPr>
          <w:p>
            <w:pPr>
              <w:widowControl/>
              <w:jc w:val="center"/>
              <w:rPr>
                <w:color w:val="auto"/>
                <w:kern w:val="0"/>
                <w:szCs w:val="21"/>
              </w:rPr>
            </w:pPr>
            <w:r>
              <w:rPr>
                <w:color w:val="auto"/>
                <w:kern w:val="0"/>
                <w:szCs w:val="21"/>
              </w:rPr>
              <w:t>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52" w:hRule="atLeast"/>
          <w:jc w:val="center"/>
        </w:trPr>
        <w:tc>
          <w:tcPr>
            <w:tcW w:w="664" w:type="dxa"/>
            <w:shd w:val="clear" w:color="auto" w:fill="auto"/>
            <w:vAlign w:val="center"/>
          </w:tcPr>
          <w:p>
            <w:pPr>
              <w:widowControl/>
              <w:jc w:val="center"/>
              <w:rPr>
                <w:color w:val="auto"/>
                <w:kern w:val="0"/>
                <w:szCs w:val="21"/>
              </w:rPr>
            </w:pPr>
            <w:r>
              <w:rPr>
                <w:color w:val="auto"/>
                <w:kern w:val="0"/>
                <w:szCs w:val="21"/>
              </w:rPr>
              <w:t>氨气</w:t>
            </w:r>
          </w:p>
        </w:tc>
        <w:tc>
          <w:tcPr>
            <w:tcW w:w="671" w:type="dxa"/>
            <w:vMerge w:val="restart"/>
            <w:shd w:val="clear" w:color="auto" w:fill="auto"/>
            <w:vAlign w:val="center"/>
          </w:tcPr>
          <w:p>
            <w:pPr>
              <w:widowControl/>
              <w:jc w:val="center"/>
              <w:rPr>
                <w:color w:val="auto"/>
                <w:kern w:val="0"/>
                <w:szCs w:val="21"/>
              </w:rPr>
            </w:pPr>
            <w:r>
              <w:rPr>
                <w:color w:val="auto"/>
                <w:kern w:val="0"/>
                <w:szCs w:val="21"/>
              </w:rPr>
              <w:t>100</w:t>
            </w:r>
          </w:p>
        </w:tc>
        <w:tc>
          <w:tcPr>
            <w:tcW w:w="918" w:type="dxa"/>
            <w:shd w:val="clear" w:color="auto" w:fill="auto"/>
            <w:vAlign w:val="center"/>
          </w:tcPr>
          <w:p>
            <w:pPr>
              <w:widowControl/>
              <w:jc w:val="center"/>
              <w:rPr>
                <w:color w:val="auto"/>
                <w:kern w:val="0"/>
                <w:szCs w:val="21"/>
              </w:rPr>
            </w:pPr>
            <w:r>
              <w:rPr>
                <w:color w:val="auto"/>
                <w:kern w:val="0"/>
                <w:szCs w:val="21"/>
              </w:rPr>
              <w:t>0.25</w:t>
            </w:r>
          </w:p>
        </w:tc>
        <w:tc>
          <w:tcPr>
            <w:tcW w:w="983" w:type="dxa"/>
            <w:shd w:val="clear" w:color="auto" w:fill="auto"/>
            <w:vAlign w:val="center"/>
          </w:tcPr>
          <w:p>
            <w:pPr>
              <w:widowControl/>
              <w:jc w:val="center"/>
              <w:rPr>
                <w:color w:val="auto"/>
                <w:kern w:val="0"/>
                <w:szCs w:val="21"/>
              </w:rPr>
            </w:pPr>
            <w:r>
              <w:rPr>
                <w:color w:val="auto"/>
                <w:kern w:val="0"/>
                <w:szCs w:val="21"/>
              </w:rPr>
              <w:t>2.5E-05</w:t>
            </w:r>
          </w:p>
        </w:tc>
        <w:tc>
          <w:tcPr>
            <w:tcW w:w="1036" w:type="dxa"/>
            <w:shd w:val="clear" w:color="auto" w:fill="auto"/>
            <w:vAlign w:val="center"/>
          </w:tcPr>
          <w:p>
            <w:pPr>
              <w:widowControl/>
              <w:jc w:val="center"/>
              <w:rPr>
                <w:color w:val="auto"/>
                <w:kern w:val="0"/>
                <w:szCs w:val="21"/>
              </w:rPr>
            </w:pPr>
            <w:r>
              <w:rPr>
                <w:color w:val="auto"/>
                <w:kern w:val="0"/>
                <w:szCs w:val="21"/>
              </w:rPr>
              <w:t>1.98E-04</w:t>
            </w:r>
          </w:p>
        </w:tc>
        <w:tc>
          <w:tcPr>
            <w:tcW w:w="833" w:type="dxa"/>
            <w:vMerge w:val="restart"/>
            <w:shd w:val="clear" w:color="auto" w:fill="auto"/>
            <w:vAlign w:val="center"/>
          </w:tcPr>
          <w:p>
            <w:pPr>
              <w:widowControl/>
              <w:jc w:val="center"/>
              <w:rPr>
                <w:color w:val="auto"/>
                <w:kern w:val="0"/>
                <w:szCs w:val="21"/>
              </w:rPr>
            </w:pPr>
            <w:r>
              <w:rPr>
                <w:color w:val="auto"/>
                <w:kern w:val="0"/>
                <w:szCs w:val="21"/>
              </w:rPr>
              <w:t>碱洗喷淋+等离子+活性炭</w:t>
            </w:r>
          </w:p>
        </w:tc>
        <w:tc>
          <w:tcPr>
            <w:tcW w:w="824" w:type="dxa"/>
            <w:shd w:val="clear" w:color="auto" w:fill="auto"/>
            <w:vAlign w:val="center"/>
          </w:tcPr>
          <w:p>
            <w:pPr>
              <w:widowControl/>
              <w:jc w:val="center"/>
              <w:rPr>
                <w:color w:val="auto"/>
                <w:kern w:val="0"/>
                <w:szCs w:val="21"/>
              </w:rPr>
            </w:pPr>
            <w:r>
              <w:rPr>
                <w:color w:val="auto"/>
                <w:kern w:val="0"/>
                <w:szCs w:val="21"/>
              </w:rPr>
              <w:t>25.15</w:t>
            </w:r>
          </w:p>
        </w:tc>
        <w:tc>
          <w:tcPr>
            <w:tcW w:w="996" w:type="dxa"/>
            <w:shd w:val="clear" w:color="auto" w:fill="auto"/>
            <w:vAlign w:val="center"/>
          </w:tcPr>
          <w:p>
            <w:pPr>
              <w:widowControl/>
              <w:jc w:val="center"/>
              <w:rPr>
                <w:color w:val="auto"/>
                <w:kern w:val="0"/>
                <w:szCs w:val="21"/>
              </w:rPr>
            </w:pPr>
            <w:r>
              <w:rPr>
                <w:color w:val="auto"/>
                <w:kern w:val="0"/>
                <w:szCs w:val="21"/>
              </w:rPr>
              <w:t>0.1872</w:t>
            </w:r>
          </w:p>
        </w:tc>
        <w:tc>
          <w:tcPr>
            <w:tcW w:w="1145" w:type="dxa"/>
            <w:shd w:val="clear" w:color="auto" w:fill="auto"/>
            <w:vAlign w:val="center"/>
          </w:tcPr>
          <w:p>
            <w:pPr>
              <w:widowControl/>
              <w:jc w:val="center"/>
              <w:rPr>
                <w:color w:val="auto"/>
                <w:kern w:val="0"/>
                <w:szCs w:val="21"/>
              </w:rPr>
            </w:pPr>
            <w:r>
              <w:rPr>
                <w:color w:val="auto"/>
                <w:kern w:val="0"/>
                <w:szCs w:val="21"/>
              </w:rPr>
              <w:t>1.872E-05</w:t>
            </w:r>
          </w:p>
        </w:tc>
        <w:tc>
          <w:tcPr>
            <w:tcW w:w="1049" w:type="dxa"/>
            <w:shd w:val="clear" w:color="auto" w:fill="auto"/>
            <w:vAlign w:val="center"/>
          </w:tcPr>
          <w:p>
            <w:pPr>
              <w:widowControl/>
              <w:jc w:val="center"/>
              <w:rPr>
                <w:color w:val="auto"/>
                <w:kern w:val="0"/>
                <w:szCs w:val="21"/>
              </w:rPr>
            </w:pPr>
            <w:r>
              <w:rPr>
                <w:color w:val="auto"/>
                <w:kern w:val="0"/>
                <w:szCs w:val="21"/>
              </w:rPr>
              <w:t>1.48E-04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jc w:val="center"/>
        </w:trPr>
        <w:tc>
          <w:tcPr>
            <w:tcW w:w="664" w:type="dxa"/>
            <w:shd w:val="clear" w:color="auto" w:fill="auto"/>
            <w:vAlign w:val="center"/>
          </w:tcPr>
          <w:p>
            <w:pPr>
              <w:widowControl/>
              <w:jc w:val="center"/>
              <w:rPr>
                <w:color w:val="auto"/>
                <w:kern w:val="0"/>
                <w:szCs w:val="21"/>
              </w:rPr>
            </w:pPr>
            <w:r>
              <w:rPr>
                <w:color w:val="auto"/>
                <w:kern w:val="0"/>
                <w:szCs w:val="21"/>
              </w:rPr>
              <w:t>硫化氢</w:t>
            </w:r>
          </w:p>
        </w:tc>
        <w:tc>
          <w:tcPr>
            <w:tcW w:w="671" w:type="dxa"/>
            <w:vMerge w:val="continue"/>
            <w:shd w:val="clear" w:color="auto" w:fill="auto"/>
            <w:vAlign w:val="center"/>
          </w:tcPr>
          <w:p>
            <w:pPr>
              <w:widowControl/>
              <w:jc w:val="center"/>
              <w:rPr>
                <w:color w:val="auto"/>
                <w:kern w:val="0"/>
                <w:szCs w:val="21"/>
              </w:rPr>
            </w:pPr>
          </w:p>
        </w:tc>
        <w:tc>
          <w:tcPr>
            <w:tcW w:w="918" w:type="dxa"/>
            <w:shd w:val="clear" w:color="auto" w:fill="auto"/>
            <w:vAlign w:val="center"/>
          </w:tcPr>
          <w:p>
            <w:pPr>
              <w:widowControl/>
              <w:jc w:val="center"/>
              <w:rPr>
                <w:color w:val="auto"/>
                <w:kern w:val="0"/>
                <w:szCs w:val="21"/>
              </w:rPr>
            </w:pPr>
            <w:r>
              <w:rPr>
                <w:color w:val="auto"/>
                <w:kern w:val="0"/>
                <w:szCs w:val="21"/>
              </w:rPr>
              <w:t>0.0085</w:t>
            </w:r>
          </w:p>
        </w:tc>
        <w:tc>
          <w:tcPr>
            <w:tcW w:w="983" w:type="dxa"/>
            <w:shd w:val="clear" w:color="auto" w:fill="auto"/>
            <w:vAlign w:val="center"/>
          </w:tcPr>
          <w:p>
            <w:pPr>
              <w:widowControl/>
              <w:jc w:val="center"/>
              <w:rPr>
                <w:color w:val="auto"/>
                <w:kern w:val="0"/>
                <w:szCs w:val="21"/>
              </w:rPr>
            </w:pPr>
            <w:r>
              <w:rPr>
                <w:color w:val="auto"/>
                <w:kern w:val="0"/>
                <w:szCs w:val="21"/>
              </w:rPr>
              <w:t>8.5E-07</w:t>
            </w:r>
          </w:p>
        </w:tc>
        <w:tc>
          <w:tcPr>
            <w:tcW w:w="1036" w:type="dxa"/>
            <w:shd w:val="clear" w:color="auto" w:fill="auto"/>
            <w:vAlign w:val="center"/>
          </w:tcPr>
          <w:p>
            <w:pPr>
              <w:widowControl/>
              <w:jc w:val="center"/>
              <w:rPr>
                <w:color w:val="auto"/>
                <w:kern w:val="0"/>
                <w:szCs w:val="21"/>
              </w:rPr>
            </w:pPr>
            <w:r>
              <w:rPr>
                <w:color w:val="auto"/>
                <w:kern w:val="0"/>
                <w:szCs w:val="21"/>
              </w:rPr>
              <w:t>6.73E-06</w:t>
            </w:r>
          </w:p>
        </w:tc>
        <w:tc>
          <w:tcPr>
            <w:tcW w:w="833" w:type="dxa"/>
            <w:vMerge w:val="continue"/>
            <w:shd w:val="clear" w:color="auto" w:fill="auto"/>
            <w:vAlign w:val="center"/>
          </w:tcPr>
          <w:p>
            <w:pPr>
              <w:widowControl/>
              <w:jc w:val="center"/>
              <w:rPr>
                <w:color w:val="auto"/>
                <w:kern w:val="0"/>
                <w:szCs w:val="21"/>
              </w:rPr>
            </w:pPr>
          </w:p>
        </w:tc>
        <w:tc>
          <w:tcPr>
            <w:tcW w:w="824" w:type="dxa"/>
            <w:shd w:val="clear" w:color="auto" w:fill="auto"/>
            <w:vAlign w:val="center"/>
          </w:tcPr>
          <w:p>
            <w:pPr>
              <w:widowControl/>
              <w:jc w:val="center"/>
              <w:rPr>
                <w:color w:val="auto"/>
                <w:kern w:val="0"/>
                <w:szCs w:val="21"/>
              </w:rPr>
            </w:pPr>
            <w:r>
              <w:rPr>
                <w:color w:val="auto"/>
                <w:kern w:val="0"/>
                <w:szCs w:val="21"/>
              </w:rPr>
              <w:t>33.33</w:t>
            </w:r>
          </w:p>
        </w:tc>
        <w:tc>
          <w:tcPr>
            <w:tcW w:w="996" w:type="dxa"/>
            <w:shd w:val="clear" w:color="auto" w:fill="auto"/>
            <w:vAlign w:val="center"/>
          </w:tcPr>
          <w:p>
            <w:pPr>
              <w:widowControl/>
              <w:jc w:val="center"/>
              <w:rPr>
                <w:color w:val="auto"/>
                <w:kern w:val="0"/>
                <w:szCs w:val="21"/>
              </w:rPr>
            </w:pPr>
            <w:r>
              <w:rPr>
                <w:color w:val="auto"/>
                <w:kern w:val="0"/>
                <w:szCs w:val="21"/>
              </w:rPr>
              <w:t>0.00567</w:t>
            </w:r>
          </w:p>
        </w:tc>
        <w:tc>
          <w:tcPr>
            <w:tcW w:w="1145" w:type="dxa"/>
            <w:shd w:val="clear" w:color="auto" w:fill="auto"/>
            <w:vAlign w:val="center"/>
          </w:tcPr>
          <w:p>
            <w:pPr>
              <w:widowControl/>
              <w:jc w:val="center"/>
              <w:rPr>
                <w:color w:val="auto"/>
                <w:kern w:val="0"/>
                <w:szCs w:val="21"/>
              </w:rPr>
            </w:pPr>
            <w:r>
              <w:rPr>
                <w:color w:val="auto"/>
                <w:kern w:val="0"/>
                <w:szCs w:val="21"/>
              </w:rPr>
              <w:t>5.67E-07</w:t>
            </w:r>
          </w:p>
        </w:tc>
        <w:tc>
          <w:tcPr>
            <w:tcW w:w="1049" w:type="dxa"/>
            <w:shd w:val="clear" w:color="auto" w:fill="auto"/>
            <w:vAlign w:val="center"/>
          </w:tcPr>
          <w:p>
            <w:pPr>
              <w:widowControl/>
              <w:jc w:val="center"/>
              <w:rPr>
                <w:color w:val="auto"/>
                <w:kern w:val="0"/>
                <w:szCs w:val="21"/>
              </w:rPr>
            </w:pPr>
            <w:r>
              <w:rPr>
                <w:color w:val="auto"/>
                <w:kern w:val="0"/>
                <w:szCs w:val="21"/>
              </w:rPr>
              <w:t>4.49E-06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97" w:hRule="atLeast"/>
          <w:jc w:val="center"/>
        </w:trPr>
        <w:tc>
          <w:tcPr>
            <w:tcW w:w="664" w:type="dxa"/>
            <w:shd w:val="clear" w:color="auto" w:fill="auto"/>
            <w:vAlign w:val="center"/>
          </w:tcPr>
          <w:p>
            <w:pPr>
              <w:widowControl/>
              <w:jc w:val="center"/>
              <w:rPr>
                <w:color w:val="auto"/>
                <w:kern w:val="0"/>
                <w:szCs w:val="21"/>
              </w:rPr>
            </w:pPr>
            <w:r>
              <w:rPr>
                <w:color w:val="auto"/>
                <w:kern w:val="0"/>
                <w:szCs w:val="21"/>
              </w:rPr>
              <w:t>非甲烷总烃</w:t>
            </w:r>
          </w:p>
        </w:tc>
        <w:tc>
          <w:tcPr>
            <w:tcW w:w="671" w:type="dxa"/>
            <w:vMerge w:val="continue"/>
            <w:shd w:val="clear" w:color="auto" w:fill="auto"/>
            <w:vAlign w:val="center"/>
          </w:tcPr>
          <w:p>
            <w:pPr>
              <w:widowControl/>
              <w:jc w:val="center"/>
              <w:rPr>
                <w:color w:val="auto"/>
                <w:kern w:val="0"/>
                <w:szCs w:val="21"/>
              </w:rPr>
            </w:pPr>
          </w:p>
        </w:tc>
        <w:tc>
          <w:tcPr>
            <w:tcW w:w="918" w:type="dxa"/>
            <w:shd w:val="clear" w:color="auto" w:fill="auto"/>
            <w:vAlign w:val="center"/>
          </w:tcPr>
          <w:p>
            <w:pPr>
              <w:widowControl/>
              <w:jc w:val="center"/>
              <w:rPr>
                <w:color w:val="auto"/>
                <w:kern w:val="0"/>
                <w:szCs w:val="21"/>
              </w:rPr>
            </w:pPr>
            <w:r>
              <w:rPr>
                <w:color w:val="auto"/>
                <w:kern w:val="0"/>
                <w:szCs w:val="21"/>
              </w:rPr>
              <w:t>0.025</w:t>
            </w:r>
          </w:p>
        </w:tc>
        <w:tc>
          <w:tcPr>
            <w:tcW w:w="983" w:type="dxa"/>
            <w:shd w:val="clear" w:color="auto" w:fill="auto"/>
            <w:vAlign w:val="center"/>
          </w:tcPr>
          <w:p>
            <w:pPr>
              <w:widowControl/>
              <w:jc w:val="center"/>
              <w:rPr>
                <w:color w:val="auto"/>
                <w:kern w:val="0"/>
                <w:szCs w:val="21"/>
              </w:rPr>
            </w:pPr>
            <w:r>
              <w:rPr>
                <w:color w:val="auto"/>
                <w:kern w:val="0"/>
                <w:szCs w:val="21"/>
              </w:rPr>
              <w:t>2.5E-06</w:t>
            </w:r>
          </w:p>
        </w:tc>
        <w:tc>
          <w:tcPr>
            <w:tcW w:w="1036" w:type="dxa"/>
            <w:shd w:val="clear" w:color="auto" w:fill="auto"/>
            <w:vAlign w:val="center"/>
          </w:tcPr>
          <w:p>
            <w:pPr>
              <w:widowControl/>
              <w:jc w:val="center"/>
              <w:rPr>
                <w:color w:val="auto"/>
                <w:kern w:val="0"/>
                <w:szCs w:val="21"/>
              </w:rPr>
            </w:pPr>
            <w:r>
              <w:rPr>
                <w:color w:val="auto"/>
                <w:kern w:val="0"/>
                <w:szCs w:val="21"/>
              </w:rPr>
              <w:t>1.98E-05</w:t>
            </w:r>
          </w:p>
        </w:tc>
        <w:tc>
          <w:tcPr>
            <w:tcW w:w="833" w:type="dxa"/>
            <w:vMerge w:val="continue"/>
            <w:shd w:val="clear" w:color="auto" w:fill="auto"/>
            <w:vAlign w:val="center"/>
          </w:tcPr>
          <w:p>
            <w:pPr>
              <w:widowControl/>
              <w:jc w:val="center"/>
              <w:rPr>
                <w:color w:val="auto"/>
                <w:kern w:val="0"/>
                <w:szCs w:val="21"/>
              </w:rPr>
            </w:pPr>
          </w:p>
        </w:tc>
        <w:tc>
          <w:tcPr>
            <w:tcW w:w="824" w:type="dxa"/>
            <w:shd w:val="clear" w:color="auto" w:fill="auto"/>
            <w:vAlign w:val="center"/>
          </w:tcPr>
          <w:p>
            <w:pPr>
              <w:widowControl/>
              <w:jc w:val="center"/>
              <w:rPr>
                <w:color w:val="auto"/>
                <w:kern w:val="0"/>
                <w:szCs w:val="21"/>
              </w:rPr>
            </w:pPr>
            <w:r>
              <w:rPr>
                <w:color w:val="auto"/>
                <w:kern w:val="0"/>
                <w:szCs w:val="21"/>
              </w:rPr>
              <w:t>44.54</w:t>
            </w:r>
          </w:p>
        </w:tc>
        <w:tc>
          <w:tcPr>
            <w:tcW w:w="996" w:type="dxa"/>
            <w:shd w:val="clear" w:color="auto" w:fill="auto"/>
            <w:vAlign w:val="center"/>
          </w:tcPr>
          <w:p>
            <w:pPr>
              <w:widowControl/>
              <w:jc w:val="center"/>
              <w:rPr>
                <w:color w:val="auto"/>
                <w:kern w:val="0"/>
                <w:szCs w:val="21"/>
              </w:rPr>
            </w:pPr>
            <w:r>
              <w:rPr>
                <w:color w:val="auto"/>
                <w:kern w:val="0"/>
                <w:szCs w:val="21"/>
              </w:rPr>
              <w:t>0.01387</w:t>
            </w:r>
          </w:p>
        </w:tc>
        <w:tc>
          <w:tcPr>
            <w:tcW w:w="1145" w:type="dxa"/>
            <w:shd w:val="clear" w:color="auto" w:fill="auto"/>
            <w:vAlign w:val="center"/>
          </w:tcPr>
          <w:p>
            <w:pPr>
              <w:widowControl/>
              <w:jc w:val="center"/>
              <w:rPr>
                <w:color w:val="auto"/>
                <w:kern w:val="0"/>
                <w:szCs w:val="21"/>
              </w:rPr>
            </w:pPr>
            <w:r>
              <w:rPr>
                <w:color w:val="auto"/>
                <w:kern w:val="0"/>
                <w:szCs w:val="21"/>
              </w:rPr>
              <w:t>1.387E-06</w:t>
            </w:r>
          </w:p>
        </w:tc>
        <w:tc>
          <w:tcPr>
            <w:tcW w:w="1049" w:type="dxa"/>
            <w:shd w:val="clear" w:color="auto" w:fill="auto"/>
            <w:vAlign w:val="center"/>
          </w:tcPr>
          <w:p>
            <w:pPr>
              <w:widowControl/>
              <w:jc w:val="center"/>
              <w:rPr>
                <w:color w:val="auto"/>
                <w:kern w:val="0"/>
                <w:szCs w:val="21"/>
              </w:rPr>
            </w:pPr>
            <w:r>
              <w:rPr>
                <w:color w:val="auto"/>
                <w:kern w:val="0"/>
                <w:szCs w:val="21"/>
              </w:rPr>
              <w:t>1.1E-05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jc w:val="center"/>
        </w:trPr>
        <w:tc>
          <w:tcPr>
            <w:tcW w:w="664" w:type="dxa"/>
            <w:shd w:val="clear" w:color="auto" w:fill="auto"/>
            <w:vAlign w:val="center"/>
          </w:tcPr>
          <w:p>
            <w:pPr>
              <w:widowControl/>
              <w:jc w:val="center"/>
              <w:rPr>
                <w:color w:val="auto"/>
                <w:kern w:val="0"/>
                <w:szCs w:val="21"/>
              </w:rPr>
            </w:pPr>
            <w:r>
              <w:rPr>
                <w:color w:val="auto"/>
                <w:kern w:val="0"/>
                <w:szCs w:val="21"/>
              </w:rPr>
              <w:t>臭气浓度</w:t>
            </w:r>
          </w:p>
        </w:tc>
        <w:tc>
          <w:tcPr>
            <w:tcW w:w="671" w:type="dxa"/>
            <w:vMerge w:val="continue"/>
            <w:shd w:val="clear" w:color="auto" w:fill="auto"/>
            <w:vAlign w:val="center"/>
          </w:tcPr>
          <w:p>
            <w:pPr>
              <w:widowControl/>
              <w:jc w:val="center"/>
              <w:rPr>
                <w:color w:val="auto"/>
                <w:kern w:val="0"/>
                <w:szCs w:val="21"/>
              </w:rPr>
            </w:pPr>
          </w:p>
        </w:tc>
        <w:tc>
          <w:tcPr>
            <w:tcW w:w="2937" w:type="dxa"/>
            <w:gridSpan w:val="3"/>
            <w:shd w:val="clear" w:color="auto" w:fill="auto"/>
            <w:vAlign w:val="center"/>
          </w:tcPr>
          <w:p>
            <w:pPr>
              <w:widowControl/>
              <w:jc w:val="center"/>
              <w:rPr>
                <w:color w:val="auto"/>
                <w:kern w:val="0"/>
                <w:szCs w:val="21"/>
              </w:rPr>
            </w:pPr>
            <w:r>
              <w:rPr>
                <w:color w:val="auto"/>
                <w:kern w:val="0"/>
                <w:szCs w:val="21"/>
              </w:rPr>
              <w:t>125（无量纲）</w:t>
            </w:r>
          </w:p>
        </w:tc>
        <w:tc>
          <w:tcPr>
            <w:tcW w:w="833" w:type="dxa"/>
            <w:vMerge w:val="continue"/>
            <w:shd w:val="clear" w:color="auto" w:fill="auto"/>
            <w:vAlign w:val="center"/>
          </w:tcPr>
          <w:p>
            <w:pPr>
              <w:widowControl/>
              <w:jc w:val="center"/>
              <w:rPr>
                <w:color w:val="auto"/>
                <w:kern w:val="0"/>
                <w:szCs w:val="21"/>
              </w:rPr>
            </w:pPr>
          </w:p>
        </w:tc>
        <w:tc>
          <w:tcPr>
            <w:tcW w:w="824" w:type="dxa"/>
            <w:shd w:val="clear" w:color="auto" w:fill="auto"/>
            <w:vAlign w:val="center"/>
          </w:tcPr>
          <w:p>
            <w:pPr>
              <w:widowControl/>
              <w:jc w:val="center"/>
              <w:rPr>
                <w:color w:val="auto"/>
                <w:kern w:val="0"/>
                <w:szCs w:val="21"/>
              </w:rPr>
            </w:pPr>
            <w:r>
              <w:rPr>
                <w:color w:val="auto"/>
                <w:kern w:val="0"/>
                <w:szCs w:val="21"/>
              </w:rPr>
              <w:t>25.1</w:t>
            </w:r>
          </w:p>
        </w:tc>
        <w:tc>
          <w:tcPr>
            <w:tcW w:w="3190" w:type="dxa"/>
            <w:gridSpan w:val="3"/>
            <w:shd w:val="clear" w:color="auto" w:fill="auto"/>
            <w:vAlign w:val="center"/>
          </w:tcPr>
          <w:p>
            <w:pPr>
              <w:widowControl/>
              <w:jc w:val="center"/>
              <w:rPr>
                <w:color w:val="auto"/>
                <w:kern w:val="0"/>
                <w:szCs w:val="21"/>
              </w:rPr>
            </w:pPr>
            <w:r>
              <w:rPr>
                <w:color w:val="auto"/>
                <w:kern w:val="0"/>
                <w:szCs w:val="21"/>
              </w:rPr>
              <w:t>93.6</w:t>
            </w:r>
          </w:p>
        </w:tc>
      </w:tr>
    </w:tbl>
    <w:p>
      <w:pPr>
        <w:pStyle w:val="130"/>
        <w:spacing w:before="120" w:beforeLines="50"/>
        <w:ind w:firstLine="480"/>
        <w:rPr>
          <w:bCs w:val="0"/>
          <w:color w:val="auto"/>
        </w:rPr>
      </w:pPr>
      <w:r>
        <w:rPr>
          <w:rFonts w:hint="eastAsia"/>
          <w:bCs w:val="0"/>
          <w:color w:val="auto"/>
        </w:rPr>
        <w:t>本项目建设前后全厂医疗废物贮存间体积不变，贮存废气产排不发生变化，按最大产排污情况进行核算。</w:t>
      </w:r>
    </w:p>
    <w:p>
      <w:pPr>
        <w:pStyle w:val="130"/>
        <w:spacing w:before="120" w:beforeLines="50"/>
        <w:ind w:firstLine="480"/>
        <w:rPr>
          <w:bCs w:val="0"/>
          <w:color w:val="auto"/>
        </w:rPr>
      </w:pPr>
      <w:r>
        <w:rPr>
          <w:bCs w:val="0"/>
          <w:color w:val="auto"/>
        </w:rPr>
        <w:t>（2）高温蒸汽灭菌系统废气</w:t>
      </w:r>
    </w:p>
    <w:p>
      <w:pPr>
        <w:pStyle w:val="130"/>
        <w:ind w:firstLine="480"/>
        <w:rPr>
          <w:color w:val="auto"/>
        </w:rPr>
      </w:pP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r>
        <w:rPr>
          <w:rFonts w:hint="eastAsia"/>
          <w:color w:val="auto"/>
        </w:rPr>
        <w:t>本项目高温蒸汽灭菌系统废气</w:t>
      </w:r>
    </w:p>
    <w:p>
      <w:pPr>
        <w:pStyle w:val="130"/>
        <w:ind w:firstLine="480"/>
        <w:rPr>
          <w:color w:val="auto"/>
        </w:rPr>
      </w:pPr>
      <w:r>
        <w:rPr>
          <w:color w:val="auto"/>
        </w:rPr>
        <w:t>高温灭菌在抽真空、真空干燥及破碎阶段产生的废气，主要污染物为颗粒物、病菌、NH</w:t>
      </w:r>
      <w:r>
        <w:rPr>
          <w:color w:val="auto"/>
          <w:vertAlign w:val="subscript"/>
        </w:rPr>
        <w:t>3</w:t>
      </w:r>
      <w:r>
        <w:rPr>
          <w:color w:val="auto"/>
        </w:rPr>
        <w:t>、H</w:t>
      </w:r>
      <w:r>
        <w:rPr>
          <w:color w:val="auto"/>
          <w:vertAlign w:val="subscript"/>
        </w:rPr>
        <w:t>2</w:t>
      </w:r>
      <w:r>
        <w:rPr>
          <w:color w:val="auto"/>
        </w:rPr>
        <w:t>S、臭气浓度和VOCs（以非甲烷总烃计）。灭菌后医疗废物通过传送系统输通过提升机提升至破碎机料斗进料。因灭菌处理后的医疗废物温度较高且含有一定湿度，进入破碎过程中水蒸气散发，该部分水蒸气对粉尘有降尘作用，破碎工艺目的主要为毁型，破碎后物料粒径较大，且破碎机密闭设计，破碎完成后用封闭的螺旋输送机送至垃圾转运车上，故该环节粉尘产生量较小，破碎过程中同时会伴有少量恶臭。</w:t>
      </w:r>
    </w:p>
    <w:p>
      <w:pPr>
        <w:pStyle w:val="130"/>
        <w:ind w:firstLine="480"/>
        <w:rPr>
          <w:color w:val="auto"/>
        </w:rPr>
      </w:pPr>
      <w:r>
        <w:rPr>
          <w:color w:val="auto"/>
        </w:rPr>
        <w:t>环保措施：高温蒸汽灭菌废气先通过设备自带的生物过滤+活性炭吸附进行预处理，同时在现有3t/d及新建5t/d高温蒸煮设备的2台灭菌器上方及2台破碎机上方设置4个集气罩收集废气后经过“碱洗喷淋+等离子+活性炭”工艺处理，然后通过15m高排气筒排放。</w:t>
      </w:r>
    </w:p>
    <w:p>
      <w:pPr>
        <w:pStyle w:val="130"/>
        <w:ind w:firstLine="480"/>
        <w:rPr>
          <w:color w:val="auto"/>
        </w:rPr>
        <w:sectPr>
          <w:pgSz w:w="11906" w:h="16838"/>
          <w:pgMar w:top="1701" w:right="1701" w:bottom="1701" w:left="1701" w:header="851" w:footer="851" w:gutter="0"/>
          <w:cols w:space="720" w:num="1"/>
          <w:docGrid w:linePitch="466" w:charSpace="0"/>
        </w:sectPr>
      </w:pPr>
      <w:r>
        <w:rPr>
          <w:color w:val="auto"/>
        </w:rPr>
        <w:t>本项目运营期</w:t>
      </w:r>
      <w:r>
        <w:rPr>
          <w:bCs w:val="0"/>
          <w:color w:val="auto"/>
        </w:rPr>
        <w:t>高温蒸汽灭菌系统各废气污染物产排浓度情况，由宁夏中科精科检测技术有限公司于</w:t>
      </w:r>
      <w:r>
        <w:rPr>
          <w:color w:val="auto"/>
        </w:rPr>
        <w:t>2021年12月21日-12月22日对项目碱洗喷淋+等离子+活性炭废气处理装置进出口废气进行了现场检测（检测报告见附件11），</w:t>
      </w:r>
      <w:r>
        <w:rPr>
          <w:rFonts w:hint="eastAsia"/>
          <w:color w:val="auto"/>
        </w:rPr>
        <w:t>监测期间，仅5t/d高温灭菌设备进行工作，</w:t>
      </w:r>
      <w:r>
        <w:rPr>
          <w:color w:val="auto"/>
        </w:rPr>
        <w:t>具体检测结果见下表。</w:t>
      </w:r>
    </w:p>
    <w:p>
      <w:pPr>
        <w:pStyle w:val="114"/>
        <w:spacing w:before="0" w:beforeLines="0"/>
        <w:rPr>
          <w:color w:val="auto"/>
        </w:rPr>
      </w:pPr>
      <w:r>
        <w:rPr>
          <w:color w:val="auto"/>
        </w:rPr>
        <w:t>表4.8-6   本项目高温蒸汽灭菌系统废气处理装进出口检测结果一览表</w:t>
      </w:r>
    </w:p>
    <w:tbl>
      <w:tblPr>
        <w:tblStyle w:val="74"/>
        <w:tblW w:w="13652"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06"/>
        <w:gridCol w:w="1729"/>
        <w:gridCol w:w="867"/>
        <w:gridCol w:w="1008"/>
        <w:gridCol w:w="1052"/>
        <w:gridCol w:w="1063"/>
        <w:gridCol w:w="1156"/>
        <w:gridCol w:w="1171"/>
        <w:gridCol w:w="1155"/>
        <w:gridCol w:w="1335"/>
        <w:gridCol w:w="1007"/>
        <w:gridCol w:w="721"/>
        <w:gridCol w:w="68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blHeader/>
        </w:trPr>
        <w:tc>
          <w:tcPr>
            <w:tcW w:w="706" w:type="dxa"/>
            <w:vMerge w:val="restart"/>
            <w:shd w:val="clear" w:color="auto" w:fill="auto"/>
            <w:vAlign w:val="center"/>
          </w:tcPr>
          <w:p>
            <w:pPr>
              <w:widowControl/>
              <w:spacing w:line="360" w:lineRule="exact"/>
              <w:jc w:val="center"/>
              <w:rPr>
                <w:b/>
                <w:bCs/>
                <w:color w:val="auto"/>
                <w:kern w:val="0"/>
                <w:szCs w:val="20"/>
              </w:rPr>
            </w:pPr>
            <w:r>
              <w:rPr>
                <w:b/>
                <w:bCs/>
                <w:color w:val="auto"/>
                <w:kern w:val="0"/>
                <w:szCs w:val="20"/>
              </w:rPr>
              <w:t>检测位置</w:t>
            </w:r>
          </w:p>
        </w:tc>
        <w:tc>
          <w:tcPr>
            <w:tcW w:w="1729" w:type="dxa"/>
            <w:vMerge w:val="restart"/>
            <w:shd w:val="clear" w:color="auto" w:fill="auto"/>
            <w:vAlign w:val="center"/>
          </w:tcPr>
          <w:p>
            <w:pPr>
              <w:widowControl/>
              <w:spacing w:line="360" w:lineRule="exact"/>
              <w:jc w:val="center"/>
              <w:rPr>
                <w:b/>
                <w:bCs/>
                <w:color w:val="auto"/>
                <w:kern w:val="0"/>
                <w:szCs w:val="20"/>
              </w:rPr>
            </w:pPr>
            <w:r>
              <w:rPr>
                <w:b/>
                <w:bCs/>
                <w:color w:val="auto"/>
                <w:kern w:val="0"/>
                <w:szCs w:val="20"/>
              </w:rPr>
              <w:t>检测项目</w:t>
            </w:r>
          </w:p>
        </w:tc>
        <w:tc>
          <w:tcPr>
            <w:tcW w:w="867" w:type="dxa"/>
            <w:vMerge w:val="restart"/>
            <w:shd w:val="clear" w:color="auto" w:fill="auto"/>
            <w:vAlign w:val="center"/>
          </w:tcPr>
          <w:p>
            <w:pPr>
              <w:widowControl/>
              <w:spacing w:line="360" w:lineRule="exact"/>
              <w:jc w:val="center"/>
              <w:rPr>
                <w:b/>
                <w:bCs/>
                <w:color w:val="auto"/>
                <w:kern w:val="0"/>
                <w:szCs w:val="20"/>
              </w:rPr>
            </w:pPr>
            <w:r>
              <w:rPr>
                <w:b/>
                <w:bCs/>
                <w:color w:val="auto"/>
                <w:kern w:val="0"/>
                <w:szCs w:val="20"/>
              </w:rPr>
              <w:t>单位</w:t>
            </w:r>
          </w:p>
        </w:tc>
        <w:tc>
          <w:tcPr>
            <w:tcW w:w="3123" w:type="dxa"/>
            <w:gridSpan w:val="3"/>
            <w:shd w:val="clear" w:color="auto" w:fill="auto"/>
            <w:vAlign w:val="center"/>
          </w:tcPr>
          <w:p>
            <w:pPr>
              <w:widowControl/>
              <w:spacing w:line="360" w:lineRule="exact"/>
              <w:jc w:val="center"/>
              <w:rPr>
                <w:b/>
                <w:bCs/>
                <w:color w:val="auto"/>
                <w:kern w:val="0"/>
              </w:rPr>
            </w:pPr>
            <w:r>
              <w:rPr>
                <w:b/>
                <w:bCs/>
                <w:color w:val="auto"/>
                <w:kern w:val="0"/>
              </w:rPr>
              <w:t>2021</w:t>
            </w:r>
            <w:r>
              <w:rPr>
                <w:b/>
                <w:bCs/>
                <w:color w:val="auto"/>
                <w:kern w:val="0"/>
                <w:szCs w:val="20"/>
              </w:rPr>
              <w:t>年</w:t>
            </w:r>
            <w:r>
              <w:rPr>
                <w:b/>
                <w:bCs/>
                <w:color w:val="auto"/>
                <w:kern w:val="0"/>
              </w:rPr>
              <w:t>12</w:t>
            </w:r>
            <w:r>
              <w:rPr>
                <w:b/>
                <w:bCs/>
                <w:color w:val="auto"/>
                <w:kern w:val="0"/>
                <w:szCs w:val="20"/>
              </w:rPr>
              <w:t>月</w:t>
            </w:r>
            <w:r>
              <w:rPr>
                <w:b/>
                <w:bCs/>
                <w:color w:val="auto"/>
                <w:kern w:val="0"/>
              </w:rPr>
              <w:t>21</w:t>
            </w:r>
            <w:r>
              <w:rPr>
                <w:b/>
                <w:bCs/>
                <w:color w:val="auto"/>
                <w:kern w:val="0"/>
                <w:szCs w:val="20"/>
              </w:rPr>
              <w:t>日检测结果</w:t>
            </w:r>
          </w:p>
        </w:tc>
        <w:tc>
          <w:tcPr>
            <w:tcW w:w="1156" w:type="dxa"/>
            <w:vMerge w:val="restart"/>
            <w:shd w:val="clear" w:color="auto" w:fill="auto"/>
            <w:vAlign w:val="center"/>
          </w:tcPr>
          <w:p>
            <w:pPr>
              <w:widowControl/>
              <w:spacing w:line="360" w:lineRule="exact"/>
              <w:jc w:val="center"/>
              <w:rPr>
                <w:b/>
                <w:bCs/>
                <w:color w:val="auto"/>
                <w:kern w:val="0"/>
              </w:rPr>
            </w:pPr>
            <w:r>
              <w:rPr>
                <w:b/>
                <w:bCs/>
                <w:color w:val="auto"/>
                <w:kern w:val="0"/>
              </w:rPr>
              <w:t>检测结果均值</w:t>
            </w:r>
          </w:p>
        </w:tc>
        <w:tc>
          <w:tcPr>
            <w:tcW w:w="3661" w:type="dxa"/>
            <w:gridSpan w:val="3"/>
            <w:shd w:val="clear" w:color="auto" w:fill="auto"/>
            <w:vAlign w:val="center"/>
          </w:tcPr>
          <w:p>
            <w:pPr>
              <w:widowControl/>
              <w:spacing w:line="360" w:lineRule="exact"/>
              <w:jc w:val="center"/>
              <w:rPr>
                <w:b/>
                <w:bCs/>
                <w:color w:val="auto"/>
                <w:kern w:val="0"/>
              </w:rPr>
            </w:pPr>
            <w:r>
              <w:rPr>
                <w:b/>
                <w:bCs/>
                <w:color w:val="auto"/>
                <w:kern w:val="0"/>
              </w:rPr>
              <w:t>2021</w:t>
            </w:r>
            <w:r>
              <w:rPr>
                <w:b/>
                <w:bCs/>
                <w:color w:val="auto"/>
                <w:kern w:val="0"/>
                <w:szCs w:val="20"/>
              </w:rPr>
              <w:t>年</w:t>
            </w:r>
            <w:r>
              <w:rPr>
                <w:b/>
                <w:bCs/>
                <w:color w:val="auto"/>
                <w:kern w:val="0"/>
              </w:rPr>
              <w:t>12</w:t>
            </w:r>
            <w:r>
              <w:rPr>
                <w:b/>
                <w:bCs/>
                <w:color w:val="auto"/>
                <w:kern w:val="0"/>
                <w:szCs w:val="20"/>
              </w:rPr>
              <w:t>月</w:t>
            </w:r>
            <w:r>
              <w:rPr>
                <w:b/>
                <w:bCs/>
                <w:color w:val="auto"/>
                <w:kern w:val="0"/>
              </w:rPr>
              <w:t>22</w:t>
            </w:r>
            <w:r>
              <w:rPr>
                <w:b/>
                <w:bCs/>
                <w:color w:val="auto"/>
                <w:kern w:val="0"/>
                <w:szCs w:val="20"/>
              </w:rPr>
              <w:t>日检测结果</w:t>
            </w:r>
          </w:p>
        </w:tc>
        <w:tc>
          <w:tcPr>
            <w:tcW w:w="1007" w:type="dxa"/>
            <w:vMerge w:val="restart"/>
            <w:shd w:val="clear" w:color="auto" w:fill="auto"/>
            <w:vAlign w:val="center"/>
          </w:tcPr>
          <w:p>
            <w:pPr>
              <w:widowControl/>
              <w:spacing w:line="360" w:lineRule="exact"/>
              <w:jc w:val="center"/>
              <w:rPr>
                <w:b/>
                <w:bCs/>
                <w:color w:val="auto"/>
                <w:kern w:val="0"/>
                <w:szCs w:val="20"/>
              </w:rPr>
            </w:pPr>
            <w:r>
              <w:rPr>
                <w:b/>
                <w:bCs/>
                <w:color w:val="auto"/>
                <w:kern w:val="0"/>
                <w:szCs w:val="20"/>
              </w:rPr>
              <w:t>检测结果均值</w:t>
            </w:r>
          </w:p>
        </w:tc>
        <w:tc>
          <w:tcPr>
            <w:tcW w:w="721" w:type="dxa"/>
            <w:vMerge w:val="restart"/>
            <w:shd w:val="clear" w:color="auto" w:fill="auto"/>
            <w:vAlign w:val="center"/>
          </w:tcPr>
          <w:p>
            <w:pPr>
              <w:widowControl/>
              <w:spacing w:line="360" w:lineRule="exact"/>
              <w:jc w:val="center"/>
              <w:rPr>
                <w:b/>
                <w:bCs/>
                <w:color w:val="auto"/>
                <w:kern w:val="0"/>
                <w:szCs w:val="20"/>
              </w:rPr>
            </w:pPr>
            <w:r>
              <w:rPr>
                <w:b/>
                <w:bCs/>
                <w:color w:val="auto"/>
                <w:kern w:val="0"/>
                <w:szCs w:val="20"/>
              </w:rPr>
              <w:t>标准 限值</w:t>
            </w:r>
          </w:p>
        </w:tc>
        <w:tc>
          <w:tcPr>
            <w:tcW w:w="682" w:type="dxa"/>
            <w:vMerge w:val="restart"/>
            <w:shd w:val="clear" w:color="auto" w:fill="auto"/>
            <w:vAlign w:val="center"/>
          </w:tcPr>
          <w:p>
            <w:pPr>
              <w:widowControl/>
              <w:spacing w:line="360" w:lineRule="exact"/>
              <w:jc w:val="center"/>
              <w:rPr>
                <w:b/>
                <w:bCs/>
                <w:color w:val="auto"/>
                <w:kern w:val="0"/>
                <w:szCs w:val="20"/>
              </w:rPr>
            </w:pPr>
            <w:r>
              <w:rPr>
                <w:b/>
                <w:bCs/>
                <w:color w:val="auto"/>
                <w:kern w:val="0"/>
                <w:szCs w:val="20"/>
              </w:rPr>
              <w:t>达标 情况</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blHeader/>
        </w:trPr>
        <w:tc>
          <w:tcPr>
            <w:tcW w:w="706" w:type="dxa"/>
            <w:vMerge w:val="continue"/>
            <w:shd w:val="clear" w:color="auto" w:fill="auto"/>
            <w:vAlign w:val="center"/>
          </w:tcPr>
          <w:p>
            <w:pPr>
              <w:widowControl/>
              <w:spacing w:line="360" w:lineRule="exact"/>
              <w:jc w:val="center"/>
              <w:rPr>
                <w:b/>
                <w:bCs/>
                <w:color w:val="auto"/>
                <w:kern w:val="0"/>
                <w:szCs w:val="20"/>
              </w:rPr>
            </w:pPr>
          </w:p>
        </w:tc>
        <w:tc>
          <w:tcPr>
            <w:tcW w:w="1729" w:type="dxa"/>
            <w:vMerge w:val="continue"/>
            <w:shd w:val="clear" w:color="auto" w:fill="auto"/>
            <w:vAlign w:val="center"/>
          </w:tcPr>
          <w:p>
            <w:pPr>
              <w:widowControl/>
              <w:spacing w:line="360" w:lineRule="exact"/>
              <w:jc w:val="center"/>
              <w:rPr>
                <w:b/>
                <w:bCs/>
                <w:color w:val="auto"/>
                <w:kern w:val="0"/>
                <w:szCs w:val="20"/>
              </w:rPr>
            </w:pPr>
          </w:p>
        </w:tc>
        <w:tc>
          <w:tcPr>
            <w:tcW w:w="867" w:type="dxa"/>
            <w:vMerge w:val="continue"/>
            <w:shd w:val="clear" w:color="auto" w:fill="auto"/>
            <w:vAlign w:val="center"/>
          </w:tcPr>
          <w:p>
            <w:pPr>
              <w:widowControl/>
              <w:spacing w:line="360" w:lineRule="exact"/>
              <w:jc w:val="center"/>
              <w:rPr>
                <w:b/>
                <w:bCs/>
                <w:color w:val="auto"/>
                <w:kern w:val="0"/>
                <w:szCs w:val="20"/>
              </w:rPr>
            </w:pPr>
          </w:p>
        </w:tc>
        <w:tc>
          <w:tcPr>
            <w:tcW w:w="1008" w:type="dxa"/>
            <w:shd w:val="clear" w:color="auto" w:fill="auto"/>
            <w:vAlign w:val="center"/>
          </w:tcPr>
          <w:p>
            <w:pPr>
              <w:widowControl/>
              <w:spacing w:line="360" w:lineRule="exact"/>
              <w:jc w:val="center"/>
              <w:rPr>
                <w:b/>
                <w:bCs/>
                <w:color w:val="auto"/>
                <w:kern w:val="0"/>
                <w:szCs w:val="20"/>
              </w:rPr>
            </w:pPr>
            <w:r>
              <w:rPr>
                <w:b/>
                <w:bCs/>
                <w:color w:val="auto"/>
                <w:kern w:val="0"/>
                <w:szCs w:val="20"/>
              </w:rPr>
              <w:t>第一次</w:t>
            </w:r>
          </w:p>
        </w:tc>
        <w:tc>
          <w:tcPr>
            <w:tcW w:w="1052" w:type="dxa"/>
            <w:shd w:val="clear" w:color="auto" w:fill="auto"/>
            <w:vAlign w:val="center"/>
          </w:tcPr>
          <w:p>
            <w:pPr>
              <w:widowControl/>
              <w:spacing w:line="360" w:lineRule="exact"/>
              <w:jc w:val="center"/>
              <w:rPr>
                <w:b/>
                <w:bCs/>
                <w:color w:val="auto"/>
                <w:kern w:val="0"/>
                <w:szCs w:val="20"/>
              </w:rPr>
            </w:pPr>
            <w:r>
              <w:rPr>
                <w:b/>
                <w:bCs/>
                <w:color w:val="auto"/>
                <w:kern w:val="0"/>
                <w:szCs w:val="20"/>
              </w:rPr>
              <w:t>第二次</w:t>
            </w:r>
          </w:p>
        </w:tc>
        <w:tc>
          <w:tcPr>
            <w:tcW w:w="1063" w:type="dxa"/>
            <w:shd w:val="clear" w:color="auto" w:fill="auto"/>
            <w:vAlign w:val="center"/>
          </w:tcPr>
          <w:p>
            <w:pPr>
              <w:widowControl/>
              <w:spacing w:line="360" w:lineRule="exact"/>
              <w:jc w:val="center"/>
              <w:rPr>
                <w:b/>
                <w:bCs/>
                <w:color w:val="auto"/>
                <w:kern w:val="0"/>
                <w:szCs w:val="20"/>
              </w:rPr>
            </w:pPr>
            <w:r>
              <w:rPr>
                <w:b/>
                <w:bCs/>
                <w:color w:val="auto"/>
                <w:kern w:val="0"/>
                <w:szCs w:val="20"/>
              </w:rPr>
              <w:t>第三次</w:t>
            </w:r>
          </w:p>
        </w:tc>
        <w:tc>
          <w:tcPr>
            <w:tcW w:w="1156" w:type="dxa"/>
            <w:vMerge w:val="continue"/>
            <w:shd w:val="clear" w:color="auto" w:fill="auto"/>
            <w:vAlign w:val="center"/>
          </w:tcPr>
          <w:p>
            <w:pPr>
              <w:widowControl/>
              <w:spacing w:line="360" w:lineRule="exact"/>
              <w:jc w:val="center"/>
              <w:rPr>
                <w:b/>
                <w:bCs/>
                <w:color w:val="auto"/>
                <w:kern w:val="0"/>
              </w:rPr>
            </w:pPr>
          </w:p>
        </w:tc>
        <w:tc>
          <w:tcPr>
            <w:tcW w:w="1171" w:type="dxa"/>
            <w:shd w:val="clear" w:color="auto" w:fill="auto"/>
            <w:vAlign w:val="center"/>
          </w:tcPr>
          <w:p>
            <w:pPr>
              <w:widowControl/>
              <w:spacing w:line="360" w:lineRule="exact"/>
              <w:jc w:val="center"/>
              <w:rPr>
                <w:b/>
                <w:bCs/>
                <w:color w:val="auto"/>
                <w:kern w:val="0"/>
                <w:szCs w:val="20"/>
              </w:rPr>
            </w:pPr>
            <w:r>
              <w:rPr>
                <w:b/>
                <w:bCs/>
                <w:color w:val="auto"/>
                <w:kern w:val="0"/>
                <w:szCs w:val="20"/>
              </w:rPr>
              <w:t>第一次</w:t>
            </w:r>
          </w:p>
        </w:tc>
        <w:tc>
          <w:tcPr>
            <w:tcW w:w="1155" w:type="dxa"/>
            <w:shd w:val="clear" w:color="auto" w:fill="auto"/>
            <w:vAlign w:val="center"/>
          </w:tcPr>
          <w:p>
            <w:pPr>
              <w:widowControl/>
              <w:spacing w:line="360" w:lineRule="exact"/>
              <w:jc w:val="center"/>
              <w:rPr>
                <w:b/>
                <w:bCs/>
                <w:color w:val="auto"/>
                <w:kern w:val="0"/>
                <w:szCs w:val="20"/>
              </w:rPr>
            </w:pPr>
            <w:r>
              <w:rPr>
                <w:b/>
                <w:bCs/>
                <w:color w:val="auto"/>
                <w:kern w:val="0"/>
                <w:szCs w:val="20"/>
              </w:rPr>
              <w:t>第二次</w:t>
            </w:r>
          </w:p>
        </w:tc>
        <w:tc>
          <w:tcPr>
            <w:tcW w:w="1335" w:type="dxa"/>
            <w:shd w:val="clear" w:color="auto" w:fill="auto"/>
            <w:vAlign w:val="center"/>
          </w:tcPr>
          <w:p>
            <w:pPr>
              <w:widowControl/>
              <w:spacing w:line="360" w:lineRule="exact"/>
              <w:jc w:val="center"/>
              <w:rPr>
                <w:b/>
                <w:bCs/>
                <w:color w:val="auto"/>
                <w:kern w:val="0"/>
                <w:szCs w:val="20"/>
              </w:rPr>
            </w:pPr>
            <w:r>
              <w:rPr>
                <w:b/>
                <w:bCs/>
                <w:color w:val="auto"/>
                <w:kern w:val="0"/>
                <w:szCs w:val="20"/>
              </w:rPr>
              <w:t>第三次</w:t>
            </w:r>
          </w:p>
        </w:tc>
        <w:tc>
          <w:tcPr>
            <w:tcW w:w="1007" w:type="dxa"/>
            <w:vMerge w:val="continue"/>
            <w:shd w:val="clear" w:color="auto" w:fill="auto"/>
            <w:vAlign w:val="center"/>
          </w:tcPr>
          <w:p>
            <w:pPr>
              <w:widowControl/>
              <w:spacing w:line="360" w:lineRule="exact"/>
              <w:jc w:val="center"/>
              <w:rPr>
                <w:b/>
                <w:bCs/>
                <w:color w:val="auto"/>
                <w:kern w:val="0"/>
                <w:szCs w:val="20"/>
              </w:rPr>
            </w:pPr>
          </w:p>
        </w:tc>
        <w:tc>
          <w:tcPr>
            <w:tcW w:w="721" w:type="dxa"/>
            <w:vMerge w:val="continue"/>
            <w:shd w:val="clear" w:color="auto" w:fill="auto"/>
            <w:vAlign w:val="center"/>
          </w:tcPr>
          <w:p>
            <w:pPr>
              <w:widowControl/>
              <w:spacing w:line="360" w:lineRule="exact"/>
              <w:jc w:val="center"/>
              <w:rPr>
                <w:b/>
                <w:bCs/>
                <w:color w:val="auto"/>
                <w:kern w:val="0"/>
                <w:szCs w:val="20"/>
              </w:rPr>
            </w:pPr>
          </w:p>
        </w:tc>
        <w:tc>
          <w:tcPr>
            <w:tcW w:w="682" w:type="dxa"/>
            <w:vMerge w:val="continue"/>
            <w:shd w:val="clear" w:color="auto" w:fill="auto"/>
            <w:vAlign w:val="center"/>
          </w:tcPr>
          <w:p>
            <w:pPr>
              <w:widowControl/>
              <w:spacing w:line="360" w:lineRule="exact"/>
              <w:jc w:val="center"/>
              <w:rPr>
                <w:b/>
                <w:bCs/>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06" w:type="dxa"/>
            <w:vMerge w:val="restart"/>
            <w:shd w:val="clear" w:color="auto" w:fill="auto"/>
            <w:vAlign w:val="center"/>
          </w:tcPr>
          <w:p>
            <w:pPr>
              <w:widowControl/>
              <w:spacing w:line="360" w:lineRule="exact"/>
              <w:jc w:val="center"/>
              <w:rPr>
                <w:color w:val="auto"/>
                <w:kern w:val="0"/>
                <w:szCs w:val="20"/>
              </w:rPr>
            </w:pPr>
            <w:r>
              <w:rPr>
                <w:color w:val="auto"/>
                <w:kern w:val="0"/>
                <w:szCs w:val="20"/>
              </w:rPr>
              <w:t>进口</w:t>
            </w: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烟气温度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°C</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23.1</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23</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23.2</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23.10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23</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23.2</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23.4</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23.2</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烟气流速</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m/s</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6.8</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6.8</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6.9</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6.83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6.8</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6.9</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6.8</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6.8</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标干烟气量</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w:t>
            </w:r>
            <w:r>
              <w:rPr>
                <w:color w:val="auto"/>
                <w:kern w:val="0"/>
                <w:szCs w:val="20"/>
                <w:vertAlign w:val="superscript"/>
              </w:rPr>
              <w:t>3</w:t>
            </w:r>
            <w:r>
              <w:rPr>
                <w:color w:val="auto"/>
                <w:kern w:val="0"/>
                <w:szCs w:val="20"/>
              </w:rPr>
              <w:t>/h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3658</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3659</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3710</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3676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3664</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3716</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3659</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3680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颗粒物实测浓度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mg/m</w:t>
            </w:r>
            <w:r>
              <w:rPr>
                <w:color w:val="auto"/>
                <w:kern w:val="0"/>
                <w:szCs w:val="20"/>
                <w:vertAlign w:val="superscript"/>
              </w:rPr>
              <w:t>3</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&lt;20</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&lt;20</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&lt;20</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&lt;20</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&lt;20</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&lt;20</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&lt;20</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&lt;20</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52"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颗粒物排放速率</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kg/h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7.32E-02</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7.32E-02</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7.42E-02</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7.35E-02</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7.33E-02</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7.43E-02</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7.32E-02</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7.36E-02</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jc w:val="center"/>
              <w:rPr>
                <w:color w:val="auto"/>
                <w:kern w:val="0"/>
                <w:szCs w:val="20"/>
              </w:rPr>
            </w:pPr>
            <w:r>
              <w:rPr>
                <w:color w:val="auto"/>
                <w:kern w:val="0"/>
                <w:szCs w:val="20"/>
              </w:rPr>
              <w:t>非甲烷总烃实测浓度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mg/m</w:t>
            </w:r>
            <w:r>
              <w:rPr>
                <w:color w:val="auto"/>
                <w:kern w:val="0"/>
                <w:szCs w:val="20"/>
                <w:vertAlign w:val="superscript"/>
              </w:rPr>
              <w:t>3</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0.96</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1.33</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1.01</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1.10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1.17</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1.14</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0.96</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1.09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jc w:val="center"/>
              <w:rPr>
                <w:color w:val="auto"/>
                <w:kern w:val="0"/>
                <w:szCs w:val="20"/>
              </w:rPr>
            </w:pPr>
            <w:r>
              <w:rPr>
                <w:color w:val="auto"/>
                <w:kern w:val="0"/>
                <w:szCs w:val="20"/>
              </w:rPr>
              <w:t>非甲烷总烃排放速率</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kg/h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3.51E-03</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3.77E-03</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3.75E-03</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3.68E-03</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4.29E-03</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4.24E-03</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3.51E-03</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4.01E-03</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氨实测浓度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mg/m</w:t>
            </w:r>
            <w:r>
              <w:rPr>
                <w:color w:val="auto"/>
                <w:kern w:val="0"/>
                <w:szCs w:val="20"/>
                <w:vertAlign w:val="superscript"/>
              </w:rPr>
              <w:t>3</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2.41</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6.58</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3.11</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4.03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3.69</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6.05</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4.93</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4.89 </w:t>
            </w:r>
          </w:p>
        </w:tc>
        <w:tc>
          <w:tcPr>
            <w:tcW w:w="721" w:type="dxa"/>
            <w:shd w:val="clear" w:color="auto" w:fill="auto"/>
            <w:vAlign w:val="center"/>
          </w:tcPr>
          <w:p>
            <w:pPr>
              <w:widowControl/>
              <w:spacing w:line="360" w:lineRule="exact"/>
              <w:ind w:firstLine="210" w:firstLineChars="100"/>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72"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氨排放速率</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kg/h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8.82E-03</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2.44E-02</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1.15E-02</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1.49E-02</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1.35E-02</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2.25E-02</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1.80E-02</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1.80E-02</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硫化氢实测浓度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mg/m</w:t>
            </w:r>
            <w:r>
              <w:rPr>
                <w:color w:val="auto"/>
                <w:kern w:val="0"/>
                <w:szCs w:val="20"/>
                <w:vertAlign w:val="superscript"/>
              </w:rPr>
              <w:t>3</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0.031</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0.018</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0.026</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0.03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0.023</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0.018</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0.023</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0.02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硫化氢排放速率</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kg/h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1.13E-04</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6.59E-05</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9.65E-05</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9.18E-05</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8.43E-05</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6.69E-05</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8.42E-05</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7.85E-05</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jc w:val="center"/>
              <w:rPr>
                <w:color w:val="auto"/>
                <w:kern w:val="0"/>
                <w:szCs w:val="20"/>
              </w:rPr>
            </w:pPr>
            <w:r>
              <w:rPr>
                <w:color w:val="auto"/>
                <w:kern w:val="0"/>
                <w:szCs w:val="20"/>
              </w:rPr>
              <w:t>臭气浓度实测浓度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无量纲</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549</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732</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977</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753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549</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732</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732</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671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5" w:hRule="atLeast"/>
        </w:trPr>
        <w:tc>
          <w:tcPr>
            <w:tcW w:w="706" w:type="dxa"/>
            <w:vMerge w:val="restart"/>
            <w:shd w:val="clear" w:color="auto" w:fill="auto"/>
            <w:vAlign w:val="center"/>
          </w:tcPr>
          <w:p>
            <w:pPr>
              <w:widowControl/>
              <w:spacing w:line="360" w:lineRule="exact"/>
              <w:jc w:val="center"/>
              <w:rPr>
                <w:color w:val="auto"/>
                <w:kern w:val="0"/>
                <w:szCs w:val="20"/>
              </w:rPr>
            </w:pPr>
            <w:r>
              <w:rPr>
                <w:color w:val="auto"/>
                <w:kern w:val="0"/>
                <w:szCs w:val="20"/>
              </w:rPr>
              <w:t>出口</w:t>
            </w: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烟气温度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°C</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18.1</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17.4</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17.7</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17.73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16.8</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17.1</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17.5</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17.13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烟气流速</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m/s</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2.6</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2.6</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2.6</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2.60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2.6</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2.6</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2.6</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2.60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标干烟气量</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w:t>
            </w:r>
            <w:r>
              <w:rPr>
                <w:color w:val="auto"/>
                <w:kern w:val="0"/>
                <w:szCs w:val="20"/>
                <w:vertAlign w:val="superscript"/>
              </w:rPr>
              <w:t>3</w:t>
            </w:r>
            <w:r>
              <w:rPr>
                <w:color w:val="auto"/>
                <w:kern w:val="0"/>
                <w:szCs w:val="20"/>
              </w:rPr>
              <w:t>/h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3641</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3651</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3647</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3646.33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3663</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3659</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3654</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3658.67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颗粒物实测浓度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mg/m</w:t>
            </w:r>
            <w:r>
              <w:rPr>
                <w:color w:val="auto"/>
                <w:kern w:val="0"/>
                <w:szCs w:val="20"/>
                <w:vertAlign w:val="superscript"/>
              </w:rPr>
              <w:t>3</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2.6</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3.7</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2.57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2.7</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2.4</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2.9</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2.67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120</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颗粒物排放速率</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kg/h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9.47E-03</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5.11E-03</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1.35E-02</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9.36E-03</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9.89E-03</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8.78E-03</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1.06E-02</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9.76E-03</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3.5</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jc w:val="center"/>
              <w:rPr>
                <w:color w:val="auto"/>
                <w:kern w:val="0"/>
                <w:szCs w:val="20"/>
              </w:rPr>
            </w:pPr>
            <w:r>
              <w:rPr>
                <w:color w:val="auto"/>
                <w:kern w:val="0"/>
                <w:szCs w:val="20"/>
              </w:rPr>
              <w:t>非甲烷总炷实测 浓度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mg/m</w:t>
            </w:r>
            <w:r>
              <w:rPr>
                <w:color w:val="auto"/>
                <w:kern w:val="0"/>
                <w:szCs w:val="20"/>
                <w:vertAlign w:val="superscript"/>
              </w:rPr>
              <w:t>3</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0.71</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0.53</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0.6</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0.61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0.58</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0.64</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0.7</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0.64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20</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jc w:val="center"/>
              <w:rPr>
                <w:color w:val="auto"/>
                <w:kern w:val="0"/>
                <w:szCs w:val="20"/>
              </w:rPr>
            </w:pPr>
            <w:r>
              <w:rPr>
                <w:color w:val="auto"/>
                <w:kern w:val="0"/>
                <w:szCs w:val="20"/>
              </w:rPr>
              <w:t>非甲烷总烃排放 速率</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kg/h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2.59E-03</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1.94E-03</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2.19E-03</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2.24E-03</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2.12E-03</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2.34E-03</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2.56E-03</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2.34E-03</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7"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氨实测浓度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mg/m</w:t>
            </w:r>
            <w:r>
              <w:rPr>
                <w:color w:val="auto"/>
                <w:kern w:val="0"/>
                <w:szCs w:val="20"/>
                <w:vertAlign w:val="superscript"/>
              </w:rPr>
              <w:t>3</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4.57</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5.07</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2.67</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4.10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2.63</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3.63</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4.72</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3.66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32"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氨排放速率</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kg/h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1.66E-02</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1.85E-02</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9.74E-03</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1.49E-02</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9.63E-03</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1.33E-02</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1.72E-02</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1.34E-02</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4.9</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硫化氢实测浓度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mg/m</w:t>
            </w:r>
            <w:r>
              <w:rPr>
                <w:color w:val="auto"/>
                <w:kern w:val="0"/>
                <w:szCs w:val="20"/>
                <w:vertAlign w:val="superscript"/>
              </w:rPr>
              <w:t>3</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0.02</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0.03</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0.017</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0.02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0.027</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0.019</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0.022</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 xml:space="preserve">0.02 </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5"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硫化氢排放速率</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kg/h</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7.28E-05</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1.10E-04</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6.20E-05</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8.16E-05</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9.89E-05</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6.95E-05</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8.04E-05</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8.29E-05</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0.33</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80"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jc w:val="center"/>
              <w:rPr>
                <w:color w:val="auto"/>
                <w:kern w:val="0"/>
                <w:szCs w:val="20"/>
              </w:rPr>
            </w:pPr>
            <w:r>
              <w:rPr>
                <w:color w:val="auto"/>
                <w:kern w:val="0"/>
                <w:szCs w:val="20"/>
              </w:rPr>
              <w:t>臭气浓度实测浓 度</w:t>
            </w:r>
          </w:p>
        </w:tc>
        <w:tc>
          <w:tcPr>
            <w:tcW w:w="867" w:type="dxa"/>
            <w:shd w:val="clear" w:color="auto" w:fill="auto"/>
            <w:vAlign w:val="center"/>
          </w:tcPr>
          <w:p>
            <w:pPr>
              <w:widowControl/>
              <w:spacing w:line="360" w:lineRule="exact"/>
              <w:jc w:val="center"/>
              <w:rPr>
                <w:color w:val="auto"/>
                <w:kern w:val="0"/>
                <w:szCs w:val="20"/>
              </w:rPr>
            </w:pPr>
            <w:r>
              <w:rPr>
                <w:color w:val="auto"/>
                <w:kern w:val="0"/>
                <w:szCs w:val="20"/>
              </w:rPr>
              <w:t>无量纲</w:t>
            </w:r>
          </w:p>
        </w:tc>
        <w:tc>
          <w:tcPr>
            <w:tcW w:w="1008" w:type="dxa"/>
            <w:shd w:val="clear" w:color="auto" w:fill="auto"/>
            <w:vAlign w:val="center"/>
          </w:tcPr>
          <w:p>
            <w:pPr>
              <w:widowControl/>
              <w:spacing w:line="360" w:lineRule="exact"/>
              <w:jc w:val="center"/>
              <w:rPr>
                <w:color w:val="auto"/>
                <w:kern w:val="0"/>
                <w:szCs w:val="20"/>
              </w:rPr>
            </w:pPr>
            <w:r>
              <w:rPr>
                <w:color w:val="auto"/>
                <w:kern w:val="0"/>
                <w:szCs w:val="20"/>
              </w:rPr>
              <w:t>549</w:t>
            </w:r>
          </w:p>
        </w:tc>
        <w:tc>
          <w:tcPr>
            <w:tcW w:w="1052" w:type="dxa"/>
            <w:shd w:val="clear" w:color="auto" w:fill="auto"/>
            <w:vAlign w:val="center"/>
          </w:tcPr>
          <w:p>
            <w:pPr>
              <w:widowControl/>
              <w:spacing w:line="360" w:lineRule="exact"/>
              <w:jc w:val="center"/>
              <w:rPr>
                <w:color w:val="auto"/>
                <w:kern w:val="0"/>
                <w:szCs w:val="20"/>
              </w:rPr>
            </w:pPr>
            <w:r>
              <w:rPr>
                <w:color w:val="auto"/>
                <w:kern w:val="0"/>
                <w:szCs w:val="20"/>
              </w:rPr>
              <w:t>412</w:t>
            </w:r>
          </w:p>
        </w:tc>
        <w:tc>
          <w:tcPr>
            <w:tcW w:w="1063" w:type="dxa"/>
            <w:shd w:val="clear" w:color="auto" w:fill="auto"/>
            <w:vAlign w:val="center"/>
          </w:tcPr>
          <w:p>
            <w:pPr>
              <w:widowControl/>
              <w:spacing w:line="360" w:lineRule="exact"/>
              <w:jc w:val="center"/>
              <w:rPr>
                <w:color w:val="auto"/>
                <w:kern w:val="0"/>
                <w:szCs w:val="20"/>
              </w:rPr>
            </w:pPr>
            <w:r>
              <w:rPr>
                <w:color w:val="auto"/>
                <w:kern w:val="0"/>
                <w:szCs w:val="20"/>
              </w:rPr>
              <w:t>549</w:t>
            </w:r>
          </w:p>
        </w:tc>
        <w:tc>
          <w:tcPr>
            <w:tcW w:w="1156" w:type="dxa"/>
            <w:shd w:val="clear" w:color="auto" w:fill="auto"/>
            <w:vAlign w:val="center"/>
          </w:tcPr>
          <w:p>
            <w:pPr>
              <w:widowControl/>
              <w:spacing w:line="360" w:lineRule="exact"/>
              <w:jc w:val="center"/>
              <w:rPr>
                <w:color w:val="auto"/>
                <w:kern w:val="0"/>
                <w:szCs w:val="20"/>
              </w:rPr>
            </w:pPr>
            <w:r>
              <w:rPr>
                <w:color w:val="auto"/>
                <w:kern w:val="0"/>
                <w:szCs w:val="20"/>
              </w:rPr>
              <w:t xml:space="preserve">503 </w:t>
            </w:r>
          </w:p>
        </w:tc>
        <w:tc>
          <w:tcPr>
            <w:tcW w:w="1171" w:type="dxa"/>
            <w:shd w:val="clear" w:color="auto" w:fill="auto"/>
            <w:vAlign w:val="center"/>
          </w:tcPr>
          <w:p>
            <w:pPr>
              <w:widowControl/>
              <w:spacing w:line="360" w:lineRule="exact"/>
              <w:jc w:val="center"/>
              <w:rPr>
                <w:color w:val="auto"/>
                <w:kern w:val="0"/>
                <w:szCs w:val="20"/>
              </w:rPr>
            </w:pPr>
            <w:r>
              <w:rPr>
                <w:color w:val="auto"/>
                <w:kern w:val="0"/>
                <w:szCs w:val="20"/>
              </w:rPr>
              <w:t>412</w:t>
            </w:r>
          </w:p>
        </w:tc>
        <w:tc>
          <w:tcPr>
            <w:tcW w:w="1155" w:type="dxa"/>
            <w:shd w:val="clear" w:color="auto" w:fill="auto"/>
            <w:vAlign w:val="center"/>
          </w:tcPr>
          <w:p>
            <w:pPr>
              <w:widowControl/>
              <w:spacing w:line="360" w:lineRule="exact"/>
              <w:jc w:val="center"/>
              <w:rPr>
                <w:color w:val="auto"/>
                <w:kern w:val="0"/>
                <w:szCs w:val="20"/>
              </w:rPr>
            </w:pPr>
            <w:r>
              <w:rPr>
                <w:color w:val="auto"/>
                <w:kern w:val="0"/>
                <w:szCs w:val="20"/>
              </w:rPr>
              <w:t>732</w:t>
            </w:r>
          </w:p>
        </w:tc>
        <w:tc>
          <w:tcPr>
            <w:tcW w:w="1335" w:type="dxa"/>
            <w:shd w:val="clear" w:color="auto" w:fill="auto"/>
            <w:vAlign w:val="center"/>
          </w:tcPr>
          <w:p>
            <w:pPr>
              <w:widowControl/>
              <w:spacing w:line="360" w:lineRule="exact"/>
              <w:jc w:val="center"/>
              <w:rPr>
                <w:color w:val="auto"/>
                <w:kern w:val="0"/>
                <w:szCs w:val="20"/>
              </w:rPr>
            </w:pPr>
            <w:r>
              <w:rPr>
                <w:color w:val="auto"/>
                <w:kern w:val="0"/>
                <w:szCs w:val="20"/>
              </w:rPr>
              <w:t>549</w:t>
            </w:r>
          </w:p>
        </w:tc>
        <w:tc>
          <w:tcPr>
            <w:tcW w:w="1007" w:type="dxa"/>
            <w:shd w:val="clear" w:color="auto" w:fill="auto"/>
            <w:vAlign w:val="center"/>
          </w:tcPr>
          <w:p>
            <w:pPr>
              <w:widowControl/>
              <w:spacing w:line="360" w:lineRule="exact"/>
              <w:jc w:val="center"/>
              <w:rPr>
                <w:color w:val="auto"/>
                <w:kern w:val="0"/>
                <w:szCs w:val="20"/>
              </w:rPr>
            </w:pPr>
            <w:r>
              <w:rPr>
                <w:color w:val="auto"/>
                <w:kern w:val="0"/>
                <w:szCs w:val="20"/>
              </w:rPr>
              <w:t>564</w:t>
            </w:r>
          </w:p>
        </w:tc>
        <w:tc>
          <w:tcPr>
            <w:tcW w:w="721" w:type="dxa"/>
            <w:shd w:val="clear" w:color="auto" w:fill="auto"/>
            <w:vAlign w:val="center"/>
          </w:tcPr>
          <w:p>
            <w:pPr>
              <w:widowControl/>
              <w:spacing w:line="360" w:lineRule="exact"/>
              <w:jc w:val="center"/>
              <w:rPr>
                <w:color w:val="auto"/>
                <w:kern w:val="0"/>
                <w:szCs w:val="20"/>
              </w:rPr>
            </w:pPr>
            <w:r>
              <w:rPr>
                <w:color w:val="auto"/>
                <w:kern w:val="0"/>
                <w:szCs w:val="20"/>
              </w:rPr>
              <w:t>2000</w:t>
            </w:r>
          </w:p>
        </w:tc>
        <w:tc>
          <w:tcPr>
            <w:tcW w:w="682" w:type="dxa"/>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1123" w:hRule="atLeast"/>
        </w:trPr>
        <w:tc>
          <w:tcPr>
            <w:tcW w:w="706" w:type="dxa"/>
            <w:vMerge w:val="continue"/>
            <w:shd w:val="clear" w:color="auto" w:fill="auto"/>
            <w:vAlign w:val="center"/>
          </w:tcPr>
          <w:p>
            <w:pPr>
              <w:widowControl/>
              <w:spacing w:line="360" w:lineRule="exact"/>
              <w:jc w:val="center"/>
              <w:rPr>
                <w:color w:val="auto"/>
                <w:kern w:val="0"/>
                <w:szCs w:val="20"/>
              </w:rPr>
            </w:pPr>
          </w:p>
        </w:tc>
        <w:tc>
          <w:tcPr>
            <w:tcW w:w="1729" w:type="dxa"/>
            <w:shd w:val="clear" w:color="auto" w:fill="auto"/>
            <w:vAlign w:val="center"/>
          </w:tcPr>
          <w:p>
            <w:pPr>
              <w:widowControl/>
              <w:spacing w:line="360" w:lineRule="exact"/>
              <w:jc w:val="center"/>
              <w:rPr>
                <w:color w:val="auto"/>
                <w:kern w:val="0"/>
                <w:szCs w:val="20"/>
              </w:rPr>
            </w:pPr>
            <w:r>
              <w:rPr>
                <w:color w:val="auto"/>
                <w:kern w:val="0"/>
                <w:szCs w:val="20"/>
              </w:rPr>
              <w:t>备注</w:t>
            </w:r>
          </w:p>
        </w:tc>
        <w:tc>
          <w:tcPr>
            <w:tcW w:w="11217" w:type="dxa"/>
            <w:gridSpan w:val="11"/>
            <w:shd w:val="clear" w:color="auto" w:fill="auto"/>
            <w:vAlign w:val="center"/>
          </w:tcPr>
          <w:p>
            <w:pPr>
              <w:widowControl/>
              <w:spacing w:line="360" w:lineRule="exact"/>
              <w:jc w:val="center"/>
              <w:rPr>
                <w:color w:val="auto"/>
                <w:kern w:val="0"/>
                <w:szCs w:val="20"/>
              </w:rPr>
            </w:pPr>
            <w:r>
              <w:rPr>
                <w:color w:val="auto"/>
                <w:kern w:val="0"/>
                <w:szCs w:val="20"/>
              </w:rPr>
              <w:t>1、 根据《固定污染源排气中颗粒物测定与气态污染物釆样方法》(GB/T16157-1996)及修改单，当测定浓度＜20mg/m</w:t>
            </w:r>
            <w:r>
              <w:rPr>
                <w:color w:val="auto"/>
                <w:kern w:val="0"/>
                <w:szCs w:val="20"/>
                <w:vertAlign w:val="superscript"/>
              </w:rPr>
              <w:t>3</w:t>
            </w:r>
            <w:r>
              <w:rPr>
                <w:color w:val="auto"/>
                <w:kern w:val="0"/>
                <w:szCs w:val="20"/>
              </w:rPr>
              <w:t>时，测定结果表述为“＜20mg/m</w:t>
            </w:r>
            <w:r>
              <w:rPr>
                <w:color w:val="auto"/>
                <w:kern w:val="0"/>
                <w:szCs w:val="20"/>
                <w:vertAlign w:val="superscript"/>
              </w:rPr>
              <w:t>3</w:t>
            </w:r>
            <w:r>
              <w:rPr>
                <w:color w:val="auto"/>
                <w:kern w:val="0"/>
                <w:szCs w:val="20"/>
              </w:rPr>
              <w:t>” ；</w:t>
            </w:r>
          </w:p>
          <w:p>
            <w:pPr>
              <w:widowControl/>
              <w:spacing w:line="360" w:lineRule="exact"/>
              <w:jc w:val="center"/>
              <w:rPr>
                <w:color w:val="auto"/>
                <w:kern w:val="0"/>
                <w:szCs w:val="20"/>
              </w:rPr>
            </w:pPr>
            <w:r>
              <w:rPr>
                <w:color w:val="auto"/>
                <w:kern w:val="0"/>
                <w:szCs w:val="20"/>
              </w:rPr>
              <w:t>2、排放速率参考“〈检出限”的表述：排放速率以＜20×标杆烟气量×l0</w:t>
            </w:r>
            <w:r>
              <w:rPr>
                <w:color w:val="auto"/>
                <w:kern w:val="0"/>
                <w:szCs w:val="20"/>
                <w:vertAlign w:val="superscript"/>
              </w:rPr>
              <w:t>-6</w:t>
            </w:r>
            <w:r>
              <w:rPr>
                <w:color w:val="auto"/>
                <w:kern w:val="0"/>
                <w:szCs w:val="20"/>
              </w:rPr>
              <w:t>kg/h报出。</w:t>
            </w:r>
          </w:p>
        </w:tc>
      </w:tr>
    </w:tbl>
    <w:p>
      <w:pPr>
        <w:rPr>
          <w:color w:val="auto"/>
        </w:rPr>
        <w:sectPr>
          <w:pgSz w:w="16838" w:h="11906" w:orient="landscape"/>
          <w:pgMar w:top="1701" w:right="1701" w:bottom="1701" w:left="1701" w:header="851" w:footer="851" w:gutter="0"/>
          <w:cols w:space="720" w:num="1"/>
          <w:docGrid w:linePitch="466" w:charSpace="0"/>
        </w:sectPr>
      </w:pPr>
    </w:p>
    <w:p>
      <w:pPr>
        <w:pStyle w:val="130"/>
        <w:ind w:firstLine="480"/>
        <w:rPr>
          <w:color w:val="auto"/>
        </w:rPr>
      </w:pPr>
      <w:r>
        <w:rPr>
          <w:color w:val="auto"/>
        </w:rPr>
        <w:t>本项目高温灭菌器内抽真空、泄压等过程中废气经管道输送至废气处理设施基本上100%收集，医疗废物生产车间进料通道设有两道感应门，两道感应门不同时打开，一道打开，另一道则关闭，可以减少生产车间因物料转移导致的废气外逸，根据现状污染源检报告污染因子两天检测均值最大值计量，确定</w:t>
      </w:r>
      <w:r>
        <w:rPr>
          <w:rFonts w:hint="eastAsia"/>
          <w:color w:val="auto"/>
        </w:rPr>
        <w:t>本项目</w:t>
      </w:r>
      <w:r>
        <w:rPr>
          <w:color w:val="auto"/>
        </w:rPr>
        <w:t>高温蒸汽灭菌系统有组织废气污染物产排情况见表4.8-7。</w:t>
      </w:r>
    </w:p>
    <w:p>
      <w:pPr>
        <w:pStyle w:val="114"/>
        <w:spacing w:before="0" w:beforeLines="0"/>
        <w:rPr>
          <w:color w:val="auto"/>
        </w:rPr>
      </w:pPr>
      <w:r>
        <w:rPr>
          <w:color w:val="auto"/>
        </w:rPr>
        <w:t xml:space="preserve">表4.8-7  </w:t>
      </w:r>
      <w:r>
        <w:rPr>
          <w:rFonts w:hint="eastAsia"/>
          <w:color w:val="auto"/>
        </w:rPr>
        <w:t>本项目</w:t>
      </w:r>
      <w:r>
        <w:rPr>
          <w:color w:val="auto"/>
        </w:rPr>
        <w:t>高温蒸汽灭菌系统有组织废气污染物产排情况一览表</w:t>
      </w:r>
    </w:p>
    <w:tbl>
      <w:tblPr>
        <w:tblStyle w:val="75"/>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92"/>
        <w:gridCol w:w="1094"/>
        <w:gridCol w:w="1099"/>
        <w:gridCol w:w="1141"/>
        <w:gridCol w:w="1027"/>
        <w:gridCol w:w="1099"/>
        <w:gridCol w:w="1141"/>
        <w:gridCol w:w="10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16" w:hRule="atLeast"/>
        </w:trPr>
        <w:tc>
          <w:tcPr>
            <w:tcW w:w="1092" w:type="dxa"/>
            <w:vAlign w:val="center"/>
          </w:tcPr>
          <w:p>
            <w:pPr>
              <w:jc w:val="center"/>
              <w:rPr>
                <w:color w:val="auto"/>
                <w:szCs w:val="21"/>
              </w:rPr>
            </w:pPr>
            <w:r>
              <w:rPr>
                <w:color w:val="auto"/>
                <w:szCs w:val="21"/>
              </w:rPr>
              <w:t>污染物</w:t>
            </w:r>
          </w:p>
        </w:tc>
        <w:tc>
          <w:tcPr>
            <w:tcW w:w="1094" w:type="dxa"/>
            <w:vAlign w:val="center"/>
          </w:tcPr>
          <w:p>
            <w:pPr>
              <w:jc w:val="center"/>
              <w:rPr>
                <w:color w:val="auto"/>
                <w:szCs w:val="21"/>
              </w:rPr>
            </w:pPr>
            <w:r>
              <w:rPr>
                <w:color w:val="auto"/>
                <w:szCs w:val="21"/>
              </w:rPr>
              <w:t>风机风量</w:t>
            </w:r>
          </w:p>
          <w:p>
            <w:pPr>
              <w:jc w:val="center"/>
              <w:rPr>
                <w:color w:val="auto"/>
                <w:szCs w:val="21"/>
              </w:rPr>
            </w:pPr>
            <w:r>
              <w:rPr>
                <w:color w:val="auto"/>
                <w:szCs w:val="21"/>
              </w:rPr>
              <w:t>m³/h</w:t>
            </w:r>
          </w:p>
        </w:tc>
        <w:tc>
          <w:tcPr>
            <w:tcW w:w="1099" w:type="dxa"/>
            <w:vAlign w:val="center"/>
          </w:tcPr>
          <w:p>
            <w:pPr>
              <w:jc w:val="center"/>
              <w:rPr>
                <w:color w:val="auto"/>
                <w:szCs w:val="21"/>
              </w:rPr>
            </w:pPr>
            <w:r>
              <w:rPr>
                <w:color w:val="auto"/>
                <w:szCs w:val="21"/>
              </w:rPr>
              <w:t>产生浓度</w:t>
            </w:r>
          </w:p>
          <w:p>
            <w:pPr>
              <w:jc w:val="center"/>
              <w:rPr>
                <w:color w:val="auto"/>
                <w:szCs w:val="21"/>
              </w:rPr>
            </w:pPr>
            <w:r>
              <w:rPr>
                <w:color w:val="auto"/>
                <w:szCs w:val="21"/>
              </w:rPr>
              <w:t>mg/ m³</w:t>
            </w:r>
          </w:p>
        </w:tc>
        <w:tc>
          <w:tcPr>
            <w:tcW w:w="1141" w:type="dxa"/>
            <w:vAlign w:val="center"/>
          </w:tcPr>
          <w:p>
            <w:pPr>
              <w:jc w:val="center"/>
              <w:rPr>
                <w:color w:val="auto"/>
                <w:szCs w:val="21"/>
              </w:rPr>
            </w:pPr>
            <w:r>
              <w:rPr>
                <w:color w:val="auto"/>
                <w:szCs w:val="21"/>
              </w:rPr>
              <w:t>产生速率</w:t>
            </w:r>
          </w:p>
          <w:p>
            <w:pPr>
              <w:jc w:val="center"/>
              <w:rPr>
                <w:color w:val="auto"/>
                <w:szCs w:val="21"/>
              </w:rPr>
            </w:pPr>
            <w:r>
              <w:rPr>
                <w:color w:val="auto"/>
                <w:szCs w:val="21"/>
              </w:rPr>
              <w:t>kg/h</w:t>
            </w:r>
          </w:p>
        </w:tc>
        <w:tc>
          <w:tcPr>
            <w:tcW w:w="1027" w:type="dxa"/>
            <w:vAlign w:val="center"/>
          </w:tcPr>
          <w:p>
            <w:pPr>
              <w:jc w:val="center"/>
              <w:rPr>
                <w:color w:val="auto"/>
                <w:szCs w:val="21"/>
              </w:rPr>
            </w:pPr>
            <w:r>
              <w:rPr>
                <w:color w:val="auto"/>
                <w:szCs w:val="21"/>
              </w:rPr>
              <w:t>产生量</w:t>
            </w:r>
          </w:p>
          <w:p>
            <w:pPr>
              <w:jc w:val="center"/>
              <w:rPr>
                <w:color w:val="auto"/>
                <w:szCs w:val="21"/>
              </w:rPr>
            </w:pPr>
            <w:r>
              <w:rPr>
                <w:color w:val="auto"/>
                <w:szCs w:val="21"/>
              </w:rPr>
              <w:t>t/a</w:t>
            </w:r>
          </w:p>
        </w:tc>
        <w:tc>
          <w:tcPr>
            <w:tcW w:w="1099" w:type="dxa"/>
            <w:vAlign w:val="center"/>
          </w:tcPr>
          <w:p>
            <w:pPr>
              <w:jc w:val="center"/>
              <w:rPr>
                <w:color w:val="auto"/>
                <w:szCs w:val="21"/>
              </w:rPr>
            </w:pPr>
            <w:r>
              <w:rPr>
                <w:color w:val="auto"/>
                <w:szCs w:val="21"/>
              </w:rPr>
              <w:t>排放浓度</w:t>
            </w:r>
          </w:p>
          <w:p>
            <w:pPr>
              <w:jc w:val="center"/>
              <w:rPr>
                <w:color w:val="auto"/>
                <w:szCs w:val="21"/>
              </w:rPr>
            </w:pPr>
            <w:r>
              <w:rPr>
                <w:color w:val="auto"/>
                <w:szCs w:val="21"/>
              </w:rPr>
              <w:t>mg/ m³</w:t>
            </w:r>
          </w:p>
        </w:tc>
        <w:tc>
          <w:tcPr>
            <w:tcW w:w="1141" w:type="dxa"/>
            <w:vAlign w:val="center"/>
          </w:tcPr>
          <w:p>
            <w:pPr>
              <w:jc w:val="center"/>
              <w:rPr>
                <w:color w:val="auto"/>
                <w:szCs w:val="21"/>
              </w:rPr>
            </w:pPr>
            <w:r>
              <w:rPr>
                <w:color w:val="auto"/>
                <w:szCs w:val="21"/>
              </w:rPr>
              <w:t>排放速率</w:t>
            </w:r>
          </w:p>
          <w:p>
            <w:pPr>
              <w:jc w:val="center"/>
              <w:rPr>
                <w:color w:val="auto"/>
                <w:szCs w:val="21"/>
              </w:rPr>
            </w:pPr>
            <w:r>
              <w:rPr>
                <w:color w:val="auto"/>
                <w:szCs w:val="21"/>
              </w:rPr>
              <w:t>kg/h</w:t>
            </w:r>
          </w:p>
        </w:tc>
        <w:tc>
          <w:tcPr>
            <w:tcW w:w="1027" w:type="dxa"/>
            <w:vAlign w:val="center"/>
          </w:tcPr>
          <w:p>
            <w:pPr>
              <w:jc w:val="center"/>
              <w:rPr>
                <w:color w:val="auto"/>
                <w:szCs w:val="21"/>
              </w:rPr>
            </w:pPr>
            <w:r>
              <w:rPr>
                <w:color w:val="auto"/>
                <w:szCs w:val="21"/>
              </w:rPr>
              <w:t>排放量</w:t>
            </w:r>
          </w:p>
          <w:p>
            <w:pPr>
              <w:jc w:val="center"/>
              <w:rPr>
                <w:color w:val="auto"/>
                <w:szCs w:val="21"/>
              </w:rPr>
            </w:pPr>
            <w:r>
              <w:rPr>
                <w:color w:val="auto"/>
                <w:szCs w:val="21"/>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3" w:hRule="atLeast"/>
        </w:trPr>
        <w:tc>
          <w:tcPr>
            <w:tcW w:w="1092" w:type="dxa"/>
            <w:vAlign w:val="center"/>
          </w:tcPr>
          <w:p>
            <w:pPr>
              <w:jc w:val="center"/>
              <w:rPr>
                <w:color w:val="auto"/>
                <w:szCs w:val="21"/>
              </w:rPr>
            </w:pPr>
            <w:r>
              <w:rPr>
                <w:color w:val="auto"/>
                <w:szCs w:val="21"/>
              </w:rPr>
              <w:t>颗粒物</w:t>
            </w:r>
          </w:p>
        </w:tc>
        <w:tc>
          <w:tcPr>
            <w:tcW w:w="1094" w:type="dxa"/>
            <w:vMerge w:val="restart"/>
            <w:vAlign w:val="center"/>
          </w:tcPr>
          <w:p>
            <w:pPr>
              <w:jc w:val="center"/>
              <w:rPr>
                <w:color w:val="auto"/>
                <w:szCs w:val="21"/>
              </w:rPr>
            </w:pPr>
            <w:r>
              <w:rPr>
                <w:color w:val="auto"/>
                <w:szCs w:val="21"/>
              </w:rPr>
              <w:t>3680</w:t>
            </w:r>
          </w:p>
        </w:tc>
        <w:tc>
          <w:tcPr>
            <w:tcW w:w="1099" w:type="dxa"/>
            <w:vAlign w:val="center"/>
          </w:tcPr>
          <w:p>
            <w:pPr>
              <w:jc w:val="center"/>
              <w:rPr>
                <w:color w:val="auto"/>
                <w:szCs w:val="21"/>
              </w:rPr>
            </w:pPr>
            <w:r>
              <w:rPr>
                <w:color w:val="auto"/>
                <w:szCs w:val="21"/>
              </w:rPr>
              <w:t>20</w:t>
            </w:r>
          </w:p>
        </w:tc>
        <w:tc>
          <w:tcPr>
            <w:tcW w:w="1141" w:type="dxa"/>
            <w:vAlign w:val="center"/>
          </w:tcPr>
          <w:p>
            <w:pPr>
              <w:jc w:val="center"/>
              <w:rPr>
                <w:color w:val="auto"/>
                <w:szCs w:val="21"/>
              </w:rPr>
            </w:pPr>
            <w:r>
              <w:rPr>
                <w:color w:val="auto"/>
              </w:rPr>
              <w:t>0.0736</w:t>
            </w:r>
          </w:p>
        </w:tc>
        <w:tc>
          <w:tcPr>
            <w:tcW w:w="1027" w:type="dxa"/>
            <w:vAlign w:val="center"/>
          </w:tcPr>
          <w:p>
            <w:pPr>
              <w:jc w:val="center"/>
              <w:rPr>
                <w:color w:val="auto"/>
                <w:szCs w:val="21"/>
              </w:rPr>
            </w:pPr>
            <w:r>
              <w:rPr>
                <w:color w:val="auto"/>
                <w:szCs w:val="21"/>
              </w:rPr>
              <w:t xml:space="preserve">0.3886 </w:t>
            </w:r>
          </w:p>
        </w:tc>
        <w:tc>
          <w:tcPr>
            <w:tcW w:w="1099" w:type="dxa"/>
            <w:vAlign w:val="center"/>
          </w:tcPr>
          <w:p>
            <w:pPr>
              <w:jc w:val="center"/>
              <w:rPr>
                <w:color w:val="auto"/>
                <w:szCs w:val="21"/>
              </w:rPr>
            </w:pPr>
            <w:r>
              <w:rPr>
                <w:color w:val="auto"/>
                <w:szCs w:val="21"/>
              </w:rPr>
              <w:t>2.67</w:t>
            </w:r>
          </w:p>
        </w:tc>
        <w:tc>
          <w:tcPr>
            <w:tcW w:w="1141" w:type="dxa"/>
            <w:vAlign w:val="center"/>
          </w:tcPr>
          <w:p>
            <w:pPr>
              <w:jc w:val="center"/>
              <w:rPr>
                <w:color w:val="auto"/>
                <w:szCs w:val="21"/>
              </w:rPr>
            </w:pPr>
            <w:r>
              <w:rPr>
                <w:color w:val="auto"/>
                <w:szCs w:val="21"/>
              </w:rPr>
              <w:t>0.00976</w:t>
            </w:r>
          </w:p>
        </w:tc>
        <w:tc>
          <w:tcPr>
            <w:tcW w:w="1027" w:type="dxa"/>
            <w:vAlign w:val="center"/>
          </w:tcPr>
          <w:p>
            <w:pPr>
              <w:jc w:val="center"/>
              <w:rPr>
                <w:color w:val="auto"/>
                <w:szCs w:val="21"/>
              </w:rPr>
            </w:pPr>
            <w:r>
              <w:rPr>
                <w:color w:val="auto"/>
                <w:szCs w:val="21"/>
              </w:rPr>
              <w:t xml:space="preserve">0.0515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3" w:hRule="atLeast"/>
        </w:trPr>
        <w:tc>
          <w:tcPr>
            <w:tcW w:w="1092" w:type="dxa"/>
            <w:vAlign w:val="center"/>
          </w:tcPr>
          <w:p>
            <w:pPr>
              <w:jc w:val="center"/>
              <w:rPr>
                <w:color w:val="auto"/>
                <w:szCs w:val="21"/>
              </w:rPr>
            </w:pPr>
            <w:r>
              <w:rPr>
                <w:color w:val="auto"/>
                <w:szCs w:val="21"/>
              </w:rPr>
              <w:t>氨气</w:t>
            </w:r>
          </w:p>
        </w:tc>
        <w:tc>
          <w:tcPr>
            <w:tcW w:w="1094" w:type="dxa"/>
            <w:vMerge w:val="continue"/>
            <w:vAlign w:val="center"/>
          </w:tcPr>
          <w:p>
            <w:pPr>
              <w:jc w:val="center"/>
              <w:rPr>
                <w:color w:val="auto"/>
                <w:szCs w:val="21"/>
              </w:rPr>
            </w:pPr>
          </w:p>
        </w:tc>
        <w:tc>
          <w:tcPr>
            <w:tcW w:w="1099" w:type="dxa"/>
            <w:vAlign w:val="center"/>
          </w:tcPr>
          <w:p>
            <w:pPr>
              <w:jc w:val="center"/>
              <w:rPr>
                <w:color w:val="auto"/>
                <w:szCs w:val="21"/>
              </w:rPr>
            </w:pPr>
            <w:r>
              <w:rPr>
                <w:color w:val="auto"/>
              </w:rPr>
              <w:t>4.89</w:t>
            </w:r>
          </w:p>
        </w:tc>
        <w:tc>
          <w:tcPr>
            <w:tcW w:w="1141" w:type="dxa"/>
            <w:vAlign w:val="center"/>
          </w:tcPr>
          <w:p>
            <w:pPr>
              <w:jc w:val="center"/>
              <w:rPr>
                <w:color w:val="auto"/>
                <w:szCs w:val="21"/>
              </w:rPr>
            </w:pPr>
            <w:r>
              <w:rPr>
                <w:color w:val="auto"/>
              </w:rPr>
              <w:t>0.018</w:t>
            </w:r>
          </w:p>
        </w:tc>
        <w:tc>
          <w:tcPr>
            <w:tcW w:w="1027" w:type="dxa"/>
            <w:vAlign w:val="center"/>
          </w:tcPr>
          <w:p>
            <w:pPr>
              <w:jc w:val="center"/>
              <w:rPr>
                <w:color w:val="auto"/>
                <w:szCs w:val="21"/>
              </w:rPr>
            </w:pPr>
            <w:r>
              <w:rPr>
                <w:color w:val="auto"/>
                <w:szCs w:val="21"/>
              </w:rPr>
              <w:t xml:space="preserve">0.0950 </w:t>
            </w:r>
          </w:p>
        </w:tc>
        <w:tc>
          <w:tcPr>
            <w:tcW w:w="1099" w:type="dxa"/>
            <w:vAlign w:val="center"/>
          </w:tcPr>
          <w:p>
            <w:pPr>
              <w:jc w:val="center"/>
              <w:rPr>
                <w:color w:val="auto"/>
                <w:szCs w:val="21"/>
              </w:rPr>
            </w:pPr>
            <w:r>
              <w:rPr>
                <w:color w:val="auto"/>
                <w:szCs w:val="21"/>
              </w:rPr>
              <w:t>3.66</w:t>
            </w:r>
          </w:p>
        </w:tc>
        <w:tc>
          <w:tcPr>
            <w:tcW w:w="1141" w:type="dxa"/>
            <w:vAlign w:val="center"/>
          </w:tcPr>
          <w:p>
            <w:pPr>
              <w:jc w:val="center"/>
              <w:rPr>
                <w:color w:val="auto"/>
                <w:szCs w:val="21"/>
              </w:rPr>
            </w:pPr>
            <w:r>
              <w:rPr>
                <w:color w:val="auto"/>
                <w:szCs w:val="21"/>
              </w:rPr>
              <w:t>0.0134</w:t>
            </w:r>
          </w:p>
        </w:tc>
        <w:tc>
          <w:tcPr>
            <w:tcW w:w="1027" w:type="dxa"/>
            <w:vAlign w:val="center"/>
          </w:tcPr>
          <w:p>
            <w:pPr>
              <w:jc w:val="center"/>
              <w:rPr>
                <w:color w:val="auto"/>
                <w:szCs w:val="21"/>
              </w:rPr>
            </w:pPr>
            <w:r>
              <w:rPr>
                <w:color w:val="auto"/>
                <w:szCs w:val="21"/>
              </w:rPr>
              <w:t xml:space="preserve">0.0708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3" w:hRule="atLeast"/>
        </w:trPr>
        <w:tc>
          <w:tcPr>
            <w:tcW w:w="1092" w:type="dxa"/>
            <w:vAlign w:val="center"/>
          </w:tcPr>
          <w:p>
            <w:pPr>
              <w:jc w:val="center"/>
              <w:rPr>
                <w:color w:val="auto"/>
                <w:szCs w:val="21"/>
              </w:rPr>
            </w:pPr>
            <w:r>
              <w:rPr>
                <w:color w:val="auto"/>
                <w:szCs w:val="21"/>
              </w:rPr>
              <w:t>硫化氢</w:t>
            </w:r>
          </w:p>
        </w:tc>
        <w:tc>
          <w:tcPr>
            <w:tcW w:w="1094" w:type="dxa"/>
            <w:vMerge w:val="continue"/>
            <w:vAlign w:val="center"/>
          </w:tcPr>
          <w:p>
            <w:pPr>
              <w:jc w:val="center"/>
              <w:rPr>
                <w:color w:val="auto"/>
                <w:szCs w:val="21"/>
              </w:rPr>
            </w:pPr>
          </w:p>
        </w:tc>
        <w:tc>
          <w:tcPr>
            <w:tcW w:w="1099" w:type="dxa"/>
            <w:vAlign w:val="center"/>
          </w:tcPr>
          <w:p>
            <w:pPr>
              <w:jc w:val="center"/>
              <w:rPr>
                <w:color w:val="auto"/>
                <w:szCs w:val="21"/>
              </w:rPr>
            </w:pPr>
            <w:r>
              <w:rPr>
                <w:color w:val="auto"/>
              </w:rPr>
              <w:t>0.03</w:t>
            </w:r>
          </w:p>
        </w:tc>
        <w:tc>
          <w:tcPr>
            <w:tcW w:w="1141" w:type="dxa"/>
            <w:vAlign w:val="center"/>
          </w:tcPr>
          <w:p>
            <w:pPr>
              <w:jc w:val="center"/>
              <w:rPr>
                <w:color w:val="auto"/>
                <w:szCs w:val="21"/>
              </w:rPr>
            </w:pPr>
            <w:r>
              <w:rPr>
                <w:color w:val="auto"/>
              </w:rPr>
              <w:t>0.0000918</w:t>
            </w:r>
          </w:p>
        </w:tc>
        <w:tc>
          <w:tcPr>
            <w:tcW w:w="1027" w:type="dxa"/>
            <w:vAlign w:val="center"/>
          </w:tcPr>
          <w:p>
            <w:pPr>
              <w:jc w:val="center"/>
              <w:rPr>
                <w:color w:val="auto"/>
                <w:szCs w:val="21"/>
              </w:rPr>
            </w:pPr>
            <w:r>
              <w:rPr>
                <w:color w:val="auto"/>
                <w:szCs w:val="21"/>
              </w:rPr>
              <w:t xml:space="preserve">0.0005 </w:t>
            </w:r>
          </w:p>
        </w:tc>
        <w:tc>
          <w:tcPr>
            <w:tcW w:w="1099" w:type="dxa"/>
            <w:vAlign w:val="center"/>
          </w:tcPr>
          <w:p>
            <w:pPr>
              <w:jc w:val="center"/>
              <w:rPr>
                <w:color w:val="auto"/>
                <w:szCs w:val="21"/>
              </w:rPr>
            </w:pPr>
            <w:r>
              <w:rPr>
                <w:color w:val="auto"/>
                <w:szCs w:val="21"/>
              </w:rPr>
              <w:t>0.02</w:t>
            </w:r>
          </w:p>
        </w:tc>
        <w:tc>
          <w:tcPr>
            <w:tcW w:w="1141" w:type="dxa"/>
            <w:vAlign w:val="center"/>
          </w:tcPr>
          <w:p>
            <w:pPr>
              <w:jc w:val="center"/>
              <w:rPr>
                <w:color w:val="auto"/>
                <w:szCs w:val="21"/>
              </w:rPr>
            </w:pPr>
            <w:r>
              <w:rPr>
                <w:color w:val="auto"/>
                <w:szCs w:val="21"/>
              </w:rPr>
              <w:t>0.0000816</w:t>
            </w:r>
          </w:p>
        </w:tc>
        <w:tc>
          <w:tcPr>
            <w:tcW w:w="1027" w:type="dxa"/>
            <w:vAlign w:val="center"/>
          </w:tcPr>
          <w:p>
            <w:pPr>
              <w:jc w:val="center"/>
              <w:rPr>
                <w:color w:val="auto"/>
                <w:szCs w:val="21"/>
              </w:rPr>
            </w:pPr>
            <w:r>
              <w:rPr>
                <w:color w:val="auto"/>
                <w:szCs w:val="21"/>
              </w:rPr>
              <w:t xml:space="preserve">0.0004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3" w:hRule="atLeast"/>
        </w:trPr>
        <w:tc>
          <w:tcPr>
            <w:tcW w:w="1092" w:type="dxa"/>
            <w:vAlign w:val="center"/>
          </w:tcPr>
          <w:p>
            <w:pPr>
              <w:ind w:left="-105" w:leftChars="-50" w:right="-105" w:rightChars="-50"/>
              <w:jc w:val="center"/>
              <w:rPr>
                <w:color w:val="auto"/>
                <w:szCs w:val="21"/>
              </w:rPr>
            </w:pPr>
            <w:r>
              <w:rPr>
                <w:color w:val="auto"/>
              </w:rPr>
              <w:t>非甲烷总烃</w:t>
            </w:r>
          </w:p>
        </w:tc>
        <w:tc>
          <w:tcPr>
            <w:tcW w:w="1094" w:type="dxa"/>
            <w:vMerge w:val="continue"/>
            <w:vAlign w:val="center"/>
          </w:tcPr>
          <w:p>
            <w:pPr>
              <w:jc w:val="center"/>
              <w:rPr>
                <w:color w:val="auto"/>
                <w:szCs w:val="21"/>
              </w:rPr>
            </w:pPr>
          </w:p>
        </w:tc>
        <w:tc>
          <w:tcPr>
            <w:tcW w:w="1099" w:type="dxa"/>
            <w:vAlign w:val="center"/>
          </w:tcPr>
          <w:p>
            <w:pPr>
              <w:jc w:val="center"/>
              <w:rPr>
                <w:color w:val="auto"/>
                <w:szCs w:val="21"/>
              </w:rPr>
            </w:pPr>
            <w:r>
              <w:rPr>
                <w:color w:val="auto"/>
              </w:rPr>
              <w:t>1.10</w:t>
            </w:r>
          </w:p>
        </w:tc>
        <w:tc>
          <w:tcPr>
            <w:tcW w:w="1141" w:type="dxa"/>
            <w:vAlign w:val="center"/>
          </w:tcPr>
          <w:p>
            <w:pPr>
              <w:jc w:val="center"/>
              <w:rPr>
                <w:color w:val="auto"/>
                <w:szCs w:val="21"/>
              </w:rPr>
            </w:pPr>
            <w:r>
              <w:rPr>
                <w:color w:val="auto"/>
              </w:rPr>
              <w:t>0.00368</w:t>
            </w:r>
          </w:p>
        </w:tc>
        <w:tc>
          <w:tcPr>
            <w:tcW w:w="1027" w:type="dxa"/>
            <w:vAlign w:val="center"/>
          </w:tcPr>
          <w:p>
            <w:pPr>
              <w:jc w:val="center"/>
              <w:rPr>
                <w:color w:val="auto"/>
                <w:szCs w:val="21"/>
              </w:rPr>
            </w:pPr>
            <w:r>
              <w:rPr>
                <w:color w:val="auto"/>
                <w:szCs w:val="21"/>
              </w:rPr>
              <w:t xml:space="preserve">0.0194 </w:t>
            </w:r>
          </w:p>
        </w:tc>
        <w:tc>
          <w:tcPr>
            <w:tcW w:w="1099" w:type="dxa"/>
            <w:vAlign w:val="center"/>
          </w:tcPr>
          <w:p>
            <w:pPr>
              <w:jc w:val="center"/>
              <w:rPr>
                <w:color w:val="auto"/>
                <w:szCs w:val="21"/>
              </w:rPr>
            </w:pPr>
            <w:r>
              <w:rPr>
                <w:color w:val="auto"/>
                <w:szCs w:val="21"/>
              </w:rPr>
              <w:t>0.61</w:t>
            </w:r>
          </w:p>
        </w:tc>
        <w:tc>
          <w:tcPr>
            <w:tcW w:w="1141" w:type="dxa"/>
            <w:vAlign w:val="center"/>
          </w:tcPr>
          <w:p>
            <w:pPr>
              <w:jc w:val="center"/>
              <w:rPr>
                <w:color w:val="auto"/>
                <w:szCs w:val="21"/>
              </w:rPr>
            </w:pPr>
            <w:r>
              <w:rPr>
                <w:color w:val="auto"/>
                <w:szCs w:val="21"/>
              </w:rPr>
              <w:t>0.00224</w:t>
            </w:r>
          </w:p>
        </w:tc>
        <w:tc>
          <w:tcPr>
            <w:tcW w:w="1027" w:type="dxa"/>
            <w:vAlign w:val="center"/>
          </w:tcPr>
          <w:p>
            <w:pPr>
              <w:jc w:val="center"/>
              <w:rPr>
                <w:color w:val="auto"/>
                <w:szCs w:val="21"/>
              </w:rPr>
            </w:pPr>
            <w:r>
              <w:rPr>
                <w:color w:val="auto"/>
                <w:szCs w:val="21"/>
              </w:rPr>
              <w:t xml:space="preserve">0.0118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97" w:hRule="atLeast"/>
        </w:trPr>
        <w:tc>
          <w:tcPr>
            <w:tcW w:w="1092" w:type="dxa"/>
            <w:vAlign w:val="center"/>
          </w:tcPr>
          <w:p>
            <w:pPr>
              <w:jc w:val="center"/>
              <w:rPr>
                <w:color w:val="auto"/>
                <w:szCs w:val="21"/>
              </w:rPr>
            </w:pPr>
            <w:r>
              <w:rPr>
                <w:color w:val="auto"/>
                <w:szCs w:val="21"/>
              </w:rPr>
              <w:t>臭气浓度</w:t>
            </w:r>
          </w:p>
        </w:tc>
        <w:tc>
          <w:tcPr>
            <w:tcW w:w="1094" w:type="dxa"/>
            <w:vMerge w:val="continue"/>
            <w:vAlign w:val="center"/>
          </w:tcPr>
          <w:p>
            <w:pPr>
              <w:jc w:val="center"/>
              <w:rPr>
                <w:color w:val="auto"/>
                <w:szCs w:val="21"/>
              </w:rPr>
            </w:pPr>
          </w:p>
        </w:tc>
        <w:tc>
          <w:tcPr>
            <w:tcW w:w="3267" w:type="dxa"/>
            <w:gridSpan w:val="3"/>
            <w:vAlign w:val="center"/>
          </w:tcPr>
          <w:p>
            <w:pPr>
              <w:jc w:val="center"/>
              <w:rPr>
                <w:color w:val="auto"/>
                <w:szCs w:val="21"/>
              </w:rPr>
            </w:pPr>
            <w:r>
              <w:rPr>
                <w:color w:val="auto"/>
                <w:szCs w:val="21"/>
              </w:rPr>
              <w:t>753（无量纲）</w:t>
            </w:r>
          </w:p>
        </w:tc>
        <w:tc>
          <w:tcPr>
            <w:tcW w:w="3267" w:type="dxa"/>
            <w:gridSpan w:val="3"/>
            <w:vAlign w:val="center"/>
          </w:tcPr>
          <w:p>
            <w:pPr>
              <w:jc w:val="center"/>
              <w:rPr>
                <w:color w:val="auto"/>
                <w:szCs w:val="21"/>
              </w:rPr>
            </w:pPr>
            <w:r>
              <w:rPr>
                <w:color w:val="auto"/>
                <w:szCs w:val="21"/>
              </w:rPr>
              <w:t>564（无量纲）</w:t>
            </w:r>
          </w:p>
        </w:tc>
      </w:tr>
    </w:tbl>
    <w:p>
      <w:pPr>
        <w:pStyle w:val="130"/>
        <w:spacing w:before="120" w:beforeLines="50"/>
        <w:ind w:firstLine="480"/>
        <w:rPr>
          <w:color w:val="auto"/>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r>
        <w:rPr>
          <w:rFonts w:hint="eastAsia"/>
          <w:color w:val="auto"/>
        </w:rPr>
        <w:t>本项目建成后全厂高温蒸汽灭菌系统废气</w:t>
      </w:r>
    </w:p>
    <w:p>
      <w:pPr>
        <w:pStyle w:val="130"/>
        <w:ind w:firstLine="480"/>
        <w:rPr>
          <w:color w:val="auto"/>
        </w:rPr>
      </w:pPr>
      <w:r>
        <w:rPr>
          <w:rFonts w:hint="eastAsia"/>
          <w:color w:val="auto"/>
        </w:rPr>
        <w:t>本项目建成后全厂医疗废物最大处理规模为8t/d，现有工程3t/d高温蒸汽灭菌系统有组织废气排气筒已拆除，并入新建“碱洗喷淋+等离子+活性炭”废气处理措施，然后通过15m高排气筒排放，拆除前未进行过有组织废气检测。因此类比本项目5t/d现状污染源监测数据进行折算，确定本项目建成后全厂高温蒸汽灭菌系统有组织废气污染物产排情况见下表。</w:t>
      </w:r>
    </w:p>
    <w:p>
      <w:pPr>
        <w:pStyle w:val="114"/>
        <w:spacing w:before="0" w:beforeLines="0"/>
        <w:rPr>
          <w:color w:val="auto"/>
        </w:rPr>
      </w:pPr>
      <w:r>
        <w:rPr>
          <w:color w:val="auto"/>
        </w:rPr>
        <w:t>表4.8-</w:t>
      </w:r>
      <w:r>
        <w:rPr>
          <w:rFonts w:hint="eastAsia"/>
          <w:color w:val="auto"/>
        </w:rPr>
        <w:t>8本项目建成后全厂</w:t>
      </w:r>
      <w:r>
        <w:rPr>
          <w:color w:val="auto"/>
        </w:rPr>
        <w:t>高温蒸汽灭菌系统有组织废气污染物产排情况一览表</w:t>
      </w:r>
    </w:p>
    <w:tbl>
      <w:tblPr>
        <w:tblStyle w:val="74"/>
        <w:tblW w:w="8842" w:type="dxa"/>
        <w:tblInd w:w="0" w:type="dxa"/>
        <w:tblLayout w:type="fixed"/>
        <w:tblCellMar>
          <w:top w:w="0" w:type="dxa"/>
          <w:left w:w="108" w:type="dxa"/>
          <w:bottom w:w="0" w:type="dxa"/>
          <w:right w:w="108" w:type="dxa"/>
        </w:tblCellMar>
      </w:tblPr>
      <w:tblGrid>
        <w:gridCol w:w="1396"/>
        <w:gridCol w:w="1112"/>
        <w:gridCol w:w="1134"/>
        <w:gridCol w:w="1088"/>
        <w:gridCol w:w="916"/>
        <w:gridCol w:w="1134"/>
        <w:gridCol w:w="1134"/>
        <w:gridCol w:w="928"/>
      </w:tblGrid>
      <w:tr>
        <w:tblPrEx>
          <w:tblLayout w:type="fixed"/>
          <w:tblCellMar>
            <w:top w:w="0" w:type="dxa"/>
            <w:left w:w="108" w:type="dxa"/>
            <w:bottom w:w="0" w:type="dxa"/>
            <w:right w:w="108" w:type="dxa"/>
          </w:tblCellMar>
        </w:tblPrEx>
        <w:trPr>
          <w:trHeight w:val="422" w:hRule="atLeast"/>
        </w:trPr>
        <w:tc>
          <w:tcPr>
            <w:tcW w:w="1396" w:type="dxa"/>
            <w:vMerge w:val="restart"/>
            <w:tcBorders>
              <w:top w:val="single" w:color="000000" w:sz="12" w:space="0"/>
              <w:left w:val="single" w:color="000000" w:sz="12"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污染物</w:t>
            </w:r>
          </w:p>
        </w:tc>
        <w:tc>
          <w:tcPr>
            <w:tcW w:w="1112" w:type="dxa"/>
            <w:tcBorders>
              <w:top w:val="single" w:color="000000" w:sz="12"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风机风量</w:t>
            </w:r>
          </w:p>
        </w:tc>
        <w:tc>
          <w:tcPr>
            <w:tcW w:w="1134" w:type="dxa"/>
            <w:tcBorders>
              <w:top w:val="single" w:color="000000" w:sz="12"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产生浓度</w:t>
            </w:r>
          </w:p>
        </w:tc>
        <w:tc>
          <w:tcPr>
            <w:tcW w:w="1088" w:type="dxa"/>
            <w:tcBorders>
              <w:top w:val="single" w:color="000000" w:sz="12"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产生速率</w:t>
            </w:r>
          </w:p>
        </w:tc>
        <w:tc>
          <w:tcPr>
            <w:tcW w:w="916" w:type="dxa"/>
            <w:tcBorders>
              <w:top w:val="single" w:color="000000" w:sz="12"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产生量</w:t>
            </w:r>
          </w:p>
        </w:tc>
        <w:tc>
          <w:tcPr>
            <w:tcW w:w="1134" w:type="dxa"/>
            <w:tcBorders>
              <w:top w:val="single" w:color="000000" w:sz="12"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排放浓度</w:t>
            </w:r>
          </w:p>
        </w:tc>
        <w:tc>
          <w:tcPr>
            <w:tcW w:w="1134" w:type="dxa"/>
            <w:tcBorders>
              <w:top w:val="single" w:color="000000" w:sz="12"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排放速率</w:t>
            </w:r>
          </w:p>
        </w:tc>
        <w:tc>
          <w:tcPr>
            <w:tcW w:w="928" w:type="dxa"/>
            <w:tcBorders>
              <w:top w:val="single" w:color="000000" w:sz="12" w:space="0"/>
              <w:left w:val="single" w:color="000000" w:sz="4" w:space="0"/>
              <w:bottom w:val="single" w:color="000000" w:sz="4" w:space="0"/>
              <w:right w:val="single" w:color="000000" w:sz="12"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排放量</w:t>
            </w:r>
          </w:p>
        </w:tc>
      </w:tr>
      <w:tr>
        <w:tblPrEx>
          <w:tblLayout w:type="fixed"/>
          <w:tblCellMar>
            <w:top w:w="0" w:type="dxa"/>
            <w:left w:w="108" w:type="dxa"/>
            <w:bottom w:w="0" w:type="dxa"/>
            <w:right w:w="108" w:type="dxa"/>
          </w:tblCellMar>
        </w:tblPrEx>
        <w:trPr>
          <w:trHeight w:val="422" w:hRule="atLeast"/>
        </w:trPr>
        <w:tc>
          <w:tcPr>
            <w:tcW w:w="1396" w:type="dxa"/>
            <w:vMerge w:val="continue"/>
            <w:tcBorders>
              <w:top w:val="single" w:color="000000" w:sz="4" w:space="0"/>
              <w:left w:val="single" w:color="000000" w:sz="12" w:space="0"/>
              <w:bottom w:val="single" w:color="000000" w:sz="4" w:space="0"/>
              <w:right w:val="single" w:color="000000" w:sz="4" w:space="0"/>
            </w:tcBorders>
            <w:shd w:val="clear" w:color="auto" w:fill="auto"/>
            <w:vAlign w:val="center"/>
          </w:tcPr>
          <w:p>
            <w:pPr>
              <w:jc w:val="center"/>
              <w:rPr>
                <w:rFonts w:ascii="宋体" w:hAnsi="宋体" w:cs="宋体"/>
                <w:color w:val="auto"/>
                <w:szCs w:val="21"/>
              </w:rPr>
            </w:pPr>
          </w:p>
        </w:tc>
        <w:tc>
          <w:tcPr>
            <w:tcW w:w="11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m³/h</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mg/m³</w:t>
            </w:r>
          </w:p>
        </w:tc>
        <w:tc>
          <w:tcPr>
            <w:tcW w:w="108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kg/h</w:t>
            </w:r>
          </w:p>
        </w:tc>
        <w:tc>
          <w:tcPr>
            <w:tcW w:w="9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t/a</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mg/m³</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kg/h</w:t>
            </w:r>
          </w:p>
        </w:tc>
        <w:tc>
          <w:tcPr>
            <w:tcW w:w="928" w:type="dxa"/>
            <w:tcBorders>
              <w:top w:val="single" w:color="000000" w:sz="4" w:space="0"/>
              <w:left w:val="single" w:color="000000" w:sz="4" w:space="0"/>
              <w:bottom w:val="single" w:color="000000" w:sz="4" w:space="0"/>
              <w:right w:val="single" w:color="000000" w:sz="12" w:space="0"/>
            </w:tcBorders>
            <w:shd w:val="clear" w:color="auto" w:fill="auto"/>
            <w:vAlign w:val="center"/>
          </w:tcPr>
          <w:p>
            <w:pPr>
              <w:widowControl/>
              <w:jc w:val="center"/>
              <w:textAlignment w:val="center"/>
              <w:rPr>
                <w:color w:val="auto"/>
                <w:szCs w:val="21"/>
              </w:rPr>
            </w:pPr>
            <w:r>
              <w:rPr>
                <w:color w:val="auto"/>
                <w:kern w:val="0"/>
                <w:szCs w:val="21"/>
                <w:lang w:bidi="ar"/>
              </w:rPr>
              <w:t>t/a</w:t>
            </w:r>
          </w:p>
        </w:tc>
      </w:tr>
      <w:tr>
        <w:tblPrEx>
          <w:tblLayout w:type="fixed"/>
          <w:tblCellMar>
            <w:top w:w="0" w:type="dxa"/>
            <w:left w:w="108" w:type="dxa"/>
            <w:bottom w:w="0" w:type="dxa"/>
            <w:right w:w="108" w:type="dxa"/>
          </w:tblCellMar>
        </w:tblPrEx>
        <w:trPr>
          <w:trHeight w:val="402" w:hRule="atLeast"/>
        </w:trPr>
        <w:tc>
          <w:tcPr>
            <w:tcW w:w="1396" w:type="dxa"/>
            <w:tcBorders>
              <w:top w:val="single" w:color="000000" w:sz="4" w:space="0"/>
              <w:left w:val="single" w:color="000000" w:sz="12"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颗粒物</w:t>
            </w:r>
          </w:p>
        </w:tc>
        <w:tc>
          <w:tcPr>
            <w:tcW w:w="111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6000</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20</w:t>
            </w:r>
          </w:p>
        </w:tc>
        <w:tc>
          <w:tcPr>
            <w:tcW w:w="108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0.12</w:t>
            </w:r>
          </w:p>
        </w:tc>
        <w:tc>
          <w:tcPr>
            <w:tcW w:w="9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 xml:space="preserve">0.6336 </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2.67</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 xml:space="preserve">0.0160 </w:t>
            </w:r>
          </w:p>
        </w:tc>
        <w:tc>
          <w:tcPr>
            <w:tcW w:w="928" w:type="dxa"/>
            <w:tcBorders>
              <w:top w:val="single" w:color="000000" w:sz="4" w:space="0"/>
              <w:left w:val="single" w:color="000000" w:sz="4" w:space="0"/>
              <w:bottom w:val="single" w:color="000000" w:sz="4" w:space="0"/>
              <w:right w:val="single" w:color="000000" w:sz="12" w:space="0"/>
            </w:tcBorders>
            <w:shd w:val="clear" w:color="auto" w:fill="auto"/>
            <w:vAlign w:val="center"/>
          </w:tcPr>
          <w:p>
            <w:pPr>
              <w:widowControl/>
              <w:jc w:val="center"/>
              <w:textAlignment w:val="center"/>
              <w:rPr>
                <w:color w:val="auto"/>
                <w:szCs w:val="21"/>
              </w:rPr>
            </w:pPr>
            <w:r>
              <w:rPr>
                <w:color w:val="auto"/>
                <w:kern w:val="0"/>
                <w:szCs w:val="21"/>
                <w:lang w:bidi="ar"/>
              </w:rPr>
              <w:t xml:space="preserve">0.0846 </w:t>
            </w:r>
          </w:p>
        </w:tc>
      </w:tr>
      <w:tr>
        <w:tblPrEx>
          <w:tblLayout w:type="fixed"/>
          <w:tblCellMar>
            <w:top w:w="0" w:type="dxa"/>
            <w:left w:w="108" w:type="dxa"/>
            <w:bottom w:w="0" w:type="dxa"/>
            <w:right w:w="108" w:type="dxa"/>
          </w:tblCellMar>
        </w:tblPrEx>
        <w:trPr>
          <w:trHeight w:val="402" w:hRule="atLeast"/>
        </w:trPr>
        <w:tc>
          <w:tcPr>
            <w:tcW w:w="1396" w:type="dxa"/>
            <w:tcBorders>
              <w:top w:val="single" w:color="000000" w:sz="4" w:space="0"/>
              <w:left w:val="single" w:color="000000" w:sz="12"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氨气</w:t>
            </w:r>
          </w:p>
        </w:tc>
        <w:tc>
          <w:tcPr>
            <w:tcW w:w="111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szCs w:val="21"/>
              </w:rPr>
            </w:pP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4.89</w:t>
            </w:r>
          </w:p>
        </w:tc>
        <w:tc>
          <w:tcPr>
            <w:tcW w:w="108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0.02934</w:t>
            </w:r>
          </w:p>
        </w:tc>
        <w:tc>
          <w:tcPr>
            <w:tcW w:w="9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 xml:space="preserve">0.1549 </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3.66</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 xml:space="preserve">0.0220 </w:t>
            </w:r>
          </w:p>
        </w:tc>
        <w:tc>
          <w:tcPr>
            <w:tcW w:w="928" w:type="dxa"/>
            <w:tcBorders>
              <w:top w:val="single" w:color="000000" w:sz="4" w:space="0"/>
              <w:left w:val="single" w:color="000000" w:sz="4" w:space="0"/>
              <w:bottom w:val="single" w:color="000000" w:sz="4" w:space="0"/>
              <w:right w:val="single" w:color="000000" w:sz="12" w:space="0"/>
            </w:tcBorders>
            <w:shd w:val="clear" w:color="auto" w:fill="auto"/>
            <w:vAlign w:val="center"/>
          </w:tcPr>
          <w:p>
            <w:pPr>
              <w:widowControl/>
              <w:jc w:val="center"/>
              <w:textAlignment w:val="center"/>
              <w:rPr>
                <w:color w:val="auto"/>
                <w:szCs w:val="21"/>
              </w:rPr>
            </w:pPr>
            <w:r>
              <w:rPr>
                <w:color w:val="auto"/>
                <w:kern w:val="0"/>
                <w:szCs w:val="21"/>
                <w:lang w:bidi="ar"/>
              </w:rPr>
              <w:t xml:space="preserve">0.1159 </w:t>
            </w:r>
          </w:p>
        </w:tc>
      </w:tr>
      <w:tr>
        <w:tblPrEx>
          <w:tblLayout w:type="fixed"/>
          <w:tblCellMar>
            <w:top w:w="0" w:type="dxa"/>
            <w:left w:w="108" w:type="dxa"/>
            <w:bottom w:w="0" w:type="dxa"/>
            <w:right w:w="108" w:type="dxa"/>
          </w:tblCellMar>
        </w:tblPrEx>
        <w:trPr>
          <w:trHeight w:val="402" w:hRule="atLeast"/>
        </w:trPr>
        <w:tc>
          <w:tcPr>
            <w:tcW w:w="1396" w:type="dxa"/>
            <w:tcBorders>
              <w:top w:val="single" w:color="000000" w:sz="4" w:space="0"/>
              <w:left w:val="single" w:color="000000" w:sz="12"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硫化氢</w:t>
            </w:r>
          </w:p>
        </w:tc>
        <w:tc>
          <w:tcPr>
            <w:tcW w:w="111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szCs w:val="21"/>
              </w:rPr>
            </w:pP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0.03</w:t>
            </w:r>
          </w:p>
        </w:tc>
        <w:tc>
          <w:tcPr>
            <w:tcW w:w="108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0.00018</w:t>
            </w:r>
          </w:p>
        </w:tc>
        <w:tc>
          <w:tcPr>
            <w:tcW w:w="9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 xml:space="preserve">0.0010 </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0.02</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 xml:space="preserve">0.0001 </w:t>
            </w:r>
          </w:p>
        </w:tc>
        <w:tc>
          <w:tcPr>
            <w:tcW w:w="928" w:type="dxa"/>
            <w:tcBorders>
              <w:top w:val="single" w:color="000000" w:sz="4" w:space="0"/>
              <w:left w:val="single" w:color="000000" w:sz="4" w:space="0"/>
              <w:bottom w:val="single" w:color="000000" w:sz="4" w:space="0"/>
              <w:right w:val="single" w:color="000000" w:sz="12" w:space="0"/>
            </w:tcBorders>
            <w:shd w:val="clear" w:color="auto" w:fill="auto"/>
            <w:vAlign w:val="center"/>
          </w:tcPr>
          <w:p>
            <w:pPr>
              <w:widowControl/>
              <w:jc w:val="center"/>
              <w:textAlignment w:val="center"/>
              <w:rPr>
                <w:color w:val="auto"/>
                <w:szCs w:val="21"/>
              </w:rPr>
            </w:pPr>
            <w:r>
              <w:rPr>
                <w:color w:val="auto"/>
                <w:kern w:val="0"/>
                <w:szCs w:val="21"/>
                <w:lang w:bidi="ar"/>
              </w:rPr>
              <w:t xml:space="preserve">0.0006 </w:t>
            </w:r>
          </w:p>
        </w:tc>
      </w:tr>
      <w:tr>
        <w:tblPrEx>
          <w:tblLayout w:type="fixed"/>
          <w:tblCellMar>
            <w:top w:w="0" w:type="dxa"/>
            <w:left w:w="108" w:type="dxa"/>
            <w:bottom w:w="0" w:type="dxa"/>
            <w:right w:w="108" w:type="dxa"/>
          </w:tblCellMar>
        </w:tblPrEx>
        <w:trPr>
          <w:trHeight w:val="447" w:hRule="atLeast"/>
        </w:trPr>
        <w:tc>
          <w:tcPr>
            <w:tcW w:w="1396" w:type="dxa"/>
            <w:tcBorders>
              <w:top w:val="single" w:color="000000" w:sz="4" w:space="0"/>
              <w:left w:val="single" w:color="000000" w:sz="12"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非甲烷总烃</w:t>
            </w:r>
          </w:p>
        </w:tc>
        <w:tc>
          <w:tcPr>
            <w:tcW w:w="111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color w:val="auto"/>
                <w:szCs w:val="21"/>
              </w:rPr>
            </w:pP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1.1</w:t>
            </w:r>
          </w:p>
        </w:tc>
        <w:tc>
          <w:tcPr>
            <w:tcW w:w="108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0.0066</w:t>
            </w:r>
          </w:p>
        </w:tc>
        <w:tc>
          <w:tcPr>
            <w:tcW w:w="9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 xml:space="preserve">0.0348 </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0.61</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 xml:space="preserve">0.0037 </w:t>
            </w:r>
          </w:p>
        </w:tc>
        <w:tc>
          <w:tcPr>
            <w:tcW w:w="928" w:type="dxa"/>
            <w:tcBorders>
              <w:top w:val="single" w:color="000000" w:sz="4" w:space="0"/>
              <w:left w:val="single" w:color="000000" w:sz="4" w:space="0"/>
              <w:bottom w:val="single" w:color="000000" w:sz="4" w:space="0"/>
              <w:right w:val="single" w:color="000000" w:sz="12" w:space="0"/>
            </w:tcBorders>
            <w:shd w:val="clear" w:color="auto" w:fill="auto"/>
            <w:vAlign w:val="center"/>
          </w:tcPr>
          <w:p>
            <w:pPr>
              <w:widowControl/>
              <w:jc w:val="center"/>
              <w:textAlignment w:val="center"/>
              <w:rPr>
                <w:color w:val="auto"/>
                <w:szCs w:val="21"/>
              </w:rPr>
            </w:pPr>
            <w:r>
              <w:rPr>
                <w:color w:val="auto"/>
                <w:kern w:val="0"/>
                <w:szCs w:val="21"/>
                <w:lang w:bidi="ar"/>
              </w:rPr>
              <w:t xml:space="preserve">0.0193 </w:t>
            </w:r>
          </w:p>
        </w:tc>
      </w:tr>
      <w:tr>
        <w:tblPrEx>
          <w:tblLayout w:type="fixed"/>
          <w:tblCellMar>
            <w:top w:w="0" w:type="dxa"/>
            <w:left w:w="108" w:type="dxa"/>
            <w:bottom w:w="0" w:type="dxa"/>
            <w:right w:w="108" w:type="dxa"/>
          </w:tblCellMar>
        </w:tblPrEx>
        <w:trPr>
          <w:trHeight w:val="402" w:hRule="atLeast"/>
        </w:trPr>
        <w:tc>
          <w:tcPr>
            <w:tcW w:w="1396" w:type="dxa"/>
            <w:tcBorders>
              <w:top w:val="single" w:color="000000" w:sz="4" w:space="0"/>
              <w:left w:val="single" w:color="000000" w:sz="12" w:space="0"/>
              <w:bottom w:val="single" w:color="000000" w:sz="12" w:space="0"/>
              <w:right w:val="single" w:color="000000" w:sz="4" w:space="0"/>
            </w:tcBorders>
            <w:shd w:val="clear" w:color="auto" w:fill="auto"/>
            <w:vAlign w:val="center"/>
          </w:tcPr>
          <w:p>
            <w:pPr>
              <w:widowControl/>
              <w:jc w:val="center"/>
              <w:textAlignment w:val="center"/>
              <w:rPr>
                <w:rFonts w:ascii="宋体" w:hAnsi="宋体" w:cs="宋体"/>
                <w:color w:val="auto"/>
                <w:szCs w:val="21"/>
              </w:rPr>
            </w:pPr>
            <w:r>
              <w:rPr>
                <w:rFonts w:hint="eastAsia" w:ascii="宋体" w:hAnsi="宋体" w:cs="宋体"/>
                <w:color w:val="auto"/>
                <w:kern w:val="0"/>
                <w:szCs w:val="21"/>
                <w:lang w:bidi="ar"/>
              </w:rPr>
              <w:t>臭气浓度</w:t>
            </w:r>
          </w:p>
        </w:tc>
        <w:tc>
          <w:tcPr>
            <w:tcW w:w="1112" w:type="dxa"/>
            <w:vMerge w:val="continue"/>
            <w:tcBorders>
              <w:top w:val="single" w:color="000000" w:sz="4" w:space="0"/>
              <w:left w:val="single" w:color="000000" w:sz="4" w:space="0"/>
              <w:bottom w:val="single" w:color="000000" w:sz="12" w:space="0"/>
              <w:right w:val="single" w:color="000000" w:sz="4" w:space="0"/>
            </w:tcBorders>
            <w:shd w:val="clear" w:color="auto" w:fill="auto"/>
            <w:vAlign w:val="center"/>
          </w:tcPr>
          <w:p>
            <w:pPr>
              <w:jc w:val="center"/>
              <w:rPr>
                <w:color w:val="auto"/>
                <w:szCs w:val="21"/>
              </w:rPr>
            </w:pPr>
          </w:p>
        </w:tc>
        <w:tc>
          <w:tcPr>
            <w:tcW w:w="3138" w:type="dxa"/>
            <w:gridSpan w:val="3"/>
            <w:tcBorders>
              <w:top w:val="single" w:color="000000" w:sz="4" w:space="0"/>
              <w:left w:val="single" w:color="000000" w:sz="4" w:space="0"/>
              <w:bottom w:val="single" w:color="000000" w:sz="12" w:space="0"/>
              <w:right w:val="single" w:color="000000" w:sz="4" w:space="0"/>
            </w:tcBorders>
            <w:shd w:val="clear" w:color="auto" w:fill="auto"/>
            <w:vAlign w:val="center"/>
          </w:tcPr>
          <w:p>
            <w:pPr>
              <w:widowControl/>
              <w:jc w:val="center"/>
              <w:textAlignment w:val="center"/>
              <w:rPr>
                <w:color w:val="auto"/>
                <w:szCs w:val="21"/>
              </w:rPr>
            </w:pPr>
            <w:r>
              <w:rPr>
                <w:color w:val="auto"/>
                <w:kern w:val="0"/>
                <w:szCs w:val="21"/>
                <w:lang w:bidi="ar"/>
              </w:rPr>
              <w:t>753</w:t>
            </w:r>
            <w:r>
              <w:rPr>
                <w:rFonts w:hint="eastAsia" w:ascii="宋体" w:hAnsi="宋体" w:cs="宋体"/>
                <w:color w:val="auto"/>
                <w:kern w:val="0"/>
                <w:szCs w:val="21"/>
                <w:lang w:bidi="ar"/>
              </w:rPr>
              <w:t>（无量纲）</w:t>
            </w:r>
          </w:p>
        </w:tc>
        <w:tc>
          <w:tcPr>
            <w:tcW w:w="3196" w:type="dxa"/>
            <w:gridSpan w:val="3"/>
            <w:tcBorders>
              <w:top w:val="single" w:color="000000" w:sz="4" w:space="0"/>
              <w:left w:val="single" w:color="000000" w:sz="4" w:space="0"/>
              <w:bottom w:val="single" w:color="000000" w:sz="12" w:space="0"/>
              <w:right w:val="single" w:color="000000" w:sz="12" w:space="0"/>
            </w:tcBorders>
            <w:shd w:val="clear" w:color="auto" w:fill="auto"/>
            <w:vAlign w:val="center"/>
          </w:tcPr>
          <w:p>
            <w:pPr>
              <w:widowControl/>
              <w:jc w:val="center"/>
              <w:textAlignment w:val="center"/>
              <w:rPr>
                <w:color w:val="auto"/>
                <w:szCs w:val="21"/>
              </w:rPr>
            </w:pPr>
            <w:r>
              <w:rPr>
                <w:color w:val="auto"/>
                <w:kern w:val="0"/>
                <w:szCs w:val="21"/>
                <w:lang w:bidi="ar"/>
              </w:rPr>
              <w:t>564</w:t>
            </w:r>
            <w:r>
              <w:rPr>
                <w:rFonts w:hint="eastAsia" w:ascii="宋体" w:hAnsi="宋体" w:cs="宋体"/>
                <w:color w:val="auto"/>
                <w:kern w:val="0"/>
                <w:szCs w:val="21"/>
                <w:lang w:bidi="ar"/>
              </w:rPr>
              <w:t>（无量纲）</w:t>
            </w:r>
          </w:p>
        </w:tc>
      </w:tr>
    </w:tbl>
    <w:p>
      <w:pPr>
        <w:pStyle w:val="6"/>
        <w:numPr>
          <w:ilvl w:val="3"/>
          <w:numId w:val="0"/>
        </w:numPr>
        <w:spacing w:before="120" w:beforeLines="50"/>
        <w:ind w:left="-861" w:leftChars="-410" w:firstLine="964" w:firstLineChars="400"/>
        <w:rPr>
          <w:color w:val="auto"/>
        </w:rPr>
      </w:pPr>
      <w:r>
        <w:rPr>
          <w:color w:val="auto"/>
        </w:rPr>
        <w:t>4.8.2.2无组织废气</w:t>
      </w:r>
    </w:p>
    <w:p>
      <w:pPr>
        <w:pStyle w:val="130"/>
        <w:ind w:firstLine="480"/>
        <w:rPr>
          <w:color w:val="auto"/>
        </w:rPr>
      </w:pPr>
      <w:r>
        <w:rPr>
          <w:color w:val="auto"/>
        </w:rPr>
        <w:t>（1）卸料、进出料、暂存废气</w:t>
      </w:r>
    </w:p>
    <w:p>
      <w:pPr>
        <w:pStyle w:val="130"/>
        <w:ind w:firstLine="480"/>
        <w:rPr>
          <w:color w:val="auto"/>
        </w:rPr>
      </w:pP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r>
        <w:rPr>
          <w:rFonts w:hint="eastAsia"/>
          <w:color w:val="auto"/>
        </w:rPr>
        <w:t>本项目卸料、进出料、暂存废气</w:t>
      </w:r>
    </w:p>
    <w:p>
      <w:pPr>
        <w:pStyle w:val="130"/>
        <w:ind w:firstLine="480"/>
        <w:rPr>
          <w:iCs/>
          <w:color w:val="auto"/>
        </w:rPr>
      </w:pPr>
      <w:r>
        <w:rPr>
          <w:iCs/>
          <w:color w:val="auto"/>
        </w:rPr>
        <w:t>卸料：本项目医疗废物运输车在指定卸料区卸料，卸料过程较为短暂，卸料后医疗废物及时处理，未能及时处理的搬运至暂存库内，医疗废物均由包装袋及周转箱密闭包装，卸料过程中恶臭、挥发性有机物、病菌等废气产生量极小。</w:t>
      </w:r>
    </w:p>
    <w:p>
      <w:pPr>
        <w:pStyle w:val="130"/>
        <w:ind w:firstLine="480"/>
        <w:rPr>
          <w:iCs/>
          <w:color w:val="auto"/>
        </w:rPr>
      </w:pPr>
      <w:r>
        <w:rPr>
          <w:iCs/>
          <w:color w:val="auto"/>
        </w:rPr>
        <w:t>进料：装有医疗废物的周转箱推入上料机的料斗，由其倒入灭菌器专门配备的灭菌车，装载医疗废物的灭菌小车再送入灭菌设备内膛。整个过程中会有少量恶臭、挥发性有机废气产生，废气中可能夹杂着病菌。生产车间设计成密闭车间，医疗废物生产车间进料通道设有两道感应门，两道感应门不同时打开，一道打开，另一道则关闭，可以减少生产车间因物料转移导致的废气外逸。</w:t>
      </w:r>
    </w:p>
    <w:p>
      <w:pPr>
        <w:pStyle w:val="130"/>
        <w:ind w:firstLine="480"/>
        <w:rPr>
          <w:iCs/>
          <w:color w:val="auto"/>
        </w:rPr>
      </w:pPr>
      <w:r>
        <w:rPr>
          <w:iCs/>
          <w:color w:val="auto"/>
        </w:rPr>
        <w:t>出料：医疗废物灭菌处理结束后，灭菌器后门自动开启，会有少量恶臭逸散，出料时出料口呈负压状态防止污染物外溢。</w:t>
      </w:r>
    </w:p>
    <w:p>
      <w:pPr>
        <w:pStyle w:val="130"/>
        <w:ind w:firstLine="480"/>
        <w:rPr>
          <w:iCs/>
          <w:color w:val="auto"/>
        </w:rPr>
      </w:pPr>
      <w:r>
        <w:rPr>
          <w:iCs/>
          <w:color w:val="auto"/>
        </w:rPr>
        <w:t>暂存：未能及时处理的医疗废物搬运至暂存库内，每批医疗废物暂存时间不超过三天，暂存库密闭微负压收集废气处理，仅在医疗废物进出时有少量恶臭气体外溢，外溢量较小。</w:t>
      </w:r>
    </w:p>
    <w:p>
      <w:pPr>
        <w:pStyle w:val="130"/>
        <w:ind w:firstLine="480"/>
        <w:rPr>
          <w:color w:val="auto"/>
        </w:rPr>
      </w:pPr>
      <w:r>
        <w:rPr>
          <w:iCs/>
          <w:color w:val="auto"/>
        </w:rPr>
        <w:t>因此医疗废物卸料、进料、出料、暂存时，废气大气污染物外溢量很小，按处理过程中废气产生量的10%进行核算，则氨气产生量0.0106t/a，产生速率为0.002kg/h，硫化氢产生量为0.000054t/a，产生速率为0.00001kg/h，</w:t>
      </w:r>
      <w:r>
        <w:rPr>
          <w:color w:val="auto"/>
        </w:rPr>
        <w:t>VOCs（以非甲烷总烃计）产生量为0.0022t/a，产生速率为0.00041kg/h。本项目</w:t>
      </w:r>
      <w:r>
        <w:rPr>
          <w:rFonts w:hint="eastAsia"/>
          <w:color w:val="auto"/>
        </w:rPr>
        <w:t>车间</w:t>
      </w:r>
      <w:r>
        <w:rPr>
          <w:color w:val="auto"/>
        </w:rPr>
        <w:t>无组织废气污染物产生情况见下表。</w:t>
      </w:r>
    </w:p>
    <w:p>
      <w:pPr>
        <w:pStyle w:val="114"/>
        <w:spacing w:before="0" w:beforeLines="0"/>
        <w:rPr>
          <w:color w:val="auto"/>
        </w:rPr>
      </w:pPr>
      <w:r>
        <w:rPr>
          <w:color w:val="auto"/>
        </w:rPr>
        <w:t xml:space="preserve">表4.8-9  </w:t>
      </w:r>
      <w:r>
        <w:rPr>
          <w:rFonts w:hint="eastAsia"/>
          <w:color w:val="auto"/>
        </w:rPr>
        <w:t>本项目车间</w:t>
      </w:r>
      <w:r>
        <w:rPr>
          <w:color w:val="auto"/>
        </w:rPr>
        <w:t>无组织废气污染物产生情况一览表</w:t>
      </w:r>
    </w:p>
    <w:tbl>
      <w:tblPr>
        <w:tblStyle w:val="75"/>
        <w:tblW w:w="8826"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205"/>
        <w:gridCol w:w="2207"/>
        <w:gridCol w:w="2207"/>
        <w:gridCol w:w="220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0" w:hRule="atLeast"/>
        </w:trPr>
        <w:tc>
          <w:tcPr>
            <w:tcW w:w="2205" w:type="dxa"/>
            <w:shd w:val="clear" w:color="auto" w:fill="auto"/>
            <w:vAlign w:val="center"/>
          </w:tcPr>
          <w:p>
            <w:pPr>
              <w:pStyle w:val="114"/>
              <w:spacing w:before="0" w:beforeLines="0" w:line="360" w:lineRule="exact"/>
              <w:rPr>
                <w:color w:val="auto"/>
                <w:sz w:val="21"/>
              </w:rPr>
            </w:pPr>
            <w:r>
              <w:rPr>
                <w:color w:val="auto"/>
                <w:sz w:val="21"/>
              </w:rPr>
              <w:t>污染源</w:t>
            </w:r>
          </w:p>
        </w:tc>
        <w:tc>
          <w:tcPr>
            <w:tcW w:w="2207" w:type="dxa"/>
            <w:shd w:val="clear" w:color="auto" w:fill="auto"/>
            <w:vAlign w:val="center"/>
          </w:tcPr>
          <w:p>
            <w:pPr>
              <w:pStyle w:val="114"/>
              <w:spacing w:before="0" w:beforeLines="0" w:line="360" w:lineRule="exact"/>
              <w:rPr>
                <w:color w:val="auto"/>
                <w:sz w:val="21"/>
              </w:rPr>
            </w:pPr>
            <w:r>
              <w:rPr>
                <w:color w:val="auto"/>
                <w:sz w:val="21"/>
              </w:rPr>
              <w:t>污染物因子</w:t>
            </w:r>
          </w:p>
        </w:tc>
        <w:tc>
          <w:tcPr>
            <w:tcW w:w="2207" w:type="dxa"/>
            <w:shd w:val="clear" w:color="auto" w:fill="auto"/>
            <w:vAlign w:val="center"/>
          </w:tcPr>
          <w:p>
            <w:pPr>
              <w:pStyle w:val="114"/>
              <w:spacing w:before="0" w:beforeLines="0" w:line="360" w:lineRule="exact"/>
              <w:rPr>
                <w:color w:val="auto"/>
                <w:sz w:val="21"/>
              </w:rPr>
            </w:pPr>
            <w:r>
              <w:rPr>
                <w:color w:val="auto"/>
                <w:sz w:val="21"/>
              </w:rPr>
              <w:t>产生速率kg/h</w:t>
            </w:r>
          </w:p>
        </w:tc>
        <w:tc>
          <w:tcPr>
            <w:tcW w:w="2207" w:type="dxa"/>
            <w:shd w:val="clear" w:color="auto" w:fill="auto"/>
            <w:vAlign w:val="center"/>
          </w:tcPr>
          <w:p>
            <w:pPr>
              <w:pStyle w:val="114"/>
              <w:spacing w:before="0" w:beforeLines="0" w:line="360" w:lineRule="exact"/>
              <w:rPr>
                <w:color w:val="auto"/>
                <w:sz w:val="21"/>
              </w:rPr>
            </w:pPr>
            <w:r>
              <w:rPr>
                <w:color w:val="auto"/>
                <w:sz w:val="21"/>
              </w:rPr>
              <w:t>产生量</w:t>
            </w:r>
            <w:r>
              <w:rPr>
                <w:iCs/>
                <w:color w:val="auto"/>
                <w:sz w:val="21"/>
              </w:rPr>
              <w:t>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0" w:hRule="atLeast"/>
        </w:trPr>
        <w:tc>
          <w:tcPr>
            <w:tcW w:w="2205" w:type="dxa"/>
            <w:vMerge w:val="restart"/>
            <w:shd w:val="clear" w:color="auto" w:fill="auto"/>
            <w:vAlign w:val="center"/>
          </w:tcPr>
          <w:p>
            <w:pPr>
              <w:pStyle w:val="114"/>
              <w:spacing w:before="0" w:beforeLines="0" w:line="360" w:lineRule="exact"/>
              <w:rPr>
                <w:b w:val="0"/>
                <w:bCs/>
                <w:color w:val="auto"/>
                <w:sz w:val="21"/>
              </w:rPr>
            </w:pPr>
            <w:r>
              <w:rPr>
                <w:b w:val="0"/>
                <w:bCs/>
                <w:color w:val="auto"/>
                <w:sz w:val="21"/>
              </w:rPr>
              <w:t>高温蒸煮车间</w:t>
            </w:r>
          </w:p>
        </w:tc>
        <w:tc>
          <w:tcPr>
            <w:tcW w:w="2207" w:type="dxa"/>
            <w:shd w:val="clear" w:color="auto" w:fill="auto"/>
            <w:vAlign w:val="center"/>
          </w:tcPr>
          <w:p>
            <w:pPr>
              <w:pStyle w:val="114"/>
              <w:spacing w:before="0" w:beforeLines="0" w:line="360" w:lineRule="exact"/>
              <w:rPr>
                <w:b w:val="0"/>
                <w:bCs/>
                <w:color w:val="auto"/>
                <w:sz w:val="21"/>
              </w:rPr>
            </w:pPr>
            <w:r>
              <w:rPr>
                <w:b w:val="0"/>
                <w:bCs/>
                <w:color w:val="auto"/>
                <w:sz w:val="21"/>
              </w:rPr>
              <w:t>氨</w:t>
            </w:r>
          </w:p>
        </w:tc>
        <w:tc>
          <w:tcPr>
            <w:tcW w:w="2207" w:type="dxa"/>
            <w:shd w:val="clear" w:color="auto" w:fill="auto"/>
            <w:vAlign w:val="center"/>
          </w:tcPr>
          <w:p>
            <w:pPr>
              <w:pStyle w:val="114"/>
              <w:spacing w:before="0" w:beforeLines="0" w:line="360" w:lineRule="exact"/>
              <w:rPr>
                <w:b w:val="0"/>
                <w:bCs/>
                <w:color w:val="auto"/>
                <w:sz w:val="21"/>
              </w:rPr>
            </w:pPr>
            <w:r>
              <w:rPr>
                <w:b w:val="0"/>
                <w:bCs/>
                <w:color w:val="auto"/>
                <w:sz w:val="21"/>
              </w:rPr>
              <w:t>0.002</w:t>
            </w:r>
          </w:p>
        </w:tc>
        <w:tc>
          <w:tcPr>
            <w:tcW w:w="2207" w:type="dxa"/>
            <w:shd w:val="clear" w:color="auto" w:fill="auto"/>
            <w:vAlign w:val="center"/>
          </w:tcPr>
          <w:p>
            <w:pPr>
              <w:pStyle w:val="114"/>
              <w:spacing w:before="0" w:beforeLines="0" w:line="360" w:lineRule="exact"/>
              <w:rPr>
                <w:b w:val="0"/>
                <w:bCs/>
                <w:color w:val="auto"/>
                <w:sz w:val="21"/>
              </w:rPr>
            </w:pPr>
            <w:r>
              <w:rPr>
                <w:b w:val="0"/>
                <w:bCs/>
                <w:color w:val="auto"/>
                <w:sz w:val="21"/>
              </w:rPr>
              <w:t xml:space="preserve">0.0106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03" w:hRule="atLeast"/>
        </w:trPr>
        <w:tc>
          <w:tcPr>
            <w:tcW w:w="2205" w:type="dxa"/>
            <w:vMerge w:val="continue"/>
            <w:shd w:val="clear" w:color="auto" w:fill="auto"/>
            <w:vAlign w:val="center"/>
          </w:tcPr>
          <w:p>
            <w:pPr>
              <w:pStyle w:val="114"/>
              <w:spacing w:before="0" w:beforeLines="0" w:line="360" w:lineRule="exact"/>
              <w:rPr>
                <w:b w:val="0"/>
                <w:bCs/>
                <w:color w:val="auto"/>
                <w:sz w:val="21"/>
              </w:rPr>
            </w:pPr>
          </w:p>
        </w:tc>
        <w:tc>
          <w:tcPr>
            <w:tcW w:w="2207" w:type="dxa"/>
            <w:shd w:val="clear" w:color="auto" w:fill="auto"/>
            <w:vAlign w:val="center"/>
          </w:tcPr>
          <w:p>
            <w:pPr>
              <w:pStyle w:val="114"/>
              <w:spacing w:before="0" w:beforeLines="0" w:line="360" w:lineRule="exact"/>
              <w:rPr>
                <w:b w:val="0"/>
                <w:bCs/>
                <w:color w:val="auto"/>
                <w:sz w:val="21"/>
              </w:rPr>
            </w:pPr>
            <w:r>
              <w:rPr>
                <w:b w:val="0"/>
                <w:bCs/>
                <w:color w:val="auto"/>
                <w:sz w:val="21"/>
              </w:rPr>
              <w:t>硫化氢</w:t>
            </w:r>
          </w:p>
        </w:tc>
        <w:tc>
          <w:tcPr>
            <w:tcW w:w="2207" w:type="dxa"/>
            <w:shd w:val="clear" w:color="auto" w:fill="auto"/>
            <w:vAlign w:val="center"/>
          </w:tcPr>
          <w:p>
            <w:pPr>
              <w:pStyle w:val="114"/>
              <w:spacing w:before="0" w:beforeLines="0" w:line="360" w:lineRule="exact"/>
              <w:rPr>
                <w:b w:val="0"/>
                <w:bCs/>
                <w:color w:val="auto"/>
                <w:sz w:val="21"/>
              </w:rPr>
            </w:pPr>
            <w:r>
              <w:rPr>
                <w:b w:val="0"/>
                <w:bCs/>
                <w:color w:val="auto"/>
                <w:sz w:val="21"/>
              </w:rPr>
              <w:t>0.00001</w:t>
            </w:r>
          </w:p>
        </w:tc>
        <w:tc>
          <w:tcPr>
            <w:tcW w:w="2207" w:type="dxa"/>
            <w:shd w:val="clear" w:color="auto" w:fill="auto"/>
            <w:vAlign w:val="center"/>
          </w:tcPr>
          <w:p>
            <w:pPr>
              <w:pStyle w:val="114"/>
              <w:spacing w:before="0" w:beforeLines="0" w:line="360" w:lineRule="exact"/>
              <w:rPr>
                <w:b w:val="0"/>
                <w:bCs/>
                <w:color w:val="auto"/>
                <w:sz w:val="21"/>
              </w:rPr>
            </w:pPr>
            <w:r>
              <w:rPr>
                <w:b w:val="0"/>
                <w:bCs/>
                <w:color w:val="auto"/>
                <w:sz w:val="21"/>
              </w:rPr>
              <w:t xml:space="preserve">0.000054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03" w:hRule="atLeast"/>
        </w:trPr>
        <w:tc>
          <w:tcPr>
            <w:tcW w:w="2205" w:type="dxa"/>
            <w:vMerge w:val="continue"/>
            <w:shd w:val="clear" w:color="auto" w:fill="auto"/>
            <w:vAlign w:val="center"/>
          </w:tcPr>
          <w:p>
            <w:pPr>
              <w:pStyle w:val="114"/>
              <w:spacing w:before="0" w:beforeLines="0" w:line="360" w:lineRule="exact"/>
              <w:rPr>
                <w:b w:val="0"/>
                <w:bCs/>
                <w:color w:val="auto"/>
                <w:sz w:val="21"/>
              </w:rPr>
            </w:pPr>
          </w:p>
        </w:tc>
        <w:tc>
          <w:tcPr>
            <w:tcW w:w="2207" w:type="dxa"/>
            <w:shd w:val="clear" w:color="auto" w:fill="auto"/>
            <w:vAlign w:val="center"/>
          </w:tcPr>
          <w:p>
            <w:pPr>
              <w:pStyle w:val="114"/>
              <w:spacing w:before="0" w:beforeLines="0" w:line="360" w:lineRule="exact"/>
              <w:rPr>
                <w:b w:val="0"/>
                <w:bCs/>
                <w:color w:val="auto"/>
                <w:sz w:val="21"/>
              </w:rPr>
            </w:pPr>
            <w:r>
              <w:rPr>
                <w:b w:val="0"/>
                <w:bCs/>
                <w:color w:val="auto"/>
                <w:sz w:val="21"/>
              </w:rPr>
              <w:t>非甲烷总烃</w:t>
            </w:r>
          </w:p>
        </w:tc>
        <w:tc>
          <w:tcPr>
            <w:tcW w:w="2207" w:type="dxa"/>
            <w:shd w:val="clear" w:color="auto" w:fill="auto"/>
            <w:vAlign w:val="center"/>
          </w:tcPr>
          <w:p>
            <w:pPr>
              <w:pStyle w:val="114"/>
              <w:spacing w:before="0" w:beforeLines="0" w:line="360" w:lineRule="exact"/>
              <w:rPr>
                <w:b w:val="0"/>
                <w:bCs/>
                <w:color w:val="auto"/>
                <w:sz w:val="21"/>
              </w:rPr>
            </w:pPr>
            <w:r>
              <w:rPr>
                <w:b w:val="0"/>
                <w:bCs/>
                <w:color w:val="auto"/>
                <w:sz w:val="21"/>
              </w:rPr>
              <w:t>0.00041</w:t>
            </w:r>
          </w:p>
        </w:tc>
        <w:tc>
          <w:tcPr>
            <w:tcW w:w="2207" w:type="dxa"/>
            <w:shd w:val="clear" w:color="auto" w:fill="auto"/>
            <w:vAlign w:val="center"/>
          </w:tcPr>
          <w:p>
            <w:pPr>
              <w:pStyle w:val="114"/>
              <w:spacing w:before="0" w:beforeLines="0" w:line="360" w:lineRule="exact"/>
              <w:rPr>
                <w:b w:val="0"/>
                <w:bCs/>
                <w:color w:val="auto"/>
                <w:sz w:val="21"/>
              </w:rPr>
            </w:pPr>
            <w:r>
              <w:rPr>
                <w:b w:val="0"/>
                <w:bCs/>
                <w:color w:val="auto"/>
                <w:sz w:val="21"/>
              </w:rPr>
              <w:t xml:space="preserve">0.0022 </w:t>
            </w:r>
          </w:p>
        </w:tc>
      </w:tr>
    </w:tbl>
    <w:p>
      <w:pPr>
        <w:pStyle w:val="130"/>
        <w:spacing w:before="120" w:beforeLines="50"/>
        <w:ind w:firstLine="480"/>
        <w:rPr>
          <w:color w:val="auto"/>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r>
        <w:rPr>
          <w:rFonts w:hint="eastAsia"/>
          <w:color w:val="auto"/>
        </w:rPr>
        <w:t>本项目建成后全厂卸料、进出料、暂存废气</w:t>
      </w:r>
    </w:p>
    <w:p>
      <w:pPr>
        <w:pStyle w:val="130"/>
        <w:ind w:firstLine="480"/>
        <w:rPr>
          <w:color w:val="auto"/>
        </w:rPr>
      </w:pPr>
      <w:r>
        <w:rPr>
          <w:iCs/>
          <w:color w:val="auto"/>
        </w:rPr>
        <w:t>医疗废物卸料、进料、出料、暂存时，废气大气污染物外溢量很小，按处理过程中废气产生量的10%进行核算，则氨气产生量0.01</w:t>
      </w:r>
      <w:r>
        <w:rPr>
          <w:rFonts w:hint="eastAsia"/>
          <w:iCs/>
          <w:color w:val="auto"/>
        </w:rPr>
        <w:t>72</w:t>
      </w:r>
      <w:r>
        <w:rPr>
          <w:iCs/>
          <w:color w:val="auto"/>
        </w:rPr>
        <w:t>t/a，产生速率为0.002</w:t>
      </w:r>
      <w:r>
        <w:rPr>
          <w:rFonts w:hint="eastAsia"/>
          <w:iCs/>
          <w:color w:val="auto"/>
        </w:rPr>
        <w:t>6</w:t>
      </w:r>
      <w:r>
        <w:rPr>
          <w:iCs/>
          <w:color w:val="auto"/>
        </w:rPr>
        <w:t>kg/h，硫化氢产生量为0.000</w:t>
      </w:r>
      <w:r>
        <w:rPr>
          <w:rFonts w:hint="eastAsia"/>
          <w:iCs/>
          <w:color w:val="auto"/>
        </w:rPr>
        <w:t>1</w:t>
      </w:r>
      <w:r>
        <w:rPr>
          <w:iCs/>
          <w:color w:val="auto"/>
        </w:rPr>
        <w:t>t/a，产生速率为0.00001</w:t>
      </w:r>
      <w:r>
        <w:rPr>
          <w:rFonts w:hint="eastAsia"/>
          <w:iCs/>
          <w:color w:val="auto"/>
        </w:rPr>
        <w:t>6</w:t>
      </w:r>
      <w:r>
        <w:rPr>
          <w:iCs/>
          <w:color w:val="auto"/>
        </w:rPr>
        <w:t>kg/h，VOCs（以非甲烷总烃计）产生量为0.00</w:t>
      </w:r>
      <w:r>
        <w:rPr>
          <w:rFonts w:hint="eastAsia"/>
          <w:iCs/>
          <w:color w:val="auto"/>
        </w:rPr>
        <w:t>39</w:t>
      </w:r>
      <w:r>
        <w:rPr>
          <w:iCs/>
          <w:color w:val="auto"/>
        </w:rPr>
        <w:t>t/a，产生速率为0.000</w:t>
      </w:r>
      <w:r>
        <w:rPr>
          <w:rFonts w:hint="eastAsia"/>
          <w:iCs/>
          <w:color w:val="auto"/>
        </w:rPr>
        <w:t>6</w:t>
      </w:r>
      <w:r>
        <w:rPr>
          <w:iCs/>
          <w:color w:val="auto"/>
        </w:rPr>
        <w:t>kg/h。则</w:t>
      </w:r>
      <w:r>
        <w:rPr>
          <w:rFonts w:hint="eastAsia"/>
          <w:iCs/>
          <w:color w:val="auto"/>
        </w:rPr>
        <w:t>本项目建成后全厂</w:t>
      </w:r>
      <w:r>
        <w:rPr>
          <w:rFonts w:hint="eastAsia"/>
          <w:color w:val="auto"/>
        </w:rPr>
        <w:t>车间</w:t>
      </w:r>
      <w:r>
        <w:rPr>
          <w:color w:val="auto"/>
        </w:rPr>
        <w:t>无组织废气污染物产生情况见下表。</w:t>
      </w:r>
    </w:p>
    <w:p>
      <w:pPr>
        <w:pStyle w:val="114"/>
        <w:spacing w:before="0" w:beforeLines="0"/>
        <w:ind w:left="980" w:hanging="560"/>
        <w:rPr>
          <w:color w:val="auto"/>
        </w:rPr>
      </w:pPr>
      <w:r>
        <w:rPr>
          <w:color w:val="auto"/>
        </w:rPr>
        <w:t>表4.8-</w:t>
      </w:r>
      <w:r>
        <w:rPr>
          <w:rFonts w:hint="eastAsia"/>
          <w:color w:val="auto"/>
        </w:rPr>
        <w:t>10</w:t>
      </w:r>
      <w:r>
        <w:rPr>
          <w:color w:val="auto"/>
        </w:rPr>
        <w:t xml:space="preserve">  </w:t>
      </w:r>
      <w:r>
        <w:rPr>
          <w:rFonts w:hint="eastAsia"/>
          <w:color w:val="auto"/>
        </w:rPr>
        <w:t>本项目建成后全厂车间</w:t>
      </w:r>
      <w:r>
        <w:rPr>
          <w:color w:val="auto"/>
        </w:rPr>
        <w:t>无组织废气污染物产生情况一览表</w:t>
      </w:r>
    </w:p>
    <w:tbl>
      <w:tblPr>
        <w:tblStyle w:val="75"/>
        <w:tblW w:w="8741"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183"/>
        <w:gridCol w:w="2186"/>
        <w:gridCol w:w="2186"/>
        <w:gridCol w:w="218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9" w:hRule="atLeast"/>
        </w:trPr>
        <w:tc>
          <w:tcPr>
            <w:tcW w:w="2183" w:type="dxa"/>
            <w:shd w:val="clear" w:color="auto" w:fill="auto"/>
            <w:vAlign w:val="center"/>
          </w:tcPr>
          <w:p>
            <w:pPr>
              <w:pStyle w:val="114"/>
              <w:spacing w:before="0" w:beforeLines="0" w:line="360" w:lineRule="exact"/>
              <w:rPr>
                <w:color w:val="auto"/>
                <w:sz w:val="21"/>
              </w:rPr>
            </w:pPr>
            <w:r>
              <w:rPr>
                <w:color w:val="auto"/>
                <w:sz w:val="21"/>
              </w:rPr>
              <w:t>污染源</w:t>
            </w:r>
          </w:p>
        </w:tc>
        <w:tc>
          <w:tcPr>
            <w:tcW w:w="2186" w:type="dxa"/>
            <w:shd w:val="clear" w:color="auto" w:fill="auto"/>
            <w:vAlign w:val="center"/>
          </w:tcPr>
          <w:p>
            <w:pPr>
              <w:pStyle w:val="114"/>
              <w:spacing w:before="0" w:beforeLines="0" w:line="360" w:lineRule="exact"/>
              <w:rPr>
                <w:color w:val="auto"/>
                <w:sz w:val="21"/>
              </w:rPr>
            </w:pPr>
            <w:r>
              <w:rPr>
                <w:color w:val="auto"/>
                <w:sz w:val="21"/>
              </w:rPr>
              <w:t>污染物因子</w:t>
            </w:r>
          </w:p>
        </w:tc>
        <w:tc>
          <w:tcPr>
            <w:tcW w:w="2186" w:type="dxa"/>
            <w:shd w:val="clear" w:color="auto" w:fill="auto"/>
            <w:vAlign w:val="center"/>
          </w:tcPr>
          <w:p>
            <w:pPr>
              <w:pStyle w:val="114"/>
              <w:spacing w:before="0" w:beforeLines="0" w:line="360" w:lineRule="exact"/>
              <w:rPr>
                <w:color w:val="auto"/>
                <w:sz w:val="21"/>
              </w:rPr>
            </w:pPr>
            <w:r>
              <w:rPr>
                <w:color w:val="auto"/>
                <w:sz w:val="21"/>
              </w:rPr>
              <w:t>产生速率kg/h</w:t>
            </w:r>
          </w:p>
        </w:tc>
        <w:tc>
          <w:tcPr>
            <w:tcW w:w="2186" w:type="dxa"/>
            <w:shd w:val="clear" w:color="auto" w:fill="auto"/>
            <w:vAlign w:val="center"/>
          </w:tcPr>
          <w:p>
            <w:pPr>
              <w:pStyle w:val="114"/>
              <w:spacing w:before="0" w:beforeLines="0" w:line="360" w:lineRule="exact"/>
              <w:rPr>
                <w:color w:val="auto"/>
                <w:sz w:val="21"/>
              </w:rPr>
            </w:pPr>
            <w:r>
              <w:rPr>
                <w:color w:val="auto"/>
                <w:sz w:val="21"/>
              </w:rPr>
              <w:t>产生量</w:t>
            </w:r>
            <w:r>
              <w:rPr>
                <w:iCs/>
                <w:color w:val="auto"/>
                <w:sz w:val="21"/>
              </w:rPr>
              <w:t>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79" w:hRule="atLeast"/>
        </w:trPr>
        <w:tc>
          <w:tcPr>
            <w:tcW w:w="2183" w:type="dxa"/>
            <w:vMerge w:val="restart"/>
            <w:shd w:val="clear" w:color="auto" w:fill="auto"/>
            <w:vAlign w:val="center"/>
          </w:tcPr>
          <w:p>
            <w:pPr>
              <w:pStyle w:val="114"/>
              <w:spacing w:before="0" w:beforeLines="0" w:line="360" w:lineRule="exact"/>
              <w:rPr>
                <w:b w:val="0"/>
                <w:bCs/>
                <w:color w:val="auto"/>
                <w:sz w:val="21"/>
              </w:rPr>
            </w:pPr>
            <w:r>
              <w:rPr>
                <w:b w:val="0"/>
                <w:bCs/>
                <w:color w:val="auto"/>
                <w:sz w:val="21"/>
              </w:rPr>
              <w:t>高温蒸煮车间</w:t>
            </w:r>
          </w:p>
        </w:tc>
        <w:tc>
          <w:tcPr>
            <w:tcW w:w="2186" w:type="dxa"/>
            <w:shd w:val="clear" w:color="auto" w:fill="auto"/>
            <w:vAlign w:val="center"/>
          </w:tcPr>
          <w:p>
            <w:pPr>
              <w:pStyle w:val="114"/>
              <w:spacing w:before="0" w:beforeLines="0" w:line="360" w:lineRule="exact"/>
              <w:rPr>
                <w:b w:val="0"/>
                <w:bCs/>
                <w:color w:val="auto"/>
                <w:sz w:val="21"/>
              </w:rPr>
            </w:pPr>
            <w:r>
              <w:rPr>
                <w:b w:val="0"/>
                <w:bCs/>
                <w:color w:val="auto"/>
                <w:sz w:val="21"/>
              </w:rPr>
              <w:t>氨</w:t>
            </w:r>
          </w:p>
        </w:tc>
        <w:tc>
          <w:tcPr>
            <w:tcW w:w="2186" w:type="dxa"/>
            <w:shd w:val="clear" w:color="auto" w:fill="auto"/>
            <w:vAlign w:val="center"/>
          </w:tcPr>
          <w:p>
            <w:pPr>
              <w:pStyle w:val="114"/>
              <w:spacing w:before="0" w:beforeLines="0" w:line="360" w:lineRule="exact"/>
              <w:rPr>
                <w:b w:val="0"/>
                <w:bCs/>
                <w:color w:val="auto"/>
                <w:sz w:val="21"/>
              </w:rPr>
            </w:pPr>
            <w:r>
              <w:rPr>
                <w:b w:val="0"/>
                <w:bCs/>
                <w:color w:val="auto"/>
                <w:sz w:val="21"/>
              </w:rPr>
              <w:t>0.002</w:t>
            </w:r>
            <w:r>
              <w:rPr>
                <w:rFonts w:hint="eastAsia"/>
                <w:b w:val="0"/>
                <w:bCs/>
                <w:color w:val="auto"/>
                <w:sz w:val="21"/>
              </w:rPr>
              <w:t>6</w:t>
            </w:r>
          </w:p>
        </w:tc>
        <w:tc>
          <w:tcPr>
            <w:tcW w:w="2186" w:type="dxa"/>
            <w:shd w:val="clear" w:color="auto" w:fill="auto"/>
            <w:vAlign w:val="center"/>
          </w:tcPr>
          <w:p>
            <w:pPr>
              <w:pStyle w:val="114"/>
              <w:spacing w:before="0" w:beforeLines="0" w:line="360" w:lineRule="exact"/>
              <w:rPr>
                <w:b w:val="0"/>
                <w:bCs/>
                <w:color w:val="auto"/>
                <w:sz w:val="21"/>
              </w:rPr>
            </w:pPr>
            <w:r>
              <w:rPr>
                <w:b w:val="0"/>
                <w:bCs/>
                <w:color w:val="auto"/>
                <w:sz w:val="21"/>
              </w:rPr>
              <w:t>0.01</w:t>
            </w:r>
            <w:r>
              <w:rPr>
                <w:rFonts w:hint="eastAsia"/>
                <w:b w:val="0"/>
                <w:bCs/>
                <w:color w:val="auto"/>
                <w:sz w:val="21"/>
              </w:rPr>
              <w:t>72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2" w:hRule="atLeast"/>
        </w:trPr>
        <w:tc>
          <w:tcPr>
            <w:tcW w:w="2183" w:type="dxa"/>
            <w:vMerge w:val="continue"/>
            <w:shd w:val="clear" w:color="auto" w:fill="auto"/>
            <w:vAlign w:val="center"/>
          </w:tcPr>
          <w:p>
            <w:pPr>
              <w:pStyle w:val="114"/>
              <w:spacing w:before="0" w:beforeLines="0" w:line="360" w:lineRule="exact"/>
              <w:ind w:left="842" w:hanging="422"/>
              <w:rPr>
                <w:b w:val="0"/>
                <w:bCs/>
                <w:color w:val="auto"/>
                <w:sz w:val="21"/>
              </w:rPr>
            </w:pPr>
          </w:p>
        </w:tc>
        <w:tc>
          <w:tcPr>
            <w:tcW w:w="2186" w:type="dxa"/>
            <w:shd w:val="clear" w:color="auto" w:fill="auto"/>
            <w:vAlign w:val="center"/>
          </w:tcPr>
          <w:p>
            <w:pPr>
              <w:pStyle w:val="114"/>
              <w:spacing w:before="0" w:beforeLines="0" w:line="360" w:lineRule="exact"/>
              <w:rPr>
                <w:b w:val="0"/>
                <w:bCs/>
                <w:color w:val="auto"/>
                <w:sz w:val="21"/>
              </w:rPr>
            </w:pPr>
            <w:r>
              <w:rPr>
                <w:b w:val="0"/>
                <w:bCs/>
                <w:color w:val="auto"/>
                <w:sz w:val="21"/>
              </w:rPr>
              <w:t>硫化氢</w:t>
            </w:r>
          </w:p>
        </w:tc>
        <w:tc>
          <w:tcPr>
            <w:tcW w:w="2186" w:type="dxa"/>
            <w:shd w:val="clear" w:color="auto" w:fill="auto"/>
            <w:vAlign w:val="center"/>
          </w:tcPr>
          <w:p>
            <w:pPr>
              <w:pStyle w:val="114"/>
              <w:spacing w:before="0" w:beforeLines="0" w:line="360" w:lineRule="exact"/>
              <w:rPr>
                <w:b w:val="0"/>
                <w:bCs/>
                <w:color w:val="auto"/>
                <w:sz w:val="21"/>
              </w:rPr>
            </w:pPr>
            <w:r>
              <w:rPr>
                <w:b w:val="0"/>
                <w:bCs/>
                <w:color w:val="auto"/>
                <w:sz w:val="21"/>
              </w:rPr>
              <w:t>0.000</w:t>
            </w:r>
            <w:r>
              <w:rPr>
                <w:rFonts w:hint="eastAsia"/>
                <w:b w:val="0"/>
                <w:bCs/>
                <w:color w:val="auto"/>
                <w:sz w:val="21"/>
              </w:rPr>
              <w:t>016</w:t>
            </w:r>
          </w:p>
        </w:tc>
        <w:tc>
          <w:tcPr>
            <w:tcW w:w="2186" w:type="dxa"/>
            <w:shd w:val="clear" w:color="auto" w:fill="auto"/>
            <w:vAlign w:val="center"/>
          </w:tcPr>
          <w:p>
            <w:pPr>
              <w:pStyle w:val="114"/>
              <w:spacing w:before="0" w:beforeLines="0" w:line="360" w:lineRule="exact"/>
              <w:rPr>
                <w:b w:val="0"/>
                <w:bCs/>
                <w:color w:val="auto"/>
                <w:sz w:val="21"/>
              </w:rPr>
            </w:pPr>
            <w:r>
              <w:rPr>
                <w:b w:val="0"/>
                <w:bCs/>
                <w:color w:val="auto"/>
                <w:sz w:val="21"/>
              </w:rPr>
              <w:t>0.000</w:t>
            </w:r>
            <w:r>
              <w:rPr>
                <w:rFonts w:hint="eastAsia"/>
                <w:b w:val="0"/>
                <w:bCs/>
                <w:color w:val="auto"/>
                <w:sz w:val="21"/>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2" w:hRule="atLeast"/>
        </w:trPr>
        <w:tc>
          <w:tcPr>
            <w:tcW w:w="2183" w:type="dxa"/>
            <w:vMerge w:val="continue"/>
            <w:shd w:val="clear" w:color="auto" w:fill="auto"/>
            <w:vAlign w:val="center"/>
          </w:tcPr>
          <w:p>
            <w:pPr>
              <w:pStyle w:val="114"/>
              <w:spacing w:before="0" w:beforeLines="0" w:line="360" w:lineRule="exact"/>
              <w:ind w:left="842" w:hanging="422"/>
              <w:rPr>
                <w:b w:val="0"/>
                <w:bCs/>
                <w:color w:val="auto"/>
                <w:sz w:val="21"/>
              </w:rPr>
            </w:pPr>
          </w:p>
        </w:tc>
        <w:tc>
          <w:tcPr>
            <w:tcW w:w="2186" w:type="dxa"/>
            <w:shd w:val="clear" w:color="auto" w:fill="auto"/>
            <w:vAlign w:val="center"/>
          </w:tcPr>
          <w:p>
            <w:pPr>
              <w:pStyle w:val="114"/>
              <w:spacing w:before="0" w:beforeLines="0" w:line="360" w:lineRule="exact"/>
              <w:rPr>
                <w:b w:val="0"/>
                <w:bCs/>
                <w:color w:val="auto"/>
                <w:sz w:val="21"/>
              </w:rPr>
            </w:pPr>
            <w:r>
              <w:rPr>
                <w:b w:val="0"/>
                <w:bCs/>
                <w:color w:val="auto"/>
                <w:sz w:val="21"/>
              </w:rPr>
              <w:t>非甲烷总烃</w:t>
            </w:r>
          </w:p>
        </w:tc>
        <w:tc>
          <w:tcPr>
            <w:tcW w:w="2186" w:type="dxa"/>
            <w:shd w:val="clear" w:color="auto" w:fill="auto"/>
            <w:vAlign w:val="center"/>
          </w:tcPr>
          <w:p>
            <w:pPr>
              <w:pStyle w:val="114"/>
              <w:spacing w:before="0" w:beforeLines="0" w:line="360" w:lineRule="exact"/>
              <w:rPr>
                <w:b w:val="0"/>
                <w:bCs/>
                <w:color w:val="auto"/>
                <w:sz w:val="21"/>
              </w:rPr>
            </w:pPr>
            <w:r>
              <w:rPr>
                <w:b w:val="0"/>
                <w:bCs/>
                <w:color w:val="auto"/>
                <w:sz w:val="21"/>
              </w:rPr>
              <w:t>0.000</w:t>
            </w:r>
            <w:r>
              <w:rPr>
                <w:rFonts w:hint="eastAsia"/>
                <w:b w:val="0"/>
                <w:bCs/>
                <w:color w:val="auto"/>
                <w:sz w:val="21"/>
              </w:rPr>
              <w:t>6</w:t>
            </w:r>
          </w:p>
        </w:tc>
        <w:tc>
          <w:tcPr>
            <w:tcW w:w="2186" w:type="dxa"/>
            <w:shd w:val="clear" w:color="auto" w:fill="auto"/>
            <w:vAlign w:val="center"/>
          </w:tcPr>
          <w:p>
            <w:pPr>
              <w:pStyle w:val="114"/>
              <w:spacing w:before="0" w:beforeLines="0" w:line="360" w:lineRule="exact"/>
              <w:rPr>
                <w:b w:val="0"/>
                <w:bCs/>
                <w:color w:val="auto"/>
                <w:sz w:val="21"/>
              </w:rPr>
            </w:pPr>
            <w:r>
              <w:rPr>
                <w:b w:val="0"/>
                <w:bCs/>
                <w:color w:val="auto"/>
                <w:sz w:val="21"/>
              </w:rPr>
              <w:t>0.00</w:t>
            </w:r>
            <w:r>
              <w:rPr>
                <w:rFonts w:hint="eastAsia"/>
                <w:b w:val="0"/>
                <w:bCs/>
                <w:color w:val="auto"/>
                <w:sz w:val="21"/>
              </w:rPr>
              <w:t>39</w:t>
            </w:r>
          </w:p>
        </w:tc>
      </w:tr>
    </w:tbl>
    <w:p>
      <w:pPr>
        <w:pStyle w:val="130"/>
        <w:spacing w:before="120" w:beforeLines="50"/>
        <w:ind w:firstLine="480"/>
        <w:rPr>
          <w:color w:val="auto"/>
        </w:rPr>
      </w:pPr>
      <w:r>
        <w:rPr>
          <w:color w:val="auto"/>
        </w:rPr>
        <w:t>（2）污水处理站恶臭</w:t>
      </w:r>
    </w:p>
    <w:p>
      <w:pPr>
        <w:pStyle w:val="130"/>
        <w:ind w:firstLine="480"/>
        <w:rPr>
          <w:color w:val="auto"/>
        </w:rPr>
      </w:pP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r>
        <w:rPr>
          <w:rFonts w:hint="eastAsia"/>
          <w:color w:val="auto"/>
        </w:rPr>
        <w:t>本项目污水处理站恶臭</w:t>
      </w:r>
    </w:p>
    <w:p>
      <w:pPr>
        <w:pStyle w:val="130"/>
        <w:ind w:firstLine="480"/>
        <w:rPr>
          <w:iCs/>
          <w:color w:val="auto"/>
        </w:rPr>
      </w:pPr>
      <w:r>
        <w:rPr>
          <w:color w:val="auto"/>
        </w:rPr>
        <w:t>厂区污水处理站日常运行过程中，由于伴随微生物等的新陈代谢而散发少量的恶臭，污水处理过程中恶臭废气主要产生于格栅、调节池、厌氧处理和污泥的浓缩和机械脱水等环节。根据美国EPA对城市污水处理厂恶臭污染物产生情况的研究，每处理1g的BOD</w:t>
      </w:r>
      <w:r>
        <w:rPr>
          <w:color w:val="auto"/>
          <w:vertAlign w:val="subscript"/>
        </w:rPr>
        <w:t>5</w:t>
      </w:r>
      <w:r>
        <w:rPr>
          <w:color w:val="auto"/>
        </w:rPr>
        <w:t>，可产生0.0031g的NH</w:t>
      </w:r>
      <w:r>
        <w:rPr>
          <w:color w:val="auto"/>
          <w:vertAlign w:val="subscript"/>
        </w:rPr>
        <w:t>3</w:t>
      </w:r>
      <w:r>
        <w:rPr>
          <w:color w:val="auto"/>
        </w:rPr>
        <w:t>和0.00012g的H</w:t>
      </w:r>
      <w:r>
        <w:rPr>
          <w:color w:val="auto"/>
          <w:vertAlign w:val="subscript"/>
        </w:rPr>
        <w:t>2</w:t>
      </w:r>
      <w:r>
        <w:rPr>
          <w:color w:val="auto"/>
        </w:rPr>
        <w:t>S。项目污水站采用A</w:t>
      </w:r>
      <w:r>
        <w:rPr>
          <w:color w:val="auto"/>
          <w:vertAlign w:val="superscript"/>
        </w:rPr>
        <w:t>2</w:t>
      </w:r>
      <w:r>
        <w:rPr>
          <w:color w:val="auto"/>
        </w:rPr>
        <w:t>O+MBR+消毒工艺，本项目污水处理站进水水质中BOD</w:t>
      </w:r>
      <w:r>
        <w:rPr>
          <w:color w:val="auto"/>
          <w:vertAlign w:val="subscript"/>
        </w:rPr>
        <w:t>5</w:t>
      </w:r>
      <w:r>
        <w:rPr>
          <w:color w:val="auto"/>
        </w:rPr>
        <w:t>为645mg/L、出水水质为10mg/L；废水处理量为2261.76m</w:t>
      </w:r>
      <w:r>
        <w:rPr>
          <w:color w:val="auto"/>
          <w:vertAlign w:val="superscript"/>
        </w:rPr>
        <w:t>3</w:t>
      </w:r>
      <w:r>
        <w:rPr>
          <w:color w:val="auto"/>
        </w:rPr>
        <w:t>/a，按照《医疗废物高温蒸汽消毒集中处理工程技术规范》（HJ 276-2021），臭气浓度随季节以及现场工作时间的变化而变化，而且本项目污水处理站处理规模较小，建设单位通过加强对污水处理站正常运营时的管理，加盖密闭并喷雾除臭剂进行除臭，及时清除污水处理站的剩余污泥，可使NH</w:t>
      </w:r>
      <w:r>
        <w:rPr>
          <w:color w:val="auto"/>
          <w:vertAlign w:val="subscript"/>
        </w:rPr>
        <w:t>3</w:t>
      </w:r>
      <w:r>
        <w:rPr>
          <w:color w:val="auto"/>
        </w:rPr>
        <w:t>、H</w:t>
      </w:r>
      <w:r>
        <w:rPr>
          <w:color w:val="auto"/>
          <w:vertAlign w:val="subscript"/>
        </w:rPr>
        <w:t>2</w:t>
      </w:r>
      <w:r>
        <w:rPr>
          <w:color w:val="auto"/>
        </w:rPr>
        <w:t>S的产生量减少60%，则</w:t>
      </w:r>
      <w:r>
        <w:rPr>
          <w:rFonts w:hint="eastAsia"/>
          <w:color w:val="auto"/>
        </w:rPr>
        <w:t>本项目污水站</w:t>
      </w:r>
      <w:r>
        <w:rPr>
          <w:color w:val="auto"/>
        </w:rPr>
        <w:t>NH</w:t>
      </w:r>
      <w:r>
        <w:rPr>
          <w:color w:val="auto"/>
          <w:vertAlign w:val="subscript"/>
        </w:rPr>
        <w:t>3</w:t>
      </w:r>
      <w:r>
        <w:rPr>
          <w:color w:val="auto"/>
        </w:rPr>
        <w:t>、H</w:t>
      </w:r>
      <w:r>
        <w:rPr>
          <w:color w:val="auto"/>
          <w:vertAlign w:val="subscript"/>
        </w:rPr>
        <w:t>2</w:t>
      </w:r>
      <w:r>
        <w:rPr>
          <w:color w:val="auto"/>
        </w:rPr>
        <w:t>S的年产生量</w:t>
      </w:r>
      <w:r>
        <w:rPr>
          <w:rFonts w:hint="eastAsia"/>
          <w:color w:val="auto"/>
        </w:rPr>
        <w:t>及</w:t>
      </w:r>
      <w:r>
        <w:rPr>
          <w:iCs/>
          <w:color w:val="auto"/>
        </w:rPr>
        <w:t>产生速率</w:t>
      </w:r>
      <w:r>
        <w:rPr>
          <w:color w:val="auto"/>
        </w:rPr>
        <w:t>分别为0.0045t/a、</w:t>
      </w:r>
      <w:r>
        <w:rPr>
          <w:iCs/>
          <w:color w:val="auto"/>
        </w:rPr>
        <w:t>0.00056kg/h</w:t>
      </w:r>
      <w:r>
        <w:rPr>
          <w:rFonts w:hint="eastAsia"/>
          <w:color w:val="auto"/>
        </w:rPr>
        <w:t>，</w:t>
      </w:r>
      <w:r>
        <w:rPr>
          <w:color w:val="auto"/>
        </w:rPr>
        <w:t>0.00017t/a</w:t>
      </w:r>
      <w:r>
        <w:rPr>
          <w:rFonts w:hint="eastAsia"/>
          <w:color w:val="auto"/>
        </w:rPr>
        <w:t>、</w:t>
      </w:r>
      <w:r>
        <w:rPr>
          <w:iCs/>
          <w:color w:val="auto"/>
        </w:rPr>
        <w:t>0.000022kg/h。</w:t>
      </w:r>
      <w:r>
        <w:rPr>
          <w:color w:val="auto"/>
        </w:rPr>
        <w:t>NH</w:t>
      </w:r>
      <w:r>
        <w:rPr>
          <w:color w:val="auto"/>
          <w:vertAlign w:val="subscript"/>
        </w:rPr>
        <w:t>3</w:t>
      </w:r>
      <w:r>
        <w:rPr>
          <w:color w:val="auto"/>
        </w:rPr>
        <w:t>、H</w:t>
      </w:r>
      <w:r>
        <w:rPr>
          <w:color w:val="auto"/>
          <w:vertAlign w:val="subscript"/>
        </w:rPr>
        <w:t>2</w:t>
      </w:r>
      <w:r>
        <w:rPr>
          <w:color w:val="auto"/>
        </w:rPr>
        <w:t>S的年</w:t>
      </w:r>
      <w:r>
        <w:rPr>
          <w:rFonts w:hint="eastAsia"/>
          <w:color w:val="auto"/>
        </w:rPr>
        <w:t>排放</w:t>
      </w:r>
      <w:r>
        <w:rPr>
          <w:color w:val="auto"/>
        </w:rPr>
        <w:t>量</w:t>
      </w:r>
      <w:r>
        <w:rPr>
          <w:rFonts w:hint="eastAsia"/>
          <w:color w:val="auto"/>
        </w:rPr>
        <w:t>及</w:t>
      </w:r>
      <w:r>
        <w:rPr>
          <w:rFonts w:hint="eastAsia"/>
          <w:iCs/>
          <w:color w:val="auto"/>
        </w:rPr>
        <w:t>排放</w:t>
      </w:r>
      <w:r>
        <w:rPr>
          <w:iCs/>
          <w:color w:val="auto"/>
        </w:rPr>
        <w:t>速率</w:t>
      </w:r>
      <w:r>
        <w:rPr>
          <w:color w:val="auto"/>
        </w:rPr>
        <w:t>分别为0.00</w:t>
      </w:r>
      <w:r>
        <w:rPr>
          <w:rFonts w:hint="eastAsia"/>
          <w:color w:val="auto"/>
        </w:rPr>
        <w:t>18</w:t>
      </w:r>
      <w:r>
        <w:rPr>
          <w:color w:val="auto"/>
        </w:rPr>
        <w:t>t/a、</w:t>
      </w:r>
      <w:r>
        <w:rPr>
          <w:iCs/>
          <w:color w:val="auto"/>
        </w:rPr>
        <w:t>0.000</w:t>
      </w:r>
      <w:r>
        <w:rPr>
          <w:rFonts w:hint="eastAsia"/>
          <w:iCs/>
          <w:color w:val="auto"/>
        </w:rPr>
        <w:t>2</w:t>
      </w:r>
      <w:r>
        <w:rPr>
          <w:iCs/>
          <w:color w:val="auto"/>
        </w:rPr>
        <w:t>kg/h</w:t>
      </w:r>
      <w:r>
        <w:rPr>
          <w:rFonts w:hint="eastAsia"/>
          <w:color w:val="auto"/>
        </w:rPr>
        <w:t>，</w:t>
      </w:r>
      <w:r>
        <w:rPr>
          <w:color w:val="auto"/>
        </w:rPr>
        <w:t>0.000</w:t>
      </w:r>
      <w:r>
        <w:rPr>
          <w:rFonts w:hint="eastAsia"/>
          <w:color w:val="auto"/>
        </w:rPr>
        <w:t>069</w:t>
      </w:r>
      <w:r>
        <w:rPr>
          <w:color w:val="auto"/>
        </w:rPr>
        <w:t>t/a</w:t>
      </w:r>
      <w:r>
        <w:rPr>
          <w:rFonts w:hint="eastAsia"/>
          <w:color w:val="auto"/>
        </w:rPr>
        <w:t>、</w:t>
      </w:r>
      <w:r>
        <w:rPr>
          <w:iCs/>
          <w:color w:val="auto"/>
        </w:rPr>
        <w:t>0.0000</w:t>
      </w:r>
      <w:r>
        <w:rPr>
          <w:rFonts w:hint="eastAsia"/>
          <w:iCs/>
          <w:color w:val="auto"/>
        </w:rPr>
        <w:t>087</w:t>
      </w:r>
      <w:r>
        <w:rPr>
          <w:iCs/>
          <w:color w:val="auto"/>
        </w:rPr>
        <w:t>kg/h</w:t>
      </w:r>
      <w:r>
        <w:rPr>
          <w:rFonts w:hint="eastAsia"/>
          <w:iCs/>
          <w:color w:val="auto"/>
        </w:rPr>
        <w:t>。</w:t>
      </w:r>
    </w:p>
    <w:p>
      <w:pPr>
        <w:pStyle w:val="130"/>
        <w:ind w:firstLine="480"/>
        <w:rPr>
          <w:color w:val="auto"/>
        </w:rPr>
      </w:pPr>
      <w:r>
        <w:rPr>
          <w:color w:val="auto"/>
        </w:rPr>
        <w:t>本项目运营期主要污染物NH</w:t>
      </w:r>
      <w:r>
        <w:rPr>
          <w:color w:val="auto"/>
          <w:vertAlign w:val="subscript"/>
        </w:rPr>
        <w:t>3</w:t>
      </w:r>
      <w:r>
        <w:rPr>
          <w:color w:val="auto"/>
        </w:rPr>
        <w:t>、H</w:t>
      </w:r>
      <w:r>
        <w:rPr>
          <w:color w:val="auto"/>
          <w:vertAlign w:val="subscript"/>
        </w:rPr>
        <w:t>2</w:t>
      </w:r>
      <w:r>
        <w:rPr>
          <w:color w:val="auto"/>
        </w:rPr>
        <w:t>S、臭气浓度、非甲烷总烃的厂界排放浓度情况，由宁夏中科精科检测技术有限公司于2021年12月21日-12月22日进行了现场检测（检测报告见附件10），检测结果见下表。</w:t>
      </w:r>
    </w:p>
    <w:p>
      <w:pPr>
        <w:pStyle w:val="114"/>
        <w:spacing w:before="0" w:beforeLines="0"/>
        <w:rPr>
          <w:color w:val="auto"/>
        </w:rPr>
      </w:pPr>
      <w:r>
        <w:rPr>
          <w:color w:val="auto"/>
        </w:rPr>
        <w:t>表4.8-11   本项目厂界无组织现状检测结果一览表</w:t>
      </w:r>
    </w:p>
    <w:tbl>
      <w:tblPr>
        <w:tblStyle w:val="74"/>
        <w:tblW w:w="8736"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62"/>
        <w:gridCol w:w="804"/>
        <w:gridCol w:w="979"/>
        <w:gridCol w:w="936"/>
        <w:gridCol w:w="961"/>
        <w:gridCol w:w="936"/>
        <w:gridCol w:w="936"/>
        <w:gridCol w:w="1033"/>
        <w:gridCol w:w="708"/>
        <w:gridCol w:w="68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blHeader/>
        </w:trPr>
        <w:tc>
          <w:tcPr>
            <w:tcW w:w="8736" w:type="dxa"/>
            <w:gridSpan w:val="10"/>
            <w:shd w:val="clear" w:color="auto" w:fill="auto"/>
            <w:vAlign w:val="center"/>
          </w:tcPr>
          <w:p>
            <w:pPr>
              <w:widowControl/>
              <w:spacing w:line="360" w:lineRule="exact"/>
              <w:jc w:val="center"/>
              <w:rPr>
                <w:b/>
                <w:bCs/>
                <w:color w:val="auto"/>
                <w:kern w:val="0"/>
                <w:szCs w:val="20"/>
              </w:rPr>
            </w:pPr>
            <w:r>
              <w:rPr>
                <w:b/>
                <w:bCs/>
                <w:color w:val="auto"/>
                <w:kern w:val="0"/>
                <w:szCs w:val="20"/>
              </w:rPr>
              <w:t>检测结果</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52" w:hRule="atLeast"/>
          <w:tblHeader/>
        </w:trPr>
        <w:tc>
          <w:tcPr>
            <w:tcW w:w="762" w:type="dxa"/>
            <w:shd w:val="clear" w:color="auto" w:fill="auto"/>
            <w:vAlign w:val="center"/>
          </w:tcPr>
          <w:p>
            <w:pPr>
              <w:widowControl/>
              <w:jc w:val="center"/>
              <w:rPr>
                <w:b/>
                <w:bCs/>
                <w:color w:val="auto"/>
                <w:kern w:val="0"/>
                <w:szCs w:val="20"/>
              </w:rPr>
            </w:pPr>
            <w:r>
              <w:rPr>
                <w:b/>
                <w:bCs/>
                <w:color w:val="auto"/>
                <w:kern w:val="0"/>
                <w:szCs w:val="20"/>
              </w:rPr>
              <w:t>检测项目</w:t>
            </w:r>
          </w:p>
        </w:tc>
        <w:tc>
          <w:tcPr>
            <w:tcW w:w="804" w:type="dxa"/>
            <w:shd w:val="clear" w:color="auto" w:fill="auto"/>
            <w:vAlign w:val="center"/>
          </w:tcPr>
          <w:p>
            <w:pPr>
              <w:widowControl/>
              <w:jc w:val="center"/>
              <w:rPr>
                <w:b/>
                <w:bCs/>
                <w:color w:val="auto"/>
                <w:kern w:val="0"/>
                <w:szCs w:val="20"/>
              </w:rPr>
            </w:pPr>
            <w:r>
              <w:rPr>
                <w:b/>
                <w:bCs/>
                <w:color w:val="auto"/>
                <w:kern w:val="0"/>
                <w:szCs w:val="20"/>
              </w:rPr>
              <w:t>检测日期</w:t>
            </w:r>
          </w:p>
        </w:tc>
        <w:tc>
          <w:tcPr>
            <w:tcW w:w="979" w:type="dxa"/>
            <w:shd w:val="clear" w:color="auto" w:fill="auto"/>
            <w:vAlign w:val="center"/>
          </w:tcPr>
          <w:p>
            <w:pPr>
              <w:widowControl/>
              <w:jc w:val="center"/>
              <w:rPr>
                <w:b/>
                <w:bCs/>
                <w:color w:val="auto"/>
                <w:kern w:val="0"/>
                <w:szCs w:val="20"/>
              </w:rPr>
            </w:pPr>
            <w:r>
              <w:rPr>
                <w:b/>
                <w:bCs/>
                <w:color w:val="auto"/>
                <w:kern w:val="0"/>
                <w:szCs w:val="20"/>
              </w:rPr>
              <w:t>检测频次</w:t>
            </w:r>
          </w:p>
        </w:tc>
        <w:tc>
          <w:tcPr>
            <w:tcW w:w="936" w:type="dxa"/>
            <w:shd w:val="clear" w:color="auto" w:fill="auto"/>
            <w:vAlign w:val="center"/>
          </w:tcPr>
          <w:p>
            <w:pPr>
              <w:widowControl/>
              <w:jc w:val="center"/>
              <w:rPr>
                <w:b/>
                <w:bCs/>
                <w:color w:val="auto"/>
                <w:kern w:val="0"/>
                <w:szCs w:val="20"/>
              </w:rPr>
            </w:pPr>
            <w:r>
              <w:rPr>
                <w:b/>
                <w:bCs/>
                <w:color w:val="auto"/>
                <w:kern w:val="0"/>
                <w:szCs w:val="20"/>
              </w:rPr>
              <w:t>O1#</w:t>
            </w:r>
          </w:p>
        </w:tc>
        <w:tc>
          <w:tcPr>
            <w:tcW w:w="961" w:type="dxa"/>
            <w:shd w:val="clear" w:color="auto" w:fill="auto"/>
            <w:vAlign w:val="center"/>
          </w:tcPr>
          <w:p>
            <w:pPr>
              <w:widowControl/>
              <w:jc w:val="center"/>
              <w:rPr>
                <w:b/>
                <w:bCs/>
                <w:color w:val="auto"/>
                <w:kern w:val="0"/>
                <w:szCs w:val="20"/>
              </w:rPr>
            </w:pPr>
            <w:r>
              <w:rPr>
                <w:b/>
                <w:bCs/>
                <w:color w:val="auto"/>
                <w:kern w:val="0"/>
                <w:szCs w:val="20"/>
              </w:rPr>
              <w:t>O2#</w:t>
            </w:r>
          </w:p>
        </w:tc>
        <w:tc>
          <w:tcPr>
            <w:tcW w:w="936" w:type="dxa"/>
            <w:shd w:val="clear" w:color="auto" w:fill="auto"/>
            <w:vAlign w:val="center"/>
          </w:tcPr>
          <w:p>
            <w:pPr>
              <w:widowControl/>
              <w:jc w:val="center"/>
              <w:rPr>
                <w:b/>
                <w:bCs/>
                <w:color w:val="auto"/>
                <w:kern w:val="0"/>
                <w:szCs w:val="20"/>
              </w:rPr>
            </w:pPr>
            <w:r>
              <w:rPr>
                <w:b/>
                <w:bCs/>
                <w:color w:val="auto"/>
                <w:kern w:val="0"/>
                <w:szCs w:val="20"/>
              </w:rPr>
              <w:t>O3#</w:t>
            </w:r>
          </w:p>
        </w:tc>
        <w:tc>
          <w:tcPr>
            <w:tcW w:w="936" w:type="dxa"/>
            <w:shd w:val="clear" w:color="auto" w:fill="auto"/>
            <w:vAlign w:val="center"/>
          </w:tcPr>
          <w:p>
            <w:pPr>
              <w:widowControl/>
              <w:jc w:val="center"/>
              <w:rPr>
                <w:b/>
                <w:bCs/>
                <w:color w:val="auto"/>
                <w:kern w:val="0"/>
                <w:szCs w:val="20"/>
              </w:rPr>
            </w:pPr>
            <w:r>
              <w:rPr>
                <w:b/>
                <w:bCs/>
                <w:color w:val="auto"/>
                <w:kern w:val="0"/>
                <w:szCs w:val="20"/>
              </w:rPr>
              <w:t>O4#</w:t>
            </w:r>
          </w:p>
        </w:tc>
        <w:tc>
          <w:tcPr>
            <w:tcW w:w="1033" w:type="dxa"/>
            <w:shd w:val="clear" w:color="auto" w:fill="auto"/>
            <w:vAlign w:val="center"/>
          </w:tcPr>
          <w:p>
            <w:pPr>
              <w:widowControl/>
              <w:jc w:val="center"/>
              <w:rPr>
                <w:b/>
                <w:bCs/>
                <w:color w:val="auto"/>
                <w:kern w:val="0"/>
                <w:szCs w:val="20"/>
              </w:rPr>
            </w:pPr>
            <w:r>
              <w:rPr>
                <w:b/>
                <w:bCs/>
                <w:color w:val="auto"/>
                <w:kern w:val="0"/>
                <w:szCs w:val="20"/>
              </w:rPr>
              <w:t>最大检测</w:t>
            </w:r>
          </w:p>
          <w:p>
            <w:pPr>
              <w:jc w:val="center"/>
              <w:rPr>
                <w:b/>
                <w:bCs/>
                <w:color w:val="auto"/>
                <w:kern w:val="0"/>
                <w:szCs w:val="20"/>
              </w:rPr>
            </w:pPr>
            <w:r>
              <w:rPr>
                <w:b/>
                <w:bCs/>
                <w:color w:val="auto"/>
                <w:kern w:val="0"/>
                <w:szCs w:val="20"/>
              </w:rPr>
              <w:t>浓度值</w:t>
            </w:r>
          </w:p>
        </w:tc>
        <w:tc>
          <w:tcPr>
            <w:tcW w:w="708" w:type="dxa"/>
            <w:shd w:val="clear" w:color="auto" w:fill="auto"/>
            <w:vAlign w:val="center"/>
          </w:tcPr>
          <w:p>
            <w:pPr>
              <w:widowControl/>
              <w:jc w:val="center"/>
              <w:rPr>
                <w:b/>
                <w:bCs/>
                <w:color w:val="auto"/>
                <w:kern w:val="0"/>
                <w:szCs w:val="20"/>
              </w:rPr>
            </w:pPr>
            <w:r>
              <w:rPr>
                <w:b/>
                <w:bCs/>
                <w:color w:val="auto"/>
                <w:kern w:val="0"/>
                <w:szCs w:val="20"/>
              </w:rPr>
              <w:t>标准限值</w:t>
            </w:r>
          </w:p>
        </w:tc>
        <w:tc>
          <w:tcPr>
            <w:tcW w:w="681" w:type="dxa"/>
            <w:shd w:val="clear" w:color="auto" w:fill="auto"/>
            <w:vAlign w:val="center"/>
          </w:tcPr>
          <w:p>
            <w:pPr>
              <w:widowControl/>
              <w:jc w:val="center"/>
              <w:rPr>
                <w:b/>
                <w:bCs/>
                <w:color w:val="auto"/>
                <w:kern w:val="0"/>
                <w:szCs w:val="20"/>
              </w:rPr>
            </w:pPr>
            <w:r>
              <w:rPr>
                <w:b/>
                <w:bCs/>
                <w:color w:val="auto"/>
                <w:kern w:val="0"/>
                <w:szCs w:val="20"/>
              </w:rPr>
              <w:t>达标情况</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restart"/>
            <w:shd w:val="clear" w:color="auto" w:fill="auto"/>
            <w:vAlign w:val="center"/>
          </w:tcPr>
          <w:p>
            <w:pPr>
              <w:widowControl/>
              <w:jc w:val="center"/>
              <w:rPr>
                <w:color w:val="auto"/>
                <w:kern w:val="0"/>
                <w:szCs w:val="20"/>
              </w:rPr>
            </w:pPr>
            <w:r>
              <w:rPr>
                <w:color w:val="auto"/>
                <w:kern w:val="0"/>
                <w:szCs w:val="20"/>
              </w:rPr>
              <w:t>臭气浓度(无量纲)</w:t>
            </w:r>
          </w:p>
        </w:tc>
        <w:tc>
          <w:tcPr>
            <w:tcW w:w="804" w:type="dxa"/>
            <w:vMerge w:val="restart"/>
            <w:shd w:val="clear" w:color="auto" w:fill="auto"/>
            <w:vAlign w:val="center"/>
          </w:tcPr>
          <w:p>
            <w:pPr>
              <w:widowControl/>
              <w:spacing w:line="360" w:lineRule="exact"/>
              <w:jc w:val="center"/>
              <w:rPr>
                <w:color w:val="auto"/>
                <w:kern w:val="0"/>
                <w:szCs w:val="20"/>
              </w:rPr>
            </w:pPr>
            <w:r>
              <w:rPr>
                <w:color w:val="auto"/>
                <w:kern w:val="0"/>
                <w:szCs w:val="20"/>
              </w:rPr>
              <w:t>12月21日</w:t>
            </w: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第一次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15</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1033" w:type="dxa"/>
            <w:vMerge w:val="restart"/>
            <w:shd w:val="clear" w:color="auto" w:fill="auto"/>
            <w:vAlign w:val="center"/>
          </w:tcPr>
          <w:p>
            <w:pPr>
              <w:widowControl/>
              <w:spacing w:line="360" w:lineRule="exact"/>
              <w:jc w:val="center"/>
              <w:rPr>
                <w:color w:val="auto"/>
                <w:kern w:val="0"/>
                <w:szCs w:val="20"/>
              </w:rPr>
            </w:pPr>
            <w:r>
              <w:rPr>
                <w:color w:val="auto"/>
                <w:kern w:val="0"/>
                <w:szCs w:val="20"/>
              </w:rPr>
              <w:t>15</w:t>
            </w:r>
          </w:p>
        </w:tc>
        <w:tc>
          <w:tcPr>
            <w:tcW w:w="708" w:type="dxa"/>
            <w:vMerge w:val="restart"/>
            <w:shd w:val="clear" w:color="auto" w:fill="auto"/>
            <w:vAlign w:val="center"/>
          </w:tcPr>
          <w:p>
            <w:pPr>
              <w:widowControl/>
              <w:spacing w:line="360" w:lineRule="exact"/>
              <w:jc w:val="center"/>
              <w:rPr>
                <w:color w:val="auto"/>
                <w:kern w:val="0"/>
                <w:szCs w:val="20"/>
              </w:rPr>
            </w:pPr>
            <w:r>
              <w:rPr>
                <w:color w:val="auto"/>
                <w:kern w:val="0"/>
                <w:szCs w:val="20"/>
              </w:rPr>
              <w:t>20</w:t>
            </w:r>
          </w:p>
        </w:tc>
        <w:tc>
          <w:tcPr>
            <w:tcW w:w="681" w:type="dxa"/>
            <w:vMerge w:val="restart"/>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i/>
                <w:iCs/>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第二次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12</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第三次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15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15</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第四次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restart"/>
            <w:shd w:val="clear" w:color="auto" w:fill="auto"/>
            <w:vAlign w:val="center"/>
          </w:tcPr>
          <w:p>
            <w:pPr>
              <w:widowControl/>
              <w:spacing w:line="360" w:lineRule="exact"/>
              <w:jc w:val="center"/>
              <w:rPr>
                <w:color w:val="auto"/>
                <w:kern w:val="0"/>
                <w:szCs w:val="20"/>
              </w:rPr>
            </w:pPr>
            <w:r>
              <w:rPr>
                <w:color w:val="auto"/>
                <w:kern w:val="0"/>
                <w:szCs w:val="20"/>
              </w:rPr>
              <w:t>12月22日</w:t>
            </w: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第一次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12</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1033" w:type="dxa"/>
            <w:vMerge w:val="restart"/>
            <w:shd w:val="clear" w:color="auto" w:fill="auto"/>
            <w:vAlign w:val="center"/>
          </w:tcPr>
          <w:p>
            <w:pPr>
              <w:widowControl/>
              <w:spacing w:line="360" w:lineRule="exact"/>
              <w:jc w:val="center"/>
              <w:rPr>
                <w:color w:val="auto"/>
                <w:kern w:val="0"/>
                <w:szCs w:val="20"/>
              </w:rPr>
            </w:pPr>
            <w:r>
              <w:rPr>
                <w:color w:val="auto"/>
                <w:kern w:val="0"/>
                <w:szCs w:val="20"/>
              </w:rPr>
              <w:t>15</w:t>
            </w:r>
          </w:p>
        </w:tc>
        <w:tc>
          <w:tcPr>
            <w:tcW w:w="708" w:type="dxa"/>
            <w:vMerge w:val="restart"/>
            <w:shd w:val="clear" w:color="auto" w:fill="auto"/>
            <w:vAlign w:val="center"/>
          </w:tcPr>
          <w:p>
            <w:pPr>
              <w:widowControl/>
              <w:spacing w:line="360" w:lineRule="exact"/>
              <w:jc w:val="center"/>
              <w:rPr>
                <w:color w:val="auto"/>
                <w:kern w:val="0"/>
                <w:szCs w:val="20"/>
              </w:rPr>
            </w:pPr>
            <w:r>
              <w:rPr>
                <w:color w:val="auto"/>
                <w:kern w:val="0"/>
                <w:szCs w:val="20"/>
              </w:rPr>
              <w:t>20</w:t>
            </w:r>
          </w:p>
        </w:tc>
        <w:tc>
          <w:tcPr>
            <w:tcW w:w="681" w:type="dxa"/>
            <w:vMerge w:val="restart"/>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第二次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第二次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15</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第四次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14</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restart"/>
            <w:shd w:val="clear" w:color="auto" w:fill="auto"/>
            <w:vAlign w:val="center"/>
          </w:tcPr>
          <w:p>
            <w:pPr>
              <w:widowControl/>
              <w:jc w:val="center"/>
              <w:rPr>
                <w:color w:val="auto"/>
                <w:kern w:val="0"/>
                <w:szCs w:val="20"/>
              </w:rPr>
            </w:pPr>
            <w:r>
              <w:rPr>
                <w:color w:val="auto"/>
                <w:kern w:val="0"/>
                <w:szCs w:val="20"/>
              </w:rPr>
              <w:t>氨</w:t>
            </w:r>
          </w:p>
          <w:p>
            <w:pPr>
              <w:jc w:val="center"/>
              <w:rPr>
                <w:color w:val="auto"/>
                <w:kern w:val="0"/>
                <w:szCs w:val="20"/>
              </w:rPr>
            </w:pPr>
            <w:r>
              <w:rPr>
                <w:color w:val="auto"/>
                <w:kern w:val="0"/>
                <w:szCs w:val="20"/>
              </w:rPr>
              <w:t>(mg/m</w:t>
            </w:r>
            <w:r>
              <w:rPr>
                <w:color w:val="auto"/>
                <w:kern w:val="0"/>
                <w:szCs w:val="20"/>
                <w:vertAlign w:val="superscript"/>
              </w:rPr>
              <w:t>3</w:t>
            </w:r>
            <w:r>
              <w:rPr>
                <w:color w:val="auto"/>
                <w:kern w:val="0"/>
                <w:szCs w:val="20"/>
              </w:rPr>
              <w:t>)</w:t>
            </w:r>
          </w:p>
        </w:tc>
        <w:tc>
          <w:tcPr>
            <w:tcW w:w="804" w:type="dxa"/>
            <w:vMerge w:val="restart"/>
            <w:shd w:val="clear" w:color="auto" w:fill="auto"/>
            <w:vAlign w:val="center"/>
          </w:tcPr>
          <w:p>
            <w:pPr>
              <w:widowControl/>
              <w:spacing w:line="360" w:lineRule="exact"/>
              <w:jc w:val="center"/>
              <w:rPr>
                <w:color w:val="auto"/>
                <w:kern w:val="0"/>
                <w:szCs w:val="20"/>
              </w:rPr>
            </w:pPr>
            <w:r>
              <w:rPr>
                <w:color w:val="auto"/>
                <w:kern w:val="0"/>
                <w:szCs w:val="20"/>
              </w:rPr>
              <w:t>12月21日</w:t>
            </w: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第一次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0.11</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w:t>
            </w:r>
          </w:p>
        </w:tc>
        <w:tc>
          <w:tcPr>
            <w:tcW w:w="1033" w:type="dxa"/>
            <w:vMerge w:val="restart"/>
            <w:shd w:val="clear" w:color="auto" w:fill="auto"/>
            <w:vAlign w:val="center"/>
          </w:tcPr>
          <w:p>
            <w:pPr>
              <w:widowControl/>
              <w:spacing w:line="360" w:lineRule="exact"/>
              <w:jc w:val="center"/>
              <w:rPr>
                <w:color w:val="auto"/>
                <w:kern w:val="0"/>
                <w:szCs w:val="20"/>
              </w:rPr>
            </w:pPr>
            <w:r>
              <w:rPr>
                <w:color w:val="auto"/>
                <w:kern w:val="0"/>
                <w:szCs w:val="20"/>
              </w:rPr>
              <w:t>0.16</w:t>
            </w:r>
          </w:p>
        </w:tc>
        <w:tc>
          <w:tcPr>
            <w:tcW w:w="708" w:type="dxa"/>
            <w:vMerge w:val="restart"/>
            <w:shd w:val="clear" w:color="auto" w:fill="auto"/>
            <w:vAlign w:val="center"/>
          </w:tcPr>
          <w:p>
            <w:pPr>
              <w:widowControl/>
              <w:spacing w:line="360" w:lineRule="exact"/>
              <w:jc w:val="center"/>
              <w:rPr>
                <w:color w:val="auto"/>
                <w:kern w:val="0"/>
                <w:szCs w:val="20"/>
              </w:rPr>
            </w:pPr>
            <w:r>
              <w:rPr>
                <w:color w:val="auto"/>
                <w:kern w:val="0"/>
                <w:szCs w:val="20"/>
              </w:rPr>
              <w:t>1.5</w:t>
            </w:r>
          </w:p>
        </w:tc>
        <w:tc>
          <w:tcPr>
            <w:tcW w:w="681" w:type="dxa"/>
            <w:vMerge w:val="restart"/>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第二次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0.09</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0.16</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0.08</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第三次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0.15</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0.14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0.09</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0.06</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第四次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0.07</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0.12</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0.11</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restart"/>
            <w:shd w:val="clear" w:color="auto" w:fill="auto"/>
            <w:vAlign w:val="center"/>
          </w:tcPr>
          <w:p>
            <w:pPr>
              <w:widowControl/>
              <w:spacing w:line="360" w:lineRule="exact"/>
              <w:jc w:val="center"/>
              <w:rPr>
                <w:color w:val="auto"/>
                <w:kern w:val="0"/>
                <w:szCs w:val="20"/>
              </w:rPr>
            </w:pPr>
            <w:r>
              <w:rPr>
                <w:color w:val="auto"/>
                <w:kern w:val="0"/>
                <w:szCs w:val="20"/>
              </w:rPr>
              <w:t>12月22日</w:t>
            </w: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第一次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0.06</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0.17</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0.08</w:t>
            </w:r>
          </w:p>
        </w:tc>
        <w:tc>
          <w:tcPr>
            <w:tcW w:w="1033" w:type="dxa"/>
            <w:vMerge w:val="restart"/>
            <w:shd w:val="clear" w:color="auto" w:fill="auto"/>
            <w:vAlign w:val="center"/>
          </w:tcPr>
          <w:p>
            <w:pPr>
              <w:widowControl/>
              <w:spacing w:line="360" w:lineRule="exact"/>
              <w:jc w:val="center"/>
              <w:rPr>
                <w:color w:val="auto"/>
                <w:kern w:val="0"/>
                <w:szCs w:val="20"/>
              </w:rPr>
            </w:pPr>
            <w:r>
              <w:rPr>
                <w:color w:val="auto"/>
                <w:kern w:val="0"/>
                <w:szCs w:val="20"/>
              </w:rPr>
              <w:t>0.18</w:t>
            </w:r>
          </w:p>
        </w:tc>
        <w:tc>
          <w:tcPr>
            <w:tcW w:w="708" w:type="dxa"/>
            <w:vMerge w:val="restart"/>
            <w:shd w:val="clear" w:color="auto" w:fill="auto"/>
            <w:vAlign w:val="center"/>
          </w:tcPr>
          <w:p>
            <w:pPr>
              <w:widowControl/>
              <w:spacing w:line="360" w:lineRule="exact"/>
              <w:jc w:val="center"/>
              <w:rPr>
                <w:color w:val="auto"/>
                <w:kern w:val="0"/>
                <w:szCs w:val="20"/>
              </w:rPr>
            </w:pPr>
            <w:r>
              <w:rPr>
                <w:color w:val="auto"/>
                <w:kern w:val="0"/>
                <w:szCs w:val="20"/>
              </w:rPr>
              <w:t>1.5</w:t>
            </w:r>
          </w:p>
        </w:tc>
        <w:tc>
          <w:tcPr>
            <w:tcW w:w="681" w:type="dxa"/>
            <w:vMerge w:val="restart"/>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i/>
                <w:iCs/>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第二次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0.08</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0.1</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0.09</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0.06</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第三次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0.13</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0.18</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第四次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0.08</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0.15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0.12</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restart"/>
            <w:shd w:val="clear" w:color="auto" w:fill="auto"/>
            <w:vAlign w:val="center"/>
          </w:tcPr>
          <w:p>
            <w:pPr>
              <w:widowControl/>
              <w:jc w:val="center"/>
              <w:rPr>
                <w:color w:val="auto"/>
                <w:kern w:val="0"/>
                <w:szCs w:val="20"/>
              </w:rPr>
            </w:pPr>
            <w:r>
              <w:rPr>
                <w:color w:val="auto"/>
                <w:kern w:val="0"/>
                <w:szCs w:val="20"/>
              </w:rPr>
              <w:t>硫化氢</w:t>
            </w:r>
          </w:p>
          <w:p>
            <w:pPr>
              <w:jc w:val="center"/>
              <w:rPr>
                <w:color w:val="auto"/>
                <w:kern w:val="0"/>
                <w:szCs w:val="20"/>
              </w:rPr>
            </w:pPr>
            <w:r>
              <w:rPr>
                <w:color w:val="auto"/>
                <w:kern w:val="0"/>
                <w:szCs w:val="20"/>
              </w:rPr>
              <w:t>(mg/m</w:t>
            </w:r>
            <w:r>
              <w:rPr>
                <w:color w:val="auto"/>
                <w:kern w:val="0"/>
                <w:szCs w:val="20"/>
                <w:vertAlign w:val="superscript"/>
              </w:rPr>
              <w:t>3</w:t>
            </w:r>
            <w:r>
              <w:rPr>
                <w:color w:val="auto"/>
                <w:kern w:val="0"/>
                <w:szCs w:val="20"/>
              </w:rPr>
              <w:t>)</w:t>
            </w:r>
          </w:p>
        </w:tc>
        <w:tc>
          <w:tcPr>
            <w:tcW w:w="804" w:type="dxa"/>
            <w:vMerge w:val="restart"/>
            <w:shd w:val="clear" w:color="auto" w:fill="auto"/>
            <w:vAlign w:val="center"/>
          </w:tcPr>
          <w:p>
            <w:pPr>
              <w:widowControl/>
              <w:spacing w:line="360" w:lineRule="exact"/>
              <w:jc w:val="center"/>
              <w:rPr>
                <w:color w:val="auto"/>
                <w:kern w:val="0"/>
                <w:szCs w:val="20"/>
              </w:rPr>
            </w:pPr>
            <w:r>
              <w:rPr>
                <w:color w:val="auto"/>
                <w:kern w:val="0"/>
                <w:szCs w:val="20"/>
              </w:rPr>
              <w:t>12月21日</w:t>
            </w: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第一次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0.003</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0.006</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0.008</w:t>
            </w:r>
          </w:p>
        </w:tc>
        <w:tc>
          <w:tcPr>
            <w:tcW w:w="1033" w:type="dxa"/>
            <w:vMerge w:val="restart"/>
            <w:shd w:val="clear" w:color="auto" w:fill="auto"/>
            <w:vAlign w:val="center"/>
          </w:tcPr>
          <w:p>
            <w:pPr>
              <w:widowControl/>
              <w:spacing w:line="360" w:lineRule="exact"/>
              <w:jc w:val="center"/>
              <w:rPr>
                <w:color w:val="auto"/>
                <w:kern w:val="0"/>
                <w:szCs w:val="20"/>
              </w:rPr>
            </w:pPr>
            <w:r>
              <w:rPr>
                <w:color w:val="auto"/>
                <w:kern w:val="0"/>
                <w:szCs w:val="20"/>
              </w:rPr>
              <w:t>0.008</w:t>
            </w:r>
          </w:p>
        </w:tc>
        <w:tc>
          <w:tcPr>
            <w:tcW w:w="708" w:type="dxa"/>
            <w:vMerge w:val="restart"/>
            <w:shd w:val="clear" w:color="auto" w:fill="auto"/>
            <w:vAlign w:val="center"/>
          </w:tcPr>
          <w:p>
            <w:pPr>
              <w:widowControl/>
              <w:spacing w:line="360" w:lineRule="exact"/>
              <w:jc w:val="center"/>
              <w:rPr>
                <w:color w:val="auto"/>
                <w:kern w:val="0"/>
                <w:szCs w:val="20"/>
              </w:rPr>
            </w:pPr>
            <w:r>
              <w:rPr>
                <w:color w:val="auto"/>
                <w:kern w:val="0"/>
                <w:szCs w:val="20"/>
              </w:rPr>
              <w:t>0.06</w:t>
            </w:r>
          </w:p>
        </w:tc>
        <w:tc>
          <w:tcPr>
            <w:tcW w:w="681" w:type="dxa"/>
            <w:vMerge w:val="restart"/>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第二次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0.007</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0.005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0.006</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第三次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0.005</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0.004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0.002</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0.004</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第四次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0.004</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0.002</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0.003</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restart"/>
            <w:shd w:val="clear" w:color="auto" w:fill="auto"/>
            <w:vAlign w:val="center"/>
          </w:tcPr>
          <w:p>
            <w:pPr>
              <w:widowControl/>
              <w:spacing w:line="360" w:lineRule="exact"/>
              <w:jc w:val="center"/>
              <w:rPr>
                <w:color w:val="auto"/>
                <w:kern w:val="0"/>
                <w:szCs w:val="20"/>
              </w:rPr>
            </w:pPr>
            <w:r>
              <w:rPr>
                <w:color w:val="auto"/>
                <w:kern w:val="0"/>
                <w:szCs w:val="20"/>
              </w:rPr>
              <w:t>12月22日</w:t>
            </w: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第一次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0.006</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0.003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0.002</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0.007</w:t>
            </w:r>
          </w:p>
        </w:tc>
        <w:tc>
          <w:tcPr>
            <w:tcW w:w="1033" w:type="dxa"/>
            <w:vMerge w:val="restart"/>
            <w:shd w:val="clear" w:color="auto" w:fill="auto"/>
            <w:vAlign w:val="center"/>
          </w:tcPr>
          <w:p>
            <w:pPr>
              <w:widowControl/>
              <w:spacing w:line="360" w:lineRule="exact"/>
              <w:jc w:val="center"/>
              <w:rPr>
                <w:color w:val="auto"/>
                <w:kern w:val="0"/>
                <w:szCs w:val="20"/>
              </w:rPr>
            </w:pPr>
            <w:r>
              <w:rPr>
                <w:color w:val="auto"/>
                <w:kern w:val="0"/>
                <w:szCs w:val="20"/>
              </w:rPr>
              <w:t>0.009</w:t>
            </w:r>
          </w:p>
        </w:tc>
        <w:tc>
          <w:tcPr>
            <w:tcW w:w="708" w:type="dxa"/>
            <w:vMerge w:val="restart"/>
            <w:shd w:val="clear" w:color="auto" w:fill="auto"/>
            <w:vAlign w:val="center"/>
          </w:tcPr>
          <w:p>
            <w:pPr>
              <w:widowControl/>
              <w:spacing w:line="360" w:lineRule="exact"/>
              <w:jc w:val="center"/>
              <w:rPr>
                <w:color w:val="auto"/>
                <w:kern w:val="0"/>
                <w:szCs w:val="20"/>
              </w:rPr>
            </w:pPr>
            <w:r>
              <w:rPr>
                <w:color w:val="auto"/>
                <w:kern w:val="0"/>
                <w:szCs w:val="20"/>
              </w:rPr>
              <w:t>0.06</w:t>
            </w:r>
          </w:p>
        </w:tc>
        <w:tc>
          <w:tcPr>
            <w:tcW w:w="681" w:type="dxa"/>
            <w:vMerge w:val="restart"/>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第二次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0.002</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0.005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0.008</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0.005</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第三次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0.004</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0.006</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0.006</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0.002</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第四次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0.007</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0.004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0.009</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50" w:hRule="atLeast"/>
        </w:trPr>
        <w:tc>
          <w:tcPr>
            <w:tcW w:w="762" w:type="dxa"/>
            <w:vMerge w:val="restart"/>
            <w:shd w:val="clear" w:color="auto" w:fill="auto"/>
            <w:vAlign w:val="center"/>
          </w:tcPr>
          <w:p>
            <w:pPr>
              <w:widowControl/>
              <w:jc w:val="center"/>
              <w:rPr>
                <w:color w:val="auto"/>
                <w:kern w:val="0"/>
                <w:szCs w:val="20"/>
              </w:rPr>
            </w:pPr>
            <w:r>
              <w:rPr>
                <w:color w:val="auto"/>
                <w:kern w:val="0"/>
                <w:szCs w:val="20"/>
              </w:rPr>
              <w:t>非甲烷总烃</w:t>
            </w:r>
          </w:p>
          <w:p>
            <w:pPr>
              <w:jc w:val="center"/>
              <w:rPr>
                <w:color w:val="auto"/>
                <w:kern w:val="0"/>
                <w:szCs w:val="20"/>
              </w:rPr>
            </w:pPr>
            <w:r>
              <w:rPr>
                <w:color w:val="auto"/>
                <w:kern w:val="0"/>
                <w:szCs w:val="20"/>
              </w:rPr>
              <w:t>(mg/m</w:t>
            </w:r>
            <w:r>
              <w:rPr>
                <w:color w:val="auto"/>
                <w:kern w:val="0"/>
                <w:szCs w:val="20"/>
                <w:vertAlign w:val="superscript"/>
              </w:rPr>
              <w:t>3</w:t>
            </w:r>
            <w:r>
              <w:rPr>
                <w:color w:val="auto"/>
                <w:kern w:val="0"/>
                <w:szCs w:val="20"/>
              </w:rPr>
              <w:t>)</w:t>
            </w:r>
          </w:p>
        </w:tc>
        <w:tc>
          <w:tcPr>
            <w:tcW w:w="804" w:type="dxa"/>
            <w:vMerge w:val="restart"/>
            <w:shd w:val="clear" w:color="auto" w:fill="auto"/>
            <w:vAlign w:val="center"/>
          </w:tcPr>
          <w:p>
            <w:pPr>
              <w:widowControl/>
              <w:spacing w:line="360" w:lineRule="exact"/>
              <w:jc w:val="center"/>
              <w:rPr>
                <w:color w:val="auto"/>
                <w:kern w:val="0"/>
                <w:szCs w:val="20"/>
              </w:rPr>
            </w:pPr>
            <w:r>
              <w:rPr>
                <w:color w:val="auto"/>
                <w:kern w:val="0"/>
                <w:szCs w:val="20"/>
              </w:rPr>
              <w:t>12月</w:t>
            </w:r>
          </w:p>
          <w:p>
            <w:pPr>
              <w:widowControl/>
              <w:spacing w:line="360" w:lineRule="exact"/>
              <w:jc w:val="center"/>
              <w:rPr>
                <w:color w:val="auto"/>
                <w:kern w:val="0"/>
                <w:szCs w:val="20"/>
              </w:rPr>
            </w:pPr>
            <w:r>
              <w:rPr>
                <w:color w:val="auto"/>
                <w:kern w:val="0"/>
                <w:szCs w:val="20"/>
              </w:rPr>
              <w:t>21日</w:t>
            </w: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第一次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0.61</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0.52</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0.66</w:t>
            </w:r>
          </w:p>
        </w:tc>
        <w:tc>
          <w:tcPr>
            <w:tcW w:w="1033" w:type="dxa"/>
            <w:vMerge w:val="restart"/>
            <w:shd w:val="clear" w:color="auto" w:fill="auto"/>
            <w:vAlign w:val="center"/>
          </w:tcPr>
          <w:p>
            <w:pPr>
              <w:widowControl/>
              <w:spacing w:line="360" w:lineRule="exact"/>
              <w:jc w:val="center"/>
              <w:rPr>
                <w:color w:val="auto"/>
                <w:kern w:val="0"/>
                <w:szCs w:val="20"/>
              </w:rPr>
            </w:pPr>
            <w:r>
              <w:rPr>
                <w:color w:val="auto"/>
                <w:kern w:val="0"/>
                <w:szCs w:val="20"/>
              </w:rPr>
              <w:t>0.74</w:t>
            </w:r>
          </w:p>
        </w:tc>
        <w:tc>
          <w:tcPr>
            <w:tcW w:w="708" w:type="dxa"/>
            <w:vMerge w:val="restart"/>
            <w:shd w:val="clear" w:color="auto" w:fill="auto"/>
            <w:vAlign w:val="center"/>
          </w:tcPr>
          <w:p>
            <w:pPr>
              <w:widowControl/>
              <w:spacing w:line="360" w:lineRule="exact"/>
              <w:jc w:val="center"/>
              <w:rPr>
                <w:color w:val="auto"/>
                <w:kern w:val="0"/>
                <w:szCs w:val="20"/>
              </w:rPr>
            </w:pPr>
            <w:r>
              <w:rPr>
                <w:color w:val="auto"/>
                <w:kern w:val="0"/>
                <w:szCs w:val="20"/>
              </w:rPr>
              <w:t>4.0</w:t>
            </w:r>
          </w:p>
        </w:tc>
        <w:tc>
          <w:tcPr>
            <w:tcW w:w="681" w:type="dxa"/>
            <w:vMerge w:val="restart"/>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第二次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0.51</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0.55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0.58</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0.74</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第三次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0.5</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0.59</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0.64</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第四次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0.52</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0.51</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0.65</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restart"/>
            <w:shd w:val="clear" w:color="auto" w:fill="auto"/>
            <w:vAlign w:val="center"/>
          </w:tcPr>
          <w:p>
            <w:pPr>
              <w:widowControl/>
              <w:spacing w:line="360" w:lineRule="exact"/>
              <w:jc w:val="center"/>
              <w:rPr>
                <w:color w:val="auto"/>
                <w:kern w:val="0"/>
                <w:szCs w:val="20"/>
              </w:rPr>
            </w:pPr>
            <w:r>
              <w:rPr>
                <w:color w:val="auto"/>
                <w:kern w:val="0"/>
                <w:szCs w:val="20"/>
              </w:rPr>
              <w:t>12月22日</w:t>
            </w: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第一次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0.45</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0.52</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0.49</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0.66</w:t>
            </w:r>
          </w:p>
        </w:tc>
        <w:tc>
          <w:tcPr>
            <w:tcW w:w="1033" w:type="dxa"/>
            <w:vMerge w:val="restart"/>
            <w:shd w:val="clear" w:color="auto" w:fill="auto"/>
            <w:vAlign w:val="center"/>
          </w:tcPr>
          <w:p>
            <w:pPr>
              <w:widowControl/>
              <w:spacing w:line="360" w:lineRule="exact"/>
              <w:jc w:val="center"/>
              <w:rPr>
                <w:color w:val="auto"/>
                <w:kern w:val="0"/>
                <w:szCs w:val="20"/>
              </w:rPr>
            </w:pPr>
            <w:r>
              <w:rPr>
                <w:color w:val="auto"/>
                <w:kern w:val="0"/>
                <w:szCs w:val="20"/>
              </w:rPr>
              <w:t>0.73</w:t>
            </w:r>
          </w:p>
        </w:tc>
        <w:tc>
          <w:tcPr>
            <w:tcW w:w="708" w:type="dxa"/>
            <w:vMerge w:val="restart"/>
            <w:shd w:val="clear" w:color="auto" w:fill="auto"/>
            <w:vAlign w:val="center"/>
          </w:tcPr>
          <w:p>
            <w:pPr>
              <w:widowControl/>
              <w:spacing w:line="360" w:lineRule="exact"/>
              <w:jc w:val="center"/>
              <w:rPr>
                <w:color w:val="auto"/>
                <w:kern w:val="0"/>
                <w:szCs w:val="20"/>
              </w:rPr>
            </w:pPr>
            <w:r>
              <w:rPr>
                <w:color w:val="auto"/>
                <w:kern w:val="0"/>
                <w:szCs w:val="20"/>
              </w:rPr>
              <w:t>4.0</w:t>
            </w:r>
          </w:p>
        </w:tc>
        <w:tc>
          <w:tcPr>
            <w:tcW w:w="681" w:type="dxa"/>
            <w:vMerge w:val="restart"/>
            <w:shd w:val="clear" w:color="auto" w:fill="auto"/>
            <w:vAlign w:val="center"/>
          </w:tcPr>
          <w:p>
            <w:pPr>
              <w:widowControl/>
              <w:spacing w:line="360" w:lineRule="exact"/>
              <w:jc w:val="center"/>
              <w:rPr>
                <w:color w:val="auto"/>
                <w:kern w:val="0"/>
                <w:szCs w:val="20"/>
              </w:rPr>
            </w:pPr>
            <w:r>
              <w:rPr>
                <w:color w:val="auto"/>
                <w:kern w:val="0"/>
                <w:szCs w:val="20"/>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第二次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0.47</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0.55</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0.64</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第三次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0.53</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0.54</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0.53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0.69</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804" w:type="dxa"/>
            <w:vMerge w:val="continue"/>
            <w:shd w:val="clear" w:color="auto" w:fill="auto"/>
            <w:vAlign w:val="center"/>
          </w:tcPr>
          <w:p>
            <w:pPr>
              <w:widowControl/>
              <w:spacing w:line="360" w:lineRule="exact"/>
              <w:jc w:val="center"/>
              <w:rPr>
                <w:color w:val="auto"/>
                <w:kern w:val="0"/>
                <w:szCs w:val="20"/>
              </w:rPr>
            </w:pPr>
          </w:p>
        </w:tc>
        <w:tc>
          <w:tcPr>
            <w:tcW w:w="979" w:type="dxa"/>
            <w:shd w:val="clear" w:color="auto" w:fill="auto"/>
            <w:vAlign w:val="center"/>
          </w:tcPr>
          <w:p>
            <w:pPr>
              <w:widowControl/>
              <w:spacing w:line="360" w:lineRule="exact"/>
              <w:jc w:val="center"/>
              <w:rPr>
                <w:color w:val="auto"/>
                <w:kern w:val="0"/>
                <w:szCs w:val="20"/>
              </w:rPr>
            </w:pPr>
            <w:r>
              <w:rPr>
                <w:color w:val="auto"/>
                <w:kern w:val="0"/>
                <w:szCs w:val="20"/>
              </w:rPr>
              <w:t>第四次</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0.48</w:t>
            </w:r>
          </w:p>
        </w:tc>
        <w:tc>
          <w:tcPr>
            <w:tcW w:w="961" w:type="dxa"/>
            <w:shd w:val="clear" w:color="auto" w:fill="auto"/>
            <w:vAlign w:val="center"/>
          </w:tcPr>
          <w:p>
            <w:pPr>
              <w:widowControl/>
              <w:spacing w:line="360" w:lineRule="exact"/>
              <w:jc w:val="center"/>
              <w:rPr>
                <w:color w:val="auto"/>
                <w:kern w:val="0"/>
                <w:szCs w:val="20"/>
              </w:rPr>
            </w:pPr>
            <w:r>
              <w:rPr>
                <w:color w:val="auto"/>
                <w:kern w:val="0"/>
                <w:szCs w:val="20"/>
              </w:rPr>
              <w:t>0.52</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0.63</w:t>
            </w:r>
          </w:p>
        </w:tc>
        <w:tc>
          <w:tcPr>
            <w:tcW w:w="936" w:type="dxa"/>
            <w:shd w:val="clear" w:color="auto" w:fill="auto"/>
            <w:vAlign w:val="center"/>
          </w:tcPr>
          <w:p>
            <w:pPr>
              <w:widowControl/>
              <w:spacing w:line="360" w:lineRule="exact"/>
              <w:jc w:val="center"/>
              <w:rPr>
                <w:color w:val="auto"/>
                <w:kern w:val="0"/>
                <w:szCs w:val="20"/>
              </w:rPr>
            </w:pPr>
            <w:r>
              <w:rPr>
                <w:color w:val="auto"/>
                <w:kern w:val="0"/>
                <w:szCs w:val="20"/>
              </w:rPr>
              <w:t>0.73</w:t>
            </w:r>
          </w:p>
        </w:tc>
        <w:tc>
          <w:tcPr>
            <w:tcW w:w="1033" w:type="dxa"/>
            <w:vMerge w:val="continue"/>
            <w:shd w:val="clear" w:color="auto" w:fill="auto"/>
            <w:vAlign w:val="center"/>
          </w:tcPr>
          <w:p>
            <w:pPr>
              <w:widowControl/>
              <w:spacing w:line="360" w:lineRule="exact"/>
              <w:jc w:val="center"/>
              <w:rPr>
                <w:color w:val="auto"/>
                <w:kern w:val="0"/>
                <w:szCs w:val="20"/>
              </w:rPr>
            </w:pPr>
          </w:p>
        </w:tc>
        <w:tc>
          <w:tcPr>
            <w:tcW w:w="708" w:type="dxa"/>
            <w:vMerge w:val="continue"/>
            <w:shd w:val="clear" w:color="auto" w:fill="auto"/>
            <w:vAlign w:val="center"/>
          </w:tcPr>
          <w:p>
            <w:pPr>
              <w:widowControl/>
              <w:spacing w:line="360" w:lineRule="exact"/>
              <w:jc w:val="center"/>
              <w:rPr>
                <w:color w:val="auto"/>
                <w:kern w:val="0"/>
                <w:szCs w:val="20"/>
              </w:rPr>
            </w:pPr>
          </w:p>
        </w:tc>
        <w:tc>
          <w:tcPr>
            <w:tcW w:w="681" w:type="dxa"/>
            <w:vMerge w:val="continue"/>
            <w:shd w:val="clear" w:color="auto" w:fill="auto"/>
            <w:vAlign w:val="center"/>
          </w:tcPr>
          <w:p>
            <w:pPr>
              <w:widowControl/>
              <w:spacing w:line="360" w:lineRule="exact"/>
              <w:jc w:val="center"/>
              <w:rPr>
                <w:color w:val="auto"/>
                <w:kern w:val="0"/>
                <w:szCs w:val="20"/>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00" w:hRule="atLeast"/>
        </w:trPr>
        <w:tc>
          <w:tcPr>
            <w:tcW w:w="762" w:type="dxa"/>
            <w:vMerge w:val="restart"/>
            <w:shd w:val="clear" w:color="auto" w:fill="auto"/>
            <w:vAlign w:val="center"/>
          </w:tcPr>
          <w:p>
            <w:pPr>
              <w:widowControl/>
              <w:spacing w:line="360" w:lineRule="exact"/>
              <w:jc w:val="center"/>
              <w:rPr>
                <w:color w:val="auto"/>
                <w:kern w:val="0"/>
                <w:szCs w:val="20"/>
              </w:rPr>
            </w:pPr>
            <w:r>
              <w:rPr>
                <w:color w:val="auto"/>
                <w:kern w:val="0"/>
                <w:szCs w:val="20"/>
              </w:rPr>
              <w:t>备注</w:t>
            </w:r>
          </w:p>
        </w:tc>
        <w:tc>
          <w:tcPr>
            <w:tcW w:w="7974" w:type="dxa"/>
            <w:gridSpan w:val="9"/>
            <w:shd w:val="clear" w:color="auto" w:fill="auto"/>
            <w:vAlign w:val="center"/>
          </w:tcPr>
          <w:p>
            <w:pPr>
              <w:widowControl/>
              <w:spacing w:line="360" w:lineRule="exact"/>
              <w:jc w:val="center"/>
              <w:rPr>
                <w:color w:val="auto"/>
                <w:kern w:val="0"/>
                <w:szCs w:val="20"/>
              </w:rPr>
            </w:pPr>
            <w:r>
              <w:rPr>
                <w:color w:val="auto"/>
                <w:kern w:val="0"/>
                <w:szCs w:val="20"/>
              </w:rPr>
              <w:t>1、 当检测结果低于方法检出限时，用“ND”表示；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05"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7974" w:type="dxa"/>
            <w:gridSpan w:val="9"/>
            <w:shd w:val="clear" w:color="auto" w:fill="auto"/>
            <w:vAlign w:val="center"/>
          </w:tcPr>
          <w:p>
            <w:pPr>
              <w:widowControl/>
              <w:jc w:val="center"/>
              <w:rPr>
                <w:color w:val="auto"/>
                <w:kern w:val="0"/>
                <w:szCs w:val="20"/>
              </w:rPr>
            </w:pPr>
            <w:r>
              <w:rPr>
                <w:color w:val="auto"/>
                <w:kern w:val="0"/>
                <w:szCs w:val="20"/>
              </w:rPr>
              <w:t>2、点位布设：O1#：项目厂界外东侧偏北3m处、O2#：项目厂界外东侧3m处、O3#：项目厂界外东南侧3m处、O4#：项目厂界外南侧偏东3m处。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36" w:hRule="atLeast"/>
        </w:trPr>
        <w:tc>
          <w:tcPr>
            <w:tcW w:w="762" w:type="dxa"/>
            <w:vMerge w:val="continue"/>
            <w:shd w:val="clear" w:color="auto" w:fill="auto"/>
            <w:vAlign w:val="center"/>
          </w:tcPr>
          <w:p>
            <w:pPr>
              <w:widowControl/>
              <w:spacing w:line="360" w:lineRule="exact"/>
              <w:jc w:val="center"/>
              <w:rPr>
                <w:color w:val="auto"/>
                <w:kern w:val="0"/>
                <w:szCs w:val="20"/>
              </w:rPr>
            </w:pPr>
          </w:p>
        </w:tc>
        <w:tc>
          <w:tcPr>
            <w:tcW w:w="7974" w:type="dxa"/>
            <w:gridSpan w:val="9"/>
            <w:shd w:val="clear" w:color="auto" w:fill="auto"/>
            <w:vAlign w:val="center"/>
          </w:tcPr>
          <w:p>
            <w:pPr>
              <w:widowControl/>
              <w:spacing w:line="360" w:lineRule="exact"/>
              <w:jc w:val="center"/>
              <w:rPr>
                <w:color w:val="auto"/>
                <w:kern w:val="0"/>
                <w:szCs w:val="20"/>
              </w:rPr>
            </w:pPr>
            <w:r>
              <w:rPr>
                <w:color w:val="auto"/>
                <w:kern w:val="0"/>
                <w:szCs w:val="20"/>
              </w:rPr>
              <w:t>3、最大检测浓度值仅针对O1#、O2#、O3#、O4#点位数据。</w:t>
            </w:r>
          </w:p>
        </w:tc>
      </w:tr>
    </w:tbl>
    <w:p>
      <w:pPr>
        <w:pStyle w:val="130"/>
        <w:ind w:firstLine="480"/>
        <w:rPr>
          <w:color w:val="auto"/>
        </w:rPr>
      </w:pPr>
      <w:r>
        <w:rPr>
          <w:color w:val="auto"/>
        </w:rPr>
        <w:t>由</w:t>
      </w:r>
      <w:r>
        <w:rPr>
          <w:rFonts w:hint="eastAsia"/>
          <w:color w:val="auto"/>
        </w:rPr>
        <w:t>上表</w:t>
      </w:r>
      <w:r>
        <w:rPr>
          <w:color w:val="auto"/>
        </w:rPr>
        <w:t>现状无组织厂界检测结果可以看出，厂界无组织臭气浓度、氨气、硫化氢满足《恶臭污染物排放标准》（GB14554-93）二级标准限值要求，非甲烷总烃排放浓度满足《大气污染物综合排放标准》（GB16297-1996）表2周界外无组织排放监控浓度限值要求，可以达标排放。</w:t>
      </w:r>
    </w:p>
    <w:p>
      <w:pPr>
        <w:pStyle w:val="130"/>
        <w:ind w:firstLine="480"/>
        <w:rPr>
          <w:color w:val="auto"/>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r>
        <w:rPr>
          <w:rFonts w:hint="eastAsia"/>
          <w:color w:val="auto"/>
        </w:rPr>
        <w:t>本项目建成后全厂污水处理站恶臭</w:t>
      </w:r>
    </w:p>
    <w:p>
      <w:pPr>
        <w:pStyle w:val="130"/>
        <w:ind w:firstLine="480"/>
        <w:rPr>
          <w:iCs/>
          <w:color w:val="auto"/>
        </w:rPr>
      </w:pPr>
      <w:r>
        <w:rPr>
          <w:color w:val="auto"/>
        </w:rPr>
        <w:t>根据美国EPA对城市污水处理厂恶臭污染物产生情况的研究，每处理1g的BOD</w:t>
      </w:r>
      <w:r>
        <w:rPr>
          <w:color w:val="auto"/>
          <w:vertAlign w:val="subscript"/>
        </w:rPr>
        <w:t>5</w:t>
      </w:r>
      <w:r>
        <w:rPr>
          <w:color w:val="auto"/>
        </w:rPr>
        <w:t>，可产生0.0031g的NH</w:t>
      </w:r>
      <w:r>
        <w:rPr>
          <w:color w:val="auto"/>
          <w:vertAlign w:val="subscript"/>
        </w:rPr>
        <w:t>3</w:t>
      </w:r>
      <w:r>
        <w:rPr>
          <w:color w:val="auto"/>
        </w:rPr>
        <w:t>和0.00012g的H</w:t>
      </w:r>
      <w:r>
        <w:rPr>
          <w:color w:val="auto"/>
          <w:vertAlign w:val="subscript"/>
        </w:rPr>
        <w:t>2</w:t>
      </w:r>
      <w:r>
        <w:rPr>
          <w:color w:val="auto"/>
        </w:rPr>
        <w:t>S。项目污水站采用A</w:t>
      </w:r>
      <w:r>
        <w:rPr>
          <w:color w:val="auto"/>
          <w:vertAlign w:val="superscript"/>
        </w:rPr>
        <w:t>2</w:t>
      </w:r>
      <w:r>
        <w:rPr>
          <w:color w:val="auto"/>
        </w:rPr>
        <w:t>O+MBR+消毒工艺，本项目污水处理站进水水质中BOD</w:t>
      </w:r>
      <w:r>
        <w:rPr>
          <w:color w:val="auto"/>
          <w:vertAlign w:val="subscript"/>
        </w:rPr>
        <w:t>5</w:t>
      </w:r>
      <w:r>
        <w:rPr>
          <w:color w:val="auto"/>
        </w:rPr>
        <w:t>为645mg/L、出水水质为10mg/L；</w:t>
      </w:r>
      <w:r>
        <w:rPr>
          <w:rFonts w:hint="eastAsia"/>
          <w:color w:val="auto"/>
        </w:rPr>
        <w:t>全厂生产</w:t>
      </w:r>
      <w:r>
        <w:rPr>
          <w:color w:val="auto"/>
        </w:rPr>
        <w:t>废水处理量为2</w:t>
      </w:r>
      <w:r>
        <w:rPr>
          <w:rFonts w:hint="eastAsia"/>
          <w:color w:val="auto"/>
        </w:rPr>
        <w:t>882.16</w:t>
      </w:r>
      <w:r>
        <w:rPr>
          <w:color w:val="auto"/>
        </w:rPr>
        <w:t>m</w:t>
      </w:r>
      <w:r>
        <w:rPr>
          <w:color w:val="auto"/>
          <w:vertAlign w:val="superscript"/>
        </w:rPr>
        <w:t>3</w:t>
      </w:r>
      <w:r>
        <w:rPr>
          <w:color w:val="auto"/>
        </w:rPr>
        <w:t>/a，按照《医疗废物高温蒸汽消毒集中处理工程技术规范》（HJ 276-2021），臭气浓度随季节以及现场工作时间的变化而变化，而且本项目污水处理站处理规模较小，建设单位通过加强对污水处理站正常运营时的管理，加盖密闭并喷雾除臭剂进行除臭，及时清除污水处理站的剩余污泥，可使NH</w:t>
      </w:r>
      <w:r>
        <w:rPr>
          <w:color w:val="auto"/>
          <w:vertAlign w:val="subscript"/>
        </w:rPr>
        <w:t>3</w:t>
      </w:r>
      <w:r>
        <w:rPr>
          <w:color w:val="auto"/>
        </w:rPr>
        <w:t>、H</w:t>
      </w:r>
      <w:r>
        <w:rPr>
          <w:color w:val="auto"/>
          <w:vertAlign w:val="subscript"/>
        </w:rPr>
        <w:t>2</w:t>
      </w:r>
      <w:r>
        <w:rPr>
          <w:color w:val="auto"/>
        </w:rPr>
        <w:t>S的产生量减少60%，则</w:t>
      </w:r>
      <w:r>
        <w:rPr>
          <w:rFonts w:hint="eastAsia"/>
          <w:color w:val="auto"/>
        </w:rPr>
        <w:t>本项目建成后全厂污水站</w:t>
      </w:r>
      <w:r>
        <w:rPr>
          <w:color w:val="auto"/>
        </w:rPr>
        <w:t>NH</w:t>
      </w:r>
      <w:r>
        <w:rPr>
          <w:color w:val="auto"/>
          <w:vertAlign w:val="subscript"/>
        </w:rPr>
        <w:t>3</w:t>
      </w:r>
      <w:r>
        <w:rPr>
          <w:color w:val="auto"/>
        </w:rPr>
        <w:t>、H</w:t>
      </w:r>
      <w:r>
        <w:rPr>
          <w:color w:val="auto"/>
          <w:vertAlign w:val="subscript"/>
        </w:rPr>
        <w:t>2</w:t>
      </w:r>
      <w:r>
        <w:rPr>
          <w:color w:val="auto"/>
        </w:rPr>
        <w:t>S的年产生量、</w:t>
      </w:r>
      <w:r>
        <w:rPr>
          <w:iCs/>
          <w:color w:val="auto"/>
        </w:rPr>
        <w:t>产生速率</w:t>
      </w:r>
      <w:r>
        <w:rPr>
          <w:color w:val="auto"/>
        </w:rPr>
        <w:t>分别为0.00</w:t>
      </w:r>
      <w:r>
        <w:rPr>
          <w:rFonts w:hint="eastAsia"/>
          <w:color w:val="auto"/>
        </w:rPr>
        <w:t>57</w:t>
      </w:r>
      <w:r>
        <w:rPr>
          <w:color w:val="auto"/>
        </w:rPr>
        <w:t>t/a、</w:t>
      </w:r>
      <w:r>
        <w:rPr>
          <w:iCs/>
          <w:color w:val="auto"/>
        </w:rPr>
        <w:t>0.000</w:t>
      </w:r>
      <w:r>
        <w:rPr>
          <w:rFonts w:hint="eastAsia"/>
          <w:iCs/>
          <w:color w:val="auto"/>
        </w:rPr>
        <w:t>72</w:t>
      </w:r>
      <w:r>
        <w:rPr>
          <w:iCs/>
          <w:color w:val="auto"/>
        </w:rPr>
        <w:t>kg/h</w:t>
      </w:r>
      <w:r>
        <w:rPr>
          <w:color w:val="auto"/>
        </w:rPr>
        <w:t>；0.000</w:t>
      </w:r>
      <w:r>
        <w:rPr>
          <w:rFonts w:hint="eastAsia"/>
          <w:color w:val="auto"/>
        </w:rPr>
        <w:t>22</w:t>
      </w:r>
      <w:r>
        <w:rPr>
          <w:color w:val="auto"/>
        </w:rPr>
        <w:t>t/a，</w:t>
      </w:r>
      <w:r>
        <w:rPr>
          <w:iCs/>
          <w:color w:val="auto"/>
        </w:rPr>
        <w:t>0.00002</w:t>
      </w:r>
      <w:r>
        <w:rPr>
          <w:rFonts w:hint="eastAsia"/>
          <w:iCs/>
          <w:color w:val="auto"/>
        </w:rPr>
        <w:t>8</w:t>
      </w:r>
      <w:r>
        <w:rPr>
          <w:iCs/>
          <w:color w:val="auto"/>
        </w:rPr>
        <w:t>kg/h</w:t>
      </w:r>
      <w:r>
        <w:rPr>
          <w:rFonts w:hint="eastAsia"/>
          <w:iCs/>
          <w:color w:val="auto"/>
        </w:rPr>
        <w:t>，</w:t>
      </w:r>
      <w:r>
        <w:rPr>
          <w:color w:val="auto"/>
        </w:rPr>
        <w:t>NH</w:t>
      </w:r>
      <w:r>
        <w:rPr>
          <w:color w:val="auto"/>
          <w:vertAlign w:val="subscript"/>
        </w:rPr>
        <w:t>3</w:t>
      </w:r>
      <w:r>
        <w:rPr>
          <w:color w:val="auto"/>
        </w:rPr>
        <w:t>、H</w:t>
      </w:r>
      <w:r>
        <w:rPr>
          <w:color w:val="auto"/>
          <w:vertAlign w:val="subscript"/>
        </w:rPr>
        <w:t>2</w:t>
      </w:r>
      <w:r>
        <w:rPr>
          <w:color w:val="auto"/>
        </w:rPr>
        <w:t>S的年</w:t>
      </w:r>
      <w:r>
        <w:rPr>
          <w:rFonts w:hint="eastAsia"/>
          <w:color w:val="auto"/>
        </w:rPr>
        <w:t>排放</w:t>
      </w:r>
      <w:r>
        <w:rPr>
          <w:color w:val="auto"/>
        </w:rPr>
        <w:t>量、</w:t>
      </w:r>
      <w:r>
        <w:rPr>
          <w:rFonts w:hint="eastAsia"/>
          <w:iCs/>
          <w:color w:val="auto"/>
        </w:rPr>
        <w:t>排放</w:t>
      </w:r>
      <w:r>
        <w:rPr>
          <w:iCs/>
          <w:color w:val="auto"/>
        </w:rPr>
        <w:t>速率</w:t>
      </w:r>
      <w:r>
        <w:rPr>
          <w:color w:val="auto"/>
        </w:rPr>
        <w:t>分别为0.00</w:t>
      </w:r>
      <w:r>
        <w:rPr>
          <w:rFonts w:hint="eastAsia"/>
          <w:color w:val="auto"/>
        </w:rPr>
        <w:t>23</w:t>
      </w:r>
      <w:r>
        <w:rPr>
          <w:color w:val="auto"/>
        </w:rPr>
        <w:t>t/a、</w:t>
      </w:r>
      <w:r>
        <w:rPr>
          <w:iCs/>
          <w:color w:val="auto"/>
        </w:rPr>
        <w:t>0.000</w:t>
      </w:r>
      <w:r>
        <w:rPr>
          <w:rFonts w:hint="eastAsia"/>
          <w:iCs/>
          <w:color w:val="auto"/>
        </w:rPr>
        <w:t>29</w:t>
      </w:r>
      <w:r>
        <w:rPr>
          <w:iCs/>
          <w:color w:val="auto"/>
        </w:rPr>
        <w:t>kg/h</w:t>
      </w:r>
      <w:r>
        <w:rPr>
          <w:color w:val="auto"/>
        </w:rPr>
        <w:t>；0.000</w:t>
      </w:r>
      <w:r>
        <w:rPr>
          <w:rFonts w:hint="eastAsia"/>
          <w:color w:val="auto"/>
        </w:rPr>
        <w:t>088</w:t>
      </w:r>
      <w:r>
        <w:rPr>
          <w:color w:val="auto"/>
        </w:rPr>
        <w:t>t/a，</w:t>
      </w:r>
      <w:r>
        <w:rPr>
          <w:iCs/>
          <w:color w:val="auto"/>
        </w:rPr>
        <w:t>0.0000</w:t>
      </w:r>
      <w:r>
        <w:rPr>
          <w:rFonts w:hint="eastAsia"/>
          <w:iCs/>
          <w:color w:val="auto"/>
        </w:rPr>
        <w:t>11</w:t>
      </w:r>
      <w:r>
        <w:rPr>
          <w:iCs/>
          <w:color w:val="auto"/>
        </w:rPr>
        <w:t>kg/h。</w:t>
      </w:r>
    </w:p>
    <w:p>
      <w:pPr>
        <w:pStyle w:val="130"/>
        <w:ind w:firstLine="480"/>
        <w:rPr>
          <w:color w:val="auto"/>
        </w:rPr>
      </w:pPr>
      <w:r>
        <w:rPr>
          <w:color w:val="auto"/>
        </w:rPr>
        <w:t>本项目废气产生和及排放情况</w:t>
      </w:r>
      <w:r>
        <w:rPr>
          <w:rFonts w:hint="eastAsia"/>
          <w:color w:val="auto"/>
        </w:rPr>
        <w:t>一览表见</w:t>
      </w:r>
      <w:r>
        <w:rPr>
          <w:color w:val="auto"/>
        </w:rPr>
        <w:t>表</w:t>
      </w:r>
      <w:r>
        <w:rPr>
          <w:rFonts w:hint="eastAsia"/>
          <w:color w:val="auto"/>
        </w:rPr>
        <w:t>4</w:t>
      </w:r>
      <w:r>
        <w:rPr>
          <w:color w:val="auto"/>
        </w:rPr>
        <w:t>.8</w:t>
      </w:r>
      <w:r>
        <w:rPr>
          <w:rFonts w:hint="eastAsia"/>
          <w:color w:val="auto"/>
        </w:rPr>
        <w:t>-</w:t>
      </w:r>
      <w:r>
        <w:rPr>
          <w:color w:val="auto"/>
        </w:rPr>
        <w:t>12</w:t>
      </w:r>
      <w:r>
        <w:rPr>
          <w:rFonts w:hint="eastAsia"/>
          <w:color w:val="auto"/>
        </w:rPr>
        <w:t>，本项目建成后全厂</w:t>
      </w:r>
      <w:r>
        <w:rPr>
          <w:color w:val="auto"/>
        </w:rPr>
        <w:t>废气产生和及排放情况</w:t>
      </w:r>
      <w:r>
        <w:rPr>
          <w:rFonts w:hint="eastAsia"/>
          <w:color w:val="auto"/>
        </w:rPr>
        <w:t>一览表见</w:t>
      </w:r>
      <w:r>
        <w:rPr>
          <w:color w:val="auto"/>
        </w:rPr>
        <w:t>表</w:t>
      </w:r>
      <w:r>
        <w:rPr>
          <w:rFonts w:hint="eastAsia"/>
          <w:color w:val="auto"/>
        </w:rPr>
        <w:t>4</w:t>
      </w:r>
      <w:r>
        <w:rPr>
          <w:color w:val="auto"/>
        </w:rPr>
        <w:t>.8</w:t>
      </w:r>
      <w:r>
        <w:rPr>
          <w:rFonts w:hint="eastAsia"/>
          <w:color w:val="auto"/>
        </w:rPr>
        <w:t>-</w:t>
      </w:r>
      <w:r>
        <w:rPr>
          <w:color w:val="auto"/>
        </w:rPr>
        <w:t>13。</w:t>
      </w:r>
    </w:p>
    <w:p>
      <w:pPr>
        <w:rPr>
          <w:color w:val="auto"/>
        </w:rPr>
        <w:sectPr>
          <w:pgSz w:w="11906" w:h="16838"/>
          <w:pgMar w:top="1701" w:right="1701" w:bottom="1701" w:left="1701" w:header="851" w:footer="851" w:gutter="0"/>
          <w:cols w:space="720" w:num="1"/>
          <w:docGrid w:linePitch="466" w:charSpace="0"/>
        </w:sectPr>
      </w:pPr>
    </w:p>
    <w:p>
      <w:pPr>
        <w:pStyle w:val="114"/>
        <w:spacing w:before="120"/>
        <w:rPr>
          <w:color w:val="auto"/>
        </w:rPr>
      </w:pPr>
      <w:r>
        <w:rPr>
          <w:color w:val="auto"/>
        </w:rPr>
        <w:t>表</w:t>
      </w:r>
      <w:r>
        <w:rPr>
          <w:rFonts w:eastAsia="Times New Roman"/>
          <w:color w:val="auto"/>
        </w:rPr>
        <w:t xml:space="preserve">4.8-12  </w:t>
      </w:r>
      <w:r>
        <w:rPr>
          <w:color w:val="auto"/>
        </w:rPr>
        <w:t>本项目废气产生和及排放情况一览表</w:t>
      </w:r>
    </w:p>
    <w:tbl>
      <w:tblPr>
        <w:tblStyle w:val="74"/>
        <w:tblW w:w="13264"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435"/>
        <w:gridCol w:w="435"/>
        <w:gridCol w:w="435"/>
        <w:gridCol w:w="435"/>
        <w:gridCol w:w="862"/>
        <w:gridCol w:w="759"/>
        <w:gridCol w:w="809"/>
        <w:gridCol w:w="1130"/>
        <w:gridCol w:w="1130"/>
        <w:gridCol w:w="862"/>
        <w:gridCol w:w="700"/>
        <w:gridCol w:w="915"/>
        <w:gridCol w:w="1242"/>
        <w:gridCol w:w="1130"/>
        <w:gridCol w:w="647"/>
        <w:gridCol w:w="761"/>
        <w:gridCol w:w="57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435" w:type="dxa"/>
            <w:vMerge w:val="restart"/>
            <w:shd w:val="clear" w:color="auto" w:fill="auto"/>
            <w:vAlign w:val="center"/>
          </w:tcPr>
          <w:p>
            <w:pPr>
              <w:pStyle w:val="164"/>
              <w:spacing w:line="240" w:lineRule="auto"/>
              <w:rPr>
                <w:color w:val="auto"/>
              </w:rPr>
            </w:pPr>
            <w:r>
              <w:rPr>
                <w:color w:val="auto"/>
              </w:rPr>
              <w:t>序号</w:t>
            </w:r>
          </w:p>
        </w:tc>
        <w:tc>
          <w:tcPr>
            <w:tcW w:w="870" w:type="dxa"/>
            <w:gridSpan w:val="2"/>
            <w:vMerge w:val="restart"/>
            <w:shd w:val="clear" w:color="auto" w:fill="auto"/>
            <w:vAlign w:val="center"/>
          </w:tcPr>
          <w:p>
            <w:pPr>
              <w:pStyle w:val="164"/>
              <w:spacing w:line="240" w:lineRule="auto"/>
              <w:rPr>
                <w:color w:val="auto"/>
              </w:rPr>
            </w:pPr>
            <w:r>
              <w:rPr>
                <w:color w:val="auto"/>
              </w:rPr>
              <w:t>废气污染源</w:t>
            </w:r>
          </w:p>
        </w:tc>
        <w:tc>
          <w:tcPr>
            <w:tcW w:w="435" w:type="dxa"/>
            <w:vMerge w:val="restart"/>
            <w:shd w:val="clear" w:color="auto" w:fill="auto"/>
            <w:vAlign w:val="center"/>
          </w:tcPr>
          <w:p>
            <w:pPr>
              <w:pStyle w:val="164"/>
              <w:spacing w:line="240" w:lineRule="auto"/>
              <w:rPr>
                <w:color w:val="auto"/>
              </w:rPr>
            </w:pPr>
            <w:r>
              <w:rPr>
                <w:color w:val="auto"/>
              </w:rPr>
              <w:t>排放规律</w:t>
            </w:r>
          </w:p>
        </w:tc>
        <w:tc>
          <w:tcPr>
            <w:tcW w:w="862" w:type="dxa"/>
            <w:vMerge w:val="restart"/>
            <w:shd w:val="clear" w:color="auto" w:fill="auto"/>
            <w:vAlign w:val="center"/>
          </w:tcPr>
          <w:p>
            <w:pPr>
              <w:pStyle w:val="164"/>
              <w:spacing w:line="240" w:lineRule="auto"/>
              <w:rPr>
                <w:color w:val="auto"/>
              </w:rPr>
            </w:pPr>
            <w:r>
              <w:rPr>
                <w:color w:val="auto"/>
              </w:rPr>
              <w:t>污染物</w:t>
            </w:r>
          </w:p>
        </w:tc>
        <w:tc>
          <w:tcPr>
            <w:tcW w:w="759" w:type="dxa"/>
            <w:vMerge w:val="restart"/>
            <w:shd w:val="clear" w:color="auto" w:fill="auto"/>
            <w:vAlign w:val="center"/>
          </w:tcPr>
          <w:p>
            <w:pPr>
              <w:pStyle w:val="164"/>
              <w:spacing w:line="240" w:lineRule="auto"/>
              <w:rPr>
                <w:color w:val="auto"/>
              </w:rPr>
            </w:pPr>
            <w:r>
              <w:rPr>
                <w:color w:val="auto"/>
              </w:rPr>
              <w:t>废气量Nm³/a</w:t>
            </w:r>
          </w:p>
        </w:tc>
        <w:tc>
          <w:tcPr>
            <w:tcW w:w="3069" w:type="dxa"/>
            <w:gridSpan w:val="3"/>
            <w:shd w:val="clear" w:color="auto" w:fill="auto"/>
            <w:vAlign w:val="center"/>
          </w:tcPr>
          <w:p>
            <w:pPr>
              <w:pStyle w:val="164"/>
              <w:spacing w:line="240" w:lineRule="auto"/>
              <w:rPr>
                <w:color w:val="auto"/>
              </w:rPr>
            </w:pPr>
            <w:r>
              <w:rPr>
                <w:color w:val="auto"/>
              </w:rPr>
              <w:t>产生情况</w:t>
            </w:r>
          </w:p>
        </w:tc>
        <w:tc>
          <w:tcPr>
            <w:tcW w:w="862" w:type="dxa"/>
            <w:vMerge w:val="restart"/>
            <w:shd w:val="clear" w:color="auto" w:fill="auto"/>
            <w:vAlign w:val="center"/>
          </w:tcPr>
          <w:p>
            <w:pPr>
              <w:pStyle w:val="164"/>
              <w:spacing w:line="240" w:lineRule="auto"/>
              <w:rPr>
                <w:color w:val="auto"/>
              </w:rPr>
            </w:pPr>
            <w:r>
              <w:rPr>
                <w:color w:val="auto"/>
              </w:rPr>
              <w:t>治理措施</w:t>
            </w:r>
          </w:p>
        </w:tc>
        <w:tc>
          <w:tcPr>
            <w:tcW w:w="700" w:type="dxa"/>
            <w:vMerge w:val="restart"/>
            <w:shd w:val="clear" w:color="auto" w:fill="auto"/>
            <w:vAlign w:val="center"/>
          </w:tcPr>
          <w:p>
            <w:pPr>
              <w:pStyle w:val="164"/>
              <w:spacing w:line="240" w:lineRule="auto"/>
              <w:rPr>
                <w:color w:val="auto"/>
              </w:rPr>
            </w:pPr>
            <w:r>
              <w:rPr>
                <w:color w:val="auto"/>
              </w:rPr>
              <w:t>治理效率</w:t>
            </w:r>
          </w:p>
          <w:p>
            <w:pPr>
              <w:pStyle w:val="164"/>
              <w:spacing w:line="240" w:lineRule="auto"/>
              <w:rPr>
                <w:color w:val="auto"/>
              </w:rPr>
            </w:pPr>
            <w:r>
              <w:rPr>
                <w:color w:val="auto"/>
              </w:rPr>
              <w:t>%</w:t>
            </w:r>
          </w:p>
        </w:tc>
        <w:tc>
          <w:tcPr>
            <w:tcW w:w="3287" w:type="dxa"/>
            <w:gridSpan w:val="3"/>
            <w:shd w:val="clear" w:color="auto" w:fill="auto"/>
            <w:vAlign w:val="center"/>
          </w:tcPr>
          <w:p>
            <w:pPr>
              <w:pStyle w:val="164"/>
              <w:spacing w:line="240" w:lineRule="auto"/>
              <w:rPr>
                <w:color w:val="auto"/>
              </w:rPr>
            </w:pPr>
            <w:r>
              <w:rPr>
                <w:color w:val="auto"/>
              </w:rPr>
              <w:t>排放情况</w:t>
            </w:r>
          </w:p>
        </w:tc>
        <w:tc>
          <w:tcPr>
            <w:tcW w:w="1408" w:type="dxa"/>
            <w:gridSpan w:val="2"/>
            <w:shd w:val="clear" w:color="auto" w:fill="auto"/>
            <w:vAlign w:val="center"/>
          </w:tcPr>
          <w:p>
            <w:pPr>
              <w:pStyle w:val="164"/>
              <w:spacing w:line="240" w:lineRule="auto"/>
              <w:rPr>
                <w:color w:val="auto"/>
              </w:rPr>
            </w:pPr>
            <w:r>
              <w:rPr>
                <w:color w:val="auto"/>
              </w:rPr>
              <w:t>排放标准</w:t>
            </w:r>
          </w:p>
        </w:tc>
        <w:tc>
          <w:tcPr>
            <w:tcW w:w="577" w:type="dxa"/>
            <w:vMerge w:val="restart"/>
            <w:shd w:val="clear" w:color="auto" w:fill="auto"/>
            <w:vAlign w:val="center"/>
          </w:tcPr>
          <w:p>
            <w:pPr>
              <w:pStyle w:val="164"/>
              <w:spacing w:line="240" w:lineRule="auto"/>
              <w:rPr>
                <w:color w:val="auto"/>
              </w:rPr>
            </w:pPr>
            <w:r>
              <w:rPr>
                <w:color w:val="auto"/>
              </w:rPr>
              <w:t>是否达标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435" w:type="dxa"/>
            <w:vMerge w:val="continue"/>
            <w:shd w:val="clear" w:color="auto" w:fill="auto"/>
            <w:vAlign w:val="center"/>
          </w:tcPr>
          <w:p>
            <w:pPr>
              <w:pStyle w:val="164"/>
              <w:spacing w:line="240" w:lineRule="auto"/>
              <w:rPr>
                <w:color w:val="auto"/>
              </w:rPr>
            </w:pPr>
          </w:p>
        </w:tc>
        <w:tc>
          <w:tcPr>
            <w:tcW w:w="870" w:type="dxa"/>
            <w:gridSpan w:val="2"/>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862" w:type="dxa"/>
            <w:vMerge w:val="continue"/>
            <w:shd w:val="clear" w:color="auto" w:fill="auto"/>
            <w:vAlign w:val="center"/>
          </w:tcPr>
          <w:p>
            <w:pPr>
              <w:pStyle w:val="164"/>
              <w:spacing w:line="240" w:lineRule="auto"/>
              <w:rPr>
                <w:color w:val="auto"/>
              </w:rPr>
            </w:pPr>
          </w:p>
        </w:tc>
        <w:tc>
          <w:tcPr>
            <w:tcW w:w="759" w:type="dxa"/>
            <w:vMerge w:val="continue"/>
            <w:shd w:val="clear" w:color="auto" w:fill="auto"/>
            <w:vAlign w:val="center"/>
          </w:tcPr>
          <w:p>
            <w:pPr>
              <w:pStyle w:val="164"/>
              <w:spacing w:line="240" w:lineRule="auto"/>
              <w:rPr>
                <w:color w:val="auto"/>
              </w:rPr>
            </w:pPr>
          </w:p>
        </w:tc>
        <w:tc>
          <w:tcPr>
            <w:tcW w:w="809" w:type="dxa"/>
            <w:shd w:val="clear" w:color="auto" w:fill="auto"/>
            <w:vAlign w:val="center"/>
          </w:tcPr>
          <w:p>
            <w:pPr>
              <w:pStyle w:val="164"/>
              <w:spacing w:line="240" w:lineRule="auto"/>
              <w:rPr>
                <w:color w:val="auto"/>
              </w:rPr>
            </w:pPr>
            <w:r>
              <w:rPr>
                <w:color w:val="auto"/>
              </w:rPr>
              <w:t>产生浓度mg/m³</w:t>
            </w:r>
          </w:p>
        </w:tc>
        <w:tc>
          <w:tcPr>
            <w:tcW w:w="1130" w:type="dxa"/>
            <w:shd w:val="clear" w:color="auto" w:fill="auto"/>
            <w:vAlign w:val="center"/>
          </w:tcPr>
          <w:p>
            <w:pPr>
              <w:pStyle w:val="164"/>
              <w:spacing w:line="240" w:lineRule="auto"/>
              <w:rPr>
                <w:color w:val="auto"/>
              </w:rPr>
            </w:pPr>
            <w:r>
              <w:rPr>
                <w:color w:val="auto"/>
              </w:rPr>
              <w:t>产生速率</w:t>
            </w:r>
          </w:p>
          <w:p>
            <w:pPr>
              <w:pStyle w:val="164"/>
              <w:spacing w:line="240" w:lineRule="auto"/>
              <w:rPr>
                <w:color w:val="auto"/>
              </w:rPr>
            </w:pPr>
            <w:r>
              <w:rPr>
                <w:color w:val="auto"/>
              </w:rPr>
              <w:t>kg/h</w:t>
            </w:r>
          </w:p>
        </w:tc>
        <w:tc>
          <w:tcPr>
            <w:tcW w:w="1130" w:type="dxa"/>
            <w:shd w:val="clear" w:color="auto" w:fill="auto"/>
            <w:vAlign w:val="center"/>
          </w:tcPr>
          <w:p>
            <w:pPr>
              <w:pStyle w:val="164"/>
              <w:spacing w:line="240" w:lineRule="auto"/>
              <w:rPr>
                <w:color w:val="auto"/>
              </w:rPr>
            </w:pPr>
            <w:r>
              <w:rPr>
                <w:color w:val="auto"/>
              </w:rPr>
              <w:t>产生量</w:t>
            </w:r>
          </w:p>
          <w:p>
            <w:pPr>
              <w:pStyle w:val="164"/>
              <w:spacing w:line="240" w:lineRule="auto"/>
              <w:rPr>
                <w:color w:val="auto"/>
              </w:rPr>
            </w:pPr>
            <w:r>
              <w:rPr>
                <w:color w:val="auto"/>
              </w:rPr>
              <w:t>t/a</w:t>
            </w:r>
          </w:p>
        </w:tc>
        <w:tc>
          <w:tcPr>
            <w:tcW w:w="862" w:type="dxa"/>
            <w:vMerge w:val="continue"/>
            <w:shd w:val="clear" w:color="auto" w:fill="auto"/>
            <w:vAlign w:val="center"/>
          </w:tcPr>
          <w:p>
            <w:pPr>
              <w:pStyle w:val="164"/>
              <w:spacing w:line="240" w:lineRule="auto"/>
              <w:rPr>
                <w:color w:val="auto"/>
              </w:rPr>
            </w:pPr>
          </w:p>
        </w:tc>
        <w:tc>
          <w:tcPr>
            <w:tcW w:w="700" w:type="dxa"/>
            <w:vMerge w:val="continue"/>
            <w:shd w:val="clear" w:color="auto" w:fill="auto"/>
            <w:vAlign w:val="center"/>
          </w:tcPr>
          <w:p>
            <w:pPr>
              <w:pStyle w:val="164"/>
              <w:spacing w:line="240" w:lineRule="auto"/>
              <w:rPr>
                <w:color w:val="auto"/>
              </w:rPr>
            </w:pPr>
          </w:p>
        </w:tc>
        <w:tc>
          <w:tcPr>
            <w:tcW w:w="915" w:type="dxa"/>
            <w:shd w:val="clear" w:color="auto" w:fill="auto"/>
            <w:vAlign w:val="center"/>
          </w:tcPr>
          <w:p>
            <w:pPr>
              <w:pStyle w:val="164"/>
              <w:spacing w:line="240" w:lineRule="auto"/>
              <w:rPr>
                <w:color w:val="auto"/>
              </w:rPr>
            </w:pPr>
            <w:r>
              <w:rPr>
                <w:color w:val="auto"/>
              </w:rPr>
              <w:t>排放浓度</w:t>
            </w:r>
          </w:p>
          <w:p>
            <w:pPr>
              <w:pStyle w:val="164"/>
              <w:spacing w:line="240" w:lineRule="auto"/>
              <w:rPr>
                <w:color w:val="auto"/>
              </w:rPr>
            </w:pPr>
            <w:r>
              <w:rPr>
                <w:color w:val="auto"/>
              </w:rPr>
              <w:t>mg/m³</w:t>
            </w:r>
          </w:p>
        </w:tc>
        <w:tc>
          <w:tcPr>
            <w:tcW w:w="1242" w:type="dxa"/>
            <w:shd w:val="clear" w:color="auto" w:fill="auto"/>
            <w:vAlign w:val="center"/>
          </w:tcPr>
          <w:p>
            <w:pPr>
              <w:pStyle w:val="164"/>
              <w:spacing w:line="240" w:lineRule="auto"/>
              <w:rPr>
                <w:color w:val="auto"/>
              </w:rPr>
            </w:pPr>
            <w:r>
              <w:rPr>
                <w:color w:val="auto"/>
              </w:rPr>
              <w:t>排放速率</w:t>
            </w:r>
          </w:p>
          <w:p>
            <w:pPr>
              <w:pStyle w:val="164"/>
              <w:spacing w:line="240" w:lineRule="auto"/>
              <w:rPr>
                <w:color w:val="auto"/>
              </w:rPr>
            </w:pPr>
            <w:r>
              <w:rPr>
                <w:color w:val="auto"/>
              </w:rPr>
              <w:t>kg/h</w:t>
            </w:r>
          </w:p>
        </w:tc>
        <w:tc>
          <w:tcPr>
            <w:tcW w:w="1130" w:type="dxa"/>
            <w:shd w:val="clear" w:color="auto" w:fill="auto"/>
            <w:vAlign w:val="center"/>
          </w:tcPr>
          <w:p>
            <w:pPr>
              <w:pStyle w:val="164"/>
              <w:spacing w:line="240" w:lineRule="auto"/>
              <w:rPr>
                <w:color w:val="auto"/>
              </w:rPr>
            </w:pPr>
            <w:r>
              <w:rPr>
                <w:color w:val="auto"/>
              </w:rPr>
              <w:t>排放量</w:t>
            </w:r>
          </w:p>
          <w:p>
            <w:pPr>
              <w:pStyle w:val="164"/>
              <w:spacing w:line="240" w:lineRule="auto"/>
              <w:rPr>
                <w:color w:val="auto"/>
              </w:rPr>
            </w:pPr>
            <w:r>
              <w:rPr>
                <w:color w:val="auto"/>
              </w:rPr>
              <w:t>t/a</w:t>
            </w:r>
          </w:p>
        </w:tc>
        <w:tc>
          <w:tcPr>
            <w:tcW w:w="647" w:type="dxa"/>
            <w:shd w:val="clear" w:color="auto" w:fill="auto"/>
            <w:vAlign w:val="center"/>
          </w:tcPr>
          <w:p>
            <w:pPr>
              <w:jc w:val="center"/>
              <w:rPr>
                <w:color w:val="auto"/>
              </w:rPr>
            </w:pPr>
            <w:r>
              <w:rPr>
                <w:color w:val="auto"/>
              </w:rPr>
              <w:t>最高允许排放浓度</w:t>
            </w:r>
          </w:p>
        </w:tc>
        <w:tc>
          <w:tcPr>
            <w:tcW w:w="761" w:type="dxa"/>
            <w:shd w:val="clear" w:color="auto" w:fill="auto"/>
            <w:vAlign w:val="center"/>
          </w:tcPr>
          <w:p>
            <w:pPr>
              <w:jc w:val="center"/>
              <w:rPr>
                <w:color w:val="auto"/>
              </w:rPr>
            </w:pPr>
            <w:r>
              <w:rPr>
                <w:color w:val="auto"/>
              </w:rPr>
              <w:t>最高允许排放速率</w:t>
            </w:r>
          </w:p>
        </w:tc>
        <w:tc>
          <w:tcPr>
            <w:tcW w:w="577" w:type="dxa"/>
            <w:vMerge w:val="continue"/>
            <w:shd w:val="clear" w:color="auto" w:fill="auto"/>
            <w:vAlign w:val="center"/>
          </w:tcPr>
          <w:p>
            <w:pPr>
              <w:pStyle w:val="164"/>
              <w:spacing w:line="360" w:lineRule="exact"/>
              <w:rPr>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35" w:hRule="atLeast"/>
          <w:jc w:val="center"/>
        </w:trPr>
        <w:tc>
          <w:tcPr>
            <w:tcW w:w="435" w:type="dxa"/>
            <w:vMerge w:val="restart"/>
            <w:shd w:val="clear" w:color="auto" w:fill="auto"/>
            <w:vAlign w:val="center"/>
          </w:tcPr>
          <w:p>
            <w:pPr>
              <w:pStyle w:val="164"/>
              <w:spacing w:line="360" w:lineRule="exact"/>
              <w:rPr>
                <w:color w:val="auto"/>
              </w:rPr>
            </w:pPr>
            <w:r>
              <w:rPr>
                <w:color w:val="auto"/>
              </w:rPr>
              <w:t>1</w:t>
            </w:r>
          </w:p>
        </w:tc>
        <w:tc>
          <w:tcPr>
            <w:tcW w:w="435" w:type="dxa"/>
            <w:vMerge w:val="restart"/>
            <w:shd w:val="clear" w:color="auto" w:fill="auto"/>
            <w:vAlign w:val="center"/>
          </w:tcPr>
          <w:p>
            <w:pPr>
              <w:pStyle w:val="164"/>
              <w:spacing w:line="360" w:lineRule="exact"/>
              <w:rPr>
                <w:color w:val="auto"/>
              </w:rPr>
            </w:pPr>
            <w:r>
              <w:rPr>
                <w:color w:val="auto"/>
              </w:rPr>
              <w:t>有组织</w:t>
            </w:r>
          </w:p>
        </w:tc>
        <w:tc>
          <w:tcPr>
            <w:tcW w:w="435" w:type="dxa"/>
            <w:vMerge w:val="restart"/>
            <w:shd w:val="clear" w:color="auto" w:fill="auto"/>
            <w:vAlign w:val="center"/>
          </w:tcPr>
          <w:p>
            <w:pPr>
              <w:pStyle w:val="164"/>
              <w:spacing w:line="360" w:lineRule="exact"/>
              <w:rPr>
                <w:color w:val="auto"/>
              </w:rPr>
            </w:pPr>
            <w:r>
              <w:rPr>
                <w:color w:val="auto"/>
              </w:rPr>
              <w:t>医废</w:t>
            </w:r>
          </w:p>
          <w:p>
            <w:pPr>
              <w:pStyle w:val="164"/>
              <w:spacing w:line="360" w:lineRule="exact"/>
              <w:rPr>
                <w:color w:val="auto"/>
              </w:rPr>
            </w:pPr>
            <w:r>
              <w:rPr>
                <w:color w:val="auto"/>
              </w:rPr>
              <w:t>暂存间</w:t>
            </w:r>
          </w:p>
        </w:tc>
        <w:tc>
          <w:tcPr>
            <w:tcW w:w="435" w:type="dxa"/>
            <w:vMerge w:val="restart"/>
            <w:shd w:val="clear" w:color="auto" w:fill="auto"/>
            <w:vAlign w:val="center"/>
          </w:tcPr>
          <w:p>
            <w:pPr>
              <w:pStyle w:val="164"/>
              <w:spacing w:line="360" w:lineRule="exact"/>
              <w:rPr>
                <w:color w:val="auto"/>
              </w:rPr>
            </w:pPr>
            <w:r>
              <w:rPr>
                <w:color w:val="auto"/>
              </w:rPr>
              <w:t>间歇</w:t>
            </w:r>
          </w:p>
        </w:tc>
        <w:tc>
          <w:tcPr>
            <w:tcW w:w="862" w:type="dxa"/>
            <w:shd w:val="clear" w:color="auto" w:fill="auto"/>
            <w:vAlign w:val="center"/>
          </w:tcPr>
          <w:p>
            <w:pPr>
              <w:pStyle w:val="164"/>
              <w:spacing w:line="360" w:lineRule="exact"/>
              <w:rPr>
                <w:color w:val="auto"/>
              </w:rPr>
            </w:pPr>
            <w:r>
              <w:rPr>
                <w:color w:val="auto"/>
              </w:rPr>
              <w:t>NH</w:t>
            </w:r>
            <w:r>
              <w:rPr>
                <w:color w:val="auto"/>
                <w:szCs w:val="13"/>
                <w:vertAlign w:val="subscript"/>
              </w:rPr>
              <w:t>3</w:t>
            </w:r>
          </w:p>
        </w:tc>
        <w:tc>
          <w:tcPr>
            <w:tcW w:w="759" w:type="dxa"/>
            <w:vMerge w:val="restart"/>
            <w:shd w:val="clear" w:color="auto" w:fill="auto"/>
            <w:vAlign w:val="center"/>
          </w:tcPr>
          <w:p>
            <w:pPr>
              <w:pStyle w:val="164"/>
              <w:spacing w:line="360" w:lineRule="exact"/>
              <w:rPr>
                <w:color w:val="auto"/>
              </w:rPr>
            </w:pPr>
            <w:r>
              <w:rPr>
                <w:color w:val="auto"/>
              </w:rPr>
              <w:t>100</w:t>
            </w:r>
          </w:p>
        </w:tc>
        <w:tc>
          <w:tcPr>
            <w:tcW w:w="809" w:type="dxa"/>
            <w:shd w:val="clear" w:color="auto" w:fill="auto"/>
            <w:vAlign w:val="center"/>
          </w:tcPr>
          <w:p>
            <w:pPr>
              <w:widowControl/>
              <w:jc w:val="center"/>
              <w:rPr>
                <w:color w:val="auto"/>
              </w:rPr>
            </w:pPr>
            <w:r>
              <w:rPr>
                <w:color w:val="auto"/>
                <w:kern w:val="0"/>
                <w:szCs w:val="21"/>
              </w:rPr>
              <w:t>0.25</w:t>
            </w:r>
          </w:p>
        </w:tc>
        <w:tc>
          <w:tcPr>
            <w:tcW w:w="1130" w:type="dxa"/>
            <w:shd w:val="clear" w:color="auto" w:fill="auto"/>
            <w:vAlign w:val="center"/>
          </w:tcPr>
          <w:p>
            <w:pPr>
              <w:widowControl/>
              <w:jc w:val="center"/>
              <w:rPr>
                <w:color w:val="auto"/>
              </w:rPr>
            </w:pPr>
            <w:r>
              <w:rPr>
                <w:color w:val="auto"/>
                <w:kern w:val="0"/>
                <w:szCs w:val="21"/>
              </w:rPr>
              <w:t>2.5E-05</w:t>
            </w:r>
          </w:p>
        </w:tc>
        <w:tc>
          <w:tcPr>
            <w:tcW w:w="1130" w:type="dxa"/>
            <w:shd w:val="clear" w:color="auto" w:fill="auto"/>
            <w:vAlign w:val="center"/>
          </w:tcPr>
          <w:p>
            <w:pPr>
              <w:widowControl/>
              <w:jc w:val="center"/>
              <w:rPr>
                <w:color w:val="auto"/>
              </w:rPr>
            </w:pPr>
            <w:r>
              <w:rPr>
                <w:color w:val="auto"/>
                <w:kern w:val="0"/>
                <w:szCs w:val="21"/>
              </w:rPr>
              <w:t>1.98E-04</w:t>
            </w:r>
          </w:p>
        </w:tc>
        <w:tc>
          <w:tcPr>
            <w:tcW w:w="862" w:type="dxa"/>
            <w:vMerge w:val="restart"/>
            <w:shd w:val="clear" w:color="auto" w:fill="auto"/>
            <w:vAlign w:val="center"/>
          </w:tcPr>
          <w:p>
            <w:pPr>
              <w:pStyle w:val="164"/>
              <w:spacing w:line="240" w:lineRule="auto"/>
              <w:rPr>
                <w:color w:val="auto"/>
              </w:rPr>
            </w:pPr>
            <w:r>
              <w:rPr>
                <w:color w:val="auto"/>
              </w:rPr>
              <w:t>碱洗喷淋+等离子+活性炭+15m高排气筒排放（1#）</w:t>
            </w:r>
          </w:p>
        </w:tc>
        <w:tc>
          <w:tcPr>
            <w:tcW w:w="700" w:type="dxa"/>
            <w:shd w:val="clear" w:color="auto" w:fill="auto"/>
            <w:vAlign w:val="center"/>
          </w:tcPr>
          <w:p>
            <w:pPr>
              <w:pStyle w:val="164"/>
              <w:spacing w:line="360" w:lineRule="exact"/>
              <w:rPr>
                <w:color w:val="auto"/>
              </w:rPr>
            </w:pPr>
            <w:r>
              <w:rPr>
                <w:color w:val="auto"/>
              </w:rPr>
              <w:t>25.15</w:t>
            </w:r>
          </w:p>
        </w:tc>
        <w:tc>
          <w:tcPr>
            <w:tcW w:w="915" w:type="dxa"/>
            <w:shd w:val="clear" w:color="auto" w:fill="auto"/>
            <w:vAlign w:val="center"/>
          </w:tcPr>
          <w:p>
            <w:pPr>
              <w:widowControl/>
              <w:jc w:val="center"/>
              <w:rPr>
                <w:color w:val="auto"/>
              </w:rPr>
            </w:pPr>
            <w:r>
              <w:rPr>
                <w:color w:val="auto"/>
                <w:kern w:val="0"/>
                <w:szCs w:val="21"/>
              </w:rPr>
              <w:t>0.1872</w:t>
            </w:r>
          </w:p>
        </w:tc>
        <w:tc>
          <w:tcPr>
            <w:tcW w:w="1242" w:type="dxa"/>
            <w:shd w:val="clear" w:color="auto" w:fill="auto"/>
            <w:vAlign w:val="center"/>
          </w:tcPr>
          <w:p>
            <w:pPr>
              <w:widowControl/>
              <w:jc w:val="center"/>
              <w:rPr>
                <w:color w:val="auto"/>
              </w:rPr>
            </w:pPr>
            <w:r>
              <w:rPr>
                <w:color w:val="auto"/>
                <w:kern w:val="0"/>
                <w:szCs w:val="21"/>
              </w:rPr>
              <w:t>1.872E-05</w:t>
            </w:r>
          </w:p>
        </w:tc>
        <w:tc>
          <w:tcPr>
            <w:tcW w:w="1130" w:type="dxa"/>
            <w:shd w:val="clear" w:color="auto" w:fill="auto"/>
            <w:vAlign w:val="center"/>
          </w:tcPr>
          <w:p>
            <w:pPr>
              <w:widowControl/>
              <w:jc w:val="center"/>
              <w:rPr>
                <w:color w:val="auto"/>
              </w:rPr>
            </w:pPr>
            <w:r>
              <w:rPr>
                <w:color w:val="auto"/>
                <w:kern w:val="0"/>
                <w:szCs w:val="21"/>
              </w:rPr>
              <w:t>1.48E-04</w:t>
            </w:r>
          </w:p>
        </w:tc>
        <w:tc>
          <w:tcPr>
            <w:tcW w:w="647" w:type="dxa"/>
            <w:shd w:val="clear" w:color="auto" w:fill="auto"/>
            <w:vAlign w:val="center"/>
          </w:tcPr>
          <w:p>
            <w:pPr>
              <w:pStyle w:val="164"/>
              <w:spacing w:line="360" w:lineRule="exact"/>
              <w:rPr>
                <w:color w:val="auto"/>
                <w:kern w:val="0"/>
                <w:szCs w:val="21"/>
              </w:rPr>
            </w:pPr>
            <w:r>
              <w:rPr>
                <w:color w:val="auto"/>
                <w:kern w:val="0"/>
                <w:szCs w:val="21"/>
              </w:rPr>
              <w:t>/</w:t>
            </w:r>
          </w:p>
        </w:tc>
        <w:tc>
          <w:tcPr>
            <w:tcW w:w="761" w:type="dxa"/>
            <w:shd w:val="clear" w:color="auto" w:fill="auto"/>
            <w:vAlign w:val="center"/>
          </w:tcPr>
          <w:p>
            <w:pPr>
              <w:pStyle w:val="164"/>
              <w:spacing w:line="360" w:lineRule="exact"/>
              <w:rPr>
                <w:color w:val="auto"/>
                <w:kern w:val="0"/>
                <w:szCs w:val="21"/>
              </w:rPr>
            </w:pPr>
            <w:r>
              <w:rPr>
                <w:color w:val="auto"/>
                <w:kern w:val="0"/>
                <w:szCs w:val="21"/>
              </w:rPr>
              <w:t>4.9</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67" w:hRule="atLeast"/>
          <w:jc w:val="center"/>
        </w:trPr>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862" w:type="dxa"/>
            <w:shd w:val="clear" w:color="auto" w:fill="auto"/>
            <w:vAlign w:val="center"/>
          </w:tcPr>
          <w:p>
            <w:pPr>
              <w:pStyle w:val="164"/>
              <w:spacing w:line="360" w:lineRule="exact"/>
              <w:rPr>
                <w:color w:val="auto"/>
              </w:rPr>
            </w:pPr>
            <w:r>
              <w:rPr>
                <w:color w:val="auto"/>
              </w:rPr>
              <w:t>H</w:t>
            </w:r>
            <w:r>
              <w:rPr>
                <w:color w:val="auto"/>
                <w:vertAlign w:val="subscript"/>
              </w:rPr>
              <w:t>2</w:t>
            </w:r>
            <w:r>
              <w:rPr>
                <w:color w:val="auto"/>
              </w:rPr>
              <w:t>S</w:t>
            </w:r>
          </w:p>
        </w:tc>
        <w:tc>
          <w:tcPr>
            <w:tcW w:w="759" w:type="dxa"/>
            <w:vMerge w:val="continue"/>
            <w:shd w:val="clear" w:color="auto" w:fill="auto"/>
            <w:vAlign w:val="center"/>
          </w:tcPr>
          <w:p>
            <w:pPr>
              <w:pStyle w:val="164"/>
              <w:spacing w:line="360" w:lineRule="exact"/>
              <w:rPr>
                <w:color w:val="auto"/>
              </w:rPr>
            </w:pPr>
          </w:p>
        </w:tc>
        <w:tc>
          <w:tcPr>
            <w:tcW w:w="809" w:type="dxa"/>
            <w:shd w:val="clear" w:color="auto" w:fill="auto"/>
            <w:vAlign w:val="center"/>
          </w:tcPr>
          <w:p>
            <w:pPr>
              <w:widowControl/>
              <w:jc w:val="center"/>
              <w:rPr>
                <w:color w:val="auto"/>
              </w:rPr>
            </w:pPr>
            <w:r>
              <w:rPr>
                <w:color w:val="auto"/>
                <w:kern w:val="0"/>
                <w:szCs w:val="21"/>
              </w:rPr>
              <w:t>0.0085</w:t>
            </w:r>
          </w:p>
        </w:tc>
        <w:tc>
          <w:tcPr>
            <w:tcW w:w="1130" w:type="dxa"/>
            <w:shd w:val="clear" w:color="auto" w:fill="auto"/>
            <w:vAlign w:val="center"/>
          </w:tcPr>
          <w:p>
            <w:pPr>
              <w:widowControl/>
              <w:jc w:val="center"/>
              <w:rPr>
                <w:color w:val="auto"/>
              </w:rPr>
            </w:pPr>
            <w:r>
              <w:rPr>
                <w:color w:val="auto"/>
                <w:kern w:val="0"/>
                <w:szCs w:val="21"/>
              </w:rPr>
              <w:t>8.5E-07</w:t>
            </w:r>
          </w:p>
        </w:tc>
        <w:tc>
          <w:tcPr>
            <w:tcW w:w="1130" w:type="dxa"/>
            <w:shd w:val="clear" w:color="auto" w:fill="auto"/>
            <w:vAlign w:val="center"/>
          </w:tcPr>
          <w:p>
            <w:pPr>
              <w:widowControl/>
              <w:jc w:val="center"/>
              <w:rPr>
                <w:color w:val="auto"/>
              </w:rPr>
            </w:pPr>
            <w:r>
              <w:rPr>
                <w:color w:val="auto"/>
                <w:kern w:val="0"/>
                <w:szCs w:val="21"/>
              </w:rPr>
              <w:t>6.73E-06</w:t>
            </w:r>
          </w:p>
        </w:tc>
        <w:tc>
          <w:tcPr>
            <w:tcW w:w="862" w:type="dxa"/>
            <w:vMerge w:val="continue"/>
            <w:shd w:val="clear" w:color="auto" w:fill="auto"/>
            <w:vAlign w:val="center"/>
          </w:tcPr>
          <w:p>
            <w:pPr>
              <w:pStyle w:val="164"/>
              <w:spacing w:line="360" w:lineRule="exact"/>
              <w:rPr>
                <w:color w:val="auto"/>
              </w:rPr>
            </w:pPr>
          </w:p>
        </w:tc>
        <w:tc>
          <w:tcPr>
            <w:tcW w:w="700" w:type="dxa"/>
            <w:shd w:val="clear" w:color="auto" w:fill="auto"/>
            <w:vAlign w:val="center"/>
          </w:tcPr>
          <w:p>
            <w:pPr>
              <w:pStyle w:val="164"/>
              <w:spacing w:line="360" w:lineRule="exact"/>
              <w:rPr>
                <w:color w:val="auto"/>
              </w:rPr>
            </w:pPr>
            <w:r>
              <w:rPr>
                <w:color w:val="auto"/>
              </w:rPr>
              <w:t>33.33</w:t>
            </w:r>
          </w:p>
        </w:tc>
        <w:tc>
          <w:tcPr>
            <w:tcW w:w="915" w:type="dxa"/>
            <w:shd w:val="clear" w:color="auto" w:fill="auto"/>
            <w:vAlign w:val="center"/>
          </w:tcPr>
          <w:p>
            <w:pPr>
              <w:widowControl/>
              <w:jc w:val="center"/>
              <w:rPr>
                <w:color w:val="auto"/>
              </w:rPr>
            </w:pPr>
            <w:r>
              <w:rPr>
                <w:color w:val="auto"/>
                <w:kern w:val="0"/>
                <w:szCs w:val="21"/>
              </w:rPr>
              <w:t>0.00567</w:t>
            </w:r>
          </w:p>
        </w:tc>
        <w:tc>
          <w:tcPr>
            <w:tcW w:w="1242" w:type="dxa"/>
            <w:shd w:val="clear" w:color="auto" w:fill="auto"/>
            <w:vAlign w:val="center"/>
          </w:tcPr>
          <w:p>
            <w:pPr>
              <w:widowControl/>
              <w:jc w:val="center"/>
              <w:rPr>
                <w:color w:val="auto"/>
              </w:rPr>
            </w:pPr>
            <w:r>
              <w:rPr>
                <w:color w:val="auto"/>
                <w:kern w:val="0"/>
                <w:szCs w:val="21"/>
              </w:rPr>
              <w:t>5.67E-07</w:t>
            </w:r>
          </w:p>
        </w:tc>
        <w:tc>
          <w:tcPr>
            <w:tcW w:w="1130" w:type="dxa"/>
            <w:shd w:val="clear" w:color="auto" w:fill="auto"/>
            <w:vAlign w:val="center"/>
          </w:tcPr>
          <w:p>
            <w:pPr>
              <w:widowControl/>
              <w:jc w:val="center"/>
              <w:rPr>
                <w:color w:val="auto"/>
              </w:rPr>
            </w:pPr>
            <w:r>
              <w:rPr>
                <w:color w:val="auto"/>
                <w:kern w:val="0"/>
                <w:szCs w:val="21"/>
              </w:rPr>
              <w:t>4.49E-06</w:t>
            </w:r>
          </w:p>
        </w:tc>
        <w:tc>
          <w:tcPr>
            <w:tcW w:w="647" w:type="dxa"/>
            <w:shd w:val="clear" w:color="auto" w:fill="auto"/>
            <w:vAlign w:val="center"/>
          </w:tcPr>
          <w:p>
            <w:pPr>
              <w:pStyle w:val="164"/>
              <w:spacing w:line="360" w:lineRule="exact"/>
              <w:rPr>
                <w:color w:val="auto"/>
                <w:kern w:val="0"/>
                <w:szCs w:val="21"/>
              </w:rPr>
            </w:pPr>
            <w:r>
              <w:rPr>
                <w:color w:val="auto"/>
                <w:kern w:val="0"/>
                <w:szCs w:val="21"/>
              </w:rPr>
              <w:t>/</w:t>
            </w:r>
          </w:p>
        </w:tc>
        <w:tc>
          <w:tcPr>
            <w:tcW w:w="761" w:type="dxa"/>
            <w:shd w:val="clear" w:color="auto" w:fill="auto"/>
            <w:vAlign w:val="center"/>
          </w:tcPr>
          <w:p>
            <w:pPr>
              <w:pStyle w:val="164"/>
              <w:spacing w:line="360" w:lineRule="exact"/>
              <w:rPr>
                <w:color w:val="auto"/>
                <w:kern w:val="0"/>
                <w:szCs w:val="21"/>
              </w:rPr>
            </w:pPr>
            <w:r>
              <w:rPr>
                <w:color w:val="auto"/>
                <w:kern w:val="0"/>
                <w:szCs w:val="21"/>
              </w:rPr>
              <w:t>0.33</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19" w:hRule="atLeast"/>
          <w:jc w:val="center"/>
        </w:trPr>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862" w:type="dxa"/>
            <w:shd w:val="clear" w:color="auto" w:fill="auto"/>
            <w:vAlign w:val="center"/>
          </w:tcPr>
          <w:p>
            <w:pPr>
              <w:pStyle w:val="164"/>
              <w:spacing w:line="240" w:lineRule="auto"/>
              <w:rPr>
                <w:color w:val="auto"/>
              </w:rPr>
            </w:pPr>
            <w:r>
              <w:rPr>
                <w:color w:val="auto"/>
              </w:rPr>
              <w:t>非甲烷总烃</w:t>
            </w:r>
          </w:p>
        </w:tc>
        <w:tc>
          <w:tcPr>
            <w:tcW w:w="759" w:type="dxa"/>
            <w:vMerge w:val="continue"/>
            <w:shd w:val="clear" w:color="auto" w:fill="auto"/>
            <w:vAlign w:val="center"/>
          </w:tcPr>
          <w:p>
            <w:pPr>
              <w:pStyle w:val="164"/>
              <w:spacing w:line="360" w:lineRule="exact"/>
              <w:rPr>
                <w:color w:val="auto"/>
              </w:rPr>
            </w:pPr>
          </w:p>
        </w:tc>
        <w:tc>
          <w:tcPr>
            <w:tcW w:w="809" w:type="dxa"/>
            <w:shd w:val="clear" w:color="auto" w:fill="auto"/>
            <w:vAlign w:val="center"/>
          </w:tcPr>
          <w:p>
            <w:pPr>
              <w:widowControl/>
              <w:jc w:val="center"/>
              <w:rPr>
                <w:color w:val="auto"/>
              </w:rPr>
            </w:pPr>
            <w:r>
              <w:rPr>
                <w:color w:val="auto"/>
                <w:kern w:val="0"/>
                <w:szCs w:val="21"/>
              </w:rPr>
              <w:t>0.025</w:t>
            </w:r>
          </w:p>
        </w:tc>
        <w:tc>
          <w:tcPr>
            <w:tcW w:w="1130" w:type="dxa"/>
            <w:shd w:val="clear" w:color="auto" w:fill="auto"/>
            <w:vAlign w:val="center"/>
          </w:tcPr>
          <w:p>
            <w:pPr>
              <w:widowControl/>
              <w:jc w:val="center"/>
              <w:rPr>
                <w:color w:val="auto"/>
              </w:rPr>
            </w:pPr>
            <w:r>
              <w:rPr>
                <w:color w:val="auto"/>
                <w:kern w:val="0"/>
                <w:szCs w:val="21"/>
              </w:rPr>
              <w:t>2.5E-06</w:t>
            </w:r>
          </w:p>
        </w:tc>
        <w:tc>
          <w:tcPr>
            <w:tcW w:w="1130" w:type="dxa"/>
            <w:shd w:val="clear" w:color="auto" w:fill="auto"/>
            <w:vAlign w:val="center"/>
          </w:tcPr>
          <w:p>
            <w:pPr>
              <w:widowControl/>
              <w:jc w:val="center"/>
              <w:rPr>
                <w:color w:val="auto"/>
              </w:rPr>
            </w:pPr>
            <w:r>
              <w:rPr>
                <w:color w:val="auto"/>
                <w:kern w:val="0"/>
                <w:szCs w:val="21"/>
              </w:rPr>
              <w:t>1.98E-05</w:t>
            </w:r>
          </w:p>
        </w:tc>
        <w:tc>
          <w:tcPr>
            <w:tcW w:w="862" w:type="dxa"/>
            <w:vMerge w:val="continue"/>
            <w:shd w:val="clear" w:color="auto" w:fill="auto"/>
            <w:vAlign w:val="center"/>
          </w:tcPr>
          <w:p>
            <w:pPr>
              <w:pStyle w:val="164"/>
              <w:spacing w:line="360" w:lineRule="exact"/>
              <w:rPr>
                <w:color w:val="auto"/>
              </w:rPr>
            </w:pPr>
          </w:p>
        </w:tc>
        <w:tc>
          <w:tcPr>
            <w:tcW w:w="700" w:type="dxa"/>
            <w:shd w:val="clear" w:color="auto" w:fill="auto"/>
            <w:vAlign w:val="center"/>
          </w:tcPr>
          <w:p>
            <w:pPr>
              <w:pStyle w:val="164"/>
              <w:spacing w:line="360" w:lineRule="exact"/>
              <w:rPr>
                <w:color w:val="auto"/>
              </w:rPr>
            </w:pPr>
            <w:r>
              <w:rPr>
                <w:color w:val="auto"/>
              </w:rPr>
              <w:t>44.54</w:t>
            </w:r>
          </w:p>
        </w:tc>
        <w:tc>
          <w:tcPr>
            <w:tcW w:w="915" w:type="dxa"/>
            <w:shd w:val="clear" w:color="auto" w:fill="auto"/>
            <w:vAlign w:val="center"/>
          </w:tcPr>
          <w:p>
            <w:pPr>
              <w:widowControl/>
              <w:jc w:val="center"/>
              <w:rPr>
                <w:color w:val="auto"/>
              </w:rPr>
            </w:pPr>
            <w:r>
              <w:rPr>
                <w:color w:val="auto"/>
                <w:kern w:val="0"/>
                <w:szCs w:val="21"/>
              </w:rPr>
              <w:t>0.01387</w:t>
            </w:r>
          </w:p>
        </w:tc>
        <w:tc>
          <w:tcPr>
            <w:tcW w:w="1242" w:type="dxa"/>
            <w:shd w:val="clear" w:color="auto" w:fill="auto"/>
            <w:vAlign w:val="center"/>
          </w:tcPr>
          <w:p>
            <w:pPr>
              <w:widowControl/>
              <w:jc w:val="center"/>
              <w:rPr>
                <w:color w:val="auto"/>
              </w:rPr>
            </w:pPr>
            <w:r>
              <w:rPr>
                <w:color w:val="auto"/>
                <w:kern w:val="0"/>
                <w:szCs w:val="21"/>
              </w:rPr>
              <w:t>1.387E-06</w:t>
            </w:r>
          </w:p>
        </w:tc>
        <w:tc>
          <w:tcPr>
            <w:tcW w:w="1130" w:type="dxa"/>
            <w:shd w:val="clear" w:color="auto" w:fill="auto"/>
            <w:vAlign w:val="center"/>
          </w:tcPr>
          <w:p>
            <w:pPr>
              <w:widowControl/>
              <w:jc w:val="center"/>
              <w:rPr>
                <w:color w:val="auto"/>
              </w:rPr>
            </w:pPr>
            <w:r>
              <w:rPr>
                <w:color w:val="auto"/>
                <w:kern w:val="0"/>
                <w:szCs w:val="21"/>
              </w:rPr>
              <w:t>1.1E-05</w:t>
            </w:r>
          </w:p>
        </w:tc>
        <w:tc>
          <w:tcPr>
            <w:tcW w:w="647" w:type="dxa"/>
            <w:shd w:val="clear" w:color="auto" w:fill="auto"/>
            <w:vAlign w:val="center"/>
          </w:tcPr>
          <w:p>
            <w:pPr>
              <w:pStyle w:val="164"/>
              <w:spacing w:line="360" w:lineRule="exact"/>
              <w:rPr>
                <w:color w:val="auto"/>
                <w:kern w:val="0"/>
                <w:szCs w:val="21"/>
              </w:rPr>
            </w:pPr>
            <w:r>
              <w:rPr>
                <w:color w:val="auto"/>
                <w:kern w:val="0"/>
                <w:szCs w:val="21"/>
              </w:rPr>
              <w:t>20</w:t>
            </w:r>
          </w:p>
        </w:tc>
        <w:tc>
          <w:tcPr>
            <w:tcW w:w="761" w:type="dxa"/>
            <w:shd w:val="clear" w:color="auto" w:fill="auto"/>
            <w:vAlign w:val="center"/>
          </w:tcPr>
          <w:p>
            <w:pPr>
              <w:pStyle w:val="164"/>
              <w:spacing w:line="360" w:lineRule="exact"/>
              <w:rPr>
                <w:color w:val="auto"/>
                <w:kern w:val="0"/>
                <w:szCs w:val="21"/>
              </w:rPr>
            </w:pPr>
            <w:r>
              <w:rPr>
                <w:color w:val="auto"/>
                <w:kern w:val="0"/>
                <w:szCs w:val="21"/>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90" w:hRule="atLeast"/>
          <w:jc w:val="center"/>
        </w:trPr>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862" w:type="dxa"/>
            <w:shd w:val="clear" w:color="auto" w:fill="auto"/>
            <w:vAlign w:val="center"/>
          </w:tcPr>
          <w:p>
            <w:pPr>
              <w:pStyle w:val="164"/>
              <w:spacing w:line="240" w:lineRule="auto"/>
              <w:rPr>
                <w:color w:val="auto"/>
              </w:rPr>
            </w:pPr>
            <w:r>
              <w:rPr>
                <w:color w:val="auto"/>
              </w:rPr>
              <w:t>臭气浓度</w:t>
            </w:r>
          </w:p>
        </w:tc>
        <w:tc>
          <w:tcPr>
            <w:tcW w:w="759" w:type="dxa"/>
            <w:vMerge w:val="continue"/>
            <w:shd w:val="clear" w:color="auto" w:fill="auto"/>
            <w:vAlign w:val="center"/>
          </w:tcPr>
          <w:p>
            <w:pPr>
              <w:pStyle w:val="164"/>
              <w:spacing w:line="360" w:lineRule="exact"/>
              <w:rPr>
                <w:color w:val="auto"/>
              </w:rPr>
            </w:pPr>
          </w:p>
        </w:tc>
        <w:tc>
          <w:tcPr>
            <w:tcW w:w="809" w:type="dxa"/>
            <w:shd w:val="clear" w:color="auto" w:fill="auto"/>
            <w:vAlign w:val="center"/>
          </w:tcPr>
          <w:p>
            <w:pPr>
              <w:pStyle w:val="164"/>
              <w:spacing w:line="360" w:lineRule="exact"/>
              <w:rPr>
                <w:color w:val="auto"/>
              </w:rPr>
            </w:pPr>
            <w:r>
              <w:rPr>
                <w:color w:val="auto"/>
              </w:rPr>
              <w:t>125</w:t>
            </w:r>
          </w:p>
        </w:tc>
        <w:tc>
          <w:tcPr>
            <w:tcW w:w="1130" w:type="dxa"/>
            <w:shd w:val="clear" w:color="auto" w:fill="auto"/>
            <w:vAlign w:val="center"/>
          </w:tcPr>
          <w:p>
            <w:pPr>
              <w:pStyle w:val="164"/>
              <w:spacing w:line="360" w:lineRule="exact"/>
              <w:rPr>
                <w:color w:val="auto"/>
              </w:rPr>
            </w:pPr>
            <w:r>
              <w:rPr>
                <w:color w:val="auto"/>
              </w:rPr>
              <w:t>/</w:t>
            </w:r>
          </w:p>
        </w:tc>
        <w:tc>
          <w:tcPr>
            <w:tcW w:w="1130" w:type="dxa"/>
            <w:shd w:val="clear" w:color="auto" w:fill="auto"/>
            <w:vAlign w:val="center"/>
          </w:tcPr>
          <w:p>
            <w:pPr>
              <w:pStyle w:val="164"/>
              <w:spacing w:line="360" w:lineRule="exact"/>
              <w:rPr>
                <w:color w:val="auto"/>
              </w:rPr>
            </w:pPr>
            <w:r>
              <w:rPr>
                <w:color w:val="auto"/>
              </w:rPr>
              <w:t>/</w:t>
            </w:r>
          </w:p>
        </w:tc>
        <w:tc>
          <w:tcPr>
            <w:tcW w:w="862" w:type="dxa"/>
            <w:vMerge w:val="continue"/>
            <w:shd w:val="clear" w:color="auto" w:fill="auto"/>
            <w:vAlign w:val="center"/>
          </w:tcPr>
          <w:p>
            <w:pPr>
              <w:pStyle w:val="164"/>
              <w:spacing w:line="360" w:lineRule="exact"/>
              <w:rPr>
                <w:color w:val="auto"/>
              </w:rPr>
            </w:pPr>
          </w:p>
        </w:tc>
        <w:tc>
          <w:tcPr>
            <w:tcW w:w="700" w:type="dxa"/>
            <w:shd w:val="clear" w:color="auto" w:fill="auto"/>
            <w:vAlign w:val="center"/>
          </w:tcPr>
          <w:p>
            <w:pPr>
              <w:pStyle w:val="164"/>
              <w:spacing w:line="360" w:lineRule="exact"/>
              <w:rPr>
                <w:color w:val="auto"/>
              </w:rPr>
            </w:pPr>
            <w:r>
              <w:rPr>
                <w:color w:val="auto"/>
              </w:rPr>
              <w:t>25.1</w:t>
            </w:r>
          </w:p>
        </w:tc>
        <w:tc>
          <w:tcPr>
            <w:tcW w:w="915" w:type="dxa"/>
            <w:shd w:val="clear" w:color="auto" w:fill="auto"/>
            <w:vAlign w:val="center"/>
          </w:tcPr>
          <w:p>
            <w:pPr>
              <w:pStyle w:val="164"/>
              <w:spacing w:line="360" w:lineRule="exact"/>
              <w:rPr>
                <w:color w:val="auto"/>
              </w:rPr>
            </w:pPr>
            <w:r>
              <w:rPr>
                <w:color w:val="auto"/>
              </w:rPr>
              <w:t>93.6</w:t>
            </w:r>
          </w:p>
        </w:tc>
        <w:tc>
          <w:tcPr>
            <w:tcW w:w="1242" w:type="dxa"/>
            <w:shd w:val="clear" w:color="auto" w:fill="auto"/>
            <w:vAlign w:val="center"/>
          </w:tcPr>
          <w:p>
            <w:pPr>
              <w:pStyle w:val="164"/>
              <w:spacing w:line="360" w:lineRule="exact"/>
              <w:rPr>
                <w:color w:val="auto"/>
              </w:rPr>
            </w:pPr>
            <w:r>
              <w:rPr>
                <w:color w:val="auto"/>
              </w:rPr>
              <w:t>/</w:t>
            </w:r>
          </w:p>
        </w:tc>
        <w:tc>
          <w:tcPr>
            <w:tcW w:w="1130" w:type="dxa"/>
            <w:shd w:val="clear" w:color="auto" w:fill="auto"/>
            <w:vAlign w:val="center"/>
          </w:tcPr>
          <w:p>
            <w:pPr>
              <w:pStyle w:val="164"/>
              <w:spacing w:line="360" w:lineRule="exact"/>
              <w:rPr>
                <w:color w:val="auto"/>
              </w:rPr>
            </w:pPr>
            <w:r>
              <w:rPr>
                <w:color w:val="auto"/>
              </w:rPr>
              <w:t>/</w:t>
            </w:r>
          </w:p>
        </w:tc>
        <w:tc>
          <w:tcPr>
            <w:tcW w:w="647" w:type="dxa"/>
            <w:shd w:val="clear" w:color="auto" w:fill="auto"/>
            <w:vAlign w:val="center"/>
          </w:tcPr>
          <w:p>
            <w:pPr>
              <w:pStyle w:val="164"/>
              <w:spacing w:line="360" w:lineRule="exact"/>
              <w:rPr>
                <w:color w:val="auto"/>
              </w:rPr>
            </w:pPr>
            <w:r>
              <w:rPr>
                <w:color w:val="auto"/>
              </w:rPr>
              <w:t>2000</w:t>
            </w:r>
          </w:p>
        </w:tc>
        <w:tc>
          <w:tcPr>
            <w:tcW w:w="761" w:type="dxa"/>
            <w:shd w:val="clear" w:color="auto" w:fill="auto"/>
            <w:vAlign w:val="center"/>
          </w:tcPr>
          <w:p>
            <w:pPr>
              <w:pStyle w:val="164"/>
              <w:spacing w:line="360" w:lineRule="exact"/>
              <w:rPr>
                <w:color w:val="auto"/>
              </w:rPr>
            </w:pPr>
            <w:r>
              <w:rPr>
                <w:color w:val="auto"/>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11" w:hRule="atLeast"/>
          <w:jc w:val="center"/>
        </w:trPr>
        <w:tc>
          <w:tcPr>
            <w:tcW w:w="435" w:type="dxa"/>
            <w:vMerge w:val="restart"/>
            <w:shd w:val="clear" w:color="auto" w:fill="auto"/>
            <w:vAlign w:val="center"/>
          </w:tcPr>
          <w:p>
            <w:pPr>
              <w:pStyle w:val="164"/>
              <w:spacing w:line="360" w:lineRule="exact"/>
              <w:rPr>
                <w:color w:val="auto"/>
                <w:szCs w:val="20"/>
              </w:rPr>
            </w:pPr>
            <w:r>
              <w:rPr>
                <w:color w:val="auto"/>
                <w:szCs w:val="20"/>
              </w:rPr>
              <w:t>2</w:t>
            </w:r>
          </w:p>
        </w:tc>
        <w:tc>
          <w:tcPr>
            <w:tcW w:w="435" w:type="dxa"/>
            <w:vMerge w:val="continue"/>
            <w:shd w:val="clear" w:color="auto" w:fill="auto"/>
            <w:vAlign w:val="center"/>
          </w:tcPr>
          <w:p>
            <w:pPr>
              <w:pStyle w:val="164"/>
              <w:spacing w:line="360" w:lineRule="exact"/>
              <w:rPr>
                <w:color w:val="auto"/>
              </w:rPr>
            </w:pPr>
          </w:p>
        </w:tc>
        <w:tc>
          <w:tcPr>
            <w:tcW w:w="435" w:type="dxa"/>
            <w:vMerge w:val="restart"/>
            <w:shd w:val="clear" w:color="auto" w:fill="auto"/>
            <w:vAlign w:val="center"/>
          </w:tcPr>
          <w:p>
            <w:pPr>
              <w:pStyle w:val="164"/>
              <w:spacing w:line="360" w:lineRule="exact"/>
              <w:rPr>
                <w:color w:val="auto"/>
              </w:rPr>
            </w:pPr>
            <w:r>
              <w:rPr>
                <w:color w:val="auto"/>
              </w:rPr>
              <w:t>灭菌系统</w:t>
            </w:r>
          </w:p>
        </w:tc>
        <w:tc>
          <w:tcPr>
            <w:tcW w:w="435" w:type="dxa"/>
            <w:vMerge w:val="restart"/>
            <w:shd w:val="clear" w:color="auto" w:fill="auto"/>
            <w:vAlign w:val="center"/>
          </w:tcPr>
          <w:p>
            <w:pPr>
              <w:pStyle w:val="164"/>
              <w:spacing w:line="360" w:lineRule="exact"/>
              <w:rPr>
                <w:color w:val="auto"/>
              </w:rPr>
            </w:pPr>
            <w:r>
              <w:rPr>
                <w:color w:val="auto"/>
              </w:rPr>
              <w:t>间歇</w:t>
            </w:r>
          </w:p>
        </w:tc>
        <w:tc>
          <w:tcPr>
            <w:tcW w:w="862" w:type="dxa"/>
            <w:shd w:val="clear" w:color="auto" w:fill="auto"/>
            <w:vAlign w:val="center"/>
          </w:tcPr>
          <w:p>
            <w:pPr>
              <w:pStyle w:val="164"/>
              <w:spacing w:line="240" w:lineRule="auto"/>
              <w:rPr>
                <w:color w:val="auto"/>
              </w:rPr>
            </w:pPr>
            <w:r>
              <w:rPr>
                <w:color w:val="auto"/>
              </w:rPr>
              <w:t>颗粒物</w:t>
            </w:r>
          </w:p>
        </w:tc>
        <w:tc>
          <w:tcPr>
            <w:tcW w:w="759" w:type="dxa"/>
            <w:vMerge w:val="restart"/>
            <w:shd w:val="clear" w:color="auto" w:fill="auto"/>
            <w:vAlign w:val="center"/>
          </w:tcPr>
          <w:p>
            <w:pPr>
              <w:pStyle w:val="164"/>
              <w:spacing w:line="360" w:lineRule="exact"/>
              <w:rPr>
                <w:color w:val="auto"/>
              </w:rPr>
            </w:pPr>
            <w:r>
              <w:rPr>
                <w:color w:val="auto"/>
              </w:rPr>
              <w:t>3680</w:t>
            </w:r>
          </w:p>
        </w:tc>
        <w:tc>
          <w:tcPr>
            <w:tcW w:w="809" w:type="dxa"/>
            <w:shd w:val="clear" w:color="auto" w:fill="auto"/>
            <w:vAlign w:val="center"/>
          </w:tcPr>
          <w:p>
            <w:pPr>
              <w:pStyle w:val="164"/>
              <w:spacing w:line="360" w:lineRule="exact"/>
              <w:rPr>
                <w:color w:val="auto"/>
              </w:rPr>
            </w:pPr>
            <w:r>
              <w:rPr>
                <w:color w:val="auto"/>
                <w:szCs w:val="21"/>
              </w:rPr>
              <w:t>20</w:t>
            </w:r>
          </w:p>
        </w:tc>
        <w:tc>
          <w:tcPr>
            <w:tcW w:w="1130" w:type="dxa"/>
            <w:shd w:val="clear" w:color="auto" w:fill="auto"/>
            <w:vAlign w:val="center"/>
          </w:tcPr>
          <w:p>
            <w:pPr>
              <w:pStyle w:val="164"/>
              <w:spacing w:line="360" w:lineRule="exact"/>
              <w:rPr>
                <w:color w:val="auto"/>
              </w:rPr>
            </w:pPr>
            <w:r>
              <w:rPr>
                <w:color w:val="auto"/>
              </w:rPr>
              <w:t>0.0736</w:t>
            </w:r>
          </w:p>
        </w:tc>
        <w:tc>
          <w:tcPr>
            <w:tcW w:w="1130" w:type="dxa"/>
            <w:shd w:val="clear" w:color="auto" w:fill="auto"/>
            <w:vAlign w:val="center"/>
          </w:tcPr>
          <w:p>
            <w:pPr>
              <w:pStyle w:val="164"/>
              <w:spacing w:line="360" w:lineRule="exact"/>
              <w:rPr>
                <w:color w:val="auto"/>
              </w:rPr>
            </w:pPr>
            <w:r>
              <w:rPr>
                <w:color w:val="auto"/>
                <w:szCs w:val="21"/>
              </w:rPr>
              <w:t xml:space="preserve">0.3886 </w:t>
            </w:r>
          </w:p>
        </w:tc>
        <w:tc>
          <w:tcPr>
            <w:tcW w:w="862" w:type="dxa"/>
            <w:vMerge w:val="restart"/>
            <w:shd w:val="clear" w:color="auto" w:fill="auto"/>
            <w:vAlign w:val="center"/>
          </w:tcPr>
          <w:p>
            <w:pPr>
              <w:pStyle w:val="164"/>
              <w:spacing w:line="240" w:lineRule="auto"/>
              <w:rPr>
                <w:color w:val="auto"/>
              </w:rPr>
            </w:pPr>
            <w:r>
              <w:rPr>
                <w:color w:val="auto"/>
              </w:rPr>
              <w:t>生物过滤+活性炭+碱洗喷淋+等离子+活性炭+15m高排气筒排放（1#）</w:t>
            </w:r>
          </w:p>
        </w:tc>
        <w:tc>
          <w:tcPr>
            <w:tcW w:w="700" w:type="dxa"/>
            <w:shd w:val="clear" w:color="auto" w:fill="auto"/>
            <w:vAlign w:val="center"/>
          </w:tcPr>
          <w:p>
            <w:pPr>
              <w:pStyle w:val="164"/>
              <w:spacing w:line="360" w:lineRule="exact"/>
              <w:rPr>
                <w:color w:val="auto"/>
              </w:rPr>
            </w:pPr>
            <w:r>
              <w:rPr>
                <w:color w:val="auto"/>
              </w:rPr>
              <w:t>86.65</w:t>
            </w:r>
          </w:p>
        </w:tc>
        <w:tc>
          <w:tcPr>
            <w:tcW w:w="915" w:type="dxa"/>
            <w:shd w:val="clear" w:color="auto" w:fill="auto"/>
            <w:vAlign w:val="center"/>
          </w:tcPr>
          <w:p>
            <w:pPr>
              <w:pStyle w:val="164"/>
              <w:spacing w:line="360" w:lineRule="exact"/>
              <w:rPr>
                <w:color w:val="auto"/>
              </w:rPr>
            </w:pPr>
            <w:r>
              <w:rPr>
                <w:color w:val="auto"/>
                <w:szCs w:val="21"/>
              </w:rPr>
              <w:t>2.67</w:t>
            </w:r>
          </w:p>
        </w:tc>
        <w:tc>
          <w:tcPr>
            <w:tcW w:w="1242" w:type="dxa"/>
            <w:shd w:val="clear" w:color="auto" w:fill="auto"/>
            <w:vAlign w:val="center"/>
          </w:tcPr>
          <w:p>
            <w:pPr>
              <w:pStyle w:val="164"/>
              <w:spacing w:line="360" w:lineRule="exact"/>
              <w:rPr>
                <w:color w:val="auto"/>
              </w:rPr>
            </w:pPr>
            <w:r>
              <w:rPr>
                <w:color w:val="auto"/>
                <w:szCs w:val="21"/>
              </w:rPr>
              <w:t>0.00976</w:t>
            </w:r>
          </w:p>
        </w:tc>
        <w:tc>
          <w:tcPr>
            <w:tcW w:w="1130" w:type="dxa"/>
            <w:shd w:val="clear" w:color="auto" w:fill="auto"/>
            <w:vAlign w:val="center"/>
          </w:tcPr>
          <w:p>
            <w:pPr>
              <w:pStyle w:val="164"/>
              <w:spacing w:line="360" w:lineRule="exact"/>
              <w:rPr>
                <w:color w:val="auto"/>
              </w:rPr>
            </w:pPr>
            <w:r>
              <w:rPr>
                <w:color w:val="auto"/>
                <w:szCs w:val="21"/>
              </w:rPr>
              <w:t xml:space="preserve">0.0515 </w:t>
            </w:r>
          </w:p>
        </w:tc>
        <w:tc>
          <w:tcPr>
            <w:tcW w:w="647" w:type="dxa"/>
            <w:shd w:val="clear" w:color="auto" w:fill="auto"/>
            <w:vAlign w:val="center"/>
          </w:tcPr>
          <w:p>
            <w:pPr>
              <w:pStyle w:val="164"/>
              <w:spacing w:line="360" w:lineRule="exact"/>
              <w:rPr>
                <w:color w:val="auto"/>
                <w:szCs w:val="21"/>
              </w:rPr>
            </w:pPr>
            <w:r>
              <w:rPr>
                <w:color w:val="auto"/>
                <w:szCs w:val="21"/>
              </w:rPr>
              <w:t>120</w:t>
            </w:r>
          </w:p>
        </w:tc>
        <w:tc>
          <w:tcPr>
            <w:tcW w:w="761" w:type="dxa"/>
            <w:shd w:val="clear" w:color="auto" w:fill="auto"/>
            <w:vAlign w:val="center"/>
          </w:tcPr>
          <w:p>
            <w:pPr>
              <w:pStyle w:val="164"/>
              <w:spacing w:line="360" w:lineRule="exact"/>
              <w:rPr>
                <w:color w:val="auto"/>
                <w:szCs w:val="21"/>
              </w:rPr>
            </w:pPr>
            <w:r>
              <w:rPr>
                <w:color w:val="auto"/>
                <w:szCs w:val="21"/>
              </w:rPr>
              <w:t>3.5</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53" w:hRule="atLeast"/>
          <w:jc w:val="center"/>
        </w:trPr>
        <w:tc>
          <w:tcPr>
            <w:tcW w:w="435" w:type="dxa"/>
            <w:vMerge w:val="continue"/>
            <w:shd w:val="clear" w:color="auto" w:fill="auto"/>
            <w:vAlign w:val="center"/>
          </w:tcPr>
          <w:p>
            <w:pPr>
              <w:pStyle w:val="164"/>
              <w:spacing w:line="360" w:lineRule="exact"/>
              <w:rPr>
                <w:color w:val="auto"/>
                <w:szCs w:val="20"/>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862" w:type="dxa"/>
            <w:shd w:val="clear" w:color="auto" w:fill="auto"/>
            <w:vAlign w:val="center"/>
          </w:tcPr>
          <w:p>
            <w:pPr>
              <w:pStyle w:val="164"/>
              <w:spacing w:line="360" w:lineRule="exact"/>
              <w:rPr>
                <w:color w:val="auto"/>
              </w:rPr>
            </w:pPr>
            <w:r>
              <w:rPr>
                <w:color w:val="auto"/>
              </w:rPr>
              <w:t>NH</w:t>
            </w:r>
            <w:r>
              <w:rPr>
                <w:color w:val="auto"/>
                <w:szCs w:val="13"/>
                <w:vertAlign w:val="subscript"/>
              </w:rPr>
              <w:t>3</w:t>
            </w:r>
          </w:p>
        </w:tc>
        <w:tc>
          <w:tcPr>
            <w:tcW w:w="759" w:type="dxa"/>
            <w:vMerge w:val="continue"/>
            <w:shd w:val="clear" w:color="auto" w:fill="auto"/>
            <w:vAlign w:val="center"/>
          </w:tcPr>
          <w:p>
            <w:pPr>
              <w:pStyle w:val="164"/>
              <w:spacing w:line="360" w:lineRule="exact"/>
              <w:rPr>
                <w:color w:val="auto"/>
              </w:rPr>
            </w:pPr>
          </w:p>
        </w:tc>
        <w:tc>
          <w:tcPr>
            <w:tcW w:w="809" w:type="dxa"/>
            <w:shd w:val="clear" w:color="auto" w:fill="auto"/>
            <w:vAlign w:val="center"/>
          </w:tcPr>
          <w:p>
            <w:pPr>
              <w:pStyle w:val="164"/>
              <w:spacing w:line="360" w:lineRule="exact"/>
              <w:rPr>
                <w:color w:val="auto"/>
              </w:rPr>
            </w:pPr>
            <w:r>
              <w:rPr>
                <w:color w:val="auto"/>
              </w:rPr>
              <w:t>4.89</w:t>
            </w:r>
          </w:p>
        </w:tc>
        <w:tc>
          <w:tcPr>
            <w:tcW w:w="1130" w:type="dxa"/>
            <w:shd w:val="clear" w:color="auto" w:fill="auto"/>
            <w:vAlign w:val="center"/>
          </w:tcPr>
          <w:p>
            <w:pPr>
              <w:pStyle w:val="164"/>
              <w:spacing w:line="360" w:lineRule="exact"/>
              <w:rPr>
                <w:color w:val="auto"/>
              </w:rPr>
            </w:pPr>
            <w:r>
              <w:rPr>
                <w:color w:val="auto"/>
              </w:rPr>
              <w:t>0.018</w:t>
            </w:r>
          </w:p>
        </w:tc>
        <w:tc>
          <w:tcPr>
            <w:tcW w:w="1130" w:type="dxa"/>
            <w:shd w:val="clear" w:color="auto" w:fill="auto"/>
            <w:vAlign w:val="center"/>
          </w:tcPr>
          <w:p>
            <w:pPr>
              <w:pStyle w:val="164"/>
              <w:spacing w:line="360" w:lineRule="exact"/>
              <w:rPr>
                <w:color w:val="auto"/>
              </w:rPr>
            </w:pPr>
            <w:r>
              <w:rPr>
                <w:color w:val="auto"/>
                <w:szCs w:val="21"/>
              </w:rPr>
              <w:t xml:space="preserve">0.0950 </w:t>
            </w:r>
          </w:p>
        </w:tc>
        <w:tc>
          <w:tcPr>
            <w:tcW w:w="862" w:type="dxa"/>
            <w:vMerge w:val="continue"/>
            <w:shd w:val="clear" w:color="auto" w:fill="auto"/>
            <w:vAlign w:val="center"/>
          </w:tcPr>
          <w:p>
            <w:pPr>
              <w:pStyle w:val="164"/>
              <w:spacing w:line="360" w:lineRule="exact"/>
              <w:rPr>
                <w:color w:val="auto"/>
              </w:rPr>
            </w:pPr>
          </w:p>
        </w:tc>
        <w:tc>
          <w:tcPr>
            <w:tcW w:w="700" w:type="dxa"/>
            <w:shd w:val="clear" w:color="auto" w:fill="auto"/>
            <w:vAlign w:val="center"/>
          </w:tcPr>
          <w:p>
            <w:pPr>
              <w:pStyle w:val="164"/>
              <w:spacing w:line="360" w:lineRule="exact"/>
              <w:rPr>
                <w:color w:val="auto"/>
              </w:rPr>
            </w:pPr>
            <w:r>
              <w:rPr>
                <w:color w:val="auto"/>
              </w:rPr>
              <w:t>25.15</w:t>
            </w:r>
          </w:p>
        </w:tc>
        <w:tc>
          <w:tcPr>
            <w:tcW w:w="915" w:type="dxa"/>
            <w:shd w:val="clear" w:color="auto" w:fill="auto"/>
            <w:vAlign w:val="center"/>
          </w:tcPr>
          <w:p>
            <w:pPr>
              <w:pStyle w:val="164"/>
              <w:spacing w:line="360" w:lineRule="exact"/>
              <w:rPr>
                <w:color w:val="auto"/>
              </w:rPr>
            </w:pPr>
            <w:r>
              <w:rPr>
                <w:color w:val="auto"/>
                <w:szCs w:val="21"/>
              </w:rPr>
              <w:t>3.66</w:t>
            </w:r>
          </w:p>
        </w:tc>
        <w:tc>
          <w:tcPr>
            <w:tcW w:w="1242" w:type="dxa"/>
            <w:shd w:val="clear" w:color="auto" w:fill="auto"/>
            <w:vAlign w:val="center"/>
          </w:tcPr>
          <w:p>
            <w:pPr>
              <w:pStyle w:val="164"/>
              <w:spacing w:line="360" w:lineRule="exact"/>
              <w:rPr>
                <w:color w:val="auto"/>
              </w:rPr>
            </w:pPr>
            <w:r>
              <w:rPr>
                <w:color w:val="auto"/>
                <w:szCs w:val="21"/>
              </w:rPr>
              <w:t>0.0134</w:t>
            </w:r>
          </w:p>
        </w:tc>
        <w:tc>
          <w:tcPr>
            <w:tcW w:w="1130" w:type="dxa"/>
            <w:shd w:val="clear" w:color="auto" w:fill="auto"/>
            <w:vAlign w:val="center"/>
          </w:tcPr>
          <w:p>
            <w:pPr>
              <w:pStyle w:val="164"/>
              <w:spacing w:line="360" w:lineRule="exact"/>
              <w:rPr>
                <w:color w:val="auto"/>
              </w:rPr>
            </w:pPr>
            <w:r>
              <w:rPr>
                <w:color w:val="auto"/>
                <w:szCs w:val="21"/>
              </w:rPr>
              <w:t xml:space="preserve">0.0708 </w:t>
            </w:r>
          </w:p>
        </w:tc>
        <w:tc>
          <w:tcPr>
            <w:tcW w:w="647" w:type="dxa"/>
            <w:shd w:val="clear" w:color="auto" w:fill="auto"/>
            <w:vAlign w:val="center"/>
          </w:tcPr>
          <w:p>
            <w:pPr>
              <w:pStyle w:val="164"/>
              <w:spacing w:line="360" w:lineRule="exact"/>
              <w:rPr>
                <w:color w:val="auto"/>
                <w:szCs w:val="21"/>
              </w:rPr>
            </w:pPr>
            <w:r>
              <w:rPr>
                <w:color w:val="auto"/>
                <w:szCs w:val="21"/>
              </w:rPr>
              <w:t>/</w:t>
            </w:r>
          </w:p>
        </w:tc>
        <w:tc>
          <w:tcPr>
            <w:tcW w:w="761" w:type="dxa"/>
            <w:shd w:val="clear" w:color="auto" w:fill="auto"/>
            <w:vAlign w:val="center"/>
          </w:tcPr>
          <w:p>
            <w:pPr>
              <w:pStyle w:val="164"/>
              <w:spacing w:line="360" w:lineRule="exact"/>
              <w:rPr>
                <w:color w:val="auto"/>
                <w:szCs w:val="21"/>
              </w:rPr>
            </w:pPr>
            <w:r>
              <w:rPr>
                <w:color w:val="auto"/>
                <w:szCs w:val="21"/>
              </w:rPr>
              <w:t>4.9</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59" w:hRule="atLeast"/>
          <w:jc w:val="center"/>
        </w:trPr>
        <w:tc>
          <w:tcPr>
            <w:tcW w:w="435" w:type="dxa"/>
            <w:vMerge w:val="continue"/>
            <w:shd w:val="clear" w:color="auto" w:fill="auto"/>
            <w:vAlign w:val="center"/>
          </w:tcPr>
          <w:p>
            <w:pPr>
              <w:pStyle w:val="164"/>
              <w:spacing w:line="360" w:lineRule="exact"/>
              <w:rPr>
                <w:color w:val="auto"/>
                <w:szCs w:val="20"/>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862" w:type="dxa"/>
            <w:shd w:val="clear" w:color="auto" w:fill="auto"/>
            <w:vAlign w:val="center"/>
          </w:tcPr>
          <w:p>
            <w:pPr>
              <w:pStyle w:val="164"/>
              <w:spacing w:line="360" w:lineRule="exact"/>
              <w:rPr>
                <w:color w:val="auto"/>
              </w:rPr>
            </w:pPr>
            <w:r>
              <w:rPr>
                <w:color w:val="auto"/>
              </w:rPr>
              <w:t>H</w:t>
            </w:r>
            <w:r>
              <w:rPr>
                <w:color w:val="auto"/>
                <w:vertAlign w:val="subscript"/>
              </w:rPr>
              <w:t>2</w:t>
            </w:r>
            <w:r>
              <w:rPr>
                <w:color w:val="auto"/>
              </w:rPr>
              <w:t>S</w:t>
            </w:r>
          </w:p>
        </w:tc>
        <w:tc>
          <w:tcPr>
            <w:tcW w:w="759" w:type="dxa"/>
            <w:vMerge w:val="continue"/>
            <w:shd w:val="clear" w:color="auto" w:fill="auto"/>
            <w:vAlign w:val="center"/>
          </w:tcPr>
          <w:p>
            <w:pPr>
              <w:pStyle w:val="164"/>
              <w:spacing w:line="360" w:lineRule="exact"/>
              <w:rPr>
                <w:color w:val="auto"/>
              </w:rPr>
            </w:pPr>
          </w:p>
        </w:tc>
        <w:tc>
          <w:tcPr>
            <w:tcW w:w="809" w:type="dxa"/>
            <w:shd w:val="clear" w:color="auto" w:fill="auto"/>
            <w:vAlign w:val="center"/>
          </w:tcPr>
          <w:p>
            <w:pPr>
              <w:pStyle w:val="164"/>
              <w:spacing w:line="360" w:lineRule="exact"/>
              <w:rPr>
                <w:color w:val="auto"/>
              </w:rPr>
            </w:pPr>
            <w:r>
              <w:rPr>
                <w:color w:val="auto"/>
              </w:rPr>
              <w:t>0.03</w:t>
            </w:r>
          </w:p>
        </w:tc>
        <w:tc>
          <w:tcPr>
            <w:tcW w:w="1130" w:type="dxa"/>
            <w:shd w:val="clear" w:color="auto" w:fill="auto"/>
            <w:vAlign w:val="center"/>
          </w:tcPr>
          <w:p>
            <w:pPr>
              <w:pStyle w:val="164"/>
              <w:spacing w:line="360" w:lineRule="exact"/>
              <w:rPr>
                <w:color w:val="auto"/>
              </w:rPr>
            </w:pPr>
            <w:r>
              <w:rPr>
                <w:color w:val="auto"/>
              </w:rPr>
              <w:t>0.0000918</w:t>
            </w:r>
          </w:p>
        </w:tc>
        <w:tc>
          <w:tcPr>
            <w:tcW w:w="1130" w:type="dxa"/>
            <w:shd w:val="clear" w:color="auto" w:fill="auto"/>
            <w:vAlign w:val="center"/>
          </w:tcPr>
          <w:p>
            <w:pPr>
              <w:pStyle w:val="164"/>
              <w:spacing w:line="360" w:lineRule="exact"/>
              <w:rPr>
                <w:color w:val="auto"/>
              </w:rPr>
            </w:pPr>
            <w:r>
              <w:rPr>
                <w:color w:val="auto"/>
                <w:szCs w:val="21"/>
              </w:rPr>
              <w:t xml:space="preserve">0.0005 </w:t>
            </w:r>
          </w:p>
        </w:tc>
        <w:tc>
          <w:tcPr>
            <w:tcW w:w="862" w:type="dxa"/>
            <w:vMerge w:val="continue"/>
            <w:shd w:val="clear" w:color="auto" w:fill="auto"/>
            <w:vAlign w:val="center"/>
          </w:tcPr>
          <w:p>
            <w:pPr>
              <w:pStyle w:val="164"/>
              <w:spacing w:line="360" w:lineRule="exact"/>
              <w:rPr>
                <w:color w:val="auto"/>
              </w:rPr>
            </w:pPr>
          </w:p>
        </w:tc>
        <w:tc>
          <w:tcPr>
            <w:tcW w:w="700" w:type="dxa"/>
            <w:shd w:val="clear" w:color="auto" w:fill="auto"/>
            <w:vAlign w:val="center"/>
          </w:tcPr>
          <w:p>
            <w:pPr>
              <w:pStyle w:val="164"/>
              <w:spacing w:line="360" w:lineRule="exact"/>
              <w:rPr>
                <w:color w:val="auto"/>
              </w:rPr>
            </w:pPr>
            <w:r>
              <w:rPr>
                <w:color w:val="auto"/>
              </w:rPr>
              <w:t>33.33</w:t>
            </w:r>
          </w:p>
        </w:tc>
        <w:tc>
          <w:tcPr>
            <w:tcW w:w="915" w:type="dxa"/>
            <w:shd w:val="clear" w:color="auto" w:fill="auto"/>
            <w:vAlign w:val="center"/>
          </w:tcPr>
          <w:p>
            <w:pPr>
              <w:pStyle w:val="164"/>
              <w:spacing w:line="360" w:lineRule="exact"/>
              <w:rPr>
                <w:color w:val="auto"/>
              </w:rPr>
            </w:pPr>
            <w:r>
              <w:rPr>
                <w:color w:val="auto"/>
                <w:szCs w:val="21"/>
              </w:rPr>
              <w:t>0.02</w:t>
            </w:r>
          </w:p>
        </w:tc>
        <w:tc>
          <w:tcPr>
            <w:tcW w:w="1242" w:type="dxa"/>
            <w:shd w:val="clear" w:color="auto" w:fill="auto"/>
            <w:vAlign w:val="center"/>
          </w:tcPr>
          <w:p>
            <w:pPr>
              <w:pStyle w:val="164"/>
              <w:spacing w:line="360" w:lineRule="exact"/>
              <w:rPr>
                <w:color w:val="auto"/>
              </w:rPr>
            </w:pPr>
            <w:r>
              <w:rPr>
                <w:color w:val="auto"/>
                <w:szCs w:val="21"/>
              </w:rPr>
              <w:t>0.0000816</w:t>
            </w:r>
          </w:p>
        </w:tc>
        <w:tc>
          <w:tcPr>
            <w:tcW w:w="1130" w:type="dxa"/>
            <w:shd w:val="clear" w:color="auto" w:fill="auto"/>
            <w:vAlign w:val="center"/>
          </w:tcPr>
          <w:p>
            <w:pPr>
              <w:pStyle w:val="164"/>
              <w:spacing w:line="360" w:lineRule="exact"/>
              <w:rPr>
                <w:color w:val="auto"/>
              </w:rPr>
            </w:pPr>
            <w:r>
              <w:rPr>
                <w:color w:val="auto"/>
                <w:szCs w:val="21"/>
              </w:rPr>
              <w:t xml:space="preserve">0.0004 </w:t>
            </w:r>
          </w:p>
        </w:tc>
        <w:tc>
          <w:tcPr>
            <w:tcW w:w="647" w:type="dxa"/>
            <w:shd w:val="clear" w:color="auto" w:fill="auto"/>
            <w:vAlign w:val="center"/>
          </w:tcPr>
          <w:p>
            <w:pPr>
              <w:pStyle w:val="164"/>
              <w:spacing w:line="360" w:lineRule="exact"/>
              <w:rPr>
                <w:color w:val="auto"/>
                <w:szCs w:val="21"/>
              </w:rPr>
            </w:pPr>
            <w:r>
              <w:rPr>
                <w:color w:val="auto"/>
                <w:szCs w:val="21"/>
              </w:rPr>
              <w:t>/</w:t>
            </w:r>
          </w:p>
        </w:tc>
        <w:tc>
          <w:tcPr>
            <w:tcW w:w="761" w:type="dxa"/>
            <w:shd w:val="clear" w:color="auto" w:fill="auto"/>
            <w:vAlign w:val="center"/>
          </w:tcPr>
          <w:p>
            <w:pPr>
              <w:pStyle w:val="164"/>
              <w:spacing w:line="360" w:lineRule="exact"/>
              <w:rPr>
                <w:color w:val="auto"/>
                <w:szCs w:val="21"/>
              </w:rPr>
            </w:pPr>
            <w:r>
              <w:rPr>
                <w:color w:val="auto"/>
                <w:szCs w:val="21"/>
              </w:rPr>
              <w:t>0.33</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33" w:hRule="atLeast"/>
          <w:jc w:val="center"/>
        </w:trPr>
        <w:tc>
          <w:tcPr>
            <w:tcW w:w="435" w:type="dxa"/>
            <w:vMerge w:val="continue"/>
            <w:shd w:val="clear" w:color="auto" w:fill="auto"/>
            <w:vAlign w:val="center"/>
          </w:tcPr>
          <w:p>
            <w:pPr>
              <w:pStyle w:val="164"/>
              <w:spacing w:line="360" w:lineRule="exact"/>
              <w:rPr>
                <w:color w:val="auto"/>
                <w:szCs w:val="20"/>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862" w:type="dxa"/>
            <w:shd w:val="clear" w:color="auto" w:fill="auto"/>
            <w:vAlign w:val="center"/>
          </w:tcPr>
          <w:p>
            <w:pPr>
              <w:pStyle w:val="164"/>
              <w:spacing w:line="240" w:lineRule="auto"/>
              <w:rPr>
                <w:color w:val="auto"/>
              </w:rPr>
            </w:pPr>
            <w:r>
              <w:rPr>
                <w:color w:val="auto"/>
              </w:rPr>
              <w:t>非甲烷总烃</w:t>
            </w:r>
          </w:p>
        </w:tc>
        <w:tc>
          <w:tcPr>
            <w:tcW w:w="759" w:type="dxa"/>
            <w:vMerge w:val="continue"/>
            <w:shd w:val="clear" w:color="auto" w:fill="auto"/>
            <w:vAlign w:val="center"/>
          </w:tcPr>
          <w:p>
            <w:pPr>
              <w:pStyle w:val="164"/>
              <w:spacing w:line="360" w:lineRule="exact"/>
              <w:rPr>
                <w:color w:val="auto"/>
              </w:rPr>
            </w:pPr>
          </w:p>
        </w:tc>
        <w:tc>
          <w:tcPr>
            <w:tcW w:w="809" w:type="dxa"/>
            <w:shd w:val="clear" w:color="auto" w:fill="auto"/>
            <w:vAlign w:val="center"/>
          </w:tcPr>
          <w:p>
            <w:pPr>
              <w:pStyle w:val="164"/>
              <w:spacing w:line="360" w:lineRule="exact"/>
              <w:rPr>
                <w:color w:val="auto"/>
              </w:rPr>
            </w:pPr>
            <w:r>
              <w:rPr>
                <w:color w:val="auto"/>
              </w:rPr>
              <w:t>1.10</w:t>
            </w:r>
          </w:p>
        </w:tc>
        <w:tc>
          <w:tcPr>
            <w:tcW w:w="1130" w:type="dxa"/>
            <w:shd w:val="clear" w:color="auto" w:fill="auto"/>
            <w:vAlign w:val="center"/>
          </w:tcPr>
          <w:p>
            <w:pPr>
              <w:pStyle w:val="164"/>
              <w:spacing w:line="360" w:lineRule="exact"/>
              <w:rPr>
                <w:color w:val="auto"/>
              </w:rPr>
            </w:pPr>
            <w:r>
              <w:rPr>
                <w:color w:val="auto"/>
              </w:rPr>
              <w:t>0.00368</w:t>
            </w:r>
          </w:p>
        </w:tc>
        <w:tc>
          <w:tcPr>
            <w:tcW w:w="1130" w:type="dxa"/>
            <w:shd w:val="clear" w:color="auto" w:fill="auto"/>
            <w:vAlign w:val="center"/>
          </w:tcPr>
          <w:p>
            <w:pPr>
              <w:pStyle w:val="164"/>
              <w:spacing w:line="360" w:lineRule="exact"/>
              <w:rPr>
                <w:color w:val="auto"/>
              </w:rPr>
            </w:pPr>
            <w:r>
              <w:rPr>
                <w:color w:val="auto"/>
                <w:szCs w:val="21"/>
              </w:rPr>
              <w:t xml:space="preserve">0.0194 </w:t>
            </w:r>
          </w:p>
        </w:tc>
        <w:tc>
          <w:tcPr>
            <w:tcW w:w="862" w:type="dxa"/>
            <w:vMerge w:val="continue"/>
            <w:shd w:val="clear" w:color="auto" w:fill="auto"/>
            <w:vAlign w:val="center"/>
          </w:tcPr>
          <w:p>
            <w:pPr>
              <w:pStyle w:val="164"/>
              <w:spacing w:line="360" w:lineRule="exact"/>
              <w:rPr>
                <w:color w:val="auto"/>
              </w:rPr>
            </w:pPr>
          </w:p>
        </w:tc>
        <w:tc>
          <w:tcPr>
            <w:tcW w:w="700" w:type="dxa"/>
            <w:shd w:val="clear" w:color="auto" w:fill="auto"/>
            <w:vAlign w:val="center"/>
          </w:tcPr>
          <w:p>
            <w:pPr>
              <w:pStyle w:val="164"/>
              <w:spacing w:line="360" w:lineRule="exact"/>
              <w:rPr>
                <w:color w:val="auto"/>
              </w:rPr>
            </w:pPr>
            <w:r>
              <w:rPr>
                <w:color w:val="auto"/>
              </w:rPr>
              <w:t>44.54</w:t>
            </w:r>
          </w:p>
        </w:tc>
        <w:tc>
          <w:tcPr>
            <w:tcW w:w="915" w:type="dxa"/>
            <w:shd w:val="clear" w:color="auto" w:fill="auto"/>
            <w:vAlign w:val="center"/>
          </w:tcPr>
          <w:p>
            <w:pPr>
              <w:pStyle w:val="164"/>
              <w:spacing w:line="360" w:lineRule="exact"/>
              <w:rPr>
                <w:color w:val="auto"/>
              </w:rPr>
            </w:pPr>
            <w:r>
              <w:rPr>
                <w:color w:val="auto"/>
                <w:szCs w:val="21"/>
              </w:rPr>
              <w:t>0.61</w:t>
            </w:r>
          </w:p>
        </w:tc>
        <w:tc>
          <w:tcPr>
            <w:tcW w:w="1242" w:type="dxa"/>
            <w:shd w:val="clear" w:color="auto" w:fill="auto"/>
            <w:vAlign w:val="center"/>
          </w:tcPr>
          <w:p>
            <w:pPr>
              <w:pStyle w:val="164"/>
              <w:spacing w:line="360" w:lineRule="exact"/>
              <w:rPr>
                <w:color w:val="auto"/>
              </w:rPr>
            </w:pPr>
            <w:r>
              <w:rPr>
                <w:color w:val="auto"/>
                <w:szCs w:val="21"/>
              </w:rPr>
              <w:t>0.00224</w:t>
            </w:r>
          </w:p>
        </w:tc>
        <w:tc>
          <w:tcPr>
            <w:tcW w:w="1130" w:type="dxa"/>
            <w:shd w:val="clear" w:color="auto" w:fill="auto"/>
            <w:vAlign w:val="center"/>
          </w:tcPr>
          <w:p>
            <w:pPr>
              <w:pStyle w:val="164"/>
              <w:spacing w:line="360" w:lineRule="exact"/>
              <w:rPr>
                <w:color w:val="auto"/>
              </w:rPr>
            </w:pPr>
            <w:r>
              <w:rPr>
                <w:color w:val="auto"/>
                <w:szCs w:val="21"/>
              </w:rPr>
              <w:t xml:space="preserve">0.0118 </w:t>
            </w:r>
          </w:p>
        </w:tc>
        <w:tc>
          <w:tcPr>
            <w:tcW w:w="647" w:type="dxa"/>
            <w:shd w:val="clear" w:color="auto" w:fill="auto"/>
            <w:vAlign w:val="center"/>
          </w:tcPr>
          <w:p>
            <w:pPr>
              <w:pStyle w:val="164"/>
              <w:spacing w:line="360" w:lineRule="exact"/>
              <w:rPr>
                <w:color w:val="auto"/>
                <w:szCs w:val="21"/>
              </w:rPr>
            </w:pPr>
            <w:r>
              <w:rPr>
                <w:color w:val="auto"/>
                <w:szCs w:val="21"/>
              </w:rPr>
              <w:t>20</w:t>
            </w:r>
          </w:p>
        </w:tc>
        <w:tc>
          <w:tcPr>
            <w:tcW w:w="761" w:type="dxa"/>
            <w:shd w:val="clear" w:color="auto" w:fill="auto"/>
            <w:vAlign w:val="center"/>
          </w:tcPr>
          <w:p>
            <w:pPr>
              <w:pStyle w:val="164"/>
              <w:spacing w:line="360" w:lineRule="exact"/>
              <w:rPr>
                <w:color w:val="auto"/>
                <w:szCs w:val="21"/>
              </w:rPr>
            </w:pPr>
            <w:r>
              <w:rPr>
                <w:color w:val="auto"/>
                <w:szCs w:val="21"/>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05" w:hRule="atLeast"/>
          <w:jc w:val="center"/>
        </w:trPr>
        <w:tc>
          <w:tcPr>
            <w:tcW w:w="435" w:type="dxa"/>
            <w:vMerge w:val="continue"/>
            <w:shd w:val="clear" w:color="auto" w:fill="auto"/>
            <w:vAlign w:val="center"/>
          </w:tcPr>
          <w:p>
            <w:pPr>
              <w:pStyle w:val="164"/>
              <w:spacing w:line="360" w:lineRule="exact"/>
              <w:rPr>
                <w:color w:val="auto"/>
                <w:szCs w:val="20"/>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862" w:type="dxa"/>
            <w:shd w:val="clear" w:color="auto" w:fill="auto"/>
            <w:vAlign w:val="center"/>
          </w:tcPr>
          <w:p>
            <w:pPr>
              <w:pStyle w:val="164"/>
              <w:spacing w:line="240" w:lineRule="auto"/>
              <w:rPr>
                <w:color w:val="auto"/>
              </w:rPr>
            </w:pPr>
            <w:r>
              <w:rPr>
                <w:color w:val="auto"/>
              </w:rPr>
              <w:t>臭气浓度</w:t>
            </w:r>
          </w:p>
        </w:tc>
        <w:tc>
          <w:tcPr>
            <w:tcW w:w="759" w:type="dxa"/>
            <w:vMerge w:val="continue"/>
            <w:shd w:val="clear" w:color="auto" w:fill="auto"/>
            <w:vAlign w:val="center"/>
          </w:tcPr>
          <w:p>
            <w:pPr>
              <w:pStyle w:val="164"/>
              <w:spacing w:line="360" w:lineRule="exact"/>
              <w:rPr>
                <w:color w:val="auto"/>
              </w:rPr>
            </w:pPr>
          </w:p>
        </w:tc>
        <w:tc>
          <w:tcPr>
            <w:tcW w:w="809" w:type="dxa"/>
            <w:shd w:val="clear" w:color="auto" w:fill="auto"/>
            <w:vAlign w:val="center"/>
          </w:tcPr>
          <w:p>
            <w:pPr>
              <w:pStyle w:val="164"/>
              <w:spacing w:line="360" w:lineRule="exact"/>
              <w:rPr>
                <w:color w:val="auto"/>
              </w:rPr>
            </w:pPr>
            <w:r>
              <w:rPr>
                <w:color w:val="auto"/>
              </w:rPr>
              <w:t>753</w:t>
            </w:r>
          </w:p>
        </w:tc>
        <w:tc>
          <w:tcPr>
            <w:tcW w:w="1130" w:type="dxa"/>
            <w:shd w:val="clear" w:color="auto" w:fill="auto"/>
            <w:vAlign w:val="center"/>
          </w:tcPr>
          <w:p>
            <w:pPr>
              <w:pStyle w:val="164"/>
              <w:spacing w:line="360" w:lineRule="exact"/>
              <w:rPr>
                <w:color w:val="auto"/>
              </w:rPr>
            </w:pPr>
            <w:r>
              <w:rPr>
                <w:color w:val="auto"/>
              </w:rPr>
              <w:t>/</w:t>
            </w:r>
          </w:p>
        </w:tc>
        <w:tc>
          <w:tcPr>
            <w:tcW w:w="1130" w:type="dxa"/>
            <w:shd w:val="clear" w:color="auto" w:fill="auto"/>
            <w:vAlign w:val="center"/>
          </w:tcPr>
          <w:p>
            <w:pPr>
              <w:pStyle w:val="164"/>
              <w:spacing w:line="360" w:lineRule="exact"/>
              <w:rPr>
                <w:color w:val="auto"/>
              </w:rPr>
            </w:pPr>
            <w:r>
              <w:rPr>
                <w:color w:val="auto"/>
              </w:rPr>
              <w:t>/</w:t>
            </w:r>
          </w:p>
        </w:tc>
        <w:tc>
          <w:tcPr>
            <w:tcW w:w="862" w:type="dxa"/>
            <w:vMerge w:val="continue"/>
            <w:shd w:val="clear" w:color="auto" w:fill="auto"/>
            <w:vAlign w:val="center"/>
          </w:tcPr>
          <w:p>
            <w:pPr>
              <w:pStyle w:val="164"/>
              <w:spacing w:line="360" w:lineRule="exact"/>
              <w:rPr>
                <w:color w:val="auto"/>
              </w:rPr>
            </w:pPr>
          </w:p>
        </w:tc>
        <w:tc>
          <w:tcPr>
            <w:tcW w:w="700" w:type="dxa"/>
            <w:shd w:val="clear" w:color="auto" w:fill="auto"/>
            <w:vAlign w:val="center"/>
          </w:tcPr>
          <w:p>
            <w:pPr>
              <w:pStyle w:val="164"/>
              <w:spacing w:line="360" w:lineRule="exact"/>
              <w:rPr>
                <w:color w:val="auto"/>
              </w:rPr>
            </w:pPr>
            <w:r>
              <w:rPr>
                <w:color w:val="auto"/>
              </w:rPr>
              <w:t>25.1</w:t>
            </w:r>
          </w:p>
        </w:tc>
        <w:tc>
          <w:tcPr>
            <w:tcW w:w="915" w:type="dxa"/>
            <w:shd w:val="clear" w:color="auto" w:fill="auto"/>
            <w:vAlign w:val="center"/>
          </w:tcPr>
          <w:p>
            <w:pPr>
              <w:pStyle w:val="164"/>
              <w:spacing w:line="360" w:lineRule="exact"/>
              <w:rPr>
                <w:color w:val="auto"/>
              </w:rPr>
            </w:pPr>
            <w:r>
              <w:rPr>
                <w:color w:val="auto"/>
              </w:rPr>
              <w:t>564</w:t>
            </w:r>
          </w:p>
        </w:tc>
        <w:tc>
          <w:tcPr>
            <w:tcW w:w="1242" w:type="dxa"/>
            <w:shd w:val="clear" w:color="auto" w:fill="auto"/>
            <w:vAlign w:val="center"/>
          </w:tcPr>
          <w:p>
            <w:pPr>
              <w:pStyle w:val="164"/>
              <w:spacing w:line="360" w:lineRule="exact"/>
              <w:rPr>
                <w:color w:val="auto"/>
              </w:rPr>
            </w:pPr>
            <w:r>
              <w:rPr>
                <w:color w:val="auto"/>
              </w:rPr>
              <w:t>/</w:t>
            </w:r>
          </w:p>
        </w:tc>
        <w:tc>
          <w:tcPr>
            <w:tcW w:w="1130" w:type="dxa"/>
            <w:shd w:val="clear" w:color="auto" w:fill="auto"/>
            <w:vAlign w:val="center"/>
          </w:tcPr>
          <w:p>
            <w:pPr>
              <w:pStyle w:val="164"/>
              <w:spacing w:line="360" w:lineRule="exact"/>
              <w:rPr>
                <w:color w:val="auto"/>
              </w:rPr>
            </w:pPr>
            <w:r>
              <w:rPr>
                <w:color w:val="auto"/>
              </w:rPr>
              <w:t>/</w:t>
            </w:r>
          </w:p>
        </w:tc>
        <w:tc>
          <w:tcPr>
            <w:tcW w:w="647" w:type="dxa"/>
            <w:shd w:val="clear" w:color="auto" w:fill="auto"/>
            <w:vAlign w:val="center"/>
          </w:tcPr>
          <w:p>
            <w:pPr>
              <w:pStyle w:val="164"/>
              <w:spacing w:line="360" w:lineRule="exact"/>
              <w:rPr>
                <w:color w:val="auto"/>
              </w:rPr>
            </w:pPr>
            <w:r>
              <w:rPr>
                <w:color w:val="auto"/>
              </w:rPr>
              <w:t>2000</w:t>
            </w:r>
          </w:p>
        </w:tc>
        <w:tc>
          <w:tcPr>
            <w:tcW w:w="761" w:type="dxa"/>
            <w:shd w:val="clear" w:color="auto" w:fill="auto"/>
            <w:vAlign w:val="center"/>
          </w:tcPr>
          <w:p>
            <w:pPr>
              <w:pStyle w:val="164"/>
              <w:spacing w:line="360" w:lineRule="exact"/>
              <w:rPr>
                <w:color w:val="auto"/>
              </w:rPr>
            </w:pPr>
            <w:r>
              <w:rPr>
                <w:color w:val="auto"/>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05" w:hRule="atLeast"/>
          <w:jc w:val="center"/>
        </w:trPr>
        <w:tc>
          <w:tcPr>
            <w:tcW w:w="435" w:type="dxa"/>
            <w:vMerge w:val="restart"/>
            <w:shd w:val="clear" w:color="auto" w:fill="auto"/>
            <w:vAlign w:val="center"/>
          </w:tcPr>
          <w:p>
            <w:pPr>
              <w:pStyle w:val="164"/>
              <w:spacing w:line="240" w:lineRule="auto"/>
              <w:rPr>
                <w:color w:val="auto"/>
                <w:szCs w:val="20"/>
              </w:rPr>
            </w:pPr>
            <w:r>
              <w:rPr>
                <w:color w:val="auto"/>
                <w:szCs w:val="20"/>
              </w:rPr>
              <w:t>3</w:t>
            </w:r>
          </w:p>
        </w:tc>
        <w:tc>
          <w:tcPr>
            <w:tcW w:w="435" w:type="dxa"/>
            <w:vMerge w:val="restart"/>
            <w:shd w:val="clear" w:color="auto" w:fill="auto"/>
            <w:vAlign w:val="center"/>
          </w:tcPr>
          <w:p>
            <w:pPr>
              <w:pStyle w:val="164"/>
              <w:spacing w:line="240" w:lineRule="auto"/>
              <w:rPr>
                <w:color w:val="auto"/>
              </w:rPr>
            </w:pPr>
            <w:r>
              <w:rPr>
                <w:color w:val="auto"/>
              </w:rPr>
              <w:t>1#排气筒</w:t>
            </w:r>
          </w:p>
        </w:tc>
        <w:tc>
          <w:tcPr>
            <w:tcW w:w="435" w:type="dxa"/>
            <w:vMerge w:val="restart"/>
            <w:shd w:val="clear" w:color="auto" w:fill="auto"/>
            <w:vAlign w:val="center"/>
          </w:tcPr>
          <w:p>
            <w:pPr>
              <w:pStyle w:val="164"/>
              <w:spacing w:line="240" w:lineRule="auto"/>
              <w:rPr>
                <w:color w:val="auto"/>
              </w:rPr>
            </w:pPr>
            <w:r>
              <w:rPr>
                <w:color w:val="auto"/>
              </w:rPr>
              <w:t>医废</w:t>
            </w:r>
          </w:p>
          <w:p>
            <w:pPr>
              <w:pStyle w:val="164"/>
              <w:spacing w:line="240" w:lineRule="auto"/>
              <w:rPr>
                <w:color w:val="auto"/>
              </w:rPr>
            </w:pPr>
            <w:r>
              <w:rPr>
                <w:color w:val="auto"/>
              </w:rPr>
              <w:t>暂存间+灭菌系统</w:t>
            </w:r>
          </w:p>
        </w:tc>
        <w:tc>
          <w:tcPr>
            <w:tcW w:w="435" w:type="dxa"/>
            <w:vMerge w:val="restart"/>
            <w:shd w:val="clear" w:color="auto" w:fill="auto"/>
            <w:vAlign w:val="center"/>
          </w:tcPr>
          <w:p>
            <w:pPr>
              <w:pStyle w:val="164"/>
              <w:spacing w:line="240" w:lineRule="auto"/>
              <w:rPr>
                <w:color w:val="auto"/>
              </w:rPr>
            </w:pPr>
            <w:r>
              <w:rPr>
                <w:color w:val="auto"/>
              </w:rPr>
              <w:t>间歇</w:t>
            </w:r>
          </w:p>
        </w:tc>
        <w:tc>
          <w:tcPr>
            <w:tcW w:w="862" w:type="dxa"/>
            <w:shd w:val="clear" w:color="auto" w:fill="auto"/>
            <w:vAlign w:val="center"/>
          </w:tcPr>
          <w:p>
            <w:pPr>
              <w:pStyle w:val="164"/>
              <w:spacing w:line="240" w:lineRule="auto"/>
              <w:rPr>
                <w:color w:val="auto"/>
              </w:rPr>
            </w:pPr>
            <w:r>
              <w:rPr>
                <w:color w:val="auto"/>
              </w:rPr>
              <w:t>颗粒物</w:t>
            </w:r>
          </w:p>
        </w:tc>
        <w:tc>
          <w:tcPr>
            <w:tcW w:w="759" w:type="dxa"/>
            <w:vMerge w:val="restart"/>
            <w:shd w:val="clear" w:color="auto" w:fill="auto"/>
            <w:vAlign w:val="center"/>
          </w:tcPr>
          <w:p>
            <w:pPr>
              <w:pStyle w:val="164"/>
              <w:spacing w:line="240" w:lineRule="auto"/>
              <w:rPr>
                <w:color w:val="auto"/>
              </w:rPr>
            </w:pPr>
            <w:r>
              <w:rPr>
                <w:color w:val="auto"/>
              </w:rPr>
              <w:t>3780</w:t>
            </w:r>
          </w:p>
        </w:tc>
        <w:tc>
          <w:tcPr>
            <w:tcW w:w="809" w:type="dxa"/>
            <w:shd w:val="clear" w:color="auto" w:fill="auto"/>
            <w:vAlign w:val="center"/>
          </w:tcPr>
          <w:p>
            <w:pPr>
              <w:pStyle w:val="164"/>
              <w:spacing w:line="240" w:lineRule="auto"/>
              <w:rPr>
                <w:color w:val="auto"/>
              </w:rPr>
            </w:pPr>
            <w:r>
              <w:rPr>
                <w:color w:val="auto"/>
                <w:szCs w:val="21"/>
              </w:rPr>
              <w:t>/</w:t>
            </w:r>
          </w:p>
        </w:tc>
        <w:tc>
          <w:tcPr>
            <w:tcW w:w="1130" w:type="dxa"/>
            <w:shd w:val="clear" w:color="auto" w:fill="auto"/>
            <w:vAlign w:val="center"/>
          </w:tcPr>
          <w:p>
            <w:pPr>
              <w:pStyle w:val="164"/>
              <w:spacing w:line="240" w:lineRule="auto"/>
              <w:rPr>
                <w:color w:val="auto"/>
              </w:rPr>
            </w:pPr>
            <w:r>
              <w:rPr>
                <w:color w:val="auto"/>
                <w:szCs w:val="21"/>
              </w:rPr>
              <w:t>/</w:t>
            </w:r>
          </w:p>
        </w:tc>
        <w:tc>
          <w:tcPr>
            <w:tcW w:w="1130" w:type="dxa"/>
            <w:shd w:val="clear" w:color="auto" w:fill="auto"/>
            <w:vAlign w:val="center"/>
          </w:tcPr>
          <w:p>
            <w:pPr>
              <w:pStyle w:val="164"/>
              <w:spacing w:line="240" w:lineRule="auto"/>
              <w:rPr>
                <w:color w:val="auto"/>
              </w:rPr>
            </w:pPr>
            <w:r>
              <w:rPr>
                <w:color w:val="auto"/>
                <w:szCs w:val="21"/>
              </w:rPr>
              <w:t>0.3886</w:t>
            </w:r>
          </w:p>
        </w:tc>
        <w:tc>
          <w:tcPr>
            <w:tcW w:w="862" w:type="dxa"/>
            <w:vMerge w:val="restart"/>
            <w:shd w:val="clear" w:color="auto" w:fill="auto"/>
            <w:vAlign w:val="center"/>
          </w:tcPr>
          <w:p>
            <w:pPr>
              <w:pStyle w:val="164"/>
              <w:spacing w:line="240" w:lineRule="auto"/>
              <w:rPr>
                <w:color w:val="auto"/>
              </w:rPr>
            </w:pPr>
            <w:r>
              <w:rPr>
                <w:color w:val="auto"/>
              </w:rPr>
              <w:t>生物过滤+活性炭+碱洗喷淋+等离子+活性炭+15m高排气筒排放（1#）</w:t>
            </w:r>
          </w:p>
        </w:tc>
        <w:tc>
          <w:tcPr>
            <w:tcW w:w="700" w:type="dxa"/>
            <w:shd w:val="clear" w:color="auto" w:fill="auto"/>
            <w:vAlign w:val="center"/>
          </w:tcPr>
          <w:p>
            <w:pPr>
              <w:pStyle w:val="164"/>
              <w:spacing w:line="240" w:lineRule="auto"/>
              <w:rPr>
                <w:color w:val="auto"/>
              </w:rPr>
            </w:pPr>
            <w:r>
              <w:rPr>
                <w:color w:val="auto"/>
              </w:rPr>
              <w:t>86.65</w:t>
            </w:r>
          </w:p>
        </w:tc>
        <w:tc>
          <w:tcPr>
            <w:tcW w:w="915" w:type="dxa"/>
            <w:shd w:val="clear" w:color="auto" w:fill="auto"/>
            <w:vAlign w:val="center"/>
          </w:tcPr>
          <w:p>
            <w:pPr>
              <w:pStyle w:val="164"/>
              <w:spacing w:line="240" w:lineRule="auto"/>
              <w:rPr>
                <w:color w:val="auto"/>
              </w:rPr>
            </w:pPr>
            <w:r>
              <w:rPr>
                <w:color w:val="auto"/>
                <w:szCs w:val="21"/>
              </w:rPr>
              <w:t xml:space="preserve">2.58 </w:t>
            </w:r>
          </w:p>
        </w:tc>
        <w:tc>
          <w:tcPr>
            <w:tcW w:w="1242" w:type="dxa"/>
            <w:shd w:val="clear" w:color="auto" w:fill="auto"/>
            <w:vAlign w:val="center"/>
          </w:tcPr>
          <w:p>
            <w:pPr>
              <w:pStyle w:val="164"/>
              <w:spacing w:line="240" w:lineRule="auto"/>
              <w:rPr>
                <w:color w:val="auto"/>
              </w:rPr>
            </w:pPr>
            <w:r>
              <w:rPr>
                <w:color w:val="auto"/>
                <w:szCs w:val="21"/>
              </w:rPr>
              <w:t>0.00976</w:t>
            </w:r>
          </w:p>
        </w:tc>
        <w:tc>
          <w:tcPr>
            <w:tcW w:w="1130" w:type="dxa"/>
            <w:shd w:val="clear" w:color="auto" w:fill="auto"/>
            <w:vAlign w:val="center"/>
          </w:tcPr>
          <w:p>
            <w:pPr>
              <w:pStyle w:val="164"/>
              <w:spacing w:line="240" w:lineRule="auto"/>
              <w:rPr>
                <w:color w:val="auto"/>
              </w:rPr>
            </w:pPr>
            <w:r>
              <w:rPr>
                <w:color w:val="auto"/>
                <w:szCs w:val="21"/>
              </w:rPr>
              <w:t xml:space="preserve">0.0515 </w:t>
            </w:r>
          </w:p>
        </w:tc>
        <w:tc>
          <w:tcPr>
            <w:tcW w:w="647" w:type="dxa"/>
            <w:shd w:val="clear" w:color="auto" w:fill="auto"/>
            <w:vAlign w:val="center"/>
          </w:tcPr>
          <w:p>
            <w:pPr>
              <w:pStyle w:val="164"/>
              <w:spacing w:line="240" w:lineRule="auto"/>
              <w:rPr>
                <w:color w:val="auto"/>
                <w:szCs w:val="21"/>
              </w:rPr>
            </w:pPr>
            <w:r>
              <w:rPr>
                <w:color w:val="auto"/>
                <w:szCs w:val="21"/>
              </w:rPr>
              <w:t>120</w:t>
            </w:r>
          </w:p>
        </w:tc>
        <w:tc>
          <w:tcPr>
            <w:tcW w:w="761" w:type="dxa"/>
            <w:shd w:val="clear" w:color="auto" w:fill="auto"/>
            <w:vAlign w:val="center"/>
          </w:tcPr>
          <w:p>
            <w:pPr>
              <w:pStyle w:val="164"/>
              <w:spacing w:line="240" w:lineRule="auto"/>
              <w:rPr>
                <w:color w:val="auto"/>
                <w:szCs w:val="21"/>
              </w:rPr>
            </w:pPr>
            <w:r>
              <w:rPr>
                <w:color w:val="auto"/>
                <w:szCs w:val="21"/>
              </w:rPr>
              <w:t>3.5</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41" w:hRule="atLeast"/>
          <w:jc w:val="center"/>
        </w:trPr>
        <w:tc>
          <w:tcPr>
            <w:tcW w:w="435" w:type="dxa"/>
            <w:vMerge w:val="continue"/>
            <w:shd w:val="clear" w:color="auto" w:fill="auto"/>
            <w:vAlign w:val="center"/>
          </w:tcPr>
          <w:p>
            <w:pPr>
              <w:pStyle w:val="164"/>
              <w:spacing w:line="240" w:lineRule="auto"/>
              <w:rPr>
                <w:color w:val="auto"/>
                <w:szCs w:val="20"/>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862" w:type="dxa"/>
            <w:shd w:val="clear" w:color="auto" w:fill="auto"/>
            <w:vAlign w:val="center"/>
          </w:tcPr>
          <w:p>
            <w:pPr>
              <w:pStyle w:val="164"/>
              <w:spacing w:line="240" w:lineRule="auto"/>
              <w:rPr>
                <w:color w:val="auto"/>
              </w:rPr>
            </w:pPr>
            <w:r>
              <w:rPr>
                <w:color w:val="auto"/>
              </w:rPr>
              <w:t>NH</w:t>
            </w:r>
            <w:r>
              <w:rPr>
                <w:color w:val="auto"/>
                <w:szCs w:val="13"/>
                <w:vertAlign w:val="subscript"/>
              </w:rPr>
              <w:t>3</w:t>
            </w:r>
          </w:p>
        </w:tc>
        <w:tc>
          <w:tcPr>
            <w:tcW w:w="759" w:type="dxa"/>
            <w:vMerge w:val="continue"/>
            <w:shd w:val="clear" w:color="auto" w:fill="auto"/>
            <w:vAlign w:val="center"/>
          </w:tcPr>
          <w:p>
            <w:pPr>
              <w:pStyle w:val="164"/>
              <w:spacing w:line="240" w:lineRule="auto"/>
              <w:rPr>
                <w:color w:val="auto"/>
              </w:rPr>
            </w:pPr>
          </w:p>
        </w:tc>
        <w:tc>
          <w:tcPr>
            <w:tcW w:w="809" w:type="dxa"/>
            <w:shd w:val="clear" w:color="auto" w:fill="auto"/>
            <w:vAlign w:val="center"/>
          </w:tcPr>
          <w:p>
            <w:pPr>
              <w:pStyle w:val="164"/>
              <w:spacing w:line="240" w:lineRule="auto"/>
              <w:rPr>
                <w:color w:val="auto"/>
              </w:rPr>
            </w:pPr>
            <w:r>
              <w:rPr>
                <w:color w:val="auto"/>
                <w:szCs w:val="21"/>
              </w:rPr>
              <w:t>/</w:t>
            </w:r>
          </w:p>
        </w:tc>
        <w:tc>
          <w:tcPr>
            <w:tcW w:w="1130" w:type="dxa"/>
            <w:shd w:val="clear" w:color="auto" w:fill="auto"/>
            <w:vAlign w:val="center"/>
          </w:tcPr>
          <w:p>
            <w:pPr>
              <w:pStyle w:val="164"/>
              <w:spacing w:line="240" w:lineRule="auto"/>
              <w:rPr>
                <w:color w:val="auto"/>
              </w:rPr>
            </w:pPr>
            <w:r>
              <w:rPr>
                <w:color w:val="auto"/>
                <w:szCs w:val="21"/>
              </w:rPr>
              <w:t>/</w:t>
            </w:r>
          </w:p>
        </w:tc>
        <w:tc>
          <w:tcPr>
            <w:tcW w:w="1130" w:type="dxa"/>
            <w:shd w:val="clear" w:color="auto" w:fill="auto"/>
            <w:vAlign w:val="center"/>
          </w:tcPr>
          <w:p>
            <w:pPr>
              <w:pStyle w:val="164"/>
              <w:spacing w:line="240" w:lineRule="auto"/>
              <w:rPr>
                <w:color w:val="auto"/>
              </w:rPr>
            </w:pPr>
            <w:r>
              <w:rPr>
                <w:color w:val="auto"/>
                <w:szCs w:val="21"/>
              </w:rPr>
              <w:t>0.095198</w:t>
            </w:r>
          </w:p>
        </w:tc>
        <w:tc>
          <w:tcPr>
            <w:tcW w:w="862" w:type="dxa"/>
            <w:vMerge w:val="continue"/>
            <w:shd w:val="clear" w:color="auto" w:fill="auto"/>
            <w:vAlign w:val="center"/>
          </w:tcPr>
          <w:p>
            <w:pPr>
              <w:pStyle w:val="164"/>
              <w:spacing w:line="240" w:lineRule="auto"/>
              <w:rPr>
                <w:color w:val="auto"/>
              </w:rPr>
            </w:pPr>
          </w:p>
        </w:tc>
        <w:tc>
          <w:tcPr>
            <w:tcW w:w="700" w:type="dxa"/>
            <w:shd w:val="clear" w:color="auto" w:fill="auto"/>
            <w:vAlign w:val="center"/>
          </w:tcPr>
          <w:p>
            <w:pPr>
              <w:pStyle w:val="164"/>
              <w:spacing w:line="240" w:lineRule="auto"/>
              <w:rPr>
                <w:color w:val="auto"/>
              </w:rPr>
            </w:pPr>
            <w:r>
              <w:rPr>
                <w:color w:val="auto"/>
              </w:rPr>
              <w:t>25.15</w:t>
            </w:r>
          </w:p>
        </w:tc>
        <w:tc>
          <w:tcPr>
            <w:tcW w:w="915" w:type="dxa"/>
            <w:shd w:val="clear" w:color="auto" w:fill="auto"/>
            <w:vAlign w:val="center"/>
          </w:tcPr>
          <w:p>
            <w:pPr>
              <w:pStyle w:val="164"/>
              <w:spacing w:line="240" w:lineRule="auto"/>
              <w:rPr>
                <w:color w:val="auto"/>
              </w:rPr>
            </w:pPr>
            <w:r>
              <w:rPr>
                <w:color w:val="auto"/>
                <w:szCs w:val="21"/>
              </w:rPr>
              <w:t xml:space="preserve">3.55 </w:t>
            </w:r>
          </w:p>
        </w:tc>
        <w:tc>
          <w:tcPr>
            <w:tcW w:w="1242" w:type="dxa"/>
            <w:shd w:val="clear" w:color="auto" w:fill="auto"/>
            <w:vAlign w:val="center"/>
          </w:tcPr>
          <w:p>
            <w:pPr>
              <w:pStyle w:val="164"/>
              <w:spacing w:line="240" w:lineRule="auto"/>
              <w:rPr>
                <w:color w:val="auto"/>
              </w:rPr>
            </w:pPr>
            <w:r>
              <w:rPr>
                <w:color w:val="auto"/>
                <w:szCs w:val="21"/>
              </w:rPr>
              <w:t>0.01342</w:t>
            </w:r>
          </w:p>
        </w:tc>
        <w:tc>
          <w:tcPr>
            <w:tcW w:w="1130" w:type="dxa"/>
            <w:shd w:val="clear" w:color="auto" w:fill="auto"/>
            <w:vAlign w:val="center"/>
          </w:tcPr>
          <w:p>
            <w:pPr>
              <w:pStyle w:val="164"/>
              <w:spacing w:line="240" w:lineRule="auto"/>
              <w:rPr>
                <w:color w:val="auto"/>
              </w:rPr>
            </w:pPr>
            <w:r>
              <w:rPr>
                <w:color w:val="auto"/>
                <w:szCs w:val="21"/>
              </w:rPr>
              <w:t xml:space="preserve">0.0709 </w:t>
            </w:r>
          </w:p>
        </w:tc>
        <w:tc>
          <w:tcPr>
            <w:tcW w:w="647" w:type="dxa"/>
            <w:shd w:val="clear" w:color="auto" w:fill="auto"/>
            <w:vAlign w:val="center"/>
          </w:tcPr>
          <w:p>
            <w:pPr>
              <w:pStyle w:val="164"/>
              <w:spacing w:line="240" w:lineRule="auto"/>
              <w:rPr>
                <w:color w:val="auto"/>
                <w:szCs w:val="21"/>
              </w:rPr>
            </w:pPr>
            <w:r>
              <w:rPr>
                <w:color w:val="auto"/>
                <w:szCs w:val="21"/>
              </w:rPr>
              <w:t>/</w:t>
            </w:r>
          </w:p>
        </w:tc>
        <w:tc>
          <w:tcPr>
            <w:tcW w:w="761" w:type="dxa"/>
            <w:shd w:val="clear" w:color="auto" w:fill="auto"/>
            <w:vAlign w:val="center"/>
          </w:tcPr>
          <w:p>
            <w:pPr>
              <w:pStyle w:val="164"/>
              <w:spacing w:line="240" w:lineRule="auto"/>
              <w:rPr>
                <w:color w:val="auto"/>
                <w:szCs w:val="21"/>
              </w:rPr>
            </w:pPr>
            <w:r>
              <w:rPr>
                <w:color w:val="auto"/>
                <w:szCs w:val="21"/>
              </w:rPr>
              <w:t>4.9</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02" w:hRule="atLeast"/>
          <w:jc w:val="center"/>
        </w:trPr>
        <w:tc>
          <w:tcPr>
            <w:tcW w:w="435" w:type="dxa"/>
            <w:vMerge w:val="continue"/>
            <w:shd w:val="clear" w:color="auto" w:fill="auto"/>
            <w:vAlign w:val="center"/>
          </w:tcPr>
          <w:p>
            <w:pPr>
              <w:pStyle w:val="164"/>
              <w:spacing w:line="240" w:lineRule="auto"/>
              <w:rPr>
                <w:color w:val="auto"/>
                <w:szCs w:val="20"/>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862" w:type="dxa"/>
            <w:shd w:val="clear" w:color="auto" w:fill="auto"/>
            <w:vAlign w:val="center"/>
          </w:tcPr>
          <w:p>
            <w:pPr>
              <w:pStyle w:val="164"/>
              <w:spacing w:line="240" w:lineRule="auto"/>
              <w:rPr>
                <w:color w:val="auto"/>
              </w:rPr>
            </w:pPr>
            <w:r>
              <w:rPr>
                <w:color w:val="auto"/>
              </w:rPr>
              <w:t>H</w:t>
            </w:r>
            <w:r>
              <w:rPr>
                <w:color w:val="auto"/>
                <w:vertAlign w:val="subscript"/>
              </w:rPr>
              <w:t>2</w:t>
            </w:r>
            <w:r>
              <w:rPr>
                <w:color w:val="auto"/>
              </w:rPr>
              <w:t>S</w:t>
            </w:r>
          </w:p>
        </w:tc>
        <w:tc>
          <w:tcPr>
            <w:tcW w:w="759" w:type="dxa"/>
            <w:vMerge w:val="continue"/>
            <w:shd w:val="clear" w:color="auto" w:fill="auto"/>
            <w:vAlign w:val="center"/>
          </w:tcPr>
          <w:p>
            <w:pPr>
              <w:pStyle w:val="164"/>
              <w:spacing w:line="240" w:lineRule="auto"/>
              <w:rPr>
                <w:color w:val="auto"/>
              </w:rPr>
            </w:pPr>
          </w:p>
        </w:tc>
        <w:tc>
          <w:tcPr>
            <w:tcW w:w="809" w:type="dxa"/>
            <w:shd w:val="clear" w:color="auto" w:fill="auto"/>
            <w:vAlign w:val="center"/>
          </w:tcPr>
          <w:p>
            <w:pPr>
              <w:pStyle w:val="164"/>
              <w:spacing w:line="240" w:lineRule="auto"/>
              <w:rPr>
                <w:color w:val="auto"/>
              </w:rPr>
            </w:pPr>
            <w:r>
              <w:rPr>
                <w:color w:val="auto"/>
                <w:szCs w:val="21"/>
              </w:rPr>
              <w:t>/</w:t>
            </w:r>
          </w:p>
        </w:tc>
        <w:tc>
          <w:tcPr>
            <w:tcW w:w="1130" w:type="dxa"/>
            <w:shd w:val="clear" w:color="auto" w:fill="auto"/>
            <w:vAlign w:val="center"/>
          </w:tcPr>
          <w:p>
            <w:pPr>
              <w:pStyle w:val="164"/>
              <w:spacing w:line="240" w:lineRule="auto"/>
              <w:rPr>
                <w:color w:val="auto"/>
              </w:rPr>
            </w:pPr>
            <w:r>
              <w:rPr>
                <w:color w:val="auto"/>
                <w:szCs w:val="21"/>
              </w:rPr>
              <w:t>/</w:t>
            </w:r>
          </w:p>
        </w:tc>
        <w:tc>
          <w:tcPr>
            <w:tcW w:w="1130" w:type="dxa"/>
            <w:shd w:val="clear" w:color="auto" w:fill="auto"/>
            <w:vAlign w:val="center"/>
          </w:tcPr>
          <w:p>
            <w:pPr>
              <w:pStyle w:val="164"/>
              <w:spacing w:line="240" w:lineRule="auto"/>
              <w:rPr>
                <w:color w:val="auto"/>
              </w:rPr>
            </w:pPr>
            <w:r>
              <w:rPr>
                <w:color w:val="auto"/>
                <w:szCs w:val="21"/>
              </w:rPr>
              <w:t>0.0005067</w:t>
            </w:r>
          </w:p>
        </w:tc>
        <w:tc>
          <w:tcPr>
            <w:tcW w:w="862" w:type="dxa"/>
            <w:vMerge w:val="continue"/>
            <w:shd w:val="clear" w:color="auto" w:fill="auto"/>
            <w:vAlign w:val="center"/>
          </w:tcPr>
          <w:p>
            <w:pPr>
              <w:pStyle w:val="164"/>
              <w:spacing w:line="240" w:lineRule="auto"/>
              <w:rPr>
                <w:color w:val="auto"/>
              </w:rPr>
            </w:pPr>
          </w:p>
        </w:tc>
        <w:tc>
          <w:tcPr>
            <w:tcW w:w="700" w:type="dxa"/>
            <w:shd w:val="clear" w:color="auto" w:fill="auto"/>
            <w:vAlign w:val="center"/>
          </w:tcPr>
          <w:p>
            <w:pPr>
              <w:pStyle w:val="164"/>
              <w:spacing w:line="240" w:lineRule="auto"/>
              <w:rPr>
                <w:color w:val="auto"/>
              </w:rPr>
            </w:pPr>
            <w:r>
              <w:rPr>
                <w:color w:val="auto"/>
              </w:rPr>
              <w:t>33.33</w:t>
            </w:r>
          </w:p>
        </w:tc>
        <w:tc>
          <w:tcPr>
            <w:tcW w:w="915" w:type="dxa"/>
            <w:shd w:val="clear" w:color="auto" w:fill="auto"/>
            <w:vAlign w:val="center"/>
          </w:tcPr>
          <w:p>
            <w:pPr>
              <w:pStyle w:val="164"/>
              <w:spacing w:line="240" w:lineRule="auto"/>
              <w:rPr>
                <w:color w:val="auto"/>
              </w:rPr>
            </w:pPr>
            <w:r>
              <w:rPr>
                <w:color w:val="auto"/>
                <w:szCs w:val="21"/>
              </w:rPr>
              <w:t xml:space="preserve">0.02 </w:t>
            </w:r>
          </w:p>
        </w:tc>
        <w:tc>
          <w:tcPr>
            <w:tcW w:w="1242" w:type="dxa"/>
            <w:shd w:val="clear" w:color="auto" w:fill="auto"/>
            <w:vAlign w:val="center"/>
          </w:tcPr>
          <w:p>
            <w:pPr>
              <w:pStyle w:val="164"/>
              <w:spacing w:line="240" w:lineRule="auto"/>
              <w:rPr>
                <w:color w:val="auto"/>
              </w:rPr>
            </w:pPr>
            <w:r>
              <w:rPr>
                <w:color w:val="auto"/>
                <w:szCs w:val="21"/>
              </w:rPr>
              <w:t>8.22E-05</w:t>
            </w:r>
          </w:p>
        </w:tc>
        <w:tc>
          <w:tcPr>
            <w:tcW w:w="1130" w:type="dxa"/>
            <w:shd w:val="clear" w:color="auto" w:fill="auto"/>
            <w:vAlign w:val="center"/>
          </w:tcPr>
          <w:p>
            <w:pPr>
              <w:pStyle w:val="164"/>
              <w:spacing w:line="240" w:lineRule="auto"/>
              <w:rPr>
                <w:color w:val="auto"/>
              </w:rPr>
            </w:pPr>
            <w:r>
              <w:rPr>
                <w:color w:val="auto"/>
                <w:szCs w:val="21"/>
              </w:rPr>
              <w:t xml:space="preserve">0.0004 </w:t>
            </w:r>
          </w:p>
        </w:tc>
        <w:tc>
          <w:tcPr>
            <w:tcW w:w="647" w:type="dxa"/>
            <w:shd w:val="clear" w:color="auto" w:fill="auto"/>
            <w:vAlign w:val="center"/>
          </w:tcPr>
          <w:p>
            <w:pPr>
              <w:pStyle w:val="164"/>
              <w:spacing w:line="240" w:lineRule="auto"/>
              <w:rPr>
                <w:color w:val="auto"/>
                <w:szCs w:val="21"/>
              </w:rPr>
            </w:pPr>
            <w:r>
              <w:rPr>
                <w:color w:val="auto"/>
                <w:szCs w:val="21"/>
              </w:rPr>
              <w:t>/</w:t>
            </w:r>
          </w:p>
        </w:tc>
        <w:tc>
          <w:tcPr>
            <w:tcW w:w="761" w:type="dxa"/>
            <w:shd w:val="clear" w:color="auto" w:fill="auto"/>
            <w:vAlign w:val="center"/>
          </w:tcPr>
          <w:p>
            <w:pPr>
              <w:pStyle w:val="164"/>
              <w:spacing w:line="240" w:lineRule="auto"/>
              <w:rPr>
                <w:color w:val="auto"/>
                <w:szCs w:val="21"/>
              </w:rPr>
            </w:pPr>
            <w:r>
              <w:rPr>
                <w:color w:val="auto"/>
                <w:szCs w:val="21"/>
              </w:rPr>
              <w:t>0.33</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33" w:hRule="atLeast"/>
          <w:jc w:val="center"/>
        </w:trPr>
        <w:tc>
          <w:tcPr>
            <w:tcW w:w="435" w:type="dxa"/>
            <w:vMerge w:val="continue"/>
            <w:shd w:val="clear" w:color="auto" w:fill="auto"/>
            <w:vAlign w:val="center"/>
          </w:tcPr>
          <w:p>
            <w:pPr>
              <w:pStyle w:val="164"/>
              <w:spacing w:line="240" w:lineRule="auto"/>
              <w:rPr>
                <w:color w:val="auto"/>
                <w:szCs w:val="20"/>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862" w:type="dxa"/>
            <w:shd w:val="clear" w:color="auto" w:fill="auto"/>
            <w:vAlign w:val="center"/>
          </w:tcPr>
          <w:p>
            <w:pPr>
              <w:pStyle w:val="164"/>
              <w:spacing w:line="240" w:lineRule="auto"/>
              <w:rPr>
                <w:color w:val="auto"/>
              </w:rPr>
            </w:pPr>
            <w:r>
              <w:rPr>
                <w:color w:val="auto"/>
              </w:rPr>
              <w:t>非甲烷总烃</w:t>
            </w:r>
          </w:p>
        </w:tc>
        <w:tc>
          <w:tcPr>
            <w:tcW w:w="759" w:type="dxa"/>
            <w:vMerge w:val="continue"/>
            <w:shd w:val="clear" w:color="auto" w:fill="auto"/>
            <w:vAlign w:val="center"/>
          </w:tcPr>
          <w:p>
            <w:pPr>
              <w:pStyle w:val="164"/>
              <w:spacing w:line="240" w:lineRule="auto"/>
              <w:rPr>
                <w:color w:val="auto"/>
              </w:rPr>
            </w:pPr>
          </w:p>
        </w:tc>
        <w:tc>
          <w:tcPr>
            <w:tcW w:w="809" w:type="dxa"/>
            <w:shd w:val="clear" w:color="auto" w:fill="auto"/>
            <w:vAlign w:val="center"/>
          </w:tcPr>
          <w:p>
            <w:pPr>
              <w:pStyle w:val="164"/>
              <w:spacing w:line="240" w:lineRule="auto"/>
              <w:rPr>
                <w:color w:val="auto"/>
              </w:rPr>
            </w:pPr>
            <w:r>
              <w:rPr>
                <w:color w:val="auto"/>
                <w:szCs w:val="21"/>
              </w:rPr>
              <w:t>/</w:t>
            </w:r>
          </w:p>
        </w:tc>
        <w:tc>
          <w:tcPr>
            <w:tcW w:w="1130" w:type="dxa"/>
            <w:shd w:val="clear" w:color="auto" w:fill="auto"/>
            <w:vAlign w:val="center"/>
          </w:tcPr>
          <w:p>
            <w:pPr>
              <w:pStyle w:val="164"/>
              <w:spacing w:line="240" w:lineRule="auto"/>
              <w:rPr>
                <w:color w:val="auto"/>
              </w:rPr>
            </w:pPr>
            <w:r>
              <w:rPr>
                <w:color w:val="auto"/>
                <w:szCs w:val="21"/>
              </w:rPr>
              <w:t>/</w:t>
            </w:r>
          </w:p>
        </w:tc>
        <w:tc>
          <w:tcPr>
            <w:tcW w:w="1130" w:type="dxa"/>
            <w:shd w:val="clear" w:color="auto" w:fill="auto"/>
            <w:vAlign w:val="center"/>
          </w:tcPr>
          <w:p>
            <w:pPr>
              <w:pStyle w:val="164"/>
              <w:spacing w:line="240" w:lineRule="auto"/>
              <w:rPr>
                <w:color w:val="auto"/>
              </w:rPr>
            </w:pPr>
            <w:r>
              <w:rPr>
                <w:color w:val="auto"/>
                <w:szCs w:val="21"/>
              </w:rPr>
              <w:t>0.0194198</w:t>
            </w:r>
          </w:p>
        </w:tc>
        <w:tc>
          <w:tcPr>
            <w:tcW w:w="862" w:type="dxa"/>
            <w:vMerge w:val="continue"/>
            <w:shd w:val="clear" w:color="auto" w:fill="auto"/>
            <w:vAlign w:val="center"/>
          </w:tcPr>
          <w:p>
            <w:pPr>
              <w:pStyle w:val="164"/>
              <w:spacing w:line="240" w:lineRule="auto"/>
              <w:rPr>
                <w:color w:val="auto"/>
              </w:rPr>
            </w:pPr>
          </w:p>
        </w:tc>
        <w:tc>
          <w:tcPr>
            <w:tcW w:w="700" w:type="dxa"/>
            <w:shd w:val="clear" w:color="auto" w:fill="auto"/>
            <w:vAlign w:val="center"/>
          </w:tcPr>
          <w:p>
            <w:pPr>
              <w:pStyle w:val="164"/>
              <w:spacing w:line="240" w:lineRule="auto"/>
              <w:rPr>
                <w:color w:val="auto"/>
              </w:rPr>
            </w:pPr>
            <w:r>
              <w:rPr>
                <w:color w:val="auto"/>
              </w:rPr>
              <w:t>44.54</w:t>
            </w:r>
          </w:p>
        </w:tc>
        <w:tc>
          <w:tcPr>
            <w:tcW w:w="915" w:type="dxa"/>
            <w:shd w:val="clear" w:color="auto" w:fill="auto"/>
            <w:vAlign w:val="center"/>
          </w:tcPr>
          <w:p>
            <w:pPr>
              <w:pStyle w:val="164"/>
              <w:spacing w:line="240" w:lineRule="auto"/>
              <w:rPr>
                <w:color w:val="auto"/>
              </w:rPr>
            </w:pPr>
            <w:r>
              <w:rPr>
                <w:color w:val="auto"/>
              </w:rPr>
              <w:t>0.59</w:t>
            </w:r>
          </w:p>
        </w:tc>
        <w:tc>
          <w:tcPr>
            <w:tcW w:w="1242" w:type="dxa"/>
            <w:shd w:val="clear" w:color="auto" w:fill="auto"/>
            <w:vAlign w:val="center"/>
          </w:tcPr>
          <w:p>
            <w:pPr>
              <w:pStyle w:val="164"/>
              <w:spacing w:line="240" w:lineRule="auto"/>
              <w:rPr>
                <w:color w:val="auto"/>
              </w:rPr>
            </w:pPr>
            <w:r>
              <w:rPr>
                <w:color w:val="auto"/>
                <w:szCs w:val="21"/>
              </w:rPr>
              <w:t>0.002241</w:t>
            </w:r>
          </w:p>
        </w:tc>
        <w:tc>
          <w:tcPr>
            <w:tcW w:w="1130" w:type="dxa"/>
            <w:shd w:val="clear" w:color="auto" w:fill="auto"/>
            <w:vAlign w:val="center"/>
          </w:tcPr>
          <w:p>
            <w:pPr>
              <w:pStyle w:val="164"/>
              <w:spacing w:line="240" w:lineRule="auto"/>
              <w:rPr>
                <w:color w:val="auto"/>
              </w:rPr>
            </w:pPr>
            <w:r>
              <w:rPr>
                <w:color w:val="auto"/>
                <w:szCs w:val="21"/>
              </w:rPr>
              <w:t xml:space="preserve">0.0118 </w:t>
            </w:r>
          </w:p>
        </w:tc>
        <w:tc>
          <w:tcPr>
            <w:tcW w:w="647" w:type="dxa"/>
            <w:shd w:val="clear" w:color="auto" w:fill="auto"/>
            <w:vAlign w:val="center"/>
          </w:tcPr>
          <w:p>
            <w:pPr>
              <w:pStyle w:val="164"/>
              <w:spacing w:line="240" w:lineRule="auto"/>
              <w:rPr>
                <w:color w:val="auto"/>
                <w:szCs w:val="21"/>
              </w:rPr>
            </w:pPr>
            <w:r>
              <w:rPr>
                <w:color w:val="auto"/>
                <w:szCs w:val="21"/>
              </w:rPr>
              <w:t>20</w:t>
            </w:r>
          </w:p>
        </w:tc>
        <w:tc>
          <w:tcPr>
            <w:tcW w:w="761" w:type="dxa"/>
            <w:shd w:val="clear" w:color="auto" w:fill="auto"/>
            <w:vAlign w:val="center"/>
          </w:tcPr>
          <w:p>
            <w:pPr>
              <w:pStyle w:val="164"/>
              <w:spacing w:line="240" w:lineRule="auto"/>
              <w:rPr>
                <w:color w:val="auto"/>
                <w:szCs w:val="21"/>
              </w:rPr>
            </w:pPr>
            <w:r>
              <w:rPr>
                <w:color w:val="auto"/>
                <w:szCs w:val="21"/>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435" w:type="dxa"/>
            <w:vMerge w:val="continue"/>
            <w:shd w:val="clear" w:color="auto" w:fill="auto"/>
            <w:vAlign w:val="center"/>
          </w:tcPr>
          <w:p>
            <w:pPr>
              <w:pStyle w:val="164"/>
              <w:spacing w:line="240" w:lineRule="auto"/>
              <w:rPr>
                <w:color w:val="auto"/>
                <w:szCs w:val="20"/>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862" w:type="dxa"/>
            <w:shd w:val="clear" w:color="auto" w:fill="auto"/>
            <w:vAlign w:val="center"/>
          </w:tcPr>
          <w:p>
            <w:pPr>
              <w:pStyle w:val="164"/>
              <w:spacing w:line="240" w:lineRule="auto"/>
              <w:rPr>
                <w:color w:val="auto"/>
              </w:rPr>
            </w:pPr>
            <w:r>
              <w:rPr>
                <w:color w:val="auto"/>
              </w:rPr>
              <w:t>臭气浓度</w:t>
            </w:r>
          </w:p>
        </w:tc>
        <w:tc>
          <w:tcPr>
            <w:tcW w:w="759" w:type="dxa"/>
            <w:vMerge w:val="continue"/>
            <w:shd w:val="clear" w:color="auto" w:fill="auto"/>
            <w:vAlign w:val="center"/>
          </w:tcPr>
          <w:p>
            <w:pPr>
              <w:pStyle w:val="164"/>
              <w:spacing w:line="240" w:lineRule="auto"/>
              <w:rPr>
                <w:color w:val="auto"/>
              </w:rPr>
            </w:pPr>
          </w:p>
        </w:tc>
        <w:tc>
          <w:tcPr>
            <w:tcW w:w="809" w:type="dxa"/>
            <w:shd w:val="clear" w:color="auto" w:fill="auto"/>
            <w:vAlign w:val="center"/>
          </w:tcPr>
          <w:p>
            <w:pPr>
              <w:pStyle w:val="164"/>
              <w:spacing w:line="240" w:lineRule="auto"/>
              <w:rPr>
                <w:color w:val="auto"/>
              </w:rPr>
            </w:pPr>
            <w:r>
              <w:rPr>
                <w:color w:val="auto"/>
              </w:rPr>
              <w:t>753</w:t>
            </w:r>
          </w:p>
        </w:tc>
        <w:tc>
          <w:tcPr>
            <w:tcW w:w="1130" w:type="dxa"/>
            <w:shd w:val="clear" w:color="auto" w:fill="auto"/>
            <w:vAlign w:val="center"/>
          </w:tcPr>
          <w:p>
            <w:pPr>
              <w:pStyle w:val="164"/>
              <w:spacing w:line="240" w:lineRule="auto"/>
              <w:rPr>
                <w:color w:val="auto"/>
              </w:rPr>
            </w:pPr>
            <w:r>
              <w:rPr>
                <w:color w:val="auto"/>
              </w:rPr>
              <w:t>/</w:t>
            </w:r>
          </w:p>
        </w:tc>
        <w:tc>
          <w:tcPr>
            <w:tcW w:w="1130" w:type="dxa"/>
            <w:shd w:val="clear" w:color="auto" w:fill="auto"/>
            <w:vAlign w:val="center"/>
          </w:tcPr>
          <w:p>
            <w:pPr>
              <w:pStyle w:val="164"/>
              <w:spacing w:line="240" w:lineRule="auto"/>
              <w:rPr>
                <w:color w:val="auto"/>
              </w:rPr>
            </w:pPr>
            <w:r>
              <w:rPr>
                <w:color w:val="auto"/>
              </w:rPr>
              <w:t>/</w:t>
            </w:r>
          </w:p>
        </w:tc>
        <w:tc>
          <w:tcPr>
            <w:tcW w:w="862" w:type="dxa"/>
            <w:vMerge w:val="continue"/>
            <w:shd w:val="clear" w:color="auto" w:fill="auto"/>
            <w:vAlign w:val="center"/>
          </w:tcPr>
          <w:p>
            <w:pPr>
              <w:pStyle w:val="164"/>
              <w:spacing w:line="240" w:lineRule="auto"/>
              <w:rPr>
                <w:color w:val="auto"/>
              </w:rPr>
            </w:pPr>
          </w:p>
        </w:tc>
        <w:tc>
          <w:tcPr>
            <w:tcW w:w="700" w:type="dxa"/>
            <w:shd w:val="clear" w:color="auto" w:fill="auto"/>
            <w:vAlign w:val="center"/>
          </w:tcPr>
          <w:p>
            <w:pPr>
              <w:pStyle w:val="164"/>
              <w:spacing w:line="240" w:lineRule="auto"/>
              <w:rPr>
                <w:color w:val="auto"/>
              </w:rPr>
            </w:pPr>
            <w:r>
              <w:rPr>
                <w:color w:val="auto"/>
              </w:rPr>
              <w:t>25.1</w:t>
            </w:r>
          </w:p>
        </w:tc>
        <w:tc>
          <w:tcPr>
            <w:tcW w:w="915" w:type="dxa"/>
            <w:shd w:val="clear" w:color="auto" w:fill="auto"/>
            <w:vAlign w:val="center"/>
          </w:tcPr>
          <w:p>
            <w:pPr>
              <w:pStyle w:val="164"/>
              <w:spacing w:line="240" w:lineRule="auto"/>
              <w:rPr>
                <w:color w:val="auto"/>
              </w:rPr>
            </w:pPr>
            <w:r>
              <w:rPr>
                <w:color w:val="auto"/>
              </w:rPr>
              <w:t>564</w:t>
            </w:r>
          </w:p>
        </w:tc>
        <w:tc>
          <w:tcPr>
            <w:tcW w:w="1242" w:type="dxa"/>
            <w:shd w:val="clear" w:color="auto" w:fill="auto"/>
            <w:vAlign w:val="center"/>
          </w:tcPr>
          <w:p>
            <w:pPr>
              <w:pStyle w:val="164"/>
              <w:spacing w:line="240" w:lineRule="auto"/>
              <w:rPr>
                <w:color w:val="auto"/>
              </w:rPr>
            </w:pPr>
            <w:r>
              <w:rPr>
                <w:color w:val="auto"/>
              </w:rPr>
              <w:t>/</w:t>
            </w:r>
          </w:p>
        </w:tc>
        <w:tc>
          <w:tcPr>
            <w:tcW w:w="1130" w:type="dxa"/>
            <w:shd w:val="clear" w:color="auto" w:fill="auto"/>
            <w:vAlign w:val="center"/>
          </w:tcPr>
          <w:p>
            <w:pPr>
              <w:pStyle w:val="164"/>
              <w:spacing w:line="240" w:lineRule="auto"/>
              <w:rPr>
                <w:color w:val="auto"/>
              </w:rPr>
            </w:pPr>
            <w:r>
              <w:rPr>
                <w:color w:val="auto"/>
              </w:rPr>
              <w:t>/</w:t>
            </w:r>
          </w:p>
        </w:tc>
        <w:tc>
          <w:tcPr>
            <w:tcW w:w="647" w:type="dxa"/>
            <w:shd w:val="clear" w:color="auto" w:fill="auto"/>
            <w:vAlign w:val="center"/>
          </w:tcPr>
          <w:p>
            <w:pPr>
              <w:pStyle w:val="164"/>
              <w:spacing w:line="240" w:lineRule="auto"/>
              <w:rPr>
                <w:color w:val="auto"/>
              </w:rPr>
            </w:pPr>
            <w:r>
              <w:rPr>
                <w:color w:val="auto"/>
              </w:rPr>
              <w:t>2000</w:t>
            </w:r>
          </w:p>
        </w:tc>
        <w:tc>
          <w:tcPr>
            <w:tcW w:w="761" w:type="dxa"/>
            <w:shd w:val="clear" w:color="auto" w:fill="auto"/>
            <w:vAlign w:val="center"/>
          </w:tcPr>
          <w:p>
            <w:pPr>
              <w:pStyle w:val="164"/>
              <w:spacing w:line="240" w:lineRule="auto"/>
              <w:rPr>
                <w:color w:val="auto"/>
              </w:rPr>
            </w:pPr>
            <w:r>
              <w:rPr>
                <w:color w:val="auto"/>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71" w:hRule="atLeast"/>
          <w:jc w:val="center"/>
        </w:trPr>
        <w:tc>
          <w:tcPr>
            <w:tcW w:w="435" w:type="dxa"/>
            <w:vMerge w:val="restart"/>
            <w:shd w:val="clear" w:color="auto" w:fill="auto"/>
            <w:vAlign w:val="center"/>
          </w:tcPr>
          <w:p>
            <w:pPr>
              <w:pStyle w:val="164"/>
              <w:spacing w:line="360" w:lineRule="exact"/>
              <w:rPr>
                <w:color w:val="auto"/>
              </w:rPr>
            </w:pPr>
            <w:r>
              <w:rPr>
                <w:color w:val="auto"/>
              </w:rPr>
              <w:t>4</w:t>
            </w:r>
          </w:p>
        </w:tc>
        <w:tc>
          <w:tcPr>
            <w:tcW w:w="435" w:type="dxa"/>
            <w:vMerge w:val="restart"/>
            <w:shd w:val="clear" w:color="auto" w:fill="auto"/>
            <w:vAlign w:val="center"/>
          </w:tcPr>
          <w:p>
            <w:pPr>
              <w:pStyle w:val="164"/>
              <w:spacing w:line="360" w:lineRule="exact"/>
              <w:rPr>
                <w:color w:val="auto"/>
              </w:rPr>
            </w:pPr>
            <w:r>
              <w:rPr>
                <w:color w:val="auto"/>
              </w:rPr>
              <w:t>无组织</w:t>
            </w:r>
          </w:p>
        </w:tc>
        <w:tc>
          <w:tcPr>
            <w:tcW w:w="435" w:type="dxa"/>
            <w:vMerge w:val="restart"/>
            <w:shd w:val="clear" w:color="auto" w:fill="auto"/>
            <w:vAlign w:val="center"/>
          </w:tcPr>
          <w:p>
            <w:pPr>
              <w:pStyle w:val="164"/>
              <w:spacing w:line="240" w:lineRule="auto"/>
              <w:rPr>
                <w:color w:val="auto"/>
              </w:rPr>
            </w:pPr>
            <w:r>
              <w:rPr>
                <w:color w:val="auto"/>
              </w:rPr>
              <w:t>高温蒸煮车间</w:t>
            </w:r>
          </w:p>
        </w:tc>
        <w:tc>
          <w:tcPr>
            <w:tcW w:w="435" w:type="dxa"/>
            <w:vMerge w:val="restart"/>
            <w:shd w:val="clear" w:color="auto" w:fill="auto"/>
            <w:vAlign w:val="center"/>
          </w:tcPr>
          <w:p>
            <w:pPr>
              <w:pStyle w:val="164"/>
              <w:spacing w:line="360" w:lineRule="exact"/>
              <w:rPr>
                <w:color w:val="auto"/>
              </w:rPr>
            </w:pPr>
            <w:r>
              <w:rPr>
                <w:color w:val="auto"/>
              </w:rPr>
              <w:t>间歇</w:t>
            </w:r>
          </w:p>
        </w:tc>
        <w:tc>
          <w:tcPr>
            <w:tcW w:w="862" w:type="dxa"/>
            <w:shd w:val="clear" w:color="auto" w:fill="auto"/>
            <w:vAlign w:val="center"/>
          </w:tcPr>
          <w:p>
            <w:pPr>
              <w:pStyle w:val="164"/>
              <w:spacing w:line="360" w:lineRule="exact"/>
              <w:rPr>
                <w:color w:val="auto"/>
              </w:rPr>
            </w:pPr>
            <w:r>
              <w:rPr>
                <w:color w:val="auto"/>
              </w:rPr>
              <w:t>NH</w:t>
            </w:r>
            <w:r>
              <w:rPr>
                <w:color w:val="auto"/>
                <w:szCs w:val="13"/>
                <w:vertAlign w:val="subscript"/>
              </w:rPr>
              <w:t>3</w:t>
            </w:r>
          </w:p>
        </w:tc>
        <w:tc>
          <w:tcPr>
            <w:tcW w:w="759" w:type="dxa"/>
            <w:shd w:val="clear" w:color="auto" w:fill="auto"/>
            <w:vAlign w:val="center"/>
          </w:tcPr>
          <w:p>
            <w:pPr>
              <w:pStyle w:val="164"/>
              <w:spacing w:line="360" w:lineRule="exact"/>
              <w:rPr>
                <w:color w:val="auto"/>
              </w:rPr>
            </w:pPr>
            <w:r>
              <w:rPr>
                <w:color w:val="auto"/>
              </w:rPr>
              <w:t>/</w:t>
            </w:r>
          </w:p>
        </w:tc>
        <w:tc>
          <w:tcPr>
            <w:tcW w:w="809" w:type="dxa"/>
            <w:shd w:val="clear" w:color="auto" w:fill="auto"/>
            <w:vAlign w:val="center"/>
          </w:tcPr>
          <w:p>
            <w:pPr>
              <w:pStyle w:val="164"/>
              <w:spacing w:line="360" w:lineRule="exact"/>
              <w:rPr>
                <w:bCs/>
                <w:color w:val="auto"/>
              </w:rPr>
            </w:pPr>
            <w:r>
              <w:rPr>
                <w:bCs/>
                <w:color w:val="auto"/>
              </w:rPr>
              <w:t>/</w:t>
            </w:r>
          </w:p>
        </w:tc>
        <w:tc>
          <w:tcPr>
            <w:tcW w:w="1130" w:type="dxa"/>
            <w:shd w:val="clear" w:color="auto" w:fill="auto"/>
            <w:vAlign w:val="center"/>
          </w:tcPr>
          <w:p>
            <w:pPr>
              <w:pStyle w:val="164"/>
              <w:spacing w:line="360" w:lineRule="exact"/>
              <w:rPr>
                <w:color w:val="auto"/>
              </w:rPr>
            </w:pPr>
            <w:r>
              <w:rPr>
                <w:color w:val="auto"/>
              </w:rPr>
              <w:t>0.002</w:t>
            </w:r>
          </w:p>
        </w:tc>
        <w:tc>
          <w:tcPr>
            <w:tcW w:w="1130" w:type="dxa"/>
            <w:shd w:val="clear" w:color="auto" w:fill="auto"/>
            <w:vAlign w:val="center"/>
          </w:tcPr>
          <w:p>
            <w:pPr>
              <w:pStyle w:val="164"/>
              <w:spacing w:line="360" w:lineRule="exact"/>
              <w:rPr>
                <w:iCs/>
                <w:color w:val="auto"/>
              </w:rPr>
            </w:pPr>
            <w:r>
              <w:rPr>
                <w:color w:val="auto"/>
              </w:rPr>
              <w:t xml:space="preserve">0.0106 </w:t>
            </w:r>
          </w:p>
        </w:tc>
        <w:tc>
          <w:tcPr>
            <w:tcW w:w="862" w:type="dxa"/>
            <w:vMerge w:val="restart"/>
            <w:shd w:val="clear" w:color="auto" w:fill="auto"/>
            <w:vAlign w:val="center"/>
          </w:tcPr>
          <w:p>
            <w:pPr>
              <w:pStyle w:val="164"/>
              <w:spacing w:line="360" w:lineRule="exact"/>
              <w:rPr>
                <w:color w:val="auto"/>
              </w:rPr>
            </w:pPr>
            <w:r>
              <w:rPr>
                <w:color w:val="auto"/>
                <w:lang w:bidi="zh-CN"/>
              </w:rPr>
              <w:t>微负压设计，</w:t>
            </w:r>
            <w:r>
              <w:rPr>
                <w:color w:val="auto"/>
              </w:rPr>
              <w:t>加强通风</w:t>
            </w:r>
          </w:p>
        </w:tc>
        <w:tc>
          <w:tcPr>
            <w:tcW w:w="700" w:type="dxa"/>
            <w:shd w:val="clear" w:color="auto" w:fill="auto"/>
            <w:vAlign w:val="center"/>
          </w:tcPr>
          <w:p>
            <w:pPr>
              <w:pStyle w:val="164"/>
              <w:spacing w:line="360" w:lineRule="exact"/>
              <w:rPr>
                <w:bCs/>
                <w:color w:val="auto"/>
              </w:rPr>
            </w:pPr>
            <w:r>
              <w:rPr>
                <w:bCs/>
                <w:color w:val="auto"/>
              </w:rPr>
              <w:t>/</w:t>
            </w:r>
          </w:p>
        </w:tc>
        <w:tc>
          <w:tcPr>
            <w:tcW w:w="915" w:type="dxa"/>
            <w:shd w:val="clear" w:color="auto" w:fill="auto"/>
            <w:vAlign w:val="center"/>
          </w:tcPr>
          <w:p>
            <w:pPr>
              <w:pStyle w:val="164"/>
              <w:spacing w:line="360" w:lineRule="exact"/>
              <w:rPr>
                <w:color w:val="auto"/>
              </w:rPr>
            </w:pPr>
            <w:r>
              <w:rPr>
                <w:color w:val="auto"/>
              </w:rPr>
              <w:t>/</w:t>
            </w:r>
          </w:p>
        </w:tc>
        <w:tc>
          <w:tcPr>
            <w:tcW w:w="1242" w:type="dxa"/>
            <w:shd w:val="clear" w:color="auto" w:fill="auto"/>
            <w:vAlign w:val="center"/>
          </w:tcPr>
          <w:p>
            <w:pPr>
              <w:pStyle w:val="164"/>
              <w:spacing w:line="360" w:lineRule="exact"/>
              <w:rPr>
                <w:color w:val="auto"/>
              </w:rPr>
            </w:pPr>
            <w:r>
              <w:rPr>
                <w:color w:val="auto"/>
              </w:rPr>
              <w:t>0.002</w:t>
            </w:r>
          </w:p>
        </w:tc>
        <w:tc>
          <w:tcPr>
            <w:tcW w:w="1130" w:type="dxa"/>
            <w:shd w:val="clear" w:color="auto" w:fill="auto"/>
            <w:vAlign w:val="center"/>
          </w:tcPr>
          <w:p>
            <w:pPr>
              <w:pStyle w:val="164"/>
              <w:spacing w:line="360" w:lineRule="exact"/>
              <w:rPr>
                <w:iCs/>
                <w:color w:val="auto"/>
              </w:rPr>
            </w:pPr>
            <w:r>
              <w:rPr>
                <w:color w:val="auto"/>
              </w:rPr>
              <w:t xml:space="preserve">0.0106 </w:t>
            </w:r>
          </w:p>
        </w:tc>
        <w:tc>
          <w:tcPr>
            <w:tcW w:w="647" w:type="dxa"/>
            <w:shd w:val="clear" w:color="auto" w:fill="auto"/>
            <w:vAlign w:val="center"/>
          </w:tcPr>
          <w:p>
            <w:pPr>
              <w:pStyle w:val="164"/>
              <w:spacing w:line="360" w:lineRule="exact"/>
              <w:rPr>
                <w:color w:val="auto"/>
              </w:rPr>
            </w:pPr>
            <w:r>
              <w:rPr>
                <w:color w:val="auto"/>
              </w:rPr>
              <w:t>1.5</w:t>
            </w:r>
          </w:p>
        </w:tc>
        <w:tc>
          <w:tcPr>
            <w:tcW w:w="761" w:type="dxa"/>
            <w:shd w:val="clear" w:color="auto" w:fill="auto"/>
            <w:vAlign w:val="center"/>
          </w:tcPr>
          <w:p>
            <w:pPr>
              <w:pStyle w:val="164"/>
              <w:spacing w:line="360" w:lineRule="exact"/>
              <w:rPr>
                <w:color w:val="auto"/>
              </w:rPr>
            </w:pPr>
            <w:r>
              <w:rPr>
                <w:color w:val="auto"/>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68" w:hRule="atLeast"/>
          <w:jc w:val="center"/>
        </w:trPr>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862" w:type="dxa"/>
            <w:shd w:val="clear" w:color="auto" w:fill="auto"/>
            <w:vAlign w:val="center"/>
          </w:tcPr>
          <w:p>
            <w:pPr>
              <w:pStyle w:val="164"/>
              <w:spacing w:line="360" w:lineRule="exact"/>
              <w:rPr>
                <w:bCs/>
                <w:color w:val="auto"/>
              </w:rPr>
            </w:pPr>
            <w:r>
              <w:rPr>
                <w:color w:val="auto"/>
              </w:rPr>
              <w:t>H</w:t>
            </w:r>
            <w:r>
              <w:rPr>
                <w:color w:val="auto"/>
                <w:vertAlign w:val="subscript"/>
              </w:rPr>
              <w:t>2</w:t>
            </w:r>
            <w:r>
              <w:rPr>
                <w:color w:val="auto"/>
              </w:rPr>
              <w:t>S</w:t>
            </w:r>
          </w:p>
        </w:tc>
        <w:tc>
          <w:tcPr>
            <w:tcW w:w="759" w:type="dxa"/>
            <w:shd w:val="clear" w:color="auto" w:fill="auto"/>
            <w:vAlign w:val="center"/>
          </w:tcPr>
          <w:p>
            <w:pPr>
              <w:pStyle w:val="164"/>
              <w:spacing w:line="360" w:lineRule="exact"/>
              <w:rPr>
                <w:color w:val="auto"/>
              </w:rPr>
            </w:pPr>
            <w:r>
              <w:rPr>
                <w:color w:val="auto"/>
              </w:rPr>
              <w:t>/</w:t>
            </w:r>
          </w:p>
        </w:tc>
        <w:tc>
          <w:tcPr>
            <w:tcW w:w="809" w:type="dxa"/>
            <w:shd w:val="clear" w:color="auto" w:fill="auto"/>
            <w:vAlign w:val="center"/>
          </w:tcPr>
          <w:p>
            <w:pPr>
              <w:pStyle w:val="164"/>
              <w:spacing w:line="360" w:lineRule="exact"/>
              <w:rPr>
                <w:bCs/>
                <w:color w:val="auto"/>
              </w:rPr>
            </w:pPr>
            <w:r>
              <w:rPr>
                <w:bCs/>
                <w:color w:val="auto"/>
              </w:rPr>
              <w:t>/</w:t>
            </w:r>
          </w:p>
        </w:tc>
        <w:tc>
          <w:tcPr>
            <w:tcW w:w="1130" w:type="dxa"/>
            <w:shd w:val="clear" w:color="auto" w:fill="auto"/>
            <w:vAlign w:val="center"/>
          </w:tcPr>
          <w:p>
            <w:pPr>
              <w:pStyle w:val="164"/>
              <w:spacing w:line="360" w:lineRule="exact"/>
              <w:rPr>
                <w:color w:val="auto"/>
              </w:rPr>
            </w:pPr>
            <w:r>
              <w:rPr>
                <w:color w:val="auto"/>
              </w:rPr>
              <w:t>0.00001</w:t>
            </w:r>
          </w:p>
        </w:tc>
        <w:tc>
          <w:tcPr>
            <w:tcW w:w="1130" w:type="dxa"/>
            <w:shd w:val="clear" w:color="auto" w:fill="auto"/>
            <w:vAlign w:val="center"/>
          </w:tcPr>
          <w:p>
            <w:pPr>
              <w:pStyle w:val="164"/>
              <w:spacing w:line="360" w:lineRule="exact"/>
              <w:rPr>
                <w:color w:val="auto"/>
              </w:rPr>
            </w:pPr>
            <w:r>
              <w:rPr>
                <w:color w:val="auto"/>
              </w:rPr>
              <w:t xml:space="preserve">0.000054 </w:t>
            </w:r>
          </w:p>
        </w:tc>
        <w:tc>
          <w:tcPr>
            <w:tcW w:w="862" w:type="dxa"/>
            <w:vMerge w:val="continue"/>
            <w:shd w:val="clear" w:color="auto" w:fill="auto"/>
            <w:vAlign w:val="center"/>
          </w:tcPr>
          <w:p>
            <w:pPr>
              <w:pStyle w:val="164"/>
              <w:spacing w:line="360" w:lineRule="exact"/>
              <w:rPr>
                <w:color w:val="auto"/>
              </w:rPr>
            </w:pPr>
          </w:p>
        </w:tc>
        <w:tc>
          <w:tcPr>
            <w:tcW w:w="700" w:type="dxa"/>
            <w:shd w:val="clear" w:color="auto" w:fill="auto"/>
            <w:vAlign w:val="center"/>
          </w:tcPr>
          <w:p>
            <w:pPr>
              <w:pStyle w:val="164"/>
              <w:spacing w:line="360" w:lineRule="exact"/>
              <w:rPr>
                <w:bCs/>
                <w:color w:val="auto"/>
                <w:szCs w:val="20"/>
              </w:rPr>
            </w:pPr>
            <w:r>
              <w:rPr>
                <w:bCs/>
                <w:color w:val="auto"/>
              </w:rPr>
              <w:t>/</w:t>
            </w:r>
          </w:p>
        </w:tc>
        <w:tc>
          <w:tcPr>
            <w:tcW w:w="915" w:type="dxa"/>
            <w:shd w:val="clear" w:color="auto" w:fill="auto"/>
            <w:vAlign w:val="center"/>
          </w:tcPr>
          <w:p>
            <w:pPr>
              <w:pStyle w:val="164"/>
              <w:spacing w:line="360" w:lineRule="exact"/>
              <w:rPr>
                <w:bCs/>
                <w:color w:val="auto"/>
                <w:szCs w:val="20"/>
              </w:rPr>
            </w:pPr>
            <w:r>
              <w:rPr>
                <w:color w:val="auto"/>
              </w:rPr>
              <w:t>/</w:t>
            </w:r>
          </w:p>
        </w:tc>
        <w:tc>
          <w:tcPr>
            <w:tcW w:w="1242" w:type="dxa"/>
            <w:shd w:val="clear" w:color="auto" w:fill="auto"/>
            <w:vAlign w:val="center"/>
          </w:tcPr>
          <w:p>
            <w:pPr>
              <w:pStyle w:val="164"/>
              <w:spacing w:line="360" w:lineRule="exact"/>
              <w:rPr>
                <w:color w:val="auto"/>
              </w:rPr>
            </w:pPr>
            <w:r>
              <w:rPr>
                <w:color w:val="auto"/>
              </w:rPr>
              <w:t>0.00001</w:t>
            </w:r>
          </w:p>
        </w:tc>
        <w:tc>
          <w:tcPr>
            <w:tcW w:w="1130" w:type="dxa"/>
            <w:shd w:val="clear" w:color="auto" w:fill="auto"/>
            <w:vAlign w:val="center"/>
          </w:tcPr>
          <w:p>
            <w:pPr>
              <w:pStyle w:val="164"/>
              <w:spacing w:line="360" w:lineRule="exact"/>
              <w:rPr>
                <w:color w:val="auto"/>
              </w:rPr>
            </w:pPr>
            <w:r>
              <w:rPr>
                <w:color w:val="auto"/>
              </w:rPr>
              <w:t xml:space="preserve">0.000054 </w:t>
            </w:r>
          </w:p>
        </w:tc>
        <w:tc>
          <w:tcPr>
            <w:tcW w:w="647" w:type="dxa"/>
            <w:shd w:val="clear" w:color="auto" w:fill="auto"/>
            <w:vAlign w:val="center"/>
          </w:tcPr>
          <w:p>
            <w:pPr>
              <w:pStyle w:val="164"/>
              <w:spacing w:line="360" w:lineRule="exact"/>
              <w:rPr>
                <w:color w:val="auto"/>
              </w:rPr>
            </w:pPr>
            <w:r>
              <w:rPr>
                <w:color w:val="auto"/>
              </w:rPr>
              <w:t>0.06</w:t>
            </w:r>
          </w:p>
        </w:tc>
        <w:tc>
          <w:tcPr>
            <w:tcW w:w="761" w:type="dxa"/>
            <w:shd w:val="clear" w:color="auto" w:fill="auto"/>
            <w:vAlign w:val="center"/>
          </w:tcPr>
          <w:p>
            <w:pPr>
              <w:pStyle w:val="164"/>
              <w:spacing w:line="360" w:lineRule="exact"/>
              <w:rPr>
                <w:color w:val="auto"/>
              </w:rPr>
            </w:pPr>
            <w:r>
              <w:rPr>
                <w:color w:val="auto"/>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94" w:hRule="atLeast"/>
          <w:jc w:val="center"/>
        </w:trPr>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435" w:type="dxa"/>
            <w:vMerge w:val="continue"/>
            <w:shd w:val="clear" w:color="auto" w:fill="auto"/>
            <w:vAlign w:val="center"/>
          </w:tcPr>
          <w:p>
            <w:pPr>
              <w:pStyle w:val="164"/>
              <w:spacing w:line="360" w:lineRule="exact"/>
              <w:rPr>
                <w:color w:val="auto"/>
              </w:rPr>
            </w:pPr>
          </w:p>
        </w:tc>
        <w:tc>
          <w:tcPr>
            <w:tcW w:w="862" w:type="dxa"/>
            <w:shd w:val="clear" w:color="auto" w:fill="auto"/>
            <w:vAlign w:val="center"/>
          </w:tcPr>
          <w:p>
            <w:pPr>
              <w:pStyle w:val="164"/>
              <w:spacing w:line="240" w:lineRule="auto"/>
              <w:rPr>
                <w:bCs/>
                <w:color w:val="auto"/>
              </w:rPr>
            </w:pPr>
            <w:r>
              <w:rPr>
                <w:color w:val="auto"/>
              </w:rPr>
              <w:t>非甲烷总烃</w:t>
            </w:r>
          </w:p>
        </w:tc>
        <w:tc>
          <w:tcPr>
            <w:tcW w:w="759" w:type="dxa"/>
            <w:shd w:val="clear" w:color="auto" w:fill="auto"/>
            <w:vAlign w:val="center"/>
          </w:tcPr>
          <w:p>
            <w:pPr>
              <w:pStyle w:val="164"/>
              <w:spacing w:line="360" w:lineRule="exact"/>
              <w:rPr>
                <w:color w:val="auto"/>
              </w:rPr>
            </w:pPr>
            <w:r>
              <w:rPr>
                <w:color w:val="auto"/>
              </w:rPr>
              <w:t>/</w:t>
            </w:r>
          </w:p>
        </w:tc>
        <w:tc>
          <w:tcPr>
            <w:tcW w:w="809" w:type="dxa"/>
            <w:shd w:val="clear" w:color="auto" w:fill="auto"/>
            <w:vAlign w:val="center"/>
          </w:tcPr>
          <w:p>
            <w:pPr>
              <w:pStyle w:val="164"/>
              <w:spacing w:line="360" w:lineRule="exact"/>
              <w:rPr>
                <w:bCs/>
                <w:color w:val="auto"/>
              </w:rPr>
            </w:pPr>
            <w:r>
              <w:rPr>
                <w:bCs/>
                <w:color w:val="auto"/>
              </w:rPr>
              <w:t>/</w:t>
            </w:r>
          </w:p>
        </w:tc>
        <w:tc>
          <w:tcPr>
            <w:tcW w:w="1130" w:type="dxa"/>
            <w:shd w:val="clear" w:color="auto" w:fill="auto"/>
            <w:vAlign w:val="center"/>
          </w:tcPr>
          <w:p>
            <w:pPr>
              <w:pStyle w:val="164"/>
              <w:spacing w:line="360" w:lineRule="exact"/>
              <w:rPr>
                <w:color w:val="auto"/>
              </w:rPr>
            </w:pPr>
            <w:r>
              <w:rPr>
                <w:color w:val="auto"/>
              </w:rPr>
              <w:t>0.00041</w:t>
            </w:r>
          </w:p>
        </w:tc>
        <w:tc>
          <w:tcPr>
            <w:tcW w:w="1130" w:type="dxa"/>
            <w:shd w:val="clear" w:color="auto" w:fill="auto"/>
            <w:vAlign w:val="center"/>
          </w:tcPr>
          <w:p>
            <w:pPr>
              <w:pStyle w:val="164"/>
              <w:spacing w:line="360" w:lineRule="exact"/>
              <w:rPr>
                <w:color w:val="auto"/>
              </w:rPr>
            </w:pPr>
            <w:r>
              <w:rPr>
                <w:color w:val="auto"/>
              </w:rPr>
              <w:t xml:space="preserve">0.0022 </w:t>
            </w:r>
          </w:p>
        </w:tc>
        <w:tc>
          <w:tcPr>
            <w:tcW w:w="862" w:type="dxa"/>
            <w:vMerge w:val="continue"/>
            <w:shd w:val="clear" w:color="auto" w:fill="auto"/>
            <w:vAlign w:val="center"/>
          </w:tcPr>
          <w:p>
            <w:pPr>
              <w:pStyle w:val="164"/>
              <w:spacing w:line="360" w:lineRule="exact"/>
              <w:rPr>
                <w:color w:val="auto"/>
              </w:rPr>
            </w:pPr>
          </w:p>
        </w:tc>
        <w:tc>
          <w:tcPr>
            <w:tcW w:w="700" w:type="dxa"/>
            <w:shd w:val="clear" w:color="auto" w:fill="auto"/>
            <w:vAlign w:val="center"/>
          </w:tcPr>
          <w:p>
            <w:pPr>
              <w:pStyle w:val="164"/>
              <w:spacing w:line="360" w:lineRule="exact"/>
              <w:rPr>
                <w:bCs/>
                <w:color w:val="auto"/>
                <w:szCs w:val="20"/>
              </w:rPr>
            </w:pPr>
            <w:r>
              <w:rPr>
                <w:bCs/>
                <w:color w:val="auto"/>
              </w:rPr>
              <w:t>/</w:t>
            </w:r>
          </w:p>
        </w:tc>
        <w:tc>
          <w:tcPr>
            <w:tcW w:w="915" w:type="dxa"/>
            <w:shd w:val="clear" w:color="auto" w:fill="auto"/>
            <w:vAlign w:val="center"/>
          </w:tcPr>
          <w:p>
            <w:pPr>
              <w:pStyle w:val="164"/>
              <w:spacing w:line="360" w:lineRule="exact"/>
              <w:rPr>
                <w:bCs/>
                <w:color w:val="auto"/>
                <w:szCs w:val="20"/>
              </w:rPr>
            </w:pPr>
            <w:r>
              <w:rPr>
                <w:color w:val="auto"/>
              </w:rPr>
              <w:t>/</w:t>
            </w:r>
          </w:p>
        </w:tc>
        <w:tc>
          <w:tcPr>
            <w:tcW w:w="1242" w:type="dxa"/>
            <w:shd w:val="clear" w:color="auto" w:fill="auto"/>
            <w:vAlign w:val="center"/>
          </w:tcPr>
          <w:p>
            <w:pPr>
              <w:pStyle w:val="164"/>
              <w:spacing w:line="360" w:lineRule="exact"/>
              <w:rPr>
                <w:color w:val="auto"/>
              </w:rPr>
            </w:pPr>
            <w:r>
              <w:rPr>
                <w:color w:val="auto"/>
              </w:rPr>
              <w:t>0.00041</w:t>
            </w:r>
          </w:p>
        </w:tc>
        <w:tc>
          <w:tcPr>
            <w:tcW w:w="1130" w:type="dxa"/>
            <w:shd w:val="clear" w:color="auto" w:fill="auto"/>
            <w:vAlign w:val="center"/>
          </w:tcPr>
          <w:p>
            <w:pPr>
              <w:pStyle w:val="164"/>
              <w:spacing w:line="360" w:lineRule="exact"/>
              <w:rPr>
                <w:color w:val="auto"/>
              </w:rPr>
            </w:pPr>
            <w:r>
              <w:rPr>
                <w:color w:val="auto"/>
              </w:rPr>
              <w:t xml:space="preserve">0.0022 </w:t>
            </w:r>
          </w:p>
        </w:tc>
        <w:tc>
          <w:tcPr>
            <w:tcW w:w="647" w:type="dxa"/>
            <w:shd w:val="clear" w:color="auto" w:fill="auto"/>
            <w:vAlign w:val="center"/>
          </w:tcPr>
          <w:p>
            <w:pPr>
              <w:pStyle w:val="164"/>
              <w:spacing w:line="360" w:lineRule="exact"/>
              <w:rPr>
                <w:color w:val="auto"/>
              </w:rPr>
            </w:pPr>
            <w:r>
              <w:rPr>
                <w:color w:val="auto"/>
              </w:rPr>
              <w:t>4.0</w:t>
            </w:r>
          </w:p>
        </w:tc>
        <w:tc>
          <w:tcPr>
            <w:tcW w:w="761" w:type="dxa"/>
            <w:shd w:val="clear" w:color="auto" w:fill="auto"/>
            <w:vAlign w:val="center"/>
          </w:tcPr>
          <w:p>
            <w:pPr>
              <w:pStyle w:val="164"/>
              <w:spacing w:line="360" w:lineRule="exact"/>
              <w:rPr>
                <w:color w:val="auto"/>
              </w:rPr>
            </w:pPr>
            <w:r>
              <w:rPr>
                <w:color w:val="auto"/>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60" w:hRule="atLeast"/>
          <w:jc w:val="center"/>
        </w:trPr>
        <w:tc>
          <w:tcPr>
            <w:tcW w:w="435" w:type="dxa"/>
            <w:vMerge w:val="restart"/>
            <w:shd w:val="clear" w:color="auto" w:fill="auto"/>
            <w:vAlign w:val="center"/>
          </w:tcPr>
          <w:p>
            <w:pPr>
              <w:pStyle w:val="164"/>
              <w:spacing w:line="240" w:lineRule="auto"/>
              <w:rPr>
                <w:color w:val="auto"/>
              </w:rPr>
            </w:pPr>
            <w:r>
              <w:rPr>
                <w:color w:val="auto"/>
              </w:rPr>
              <w:t>5</w:t>
            </w:r>
          </w:p>
        </w:tc>
        <w:tc>
          <w:tcPr>
            <w:tcW w:w="435" w:type="dxa"/>
            <w:vMerge w:val="restart"/>
            <w:shd w:val="clear" w:color="auto" w:fill="auto"/>
            <w:vAlign w:val="center"/>
          </w:tcPr>
          <w:p>
            <w:pPr>
              <w:pStyle w:val="164"/>
              <w:spacing w:line="240" w:lineRule="auto"/>
              <w:rPr>
                <w:color w:val="auto"/>
              </w:rPr>
            </w:pPr>
            <w:r>
              <w:rPr>
                <w:color w:val="auto"/>
              </w:rPr>
              <w:t>无组织</w:t>
            </w:r>
          </w:p>
        </w:tc>
        <w:tc>
          <w:tcPr>
            <w:tcW w:w="435" w:type="dxa"/>
            <w:vMerge w:val="restart"/>
            <w:shd w:val="clear" w:color="auto" w:fill="auto"/>
            <w:vAlign w:val="center"/>
          </w:tcPr>
          <w:p>
            <w:pPr>
              <w:pStyle w:val="164"/>
              <w:spacing w:line="240" w:lineRule="auto"/>
              <w:rPr>
                <w:color w:val="auto"/>
              </w:rPr>
            </w:pPr>
            <w:r>
              <w:rPr>
                <w:color w:val="auto"/>
              </w:rPr>
              <w:t>污水</w:t>
            </w:r>
          </w:p>
          <w:p>
            <w:pPr>
              <w:pStyle w:val="164"/>
              <w:spacing w:line="240" w:lineRule="auto"/>
              <w:rPr>
                <w:color w:val="auto"/>
              </w:rPr>
            </w:pPr>
            <w:r>
              <w:rPr>
                <w:color w:val="auto"/>
              </w:rPr>
              <w:t>处理间</w:t>
            </w:r>
          </w:p>
        </w:tc>
        <w:tc>
          <w:tcPr>
            <w:tcW w:w="435" w:type="dxa"/>
            <w:vMerge w:val="restart"/>
            <w:shd w:val="clear" w:color="auto" w:fill="auto"/>
            <w:vAlign w:val="center"/>
          </w:tcPr>
          <w:p>
            <w:pPr>
              <w:pStyle w:val="164"/>
              <w:spacing w:line="240" w:lineRule="auto"/>
              <w:rPr>
                <w:color w:val="auto"/>
              </w:rPr>
            </w:pPr>
            <w:r>
              <w:rPr>
                <w:color w:val="auto"/>
              </w:rPr>
              <w:t>间歇</w:t>
            </w:r>
          </w:p>
        </w:tc>
        <w:tc>
          <w:tcPr>
            <w:tcW w:w="862" w:type="dxa"/>
            <w:shd w:val="clear" w:color="auto" w:fill="auto"/>
            <w:vAlign w:val="center"/>
          </w:tcPr>
          <w:p>
            <w:pPr>
              <w:pStyle w:val="164"/>
              <w:spacing w:line="240" w:lineRule="auto"/>
              <w:rPr>
                <w:color w:val="auto"/>
              </w:rPr>
            </w:pPr>
            <w:r>
              <w:rPr>
                <w:color w:val="auto"/>
              </w:rPr>
              <w:t>NH</w:t>
            </w:r>
            <w:r>
              <w:rPr>
                <w:color w:val="auto"/>
                <w:szCs w:val="13"/>
                <w:vertAlign w:val="subscript"/>
              </w:rPr>
              <w:t>3</w:t>
            </w:r>
          </w:p>
        </w:tc>
        <w:tc>
          <w:tcPr>
            <w:tcW w:w="759" w:type="dxa"/>
            <w:shd w:val="clear" w:color="auto" w:fill="auto"/>
            <w:vAlign w:val="center"/>
          </w:tcPr>
          <w:p>
            <w:pPr>
              <w:pStyle w:val="164"/>
              <w:spacing w:line="240" w:lineRule="auto"/>
              <w:rPr>
                <w:color w:val="auto"/>
              </w:rPr>
            </w:pPr>
            <w:r>
              <w:rPr>
                <w:color w:val="auto"/>
              </w:rPr>
              <w:t>/</w:t>
            </w:r>
          </w:p>
        </w:tc>
        <w:tc>
          <w:tcPr>
            <w:tcW w:w="809" w:type="dxa"/>
            <w:shd w:val="clear" w:color="auto" w:fill="auto"/>
            <w:vAlign w:val="center"/>
          </w:tcPr>
          <w:p>
            <w:pPr>
              <w:pStyle w:val="164"/>
              <w:spacing w:line="240" w:lineRule="auto"/>
              <w:rPr>
                <w:bCs/>
                <w:color w:val="auto"/>
              </w:rPr>
            </w:pPr>
            <w:r>
              <w:rPr>
                <w:bCs/>
                <w:color w:val="auto"/>
              </w:rPr>
              <w:t>/</w:t>
            </w:r>
          </w:p>
        </w:tc>
        <w:tc>
          <w:tcPr>
            <w:tcW w:w="1130" w:type="dxa"/>
            <w:shd w:val="clear" w:color="auto" w:fill="auto"/>
            <w:vAlign w:val="center"/>
          </w:tcPr>
          <w:p>
            <w:pPr>
              <w:pStyle w:val="164"/>
              <w:spacing w:line="240" w:lineRule="auto"/>
              <w:rPr>
                <w:bCs/>
                <w:color w:val="auto"/>
              </w:rPr>
            </w:pPr>
            <w:r>
              <w:rPr>
                <w:bCs/>
                <w:color w:val="auto"/>
              </w:rPr>
              <w:t>0.00056</w:t>
            </w:r>
          </w:p>
        </w:tc>
        <w:tc>
          <w:tcPr>
            <w:tcW w:w="1130" w:type="dxa"/>
            <w:shd w:val="clear" w:color="auto" w:fill="auto"/>
            <w:vAlign w:val="center"/>
          </w:tcPr>
          <w:p>
            <w:pPr>
              <w:pStyle w:val="164"/>
              <w:spacing w:line="240" w:lineRule="auto"/>
              <w:rPr>
                <w:color w:val="auto"/>
              </w:rPr>
            </w:pPr>
            <w:r>
              <w:rPr>
                <w:color w:val="auto"/>
              </w:rPr>
              <w:t>0.0045</w:t>
            </w:r>
          </w:p>
        </w:tc>
        <w:tc>
          <w:tcPr>
            <w:tcW w:w="862" w:type="dxa"/>
            <w:vMerge w:val="restart"/>
            <w:shd w:val="clear" w:color="auto" w:fill="auto"/>
            <w:vAlign w:val="center"/>
          </w:tcPr>
          <w:p>
            <w:pPr>
              <w:pStyle w:val="164"/>
              <w:spacing w:line="240" w:lineRule="auto"/>
              <w:rPr>
                <w:color w:val="auto"/>
              </w:rPr>
            </w:pPr>
            <w:r>
              <w:rPr>
                <w:color w:val="auto"/>
              </w:rPr>
              <w:t>加强管理，加盖密闭并喷洒除臭剂进行除臭</w:t>
            </w:r>
          </w:p>
        </w:tc>
        <w:tc>
          <w:tcPr>
            <w:tcW w:w="700" w:type="dxa"/>
            <w:shd w:val="clear" w:color="auto" w:fill="auto"/>
            <w:vAlign w:val="center"/>
          </w:tcPr>
          <w:p>
            <w:pPr>
              <w:pStyle w:val="164"/>
              <w:spacing w:line="240" w:lineRule="auto"/>
              <w:rPr>
                <w:bCs/>
                <w:color w:val="auto"/>
                <w:szCs w:val="20"/>
              </w:rPr>
            </w:pPr>
            <w:r>
              <w:rPr>
                <w:bCs/>
                <w:color w:val="auto"/>
              </w:rPr>
              <w:t>60</w:t>
            </w:r>
          </w:p>
        </w:tc>
        <w:tc>
          <w:tcPr>
            <w:tcW w:w="915" w:type="dxa"/>
            <w:shd w:val="clear" w:color="auto" w:fill="auto"/>
            <w:vAlign w:val="center"/>
          </w:tcPr>
          <w:p>
            <w:pPr>
              <w:pStyle w:val="164"/>
              <w:spacing w:line="360" w:lineRule="exact"/>
              <w:rPr>
                <w:bCs/>
                <w:color w:val="auto"/>
                <w:szCs w:val="20"/>
              </w:rPr>
            </w:pPr>
            <w:r>
              <w:rPr>
                <w:color w:val="auto"/>
              </w:rPr>
              <w:t>/</w:t>
            </w:r>
          </w:p>
        </w:tc>
        <w:tc>
          <w:tcPr>
            <w:tcW w:w="1242" w:type="dxa"/>
            <w:shd w:val="clear" w:color="auto" w:fill="auto"/>
            <w:vAlign w:val="center"/>
          </w:tcPr>
          <w:p>
            <w:pPr>
              <w:pStyle w:val="164"/>
              <w:spacing w:line="360" w:lineRule="exact"/>
              <w:rPr>
                <w:bCs/>
                <w:color w:val="auto"/>
              </w:rPr>
            </w:pPr>
            <w:r>
              <w:rPr>
                <w:color w:val="auto"/>
              </w:rPr>
              <w:t xml:space="preserve">0.0002 </w:t>
            </w:r>
          </w:p>
        </w:tc>
        <w:tc>
          <w:tcPr>
            <w:tcW w:w="1130" w:type="dxa"/>
            <w:shd w:val="clear" w:color="auto" w:fill="auto"/>
            <w:vAlign w:val="center"/>
          </w:tcPr>
          <w:p>
            <w:pPr>
              <w:pStyle w:val="164"/>
              <w:spacing w:line="360" w:lineRule="exact"/>
              <w:rPr>
                <w:color w:val="auto"/>
              </w:rPr>
            </w:pPr>
            <w:r>
              <w:rPr>
                <w:color w:val="auto"/>
              </w:rPr>
              <w:t>0.0018</w:t>
            </w:r>
          </w:p>
        </w:tc>
        <w:tc>
          <w:tcPr>
            <w:tcW w:w="647" w:type="dxa"/>
            <w:shd w:val="clear" w:color="auto" w:fill="auto"/>
            <w:vAlign w:val="center"/>
          </w:tcPr>
          <w:p>
            <w:pPr>
              <w:pStyle w:val="164"/>
              <w:spacing w:line="360" w:lineRule="exact"/>
              <w:rPr>
                <w:color w:val="auto"/>
              </w:rPr>
            </w:pPr>
            <w:r>
              <w:rPr>
                <w:color w:val="auto"/>
              </w:rPr>
              <w:t>1.5</w:t>
            </w:r>
          </w:p>
        </w:tc>
        <w:tc>
          <w:tcPr>
            <w:tcW w:w="761" w:type="dxa"/>
            <w:shd w:val="clear" w:color="auto" w:fill="auto"/>
            <w:vAlign w:val="center"/>
          </w:tcPr>
          <w:p>
            <w:pPr>
              <w:pStyle w:val="164"/>
              <w:spacing w:line="360" w:lineRule="exact"/>
              <w:rPr>
                <w:color w:val="auto"/>
              </w:rPr>
            </w:pPr>
            <w:r>
              <w:rPr>
                <w:color w:val="auto"/>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435" w:type="dxa"/>
            <w:vMerge w:val="continue"/>
            <w:shd w:val="clear" w:color="auto" w:fill="auto"/>
            <w:vAlign w:val="center"/>
          </w:tcPr>
          <w:p>
            <w:pPr>
              <w:pStyle w:val="164"/>
              <w:spacing w:line="240" w:lineRule="auto"/>
              <w:rPr>
                <w:color w:val="auto"/>
              </w:rPr>
            </w:pPr>
          </w:p>
        </w:tc>
        <w:tc>
          <w:tcPr>
            <w:tcW w:w="862" w:type="dxa"/>
            <w:shd w:val="clear" w:color="auto" w:fill="auto"/>
            <w:vAlign w:val="center"/>
          </w:tcPr>
          <w:p>
            <w:pPr>
              <w:pStyle w:val="164"/>
              <w:spacing w:line="240" w:lineRule="auto"/>
              <w:rPr>
                <w:color w:val="auto"/>
              </w:rPr>
            </w:pPr>
            <w:r>
              <w:rPr>
                <w:color w:val="auto"/>
              </w:rPr>
              <w:t>H</w:t>
            </w:r>
            <w:r>
              <w:rPr>
                <w:color w:val="auto"/>
                <w:vertAlign w:val="subscript"/>
              </w:rPr>
              <w:t>2</w:t>
            </w:r>
            <w:r>
              <w:rPr>
                <w:color w:val="auto"/>
              </w:rPr>
              <w:t>S</w:t>
            </w:r>
          </w:p>
        </w:tc>
        <w:tc>
          <w:tcPr>
            <w:tcW w:w="759" w:type="dxa"/>
            <w:shd w:val="clear" w:color="auto" w:fill="auto"/>
            <w:vAlign w:val="center"/>
          </w:tcPr>
          <w:p>
            <w:pPr>
              <w:pStyle w:val="164"/>
              <w:spacing w:line="240" w:lineRule="auto"/>
              <w:rPr>
                <w:color w:val="auto"/>
              </w:rPr>
            </w:pPr>
            <w:r>
              <w:rPr>
                <w:color w:val="auto"/>
              </w:rPr>
              <w:t>/</w:t>
            </w:r>
          </w:p>
        </w:tc>
        <w:tc>
          <w:tcPr>
            <w:tcW w:w="809" w:type="dxa"/>
            <w:shd w:val="clear" w:color="auto" w:fill="auto"/>
            <w:vAlign w:val="center"/>
          </w:tcPr>
          <w:p>
            <w:pPr>
              <w:pStyle w:val="164"/>
              <w:spacing w:line="240" w:lineRule="auto"/>
              <w:rPr>
                <w:bCs/>
                <w:color w:val="auto"/>
              </w:rPr>
            </w:pPr>
            <w:r>
              <w:rPr>
                <w:bCs/>
                <w:color w:val="auto"/>
              </w:rPr>
              <w:t>/</w:t>
            </w:r>
          </w:p>
        </w:tc>
        <w:tc>
          <w:tcPr>
            <w:tcW w:w="1130" w:type="dxa"/>
            <w:shd w:val="clear" w:color="auto" w:fill="auto"/>
            <w:vAlign w:val="center"/>
          </w:tcPr>
          <w:p>
            <w:pPr>
              <w:pStyle w:val="164"/>
              <w:spacing w:line="240" w:lineRule="auto"/>
              <w:rPr>
                <w:bCs/>
                <w:color w:val="auto"/>
              </w:rPr>
            </w:pPr>
            <w:r>
              <w:rPr>
                <w:bCs/>
                <w:color w:val="auto"/>
              </w:rPr>
              <w:t>0.000022</w:t>
            </w:r>
          </w:p>
        </w:tc>
        <w:tc>
          <w:tcPr>
            <w:tcW w:w="1130" w:type="dxa"/>
            <w:shd w:val="clear" w:color="auto" w:fill="auto"/>
            <w:vAlign w:val="center"/>
          </w:tcPr>
          <w:p>
            <w:pPr>
              <w:pStyle w:val="164"/>
              <w:spacing w:line="240" w:lineRule="auto"/>
              <w:rPr>
                <w:color w:val="auto"/>
              </w:rPr>
            </w:pPr>
            <w:r>
              <w:rPr>
                <w:color w:val="auto"/>
              </w:rPr>
              <w:t>0.00017</w:t>
            </w:r>
          </w:p>
        </w:tc>
        <w:tc>
          <w:tcPr>
            <w:tcW w:w="862" w:type="dxa"/>
            <w:vMerge w:val="continue"/>
            <w:shd w:val="clear" w:color="auto" w:fill="auto"/>
            <w:vAlign w:val="center"/>
          </w:tcPr>
          <w:p>
            <w:pPr>
              <w:pStyle w:val="164"/>
              <w:spacing w:line="240" w:lineRule="auto"/>
              <w:rPr>
                <w:color w:val="auto"/>
              </w:rPr>
            </w:pPr>
          </w:p>
        </w:tc>
        <w:tc>
          <w:tcPr>
            <w:tcW w:w="700" w:type="dxa"/>
            <w:shd w:val="clear" w:color="auto" w:fill="auto"/>
            <w:vAlign w:val="center"/>
          </w:tcPr>
          <w:p>
            <w:pPr>
              <w:pStyle w:val="164"/>
              <w:spacing w:line="240" w:lineRule="auto"/>
              <w:rPr>
                <w:bCs/>
                <w:color w:val="auto"/>
                <w:szCs w:val="20"/>
              </w:rPr>
            </w:pPr>
            <w:r>
              <w:rPr>
                <w:bCs/>
                <w:color w:val="auto"/>
              </w:rPr>
              <w:t>60</w:t>
            </w:r>
          </w:p>
        </w:tc>
        <w:tc>
          <w:tcPr>
            <w:tcW w:w="915" w:type="dxa"/>
            <w:shd w:val="clear" w:color="auto" w:fill="auto"/>
            <w:vAlign w:val="center"/>
          </w:tcPr>
          <w:p>
            <w:pPr>
              <w:pStyle w:val="164"/>
              <w:spacing w:line="360" w:lineRule="exact"/>
              <w:rPr>
                <w:bCs/>
                <w:color w:val="auto"/>
                <w:szCs w:val="20"/>
              </w:rPr>
            </w:pPr>
            <w:r>
              <w:rPr>
                <w:color w:val="auto"/>
              </w:rPr>
              <w:t>/</w:t>
            </w:r>
          </w:p>
        </w:tc>
        <w:tc>
          <w:tcPr>
            <w:tcW w:w="1242" w:type="dxa"/>
            <w:shd w:val="clear" w:color="auto" w:fill="auto"/>
            <w:vAlign w:val="center"/>
          </w:tcPr>
          <w:p>
            <w:pPr>
              <w:pStyle w:val="164"/>
              <w:spacing w:line="360" w:lineRule="exact"/>
              <w:rPr>
                <w:bCs/>
                <w:color w:val="auto"/>
              </w:rPr>
            </w:pPr>
            <w:r>
              <w:rPr>
                <w:color w:val="auto"/>
              </w:rPr>
              <w:t>0.0000087</w:t>
            </w:r>
          </w:p>
        </w:tc>
        <w:tc>
          <w:tcPr>
            <w:tcW w:w="1130" w:type="dxa"/>
            <w:shd w:val="clear" w:color="auto" w:fill="auto"/>
            <w:vAlign w:val="center"/>
          </w:tcPr>
          <w:p>
            <w:pPr>
              <w:pStyle w:val="164"/>
              <w:spacing w:line="360" w:lineRule="exact"/>
              <w:rPr>
                <w:color w:val="auto"/>
              </w:rPr>
            </w:pPr>
            <w:r>
              <w:rPr>
                <w:color w:val="auto"/>
              </w:rPr>
              <w:t>0.000069</w:t>
            </w:r>
          </w:p>
        </w:tc>
        <w:tc>
          <w:tcPr>
            <w:tcW w:w="647" w:type="dxa"/>
            <w:shd w:val="clear" w:color="auto" w:fill="auto"/>
            <w:vAlign w:val="center"/>
          </w:tcPr>
          <w:p>
            <w:pPr>
              <w:pStyle w:val="164"/>
              <w:spacing w:line="360" w:lineRule="exact"/>
              <w:rPr>
                <w:color w:val="auto"/>
              </w:rPr>
            </w:pPr>
            <w:r>
              <w:rPr>
                <w:color w:val="auto"/>
              </w:rPr>
              <w:t>0.06</w:t>
            </w:r>
          </w:p>
        </w:tc>
        <w:tc>
          <w:tcPr>
            <w:tcW w:w="761" w:type="dxa"/>
            <w:shd w:val="clear" w:color="auto" w:fill="auto"/>
            <w:vAlign w:val="center"/>
          </w:tcPr>
          <w:p>
            <w:pPr>
              <w:pStyle w:val="164"/>
              <w:spacing w:line="360" w:lineRule="exact"/>
              <w:rPr>
                <w:color w:val="auto"/>
              </w:rPr>
            </w:pPr>
            <w:r>
              <w:rPr>
                <w:color w:val="auto"/>
              </w:rPr>
              <w:t>/</w:t>
            </w:r>
          </w:p>
        </w:tc>
        <w:tc>
          <w:tcPr>
            <w:tcW w:w="577" w:type="dxa"/>
            <w:shd w:val="clear" w:color="auto" w:fill="auto"/>
            <w:vAlign w:val="center"/>
          </w:tcPr>
          <w:p>
            <w:pPr>
              <w:pStyle w:val="164"/>
              <w:spacing w:line="360" w:lineRule="exact"/>
              <w:rPr>
                <w:color w:val="auto"/>
                <w:kern w:val="0"/>
                <w:szCs w:val="21"/>
              </w:rPr>
            </w:pPr>
            <w:r>
              <w:rPr>
                <w:color w:val="auto"/>
                <w:kern w:val="0"/>
                <w:szCs w:val="21"/>
              </w:rPr>
              <w:t>是</w:t>
            </w:r>
          </w:p>
        </w:tc>
      </w:tr>
    </w:tbl>
    <w:p>
      <w:pPr>
        <w:pStyle w:val="59"/>
        <w:spacing w:after="0" w:line="360" w:lineRule="auto"/>
        <w:ind w:firstLine="420" w:firstLineChars="200"/>
        <w:rPr>
          <w:color w:val="auto"/>
        </w:rPr>
      </w:pPr>
      <w:r>
        <w:rPr>
          <w:color w:val="auto"/>
        </w:rPr>
        <w:t>备注：</w:t>
      </w:r>
      <w:r>
        <w:rPr>
          <w:rFonts w:hint="eastAsia"/>
          <w:color w:val="auto"/>
        </w:rPr>
        <w:t>灭菌系统指5t</w:t>
      </w:r>
      <w:r>
        <w:rPr>
          <w:color w:val="auto"/>
        </w:rPr>
        <w:t>/d</w:t>
      </w:r>
      <w:r>
        <w:rPr>
          <w:rFonts w:hint="eastAsia"/>
          <w:color w:val="auto"/>
        </w:rPr>
        <w:t>的高温灭菌系统，</w:t>
      </w:r>
      <w:r>
        <w:rPr>
          <w:color w:val="auto"/>
        </w:rPr>
        <w:t>高温蒸汽灭菌工作时长按16h/d计，全年330天。</w:t>
      </w:r>
    </w:p>
    <w:p>
      <w:pPr>
        <w:pStyle w:val="118"/>
        <w:ind w:firstLine="480"/>
        <w:rPr>
          <w:color w:val="auto"/>
        </w:rPr>
      </w:pPr>
      <w:r>
        <w:rPr>
          <w:color w:val="auto"/>
        </w:rPr>
        <w:t>由上表可以看出，本项目有组织排放臭气浓度、氨气、硫化氢排放速率满足《恶臭污染物排放标准》（GB14554-93）表2标准限值要求，非甲烷总烃排放浓度满足《医疗废物处理处置污染控制标准》（GB39707-2020）中表3消毒处理设施排放废气污染物浓度限值，颗粒物排放浓度、速率满足《大气污染物综合排放标准》（GB16297-1996）表2的二级标准限值要求，可以达标排放。</w:t>
      </w:r>
    </w:p>
    <w:p>
      <w:pPr>
        <w:pStyle w:val="118"/>
        <w:ind w:firstLine="480"/>
        <w:rPr>
          <w:color w:val="auto"/>
        </w:rPr>
      </w:pPr>
    </w:p>
    <w:p>
      <w:pPr>
        <w:pStyle w:val="118"/>
        <w:spacing w:line="240" w:lineRule="auto"/>
        <w:ind w:firstLine="482"/>
        <w:jc w:val="center"/>
        <w:rPr>
          <w:b/>
          <w:color w:val="auto"/>
          <w:kern w:val="2"/>
        </w:rPr>
      </w:pPr>
      <w:r>
        <w:rPr>
          <w:rFonts w:hint="eastAsia"/>
          <w:b/>
          <w:color w:val="auto"/>
          <w:kern w:val="2"/>
        </w:rPr>
        <w:t>表</w:t>
      </w:r>
      <w:r>
        <w:rPr>
          <w:b/>
          <w:color w:val="auto"/>
          <w:kern w:val="2"/>
        </w:rPr>
        <w:t>4</w:t>
      </w:r>
      <w:r>
        <w:rPr>
          <w:rFonts w:hint="eastAsia"/>
          <w:b/>
          <w:color w:val="auto"/>
          <w:kern w:val="2"/>
        </w:rPr>
        <w:t xml:space="preserve">.8-13  </w:t>
      </w:r>
      <w:r>
        <w:rPr>
          <w:b/>
          <w:color w:val="auto"/>
          <w:kern w:val="2"/>
        </w:rPr>
        <w:t>本项目</w:t>
      </w:r>
      <w:r>
        <w:rPr>
          <w:rFonts w:hint="eastAsia"/>
          <w:b/>
          <w:color w:val="auto"/>
          <w:kern w:val="2"/>
        </w:rPr>
        <w:t>建成后全厂</w:t>
      </w:r>
      <w:r>
        <w:rPr>
          <w:b/>
          <w:color w:val="auto"/>
          <w:kern w:val="2"/>
        </w:rPr>
        <w:t>废气产生和及排放情况一览表</w:t>
      </w:r>
    </w:p>
    <w:tbl>
      <w:tblPr>
        <w:tblStyle w:val="74"/>
        <w:tblW w:w="12997"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434"/>
        <w:gridCol w:w="434"/>
        <w:gridCol w:w="434"/>
        <w:gridCol w:w="434"/>
        <w:gridCol w:w="860"/>
        <w:gridCol w:w="759"/>
        <w:gridCol w:w="808"/>
        <w:gridCol w:w="1087"/>
        <w:gridCol w:w="1089"/>
        <w:gridCol w:w="860"/>
        <w:gridCol w:w="702"/>
        <w:gridCol w:w="915"/>
        <w:gridCol w:w="1297"/>
        <w:gridCol w:w="1094"/>
        <w:gridCol w:w="647"/>
        <w:gridCol w:w="698"/>
        <w:gridCol w:w="44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434" w:type="dxa"/>
            <w:vMerge w:val="restart"/>
            <w:shd w:val="clear" w:color="auto" w:fill="auto"/>
            <w:vAlign w:val="center"/>
          </w:tcPr>
          <w:p>
            <w:pPr>
              <w:pStyle w:val="164"/>
              <w:spacing w:line="240" w:lineRule="auto"/>
              <w:rPr>
                <w:color w:val="auto"/>
              </w:rPr>
            </w:pPr>
            <w:bookmarkStart w:id="257" w:name="OLE_LINK5"/>
            <w:r>
              <w:rPr>
                <w:color w:val="auto"/>
              </w:rPr>
              <w:t>序号</w:t>
            </w:r>
          </w:p>
        </w:tc>
        <w:tc>
          <w:tcPr>
            <w:tcW w:w="868" w:type="dxa"/>
            <w:gridSpan w:val="2"/>
            <w:vMerge w:val="restart"/>
            <w:shd w:val="clear" w:color="auto" w:fill="auto"/>
            <w:vAlign w:val="center"/>
          </w:tcPr>
          <w:p>
            <w:pPr>
              <w:pStyle w:val="164"/>
              <w:spacing w:line="240" w:lineRule="auto"/>
              <w:rPr>
                <w:color w:val="auto"/>
              </w:rPr>
            </w:pPr>
            <w:r>
              <w:rPr>
                <w:color w:val="auto"/>
              </w:rPr>
              <w:t>废气污染源</w:t>
            </w:r>
          </w:p>
        </w:tc>
        <w:tc>
          <w:tcPr>
            <w:tcW w:w="434" w:type="dxa"/>
            <w:vMerge w:val="restart"/>
            <w:shd w:val="clear" w:color="auto" w:fill="auto"/>
            <w:vAlign w:val="center"/>
          </w:tcPr>
          <w:p>
            <w:pPr>
              <w:pStyle w:val="164"/>
              <w:spacing w:line="240" w:lineRule="auto"/>
              <w:rPr>
                <w:color w:val="auto"/>
              </w:rPr>
            </w:pPr>
            <w:r>
              <w:rPr>
                <w:color w:val="auto"/>
              </w:rPr>
              <w:t>排放规律</w:t>
            </w:r>
          </w:p>
        </w:tc>
        <w:tc>
          <w:tcPr>
            <w:tcW w:w="860" w:type="dxa"/>
            <w:vMerge w:val="restart"/>
            <w:shd w:val="clear" w:color="auto" w:fill="auto"/>
            <w:vAlign w:val="center"/>
          </w:tcPr>
          <w:p>
            <w:pPr>
              <w:pStyle w:val="164"/>
              <w:spacing w:line="240" w:lineRule="auto"/>
              <w:rPr>
                <w:color w:val="auto"/>
              </w:rPr>
            </w:pPr>
            <w:r>
              <w:rPr>
                <w:color w:val="auto"/>
              </w:rPr>
              <w:t>污染物</w:t>
            </w:r>
          </w:p>
        </w:tc>
        <w:tc>
          <w:tcPr>
            <w:tcW w:w="759" w:type="dxa"/>
            <w:vMerge w:val="restart"/>
            <w:shd w:val="clear" w:color="auto" w:fill="auto"/>
            <w:vAlign w:val="center"/>
          </w:tcPr>
          <w:p>
            <w:pPr>
              <w:pStyle w:val="164"/>
              <w:spacing w:line="240" w:lineRule="auto"/>
              <w:rPr>
                <w:color w:val="auto"/>
              </w:rPr>
            </w:pPr>
            <w:r>
              <w:rPr>
                <w:color w:val="auto"/>
              </w:rPr>
              <w:t>废气量Nm³/a</w:t>
            </w:r>
          </w:p>
        </w:tc>
        <w:tc>
          <w:tcPr>
            <w:tcW w:w="2984" w:type="dxa"/>
            <w:gridSpan w:val="3"/>
            <w:shd w:val="clear" w:color="auto" w:fill="auto"/>
            <w:vAlign w:val="center"/>
          </w:tcPr>
          <w:p>
            <w:pPr>
              <w:pStyle w:val="164"/>
              <w:spacing w:line="240" w:lineRule="auto"/>
              <w:rPr>
                <w:color w:val="auto"/>
              </w:rPr>
            </w:pPr>
            <w:r>
              <w:rPr>
                <w:color w:val="auto"/>
              </w:rPr>
              <w:t>产生情况</w:t>
            </w:r>
          </w:p>
        </w:tc>
        <w:tc>
          <w:tcPr>
            <w:tcW w:w="860" w:type="dxa"/>
            <w:vMerge w:val="restart"/>
            <w:shd w:val="clear" w:color="auto" w:fill="auto"/>
            <w:vAlign w:val="center"/>
          </w:tcPr>
          <w:p>
            <w:pPr>
              <w:pStyle w:val="164"/>
              <w:spacing w:line="240" w:lineRule="auto"/>
              <w:rPr>
                <w:color w:val="auto"/>
              </w:rPr>
            </w:pPr>
            <w:r>
              <w:rPr>
                <w:color w:val="auto"/>
              </w:rPr>
              <w:t>治理措施</w:t>
            </w:r>
          </w:p>
        </w:tc>
        <w:tc>
          <w:tcPr>
            <w:tcW w:w="702" w:type="dxa"/>
            <w:vMerge w:val="restart"/>
            <w:shd w:val="clear" w:color="auto" w:fill="auto"/>
            <w:vAlign w:val="center"/>
          </w:tcPr>
          <w:p>
            <w:pPr>
              <w:pStyle w:val="164"/>
              <w:spacing w:line="240" w:lineRule="auto"/>
              <w:rPr>
                <w:color w:val="auto"/>
              </w:rPr>
            </w:pPr>
            <w:r>
              <w:rPr>
                <w:color w:val="auto"/>
              </w:rPr>
              <w:t>治理效率</w:t>
            </w:r>
          </w:p>
          <w:p>
            <w:pPr>
              <w:pStyle w:val="164"/>
              <w:spacing w:line="240" w:lineRule="auto"/>
              <w:rPr>
                <w:color w:val="auto"/>
              </w:rPr>
            </w:pPr>
            <w:r>
              <w:rPr>
                <w:color w:val="auto"/>
              </w:rPr>
              <w:t>%</w:t>
            </w:r>
          </w:p>
        </w:tc>
        <w:tc>
          <w:tcPr>
            <w:tcW w:w="3306" w:type="dxa"/>
            <w:gridSpan w:val="3"/>
            <w:shd w:val="clear" w:color="auto" w:fill="auto"/>
            <w:vAlign w:val="center"/>
          </w:tcPr>
          <w:p>
            <w:pPr>
              <w:pStyle w:val="164"/>
              <w:spacing w:line="240" w:lineRule="auto"/>
              <w:rPr>
                <w:color w:val="auto"/>
              </w:rPr>
            </w:pPr>
            <w:r>
              <w:rPr>
                <w:color w:val="auto"/>
              </w:rPr>
              <w:t>排放情况</w:t>
            </w:r>
          </w:p>
        </w:tc>
        <w:tc>
          <w:tcPr>
            <w:tcW w:w="1345" w:type="dxa"/>
            <w:gridSpan w:val="2"/>
            <w:shd w:val="clear" w:color="auto" w:fill="auto"/>
            <w:vAlign w:val="center"/>
          </w:tcPr>
          <w:p>
            <w:pPr>
              <w:pStyle w:val="164"/>
              <w:spacing w:line="240" w:lineRule="auto"/>
              <w:rPr>
                <w:color w:val="auto"/>
              </w:rPr>
            </w:pPr>
            <w:r>
              <w:rPr>
                <w:color w:val="auto"/>
              </w:rPr>
              <w:t>排放标准</w:t>
            </w:r>
          </w:p>
        </w:tc>
        <w:tc>
          <w:tcPr>
            <w:tcW w:w="445" w:type="dxa"/>
            <w:vMerge w:val="restart"/>
            <w:shd w:val="clear" w:color="auto" w:fill="auto"/>
            <w:vAlign w:val="center"/>
          </w:tcPr>
          <w:p>
            <w:pPr>
              <w:pStyle w:val="164"/>
              <w:spacing w:line="240" w:lineRule="auto"/>
              <w:rPr>
                <w:color w:val="auto"/>
              </w:rPr>
            </w:pPr>
            <w:r>
              <w:rPr>
                <w:color w:val="auto"/>
              </w:rPr>
              <w:t>是否达标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434" w:type="dxa"/>
            <w:vMerge w:val="continue"/>
            <w:shd w:val="clear" w:color="auto" w:fill="auto"/>
            <w:vAlign w:val="center"/>
          </w:tcPr>
          <w:p>
            <w:pPr>
              <w:pStyle w:val="164"/>
              <w:spacing w:line="240" w:lineRule="auto"/>
              <w:rPr>
                <w:color w:val="auto"/>
              </w:rPr>
            </w:pPr>
          </w:p>
        </w:tc>
        <w:tc>
          <w:tcPr>
            <w:tcW w:w="868" w:type="dxa"/>
            <w:gridSpan w:val="2"/>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860" w:type="dxa"/>
            <w:vMerge w:val="continue"/>
            <w:shd w:val="clear" w:color="auto" w:fill="auto"/>
            <w:vAlign w:val="center"/>
          </w:tcPr>
          <w:p>
            <w:pPr>
              <w:pStyle w:val="164"/>
              <w:spacing w:line="240" w:lineRule="auto"/>
              <w:rPr>
                <w:color w:val="auto"/>
              </w:rPr>
            </w:pPr>
          </w:p>
        </w:tc>
        <w:tc>
          <w:tcPr>
            <w:tcW w:w="759" w:type="dxa"/>
            <w:vMerge w:val="continue"/>
            <w:shd w:val="clear" w:color="auto" w:fill="auto"/>
            <w:vAlign w:val="center"/>
          </w:tcPr>
          <w:p>
            <w:pPr>
              <w:pStyle w:val="164"/>
              <w:spacing w:line="240" w:lineRule="auto"/>
              <w:rPr>
                <w:color w:val="auto"/>
              </w:rPr>
            </w:pPr>
          </w:p>
        </w:tc>
        <w:tc>
          <w:tcPr>
            <w:tcW w:w="808" w:type="dxa"/>
            <w:shd w:val="clear" w:color="auto" w:fill="auto"/>
            <w:vAlign w:val="center"/>
          </w:tcPr>
          <w:p>
            <w:pPr>
              <w:pStyle w:val="164"/>
              <w:spacing w:line="240" w:lineRule="auto"/>
              <w:rPr>
                <w:color w:val="auto"/>
              </w:rPr>
            </w:pPr>
            <w:r>
              <w:rPr>
                <w:color w:val="auto"/>
              </w:rPr>
              <w:t>产生浓度mg/m³</w:t>
            </w:r>
          </w:p>
        </w:tc>
        <w:tc>
          <w:tcPr>
            <w:tcW w:w="1087" w:type="dxa"/>
            <w:shd w:val="clear" w:color="auto" w:fill="auto"/>
            <w:vAlign w:val="center"/>
          </w:tcPr>
          <w:p>
            <w:pPr>
              <w:pStyle w:val="164"/>
              <w:spacing w:line="240" w:lineRule="auto"/>
              <w:rPr>
                <w:color w:val="auto"/>
              </w:rPr>
            </w:pPr>
            <w:r>
              <w:rPr>
                <w:color w:val="auto"/>
              </w:rPr>
              <w:t>产生速率</w:t>
            </w:r>
          </w:p>
          <w:p>
            <w:pPr>
              <w:pStyle w:val="164"/>
              <w:spacing w:line="240" w:lineRule="auto"/>
              <w:rPr>
                <w:color w:val="auto"/>
              </w:rPr>
            </w:pPr>
            <w:r>
              <w:rPr>
                <w:color w:val="auto"/>
              </w:rPr>
              <w:t>kg/h</w:t>
            </w:r>
          </w:p>
        </w:tc>
        <w:tc>
          <w:tcPr>
            <w:tcW w:w="1089" w:type="dxa"/>
            <w:shd w:val="clear" w:color="auto" w:fill="auto"/>
            <w:vAlign w:val="center"/>
          </w:tcPr>
          <w:p>
            <w:pPr>
              <w:pStyle w:val="164"/>
              <w:spacing w:line="240" w:lineRule="auto"/>
              <w:rPr>
                <w:color w:val="auto"/>
              </w:rPr>
            </w:pPr>
            <w:r>
              <w:rPr>
                <w:color w:val="auto"/>
              </w:rPr>
              <w:t>产生量</w:t>
            </w:r>
          </w:p>
          <w:p>
            <w:pPr>
              <w:pStyle w:val="164"/>
              <w:spacing w:line="240" w:lineRule="auto"/>
              <w:rPr>
                <w:color w:val="auto"/>
              </w:rPr>
            </w:pPr>
            <w:r>
              <w:rPr>
                <w:color w:val="auto"/>
              </w:rPr>
              <w:t>t/a</w:t>
            </w:r>
          </w:p>
        </w:tc>
        <w:tc>
          <w:tcPr>
            <w:tcW w:w="860" w:type="dxa"/>
            <w:vMerge w:val="continue"/>
            <w:shd w:val="clear" w:color="auto" w:fill="auto"/>
            <w:vAlign w:val="center"/>
          </w:tcPr>
          <w:p>
            <w:pPr>
              <w:pStyle w:val="164"/>
              <w:spacing w:line="240" w:lineRule="auto"/>
              <w:rPr>
                <w:color w:val="auto"/>
              </w:rPr>
            </w:pPr>
          </w:p>
        </w:tc>
        <w:tc>
          <w:tcPr>
            <w:tcW w:w="702" w:type="dxa"/>
            <w:vMerge w:val="continue"/>
            <w:shd w:val="clear" w:color="auto" w:fill="auto"/>
            <w:vAlign w:val="center"/>
          </w:tcPr>
          <w:p>
            <w:pPr>
              <w:pStyle w:val="164"/>
              <w:spacing w:line="240" w:lineRule="auto"/>
              <w:rPr>
                <w:color w:val="auto"/>
              </w:rPr>
            </w:pPr>
          </w:p>
        </w:tc>
        <w:tc>
          <w:tcPr>
            <w:tcW w:w="915" w:type="dxa"/>
            <w:shd w:val="clear" w:color="auto" w:fill="auto"/>
            <w:vAlign w:val="center"/>
          </w:tcPr>
          <w:p>
            <w:pPr>
              <w:pStyle w:val="164"/>
              <w:spacing w:line="240" w:lineRule="auto"/>
              <w:rPr>
                <w:color w:val="auto"/>
              </w:rPr>
            </w:pPr>
            <w:r>
              <w:rPr>
                <w:color w:val="auto"/>
              </w:rPr>
              <w:t>排放浓度</w:t>
            </w:r>
          </w:p>
          <w:p>
            <w:pPr>
              <w:pStyle w:val="164"/>
              <w:spacing w:line="240" w:lineRule="auto"/>
              <w:rPr>
                <w:color w:val="auto"/>
              </w:rPr>
            </w:pPr>
            <w:r>
              <w:rPr>
                <w:color w:val="auto"/>
              </w:rPr>
              <w:t>mg/m³</w:t>
            </w:r>
          </w:p>
        </w:tc>
        <w:tc>
          <w:tcPr>
            <w:tcW w:w="1297" w:type="dxa"/>
            <w:shd w:val="clear" w:color="auto" w:fill="auto"/>
            <w:vAlign w:val="center"/>
          </w:tcPr>
          <w:p>
            <w:pPr>
              <w:pStyle w:val="164"/>
              <w:spacing w:line="240" w:lineRule="auto"/>
              <w:rPr>
                <w:color w:val="auto"/>
              </w:rPr>
            </w:pPr>
            <w:r>
              <w:rPr>
                <w:color w:val="auto"/>
              </w:rPr>
              <w:t>排放速率</w:t>
            </w:r>
          </w:p>
          <w:p>
            <w:pPr>
              <w:pStyle w:val="164"/>
              <w:spacing w:line="240" w:lineRule="auto"/>
              <w:rPr>
                <w:color w:val="auto"/>
              </w:rPr>
            </w:pPr>
            <w:r>
              <w:rPr>
                <w:color w:val="auto"/>
              </w:rPr>
              <w:t>kg/h</w:t>
            </w:r>
          </w:p>
        </w:tc>
        <w:tc>
          <w:tcPr>
            <w:tcW w:w="1094" w:type="dxa"/>
            <w:shd w:val="clear" w:color="auto" w:fill="auto"/>
            <w:vAlign w:val="center"/>
          </w:tcPr>
          <w:p>
            <w:pPr>
              <w:pStyle w:val="164"/>
              <w:spacing w:line="240" w:lineRule="auto"/>
              <w:rPr>
                <w:color w:val="auto"/>
              </w:rPr>
            </w:pPr>
            <w:r>
              <w:rPr>
                <w:color w:val="auto"/>
              </w:rPr>
              <w:t>排放量</w:t>
            </w:r>
          </w:p>
          <w:p>
            <w:pPr>
              <w:pStyle w:val="164"/>
              <w:spacing w:line="240" w:lineRule="auto"/>
              <w:rPr>
                <w:color w:val="auto"/>
              </w:rPr>
            </w:pPr>
            <w:r>
              <w:rPr>
                <w:color w:val="auto"/>
              </w:rPr>
              <w:t>t/a</w:t>
            </w:r>
          </w:p>
        </w:tc>
        <w:tc>
          <w:tcPr>
            <w:tcW w:w="647" w:type="dxa"/>
            <w:shd w:val="clear" w:color="auto" w:fill="auto"/>
            <w:vAlign w:val="center"/>
          </w:tcPr>
          <w:p>
            <w:pPr>
              <w:jc w:val="center"/>
              <w:rPr>
                <w:color w:val="auto"/>
              </w:rPr>
            </w:pPr>
            <w:r>
              <w:rPr>
                <w:color w:val="auto"/>
              </w:rPr>
              <w:t>最高允许排放浓度</w:t>
            </w:r>
          </w:p>
        </w:tc>
        <w:tc>
          <w:tcPr>
            <w:tcW w:w="698" w:type="dxa"/>
            <w:shd w:val="clear" w:color="auto" w:fill="auto"/>
            <w:vAlign w:val="center"/>
          </w:tcPr>
          <w:p>
            <w:pPr>
              <w:jc w:val="center"/>
              <w:rPr>
                <w:color w:val="auto"/>
              </w:rPr>
            </w:pPr>
            <w:r>
              <w:rPr>
                <w:color w:val="auto"/>
              </w:rPr>
              <w:t>最高允许排放速率</w:t>
            </w:r>
          </w:p>
        </w:tc>
        <w:tc>
          <w:tcPr>
            <w:tcW w:w="445" w:type="dxa"/>
            <w:vMerge w:val="continue"/>
            <w:shd w:val="clear" w:color="auto" w:fill="auto"/>
            <w:vAlign w:val="center"/>
          </w:tcPr>
          <w:p>
            <w:pPr>
              <w:pStyle w:val="164"/>
              <w:spacing w:line="360" w:lineRule="exact"/>
              <w:rPr>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35" w:hRule="atLeast"/>
          <w:jc w:val="center"/>
        </w:trPr>
        <w:tc>
          <w:tcPr>
            <w:tcW w:w="434" w:type="dxa"/>
            <w:vMerge w:val="restart"/>
            <w:shd w:val="clear" w:color="auto" w:fill="auto"/>
            <w:vAlign w:val="center"/>
          </w:tcPr>
          <w:p>
            <w:pPr>
              <w:pStyle w:val="164"/>
              <w:spacing w:line="360" w:lineRule="exact"/>
              <w:rPr>
                <w:color w:val="auto"/>
              </w:rPr>
            </w:pPr>
            <w:r>
              <w:rPr>
                <w:color w:val="auto"/>
              </w:rPr>
              <w:t>1</w:t>
            </w:r>
          </w:p>
        </w:tc>
        <w:tc>
          <w:tcPr>
            <w:tcW w:w="434" w:type="dxa"/>
            <w:vMerge w:val="restart"/>
            <w:shd w:val="clear" w:color="auto" w:fill="auto"/>
            <w:vAlign w:val="center"/>
          </w:tcPr>
          <w:p>
            <w:pPr>
              <w:pStyle w:val="164"/>
              <w:spacing w:line="360" w:lineRule="exact"/>
              <w:rPr>
                <w:color w:val="auto"/>
              </w:rPr>
            </w:pPr>
            <w:r>
              <w:rPr>
                <w:color w:val="auto"/>
              </w:rPr>
              <w:t>有组织</w:t>
            </w:r>
          </w:p>
        </w:tc>
        <w:tc>
          <w:tcPr>
            <w:tcW w:w="434" w:type="dxa"/>
            <w:vMerge w:val="restart"/>
            <w:shd w:val="clear" w:color="auto" w:fill="auto"/>
            <w:vAlign w:val="center"/>
          </w:tcPr>
          <w:p>
            <w:pPr>
              <w:pStyle w:val="164"/>
              <w:spacing w:line="360" w:lineRule="exact"/>
              <w:rPr>
                <w:color w:val="auto"/>
              </w:rPr>
            </w:pPr>
            <w:r>
              <w:rPr>
                <w:color w:val="auto"/>
              </w:rPr>
              <w:t>医废</w:t>
            </w:r>
          </w:p>
          <w:p>
            <w:pPr>
              <w:pStyle w:val="164"/>
              <w:spacing w:line="360" w:lineRule="exact"/>
              <w:rPr>
                <w:color w:val="auto"/>
              </w:rPr>
            </w:pPr>
            <w:r>
              <w:rPr>
                <w:color w:val="auto"/>
              </w:rPr>
              <w:t>暂存间</w:t>
            </w:r>
          </w:p>
        </w:tc>
        <w:tc>
          <w:tcPr>
            <w:tcW w:w="434" w:type="dxa"/>
            <w:vMerge w:val="restart"/>
            <w:shd w:val="clear" w:color="auto" w:fill="auto"/>
            <w:vAlign w:val="center"/>
          </w:tcPr>
          <w:p>
            <w:pPr>
              <w:pStyle w:val="164"/>
              <w:spacing w:line="360" w:lineRule="exact"/>
              <w:rPr>
                <w:color w:val="auto"/>
              </w:rPr>
            </w:pPr>
            <w:r>
              <w:rPr>
                <w:color w:val="auto"/>
              </w:rPr>
              <w:t>间歇</w:t>
            </w:r>
          </w:p>
        </w:tc>
        <w:tc>
          <w:tcPr>
            <w:tcW w:w="860" w:type="dxa"/>
            <w:shd w:val="clear" w:color="auto" w:fill="auto"/>
            <w:vAlign w:val="center"/>
          </w:tcPr>
          <w:p>
            <w:pPr>
              <w:pStyle w:val="164"/>
              <w:spacing w:line="360" w:lineRule="exact"/>
              <w:rPr>
                <w:color w:val="auto"/>
              </w:rPr>
            </w:pPr>
            <w:r>
              <w:rPr>
                <w:color w:val="auto"/>
              </w:rPr>
              <w:t>NH</w:t>
            </w:r>
            <w:r>
              <w:rPr>
                <w:color w:val="auto"/>
                <w:szCs w:val="13"/>
                <w:vertAlign w:val="subscript"/>
              </w:rPr>
              <w:t>3</w:t>
            </w:r>
          </w:p>
        </w:tc>
        <w:tc>
          <w:tcPr>
            <w:tcW w:w="759" w:type="dxa"/>
            <w:vMerge w:val="restart"/>
            <w:shd w:val="clear" w:color="auto" w:fill="auto"/>
            <w:vAlign w:val="center"/>
          </w:tcPr>
          <w:p>
            <w:pPr>
              <w:pStyle w:val="164"/>
              <w:spacing w:line="360" w:lineRule="exact"/>
              <w:rPr>
                <w:color w:val="auto"/>
              </w:rPr>
            </w:pPr>
            <w:r>
              <w:rPr>
                <w:color w:val="auto"/>
              </w:rPr>
              <w:t>100</w:t>
            </w:r>
          </w:p>
        </w:tc>
        <w:tc>
          <w:tcPr>
            <w:tcW w:w="808" w:type="dxa"/>
            <w:shd w:val="clear" w:color="auto" w:fill="auto"/>
            <w:vAlign w:val="center"/>
          </w:tcPr>
          <w:p>
            <w:pPr>
              <w:widowControl/>
              <w:jc w:val="center"/>
              <w:rPr>
                <w:color w:val="auto"/>
              </w:rPr>
            </w:pPr>
            <w:r>
              <w:rPr>
                <w:color w:val="auto"/>
                <w:kern w:val="0"/>
                <w:szCs w:val="21"/>
              </w:rPr>
              <w:t>0.25</w:t>
            </w:r>
          </w:p>
        </w:tc>
        <w:tc>
          <w:tcPr>
            <w:tcW w:w="1087" w:type="dxa"/>
            <w:shd w:val="clear" w:color="auto" w:fill="auto"/>
            <w:vAlign w:val="center"/>
          </w:tcPr>
          <w:p>
            <w:pPr>
              <w:widowControl/>
              <w:jc w:val="center"/>
              <w:rPr>
                <w:color w:val="auto"/>
              </w:rPr>
            </w:pPr>
            <w:r>
              <w:rPr>
                <w:color w:val="auto"/>
                <w:kern w:val="0"/>
                <w:szCs w:val="21"/>
              </w:rPr>
              <w:t>2.5E-05</w:t>
            </w:r>
          </w:p>
        </w:tc>
        <w:tc>
          <w:tcPr>
            <w:tcW w:w="1089" w:type="dxa"/>
            <w:shd w:val="clear" w:color="auto" w:fill="auto"/>
            <w:vAlign w:val="center"/>
          </w:tcPr>
          <w:p>
            <w:pPr>
              <w:widowControl/>
              <w:jc w:val="center"/>
              <w:rPr>
                <w:color w:val="auto"/>
              </w:rPr>
            </w:pPr>
            <w:r>
              <w:rPr>
                <w:color w:val="auto"/>
                <w:kern w:val="0"/>
                <w:szCs w:val="21"/>
              </w:rPr>
              <w:t>1.98E-04</w:t>
            </w:r>
          </w:p>
        </w:tc>
        <w:tc>
          <w:tcPr>
            <w:tcW w:w="860" w:type="dxa"/>
            <w:vMerge w:val="restart"/>
            <w:shd w:val="clear" w:color="auto" w:fill="auto"/>
            <w:vAlign w:val="center"/>
          </w:tcPr>
          <w:p>
            <w:pPr>
              <w:pStyle w:val="164"/>
              <w:spacing w:line="240" w:lineRule="auto"/>
              <w:rPr>
                <w:color w:val="auto"/>
              </w:rPr>
            </w:pPr>
            <w:r>
              <w:rPr>
                <w:color w:val="auto"/>
              </w:rPr>
              <w:t>碱洗喷淋+等离子+活性炭+15m高排气筒排放（1#）</w:t>
            </w:r>
          </w:p>
        </w:tc>
        <w:tc>
          <w:tcPr>
            <w:tcW w:w="702" w:type="dxa"/>
            <w:shd w:val="clear" w:color="auto" w:fill="auto"/>
            <w:vAlign w:val="center"/>
          </w:tcPr>
          <w:p>
            <w:pPr>
              <w:pStyle w:val="164"/>
              <w:spacing w:line="360" w:lineRule="exact"/>
              <w:rPr>
                <w:color w:val="auto"/>
              </w:rPr>
            </w:pPr>
            <w:r>
              <w:rPr>
                <w:color w:val="auto"/>
              </w:rPr>
              <w:t>25.15</w:t>
            </w:r>
          </w:p>
        </w:tc>
        <w:tc>
          <w:tcPr>
            <w:tcW w:w="915" w:type="dxa"/>
            <w:shd w:val="clear" w:color="auto" w:fill="auto"/>
            <w:vAlign w:val="center"/>
          </w:tcPr>
          <w:p>
            <w:pPr>
              <w:widowControl/>
              <w:jc w:val="center"/>
              <w:rPr>
                <w:color w:val="auto"/>
              </w:rPr>
            </w:pPr>
            <w:r>
              <w:rPr>
                <w:color w:val="auto"/>
                <w:kern w:val="0"/>
                <w:szCs w:val="21"/>
              </w:rPr>
              <w:t>0.1872</w:t>
            </w:r>
          </w:p>
        </w:tc>
        <w:tc>
          <w:tcPr>
            <w:tcW w:w="1297" w:type="dxa"/>
            <w:shd w:val="clear" w:color="auto" w:fill="auto"/>
            <w:vAlign w:val="center"/>
          </w:tcPr>
          <w:p>
            <w:pPr>
              <w:widowControl/>
              <w:jc w:val="center"/>
              <w:rPr>
                <w:color w:val="auto"/>
              </w:rPr>
            </w:pPr>
            <w:r>
              <w:rPr>
                <w:color w:val="auto"/>
                <w:kern w:val="0"/>
                <w:szCs w:val="21"/>
              </w:rPr>
              <w:t>1.872E-05</w:t>
            </w:r>
          </w:p>
        </w:tc>
        <w:tc>
          <w:tcPr>
            <w:tcW w:w="1094" w:type="dxa"/>
            <w:shd w:val="clear" w:color="auto" w:fill="auto"/>
            <w:vAlign w:val="center"/>
          </w:tcPr>
          <w:p>
            <w:pPr>
              <w:widowControl/>
              <w:jc w:val="center"/>
              <w:rPr>
                <w:color w:val="auto"/>
              </w:rPr>
            </w:pPr>
            <w:r>
              <w:rPr>
                <w:color w:val="auto"/>
                <w:kern w:val="0"/>
                <w:szCs w:val="21"/>
              </w:rPr>
              <w:t>1.48E-04</w:t>
            </w:r>
          </w:p>
        </w:tc>
        <w:tc>
          <w:tcPr>
            <w:tcW w:w="647" w:type="dxa"/>
            <w:shd w:val="clear" w:color="auto" w:fill="auto"/>
            <w:vAlign w:val="center"/>
          </w:tcPr>
          <w:p>
            <w:pPr>
              <w:pStyle w:val="164"/>
              <w:spacing w:line="360" w:lineRule="exact"/>
              <w:rPr>
                <w:color w:val="auto"/>
                <w:kern w:val="0"/>
                <w:szCs w:val="21"/>
              </w:rPr>
            </w:pPr>
            <w:r>
              <w:rPr>
                <w:color w:val="auto"/>
                <w:kern w:val="0"/>
                <w:szCs w:val="21"/>
              </w:rPr>
              <w:t>/</w:t>
            </w:r>
          </w:p>
        </w:tc>
        <w:tc>
          <w:tcPr>
            <w:tcW w:w="698" w:type="dxa"/>
            <w:shd w:val="clear" w:color="auto" w:fill="auto"/>
            <w:vAlign w:val="center"/>
          </w:tcPr>
          <w:p>
            <w:pPr>
              <w:pStyle w:val="164"/>
              <w:spacing w:line="360" w:lineRule="exact"/>
              <w:rPr>
                <w:color w:val="auto"/>
                <w:kern w:val="0"/>
                <w:szCs w:val="21"/>
              </w:rPr>
            </w:pPr>
            <w:r>
              <w:rPr>
                <w:color w:val="auto"/>
                <w:kern w:val="0"/>
                <w:szCs w:val="21"/>
              </w:rPr>
              <w:t>4.9</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67" w:hRule="atLeast"/>
          <w:jc w:val="center"/>
        </w:trPr>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860" w:type="dxa"/>
            <w:shd w:val="clear" w:color="auto" w:fill="auto"/>
            <w:vAlign w:val="center"/>
          </w:tcPr>
          <w:p>
            <w:pPr>
              <w:pStyle w:val="164"/>
              <w:spacing w:line="360" w:lineRule="exact"/>
              <w:rPr>
                <w:color w:val="auto"/>
              </w:rPr>
            </w:pPr>
            <w:r>
              <w:rPr>
                <w:color w:val="auto"/>
              </w:rPr>
              <w:t>H</w:t>
            </w:r>
            <w:r>
              <w:rPr>
                <w:color w:val="auto"/>
                <w:vertAlign w:val="subscript"/>
              </w:rPr>
              <w:t>2</w:t>
            </w:r>
            <w:r>
              <w:rPr>
                <w:color w:val="auto"/>
              </w:rPr>
              <w:t>S</w:t>
            </w:r>
          </w:p>
        </w:tc>
        <w:tc>
          <w:tcPr>
            <w:tcW w:w="759" w:type="dxa"/>
            <w:vMerge w:val="continue"/>
            <w:shd w:val="clear" w:color="auto" w:fill="auto"/>
            <w:vAlign w:val="center"/>
          </w:tcPr>
          <w:p>
            <w:pPr>
              <w:pStyle w:val="164"/>
              <w:spacing w:line="360" w:lineRule="exact"/>
              <w:rPr>
                <w:color w:val="auto"/>
              </w:rPr>
            </w:pPr>
          </w:p>
        </w:tc>
        <w:tc>
          <w:tcPr>
            <w:tcW w:w="808" w:type="dxa"/>
            <w:shd w:val="clear" w:color="auto" w:fill="auto"/>
            <w:vAlign w:val="center"/>
          </w:tcPr>
          <w:p>
            <w:pPr>
              <w:widowControl/>
              <w:jc w:val="center"/>
              <w:rPr>
                <w:color w:val="auto"/>
              </w:rPr>
            </w:pPr>
            <w:r>
              <w:rPr>
                <w:color w:val="auto"/>
                <w:kern w:val="0"/>
                <w:szCs w:val="21"/>
              </w:rPr>
              <w:t>0.0085</w:t>
            </w:r>
          </w:p>
        </w:tc>
        <w:tc>
          <w:tcPr>
            <w:tcW w:w="1087" w:type="dxa"/>
            <w:shd w:val="clear" w:color="auto" w:fill="auto"/>
            <w:vAlign w:val="center"/>
          </w:tcPr>
          <w:p>
            <w:pPr>
              <w:widowControl/>
              <w:jc w:val="center"/>
              <w:rPr>
                <w:color w:val="auto"/>
              </w:rPr>
            </w:pPr>
            <w:r>
              <w:rPr>
                <w:color w:val="auto"/>
                <w:kern w:val="0"/>
                <w:szCs w:val="21"/>
              </w:rPr>
              <w:t>8.5E-07</w:t>
            </w:r>
          </w:p>
        </w:tc>
        <w:tc>
          <w:tcPr>
            <w:tcW w:w="1089" w:type="dxa"/>
            <w:shd w:val="clear" w:color="auto" w:fill="auto"/>
            <w:vAlign w:val="center"/>
          </w:tcPr>
          <w:p>
            <w:pPr>
              <w:widowControl/>
              <w:jc w:val="center"/>
              <w:rPr>
                <w:color w:val="auto"/>
              </w:rPr>
            </w:pPr>
            <w:r>
              <w:rPr>
                <w:color w:val="auto"/>
                <w:kern w:val="0"/>
                <w:szCs w:val="21"/>
              </w:rPr>
              <w:t>6.73E-06</w:t>
            </w:r>
          </w:p>
        </w:tc>
        <w:tc>
          <w:tcPr>
            <w:tcW w:w="860" w:type="dxa"/>
            <w:vMerge w:val="continue"/>
            <w:shd w:val="clear" w:color="auto" w:fill="auto"/>
            <w:vAlign w:val="center"/>
          </w:tcPr>
          <w:p>
            <w:pPr>
              <w:pStyle w:val="164"/>
              <w:spacing w:line="360" w:lineRule="exact"/>
              <w:rPr>
                <w:color w:val="auto"/>
              </w:rPr>
            </w:pPr>
          </w:p>
        </w:tc>
        <w:tc>
          <w:tcPr>
            <w:tcW w:w="702" w:type="dxa"/>
            <w:shd w:val="clear" w:color="auto" w:fill="auto"/>
            <w:vAlign w:val="center"/>
          </w:tcPr>
          <w:p>
            <w:pPr>
              <w:pStyle w:val="164"/>
              <w:spacing w:line="360" w:lineRule="exact"/>
              <w:rPr>
                <w:color w:val="auto"/>
              </w:rPr>
            </w:pPr>
            <w:r>
              <w:rPr>
                <w:color w:val="auto"/>
              </w:rPr>
              <w:t>33.33</w:t>
            </w:r>
          </w:p>
        </w:tc>
        <w:tc>
          <w:tcPr>
            <w:tcW w:w="915" w:type="dxa"/>
            <w:shd w:val="clear" w:color="auto" w:fill="auto"/>
            <w:vAlign w:val="center"/>
          </w:tcPr>
          <w:p>
            <w:pPr>
              <w:widowControl/>
              <w:jc w:val="center"/>
              <w:rPr>
                <w:color w:val="auto"/>
              </w:rPr>
            </w:pPr>
            <w:r>
              <w:rPr>
                <w:color w:val="auto"/>
                <w:kern w:val="0"/>
                <w:szCs w:val="21"/>
              </w:rPr>
              <w:t>0.00567</w:t>
            </w:r>
          </w:p>
        </w:tc>
        <w:tc>
          <w:tcPr>
            <w:tcW w:w="1297" w:type="dxa"/>
            <w:shd w:val="clear" w:color="auto" w:fill="auto"/>
            <w:vAlign w:val="center"/>
          </w:tcPr>
          <w:p>
            <w:pPr>
              <w:widowControl/>
              <w:jc w:val="center"/>
              <w:rPr>
                <w:color w:val="auto"/>
              </w:rPr>
            </w:pPr>
            <w:r>
              <w:rPr>
                <w:color w:val="auto"/>
                <w:kern w:val="0"/>
                <w:szCs w:val="21"/>
              </w:rPr>
              <w:t>5.67E-07</w:t>
            </w:r>
          </w:p>
        </w:tc>
        <w:tc>
          <w:tcPr>
            <w:tcW w:w="1094" w:type="dxa"/>
            <w:shd w:val="clear" w:color="auto" w:fill="auto"/>
            <w:vAlign w:val="center"/>
          </w:tcPr>
          <w:p>
            <w:pPr>
              <w:widowControl/>
              <w:jc w:val="center"/>
              <w:rPr>
                <w:color w:val="auto"/>
              </w:rPr>
            </w:pPr>
            <w:r>
              <w:rPr>
                <w:color w:val="auto"/>
                <w:kern w:val="0"/>
                <w:szCs w:val="21"/>
              </w:rPr>
              <w:t>4.49E-06</w:t>
            </w:r>
          </w:p>
        </w:tc>
        <w:tc>
          <w:tcPr>
            <w:tcW w:w="647" w:type="dxa"/>
            <w:shd w:val="clear" w:color="auto" w:fill="auto"/>
            <w:vAlign w:val="center"/>
          </w:tcPr>
          <w:p>
            <w:pPr>
              <w:pStyle w:val="164"/>
              <w:spacing w:line="360" w:lineRule="exact"/>
              <w:rPr>
                <w:color w:val="auto"/>
                <w:kern w:val="0"/>
                <w:szCs w:val="21"/>
              </w:rPr>
            </w:pPr>
            <w:r>
              <w:rPr>
                <w:color w:val="auto"/>
                <w:kern w:val="0"/>
                <w:szCs w:val="21"/>
              </w:rPr>
              <w:t>/</w:t>
            </w:r>
          </w:p>
        </w:tc>
        <w:tc>
          <w:tcPr>
            <w:tcW w:w="698" w:type="dxa"/>
            <w:shd w:val="clear" w:color="auto" w:fill="auto"/>
            <w:vAlign w:val="center"/>
          </w:tcPr>
          <w:p>
            <w:pPr>
              <w:pStyle w:val="164"/>
              <w:spacing w:line="360" w:lineRule="exact"/>
              <w:rPr>
                <w:color w:val="auto"/>
                <w:kern w:val="0"/>
                <w:szCs w:val="21"/>
              </w:rPr>
            </w:pPr>
            <w:r>
              <w:rPr>
                <w:color w:val="auto"/>
                <w:kern w:val="0"/>
                <w:szCs w:val="21"/>
              </w:rPr>
              <w:t>0.33</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19" w:hRule="atLeast"/>
          <w:jc w:val="center"/>
        </w:trPr>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860" w:type="dxa"/>
            <w:shd w:val="clear" w:color="auto" w:fill="auto"/>
            <w:vAlign w:val="center"/>
          </w:tcPr>
          <w:p>
            <w:pPr>
              <w:pStyle w:val="164"/>
              <w:spacing w:line="240" w:lineRule="auto"/>
              <w:rPr>
                <w:color w:val="auto"/>
              </w:rPr>
            </w:pPr>
            <w:r>
              <w:rPr>
                <w:color w:val="auto"/>
              </w:rPr>
              <w:t>非甲烷总烃</w:t>
            </w:r>
          </w:p>
        </w:tc>
        <w:tc>
          <w:tcPr>
            <w:tcW w:w="759" w:type="dxa"/>
            <w:vMerge w:val="continue"/>
            <w:shd w:val="clear" w:color="auto" w:fill="auto"/>
            <w:vAlign w:val="center"/>
          </w:tcPr>
          <w:p>
            <w:pPr>
              <w:pStyle w:val="164"/>
              <w:spacing w:line="360" w:lineRule="exact"/>
              <w:rPr>
                <w:color w:val="auto"/>
              </w:rPr>
            </w:pPr>
          </w:p>
        </w:tc>
        <w:tc>
          <w:tcPr>
            <w:tcW w:w="808" w:type="dxa"/>
            <w:shd w:val="clear" w:color="auto" w:fill="auto"/>
            <w:vAlign w:val="center"/>
          </w:tcPr>
          <w:p>
            <w:pPr>
              <w:widowControl/>
              <w:jc w:val="center"/>
              <w:rPr>
                <w:color w:val="auto"/>
              </w:rPr>
            </w:pPr>
            <w:r>
              <w:rPr>
                <w:color w:val="auto"/>
                <w:kern w:val="0"/>
                <w:szCs w:val="21"/>
              </w:rPr>
              <w:t>0.025</w:t>
            </w:r>
          </w:p>
        </w:tc>
        <w:tc>
          <w:tcPr>
            <w:tcW w:w="1087" w:type="dxa"/>
            <w:shd w:val="clear" w:color="auto" w:fill="auto"/>
            <w:vAlign w:val="center"/>
          </w:tcPr>
          <w:p>
            <w:pPr>
              <w:widowControl/>
              <w:jc w:val="center"/>
              <w:rPr>
                <w:color w:val="auto"/>
              </w:rPr>
            </w:pPr>
            <w:r>
              <w:rPr>
                <w:color w:val="auto"/>
                <w:kern w:val="0"/>
                <w:szCs w:val="21"/>
              </w:rPr>
              <w:t>2.5E-06</w:t>
            </w:r>
          </w:p>
        </w:tc>
        <w:tc>
          <w:tcPr>
            <w:tcW w:w="1089" w:type="dxa"/>
            <w:shd w:val="clear" w:color="auto" w:fill="auto"/>
            <w:vAlign w:val="center"/>
          </w:tcPr>
          <w:p>
            <w:pPr>
              <w:widowControl/>
              <w:jc w:val="center"/>
              <w:rPr>
                <w:color w:val="auto"/>
              </w:rPr>
            </w:pPr>
            <w:r>
              <w:rPr>
                <w:color w:val="auto"/>
                <w:kern w:val="0"/>
                <w:szCs w:val="21"/>
              </w:rPr>
              <w:t>1.98E-05</w:t>
            </w:r>
          </w:p>
        </w:tc>
        <w:tc>
          <w:tcPr>
            <w:tcW w:w="860" w:type="dxa"/>
            <w:vMerge w:val="continue"/>
            <w:shd w:val="clear" w:color="auto" w:fill="auto"/>
            <w:vAlign w:val="center"/>
          </w:tcPr>
          <w:p>
            <w:pPr>
              <w:pStyle w:val="164"/>
              <w:spacing w:line="360" w:lineRule="exact"/>
              <w:rPr>
                <w:color w:val="auto"/>
              </w:rPr>
            </w:pPr>
          </w:p>
        </w:tc>
        <w:tc>
          <w:tcPr>
            <w:tcW w:w="702" w:type="dxa"/>
            <w:shd w:val="clear" w:color="auto" w:fill="auto"/>
            <w:vAlign w:val="center"/>
          </w:tcPr>
          <w:p>
            <w:pPr>
              <w:pStyle w:val="164"/>
              <w:spacing w:line="360" w:lineRule="exact"/>
              <w:rPr>
                <w:color w:val="auto"/>
              </w:rPr>
            </w:pPr>
            <w:r>
              <w:rPr>
                <w:color w:val="auto"/>
              </w:rPr>
              <w:t>44.54</w:t>
            </w:r>
          </w:p>
        </w:tc>
        <w:tc>
          <w:tcPr>
            <w:tcW w:w="915" w:type="dxa"/>
            <w:shd w:val="clear" w:color="auto" w:fill="auto"/>
            <w:vAlign w:val="center"/>
          </w:tcPr>
          <w:p>
            <w:pPr>
              <w:widowControl/>
              <w:jc w:val="center"/>
              <w:rPr>
                <w:color w:val="auto"/>
              </w:rPr>
            </w:pPr>
            <w:r>
              <w:rPr>
                <w:color w:val="auto"/>
                <w:kern w:val="0"/>
                <w:szCs w:val="21"/>
              </w:rPr>
              <w:t>0.01387</w:t>
            </w:r>
          </w:p>
        </w:tc>
        <w:tc>
          <w:tcPr>
            <w:tcW w:w="1297" w:type="dxa"/>
            <w:shd w:val="clear" w:color="auto" w:fill="auto"/>
            <w:vAlign w:val="center"/>
          </w:tcPr>
          <w:p>
            <w:pPr>
              <w:widowControl/>
              <w:jc w:val="center"/>
              <w:rPr>
                <w:color w:val="auto"/>
              </w:rPr>
            </w:pPr>
            <w:r>
              <w:rPr>
                <w:color w:val="auto"/>
                <w:kern w:val="0"/>
                <w:szCs w:val="21"/>
              </w:rPr>
              <w:t>1.387E-06</w:t>
            </w:r>
          </w:p>
        </w:tc>
        <w:tc>
          <w:tcPr>
            <w:tcW w:w="1094" w:type="dxa"/>
            <w:shd w:val="clear" w:color="auto" w:fill="auto"/>
            <w:vAlign w:val="center"/>
          </w:tcPr>
          <w:p>
            <w:pPr>
              <w:widowControl/>
              <w:jc w:val="center"/>
              <w:rPr>
                <w:color w:val="auto"/>
              </w:rPr>
            </w:pPr>
            <w:r>
              <w:rPr>
                <w:color w:val="auto"/>
                <w:kern w:val="0"/>
                <w:szCs w:val="21"/>
              </w:rPr>
              <w:t>1.1E-05</w:t>
            </w:r>
          </w:p>
        </w:tc>
        <w:tc>
          <w:tcPr>
            <w:tcW w:w="647" w:type="dxa"/>
            <w:shd w:val="clear" w:color="auto" w:fill="auto"/>
            <w:vAlign w:val="center"/>
          </w:tcPr>
          <w:p>
            <w:pPr>
              <w:pStyle w:val="164"/>
              <w:spacing w:line="360" w:lineRule="exact"/>
              <w:rPr>
                <w:color w:val="auto"/>
                <w:kern w:val="0"/>
                <w:szCs w:val="21"/>
              </w:rPr>
            </w:pPr>
            <w:r>
              <w:rPr>
                <w:color w:val="auto"/>
                <w:kern w:val="0"/>
                <w:szCs w:val="21"/>
              </w:rPr>
              <w:t>20</w:t>
            </w:r>
          </w:p>
        </w:tc>
        <w:tc>
          <w:tcPr>
            <w:tcW w:w="698" w:type="dxa"/>
            <w:shd w:val="clear" w:color="auto" w:fill="auto"/>
            <w:vAlign w:val="center"/>
          </w:tcPr>
          <w:p>
            <w:pPr>
              <w:pStyle w:val="164"/>
              <w:spacing w:line="360" w:lineRule="exact"/>
              <w:rPr>
                <w:color w:val="auto"/>
                <w:kern w:val="0"/>
                <w:szCs w:val="21"/>
              </w:rPr>
            </w:pPr>
            <w:r>
              <w:rPr>
                <w:color w:val="auto"/>
                <w:kern w:val="0"/>
                <w:szCs w:val="21"/>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90" w:hRule="atLeast"/>
          <w:jc w:val="center"/>
        </w:trPr>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860" w:type="dxa"/>
            <w:shd w:val="clear" w:color="auto" w:fill="auto"/>
            <w:vAlign w:val="center"/>
          </w:tcPr>
          <w:p>
            <w:pPr>
              <w:pStyle w:val="164"/>
              <w:spacing w:line="240" w:lineRule="auto"/>
              <w:rPr>
                <w:color w:val="auto"/>
              </w:rPr>
            </w:pPr>
            <w:r>
              <w:rPr>
                <w:color w:val="auto"/>
              </w:rPr>
              <w:t>臭气浓度</w:t>
            </w:r>
          </w:p>
        </w:tc>
        <w:tc>
          <w:tcPr>
            <w:tcW w:w="759" w:type="dxa"/>
            <w:vMerge w:val="continue"/>
            <w:shd w:val="clear" w:color="auto" w:fill="auto"/>
            <w:vAlign w:val="center"/>
          </w:tcPr>
          <w:p>
            <w:pPr>
              <w:pStyle w:val="164"/>
              <w:spacing w:line="360" w:lineRule="exact"/>
              <w:rPr>
                <w:color w:val="auto"/>
              </w:rPr>
            </w:pPr>
          </w:p>
        </w:tc>
        <w:tc>
          <w:tcPr>
            <w:tcW w:w="808" w:type="dxa"/>
            <w:shd w:val="clear" w:color="auto" w:fill="auto"/>
            <w:vAlign w:val="center"/>
          </w:tcPr>
          <w:p>
            <w:pPr>
              <w:pStyle w:val="164"/>
              <w:spacing w:line="360" w:lineRule="exact"/>
              <w:rPr>
                <w:color w:val="auto"/>
              </w:rPr>
            </w:pPr>
            <w:r>
              <w:rPr>
                <w:color w:val="auto"/>
              </w:rPr>
              <w:t>125</w:t>
            </w:r>
          </w:p>
        </w:tc>
        <w:tc>
          <w:tcPr>
            <w:tcW w:w="1087" w:type="dxa"/>
            <w:shd w:val="clear" w:color="auto" w:fill="auto"/>
            <w:vAlign w:val="center"/>
          </w:tcPr>
          <w:p>
            <w:pPr>
              <w:pStyle w:val="164"/>
              <w:spacing w:line="360" w:lineRule="exact"/>
              <w:rPr>
                <w:color w:val="auto"/>
              </w:rPr>
            </w:pPr>
            <w:r>
              <w:rPr>
                <w:color w:val="auto"/>
              </w:rPr>
              <w:t>/</w:t>
            </w:r>
          </w:p>
        </w:tc>
        <w:tc>
          <w:tcPr>
            <w:tcW w:w="1089" w:type="dxa"/>
            <w:shd w:val="clear" w:color="auto" w:fill="auto"/>
            <w:vAlign w:val="center"/>
          </w:tcPr>
          <w:p>
            <w:pPr>
              <w:pStyle w:val="164"/>
              <w:spacing w:line="360" w:lineRule="exact"/>
              <w:rPr>
                <w:color w:val="auto"/>
              </w:rPr>
            </w:pPr>
            <w:r>
              <w:rPr>
                <w:color w:val="auto"/>
              </w:rPr>
              <w:t>/</w:t>
            </w:r>
          </w:p>
        </w:tc>
        <w:tc>
          <w:tcPr>
            <w:tcW w:w="860" w:type="dxa"/>
            <w:vMerge w:val="continue"/>
            <w:shd w:val="clear" w:color="auto" w:fill="auto"/>
            <w:vAlign w:val="center"/>
          </w:tcPr>
          <w:p>
            <w:pPr>
              <w:pStyle w:val="164"/>
              <w:spacing w:line="360" w:lineRule="exact"/>
              <w:rPr>
                <w:color w:val="auto"/>
              </w:rPr>
            </w:pPr>
          </w:p>
        </w:tc>
        <w:tc>
          <w:tcPr>
            <w:tcW w:w="702" w:type="dxa"/>
            <w:shd w:val="clear" w:color="auto" w:fill="auto"/>
            <w:vAlign w:val="center"/>
          </w:tcPr>
          <w:p>
            <w:pPr>
              <w:pStyle w:val="164"/>
              <w:spacing w:line="360" w:lineRule="exact"/>
              <w:rPr>
                <w:color w:val="auto"/>
              </w:rPr>
            </w:pPr>
            <w:r>
              <w:rPr>
                <w:color w:val="auto"/>
              </w:rPr>
              <w:t>25.1</w:t>
            </w:r>
          </w:p>
        </w:tc>
        <w:tc>
          <w:tcPr>
            <w:tcW w:w="915" w:type="dxa"/>
            <w:shd w:val="clear" w:color="auto" w:fill="auto"/>
            <w:vAlign w:val="center"/>
          </w:tcPr>
          <w:p>
            <w:pPr>
              <w:pStyle w:val="164"/>
              <w:spacing w:line="360" w:lineRule="exact"/>
              <w:rPr>
                <w:color w:val="auto"/>
              </w:rPr>
            </w:pPr>
            <w:r>
              <w:rPr>
                <w:color w:val="auto"/>
              </w:rPr>
              <w:t>93.6</w:t>
            </w:r>
          </w:p>
        </w:tc>
        <w:tc>
          <w:tcPr>
            <w:tcW w:w="1297" w:type="dxa"/>
            <w:shd w:val="clear" w:color="auto" w:fill="auto"/>
            <w:vAlign w:val="center"/>
          </w:tcPr>
          <w:p>
            <w:pPr>
              <w:pStyle w:val="164"/>
              <w:spacing w:line="360" w:lineRule="exact"/>
              <w:rPr>
                <w:color w:val="auto"/>
              </w:rPr>
            </w:pPr>
            <w:r>
              <w:rPr>
                <w:color w:val="auto"/>
              </w:rPr>
              <w:t>/</w:t>
            </w:r>
          </w:p>
        </w:tc>
        <w:tc>
          <w:tcPr>
            <w:tcW w:w="1094" w:type="dxa"/>
            <w:shd w:val="clear" w:color="auto" w:fill="auto"/>
            <w:vAlign w:val="center"/>
          </w:tcPr>
          <w:p>
            <w:pPr>
              <w:pStyle w:val="164"/>
              <w:spacing w:line="360" w:lineRule="exact"/>
              <w:rPr>
                <w:color w:val="auto"/>
              </w:rPr>
            </w:pPr>
            <w:r>
              <w:rPr>
                <w:color w:val="auto"/>
              </w:rPr>
              <w:t>/</w:t>
            </w:r>
          </w:p>
        </w:tc>
        <w:tc>
          <w:tcPr>
            <w:tcW w:w="647" w:type="dxa"/>
            <w:shd w:val="clear" w:color="auto" w:fill="auto"/>
            <w:vAlign w:val="center"/>
          </w:tcPr>
          <w:p>
            <w:pPr>
              <w:pStyle w:val="164"/>
              <w:spacing w:line="360" w:lineRule="exact"/>
              <w:rPr>
                <w:color w:val="auto"/>
              </w:rPr>
            </w:pPr>
            <w:r>
              <w:rPr>
                <w:color w:val="auto"/>
              </w:rPr>
              <w:t>2000</w:t>
            </w:r>
          </w:p>
        </w:tc>
        <w:tc>
          <w:tcPr>
            <w:tcW w:w="698" w:type="dxa"/>
            <w:shd w:val="clear" w:color="auto" w:fill="auto"/>
            <w:vAlign w:val="center"/>
          </w:tcPr>
          <w:p>
            <w:pPr>
              <w:pStyle w:val="164"/>
              <w:spacing w:line="360" w:lineRule="exact"/>
              <w:rPr>
                <w:color w:val="auto"/>
              </w:rPr>
            </w:pPr>
            <w:r>
              <w:rPr>
                <w:color w:val="auto"/>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11" w:hRule="atLeast"/>
          <w:jc w:val="center"/>
        </w:trPr>
        <w:tc>
          <w:tcPr>
            <w:tcW w:w="434" w:type="dxa"/>
            <w:vMerge w:val="restart"/>
            <w:shd w:val="clear" w:color="auto" w:fill="auto"/>
            <w:vAlign w:val="center"/>
          </w:tcPr>
          <w:p>
            <w:pPr>
              <w:pStyle w:val="164"/>
              <w:spacing w:line="360" w:lineRule="exact"/>
              <w:rPr>
                <w:color w:val="auto"/>
                <w:szCs w:val="20"/>
              </w:rPr>
            </w:pPr>
            <w:r>
              <w:rPr>
                <w:color w:val="auto"/>
                <w:szCs w:val="20"/>
              </w:rPr>
              <w:t>2</w:t>
            </w:r>
          </w:p>
        </w:tc>
        <w:tc>
          <w:tcPr>
            <w:tcW w:w="434" w:type="dxa"/>
            <w:vMerge w:val="continue"/>
            <w:shd w:val="clear" w:color="auto" w:fill="auto"/>
            <w:vAlign w:val="center"/>
          </w:tcPr>
          <w:p>
            <w:pPr>
              <w:pStyle w:val="164"/>
              <w:spacing w:line="360" w:lineRule="exact"/>
              <w:rPr>
                <w:color w:val="auto"/>
              </w:rPr>
            </w:pPr>
          </w:p>
        </w:tc>
        <w:tc>
          <w:tcPr>
            <w:tcW w:w="434" w:type="dxa"/>
            <w:vMerge w:val="restart"/>
            <w:shd w:val="clear" w:color="auto" w:fill="auto"/>
            <w:vAlign w:val="center"/>
          </w:tcPr>
          <w:p>
            <w:pPr>
              <w:pStyle w:val="164"/>
              <w:spacing w:line="360" w:lineRule="exact"/>
              <w:rPr>
                <w:color w:val="auto"/>
              </w:rPr>
            </w:pPr>
            <w:r>
              <w:rPr>
                <w:color w:val="auto"/>
              </w:rPr>
              <w:t>灭菌系统</w:t>
            </w:r>
          </w:p>
        </w:tc>
        <w:tc>
          <w:tcPr>
            <w:tcW w:w="434" w:type="dxa"/>
            <w:vMerge w:val="restart"/>
            <w:shd w:val="clear" w:color="auto" w:fill="auto"/>
            <w:vAlign w:val="center"/>
          </w:tcPr>
          <w:p>
            <w:pPr>
              <w:pStyle w:val="164"/>
              <w:spacing w:line="360" w:lineRule="exact"/>
              <w:rPr>
                <w:color w:val="auto"/>
              </w:rPr>
            </w:pPr>
            <w:r>
              <w:rPr>
                <w:color w:val="auto"/>
              </w:rPr>
              <w:t>间歇</w:t>
            </w:r>
          </w:p>
        </w:tc>
        <w:tc>
          <w:tcPr>
            <w:tcW w:w="860" w:type="dxa"/>
            <w:shd w:val="clear" w:color="auto" w:fill="auto"/>
            <w:vAlign w:val="center"/>
          </w:tcPr>
          <w:p>
            <w:pPr>
              <w:pStyle w:val="164"/>
              <w:spacing w:line="240" w:lineRule="auto"/>
              <w:rPr>
                <w:color w:val="auto"/>
              </w:rPr>
            </w:pPr>
            <w:r>
              <w:rPr>
                <w:color w:val="auto"/>
              </w:rPr>
              <w:t>颗粒物</w:t>
            </w:r>
          </w:p>
        </w:tc>
        <w:tc>
          <w:tcPr>
            <w:tcW w:w="759" w:type="dxa"/>
            <w:vMerge w:val="restart"/>
            <w:shd w:val="clear" w:color="auto" w:fill="auto"/>
            <w:vAlign w:val="center"/>
          </w:tcPr>
          <w:p>
            <w:pPr>
              <w:pStyle w:val="164"/>
              <w:spacing w:line="360" w:lineRule="exact"/>
              <w:rPr>
                <w:color w:val="auto"/>
              </w:rPr>
            </w:pPr>
            <w:r>
              <w:rPr>
                <w:rFonts w:hint="eastAsia"/>
                <w:color w:val="auto"/>
              </w:rPr>
              <w:t>6000</w:t>
            </w:r>
          </w:p>
        </w:tc>
        <w:tc>
          <w:tcPr>
            <w:tcW w:w="808" w:type="dxa"/>
            <w:shd w:val="clear" w:color="auto" w:fill="auto"/>
            <w:vAlign w:val="center"/>
          </w:tcPr>
          <w:p>
            <w:pPr>
              <w:pStyle w:val="164"/>
              <w:spacing w:line="360" w:lineRule="exact"/>
              <w:rPr>
                <w:color w:val="auto"/>
              </w:rPr>
            </w:pPr>
            <w:r>
              <w:rPr>
                <w:color w:val="auto"/>
                <w:szCs w:val="21"/>
              </w:rPr>
              <w:t>20</w:t>
            </w:r>
          </w:p>
        </w:tc>
        <w:tc>
          <w:tcPr>
            <w:tcW w:w="1087" w:type="dxa"/>
            <w:shd w:val="clear" w:color="auto" w:fill="auto"/>
            <w:vAlign w:val="center"/>
          </w:tcPr>
          <w:p>
            <w:pPr>
              <w:widowControl/>
              <w:jc w:val="center"/>
              <w:textAlignment w:val="center"/>
              <w:rPr>
                <w:color w:val="auto"/>
              </w:rPr>
            </w:pPr>
            <w:r>
              <w:rPr>
                <w:color w:val="auto"/>
                <w:kern w:val="0"/>
                <w:szCs w:val="21"/>
                <w:lang w:bidi="ar"/>
              </w:rPr>
              <w:t>0.12</w:t>
            </w:r>
          </w:p>
        </w:tc>
        <w:tc>
          <w:tcPr>
            <w:tcW w:w="1089" w:type="dxa"/>
            <w:shd w:val="clear" w:color="auto" w:fill="auto"/>
            <w:vAlign w:val="center"/>
          </w:tcPr>
          <w:p>
            <w:pPr>
              <w:widowControl/>
              <w:jc w:val="center"/>
              <w:textAlignment w:val="center"/>
              <w:rPr>
                <w:color w:val="auto"/>
              </w:rPr>
            </w:pPr>
            <w:r>
              <w:rPr>
                <w:color w:val="auto"/>
                <w:kern w:val="0"/>
                <w:szCs w:val="21"/>
                <w:lang w:bidi="ar"/>
              </w:rPr>
              <w:t xml:space="preserve">0.6336 </w:t>
            </w:r>
          </w:p>
        </w:tc>
        <w:tc>
          <w:tcPr>
            <w:tcW w:w="860" w:type="dxa"/>
            <w:vMerge w:val="restart"/>
            <w:shd w:val="clear" w:color="auto" w:fill="auto"/>
            <w:vAlign w:val="center"/>
          </w:tcPr>
          <w:p>
            <w:pPr>
              <w:pStyle w:val="164"/>
              <w:spacing w:line="240" w:lineRule="auto"/>
              <w:rPr>
                <w:color w:val="auto"/>
              </w:rPr>
            </w:pPr>
            <w:r>
              <w:rPr>
                <w:color w:val="auto"/>
              </w:rPr>
              <w:t>生物过滤+活性炭+碱洗喷淋+等离子+活性炭+15m高排气筒排放（1#）</w:t>
            </w:r>
          </w:p>
        </w:tc>
        <w:tc>
          <w:tcPr>
            <w:tcW w:w="702" w:type="dxa"/>
            <w:shd w:val="clear" w:color="auto" w:fill="auto"/>
            <w:vAlign w:val="center"/>
          </w:tcPr>
          <w:p>
            <w:pPr>
              <w:pStyle w:val="164"/>
              <w:spacing w:line="360" w:lineRule="exact"/>
              <w:rPr>
                <w:color w:val="auto"/>
              </w:rPr>
            </w:pPr>
            <w:r>
              <w:rPr>
                <w:color w:val="auto"/>
              </w:rPr>
              <w:t>86.65</w:t>
            </w:r>
          </w:p>
        </w:tc>
        <w:tc>
          <w:tcPr>
            <w:tcW w:w="915" w:type="dxa"/>
            <w:shd w:val="clear" w:color="auto" w:fill="auto"/>
            <w:vAlign w:val="center"/>
          </w:tcPr>
          <w:p>
            <w:pPr>
              <w:pStyle w:val="164"/>
              <w:spacing w:line="360" w:lineRule="exact"/>
              <w:rPr>
                <w:color w:val="auto"/>
              </w:rPr>
            </w:pPr>
            <w:r>
              <w:rPr>
                <w:color w:val="auto"/>
                <w:szCs w:val="21"/>
              </w:rPr>
              <w:t>2.67</w:t>
            </w:r>
          </w:p>
        </w:tc>
        <w:tc>
          <w:tcPr>
            <w:tcW w:w="1297" w:type="dxa"/>
            <w:shd w:val="clear" w:color="auto" w:fill="auto"/>
            <w:vAlign w:val="center"/>
          </w:tcPr>
          <w:p>
            <w:pPr>
              <w:widowControl/>
              <w:jc w:val="center"/>
              <w:textAlignment w:val="center"/>
              <w:rPr>
                <w:color w:val="auto"/>
              </w:rPr>
            </w:pPr>
            <w:r>
              <w:rPr>
                <w:color w:val="auto"/>
                <w:kern w:val="0"/>
                <w:szCs w:val="21"/>
                <w:lang w:bidi="ar"/>
              </w:rPr>
              <w:t xml:space="preserve">0.0160 </w:t>
            </w:r>
          </w:p>
        </w:tc>
        <w:tc>
          <w:tcPr>
            <w:tcW w:w="1094" w:type="dxa"/>
            <w:shd w:val="clear" w:color="auto" w:fill="auto"/>
            <w:vAlign w:val="center"/>
          </w:tcPr>
          <w:p>
            <w:pPr>
              <w:widowControl/>
              <w:jc w:val="center"/>
              <w:textAlignment w:val="center"/>
              <w:rPr>
                <w:color w:val="auto"/>
              </w:rPr>
            </w:pPr>
            <w:r>
              <w:rPr>
                <w:color w:val="auto"/>
                <w:kern w:val="0"/>
                <w:szCs w:val="21"/>
                <w:lang w:bidi="ar"/>
              </w:rPr>
              <w:t xml:space="preserve">0.0846 </w:t>
            </w:r>
          </w:p>
        </w:tc>
        <w:tc>
          <w:tcPr>
            <w:tcW w:w="647" w:type="dxa"/>
            <w:shd w:val="clear" w:color="auto" w:fill="auto"/>
            <w:vAlign w:val="center"/>
          </w:tcPr>
          <w:p>
            <w:pPr>
              <w:pStyle w:val="164"/>
              <w:spacing w:line="360" w:lineRule="exact"/>
              <w:rPr>
                <w:color w:val="auto"/>
                <w:szCs w:val="21"/>
              </w:rPr>
            </w:pPr>
            <w:r>
              <w:rPr>
                <w:color w:val="auto"/>
                <w:szCs w:val="21"/>
              </w:rPr>
              <w:t>120</w:t>
            </w:r>
          </w:p>
        </w:tc>
        <w:tc>
          <w:tcPr>
            <w:tcW w:w="698" w:type="dxa"/>
            <w:shd w:val="clear" w:color="auto" w:fill="auto"/>
            <w:vAlign w:val="center"/>
          </w:tcPr>
          <w:p>
            <w:pPr>
              <w:pStyle w:val="164"/>
              <w:spacing w:line="360" w:lineRule="exact"/>
              <w:rPr>
                <w:color w:val="auto"/>
                <w:szCs w:val="21"/>
              </w:rPr>
            </w:pPr>
            <w:r>
              <w:rPr>
                <w:color w:val="auto"/>
                <w:szCs w:val="21"/>
              </w:rPr>
              <w:t>3.5</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53" w:hRule="atLeast"/>
          <w:jc w:val="center"/>
        </w:trPr>
        <w:tc>
          <w:tcPr>
            <w:tcW w:w="434" w:type="dxa"/>
            <w:vMerge w:val="continue"/>
            <w:shd w:val="clear" w:color="auto" w:fill="auto"/>
            <w:vAlign w:val="center"/>
          </w:tcPr>
          <w:p>
            <w:pPr>
              <w:pStyle w:val="164"/>
              <w:spacing w:line="360" w:lineRule="exact"/>
              <w:rPr>
                <w:color w:val="auto"/>
                <w:szCs w:val="20"/>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860" w:type="dxa"/>
            <w:shd w:val="clear" w:color="auto" w:fill="auto"/>
            <w:vAlign w:val="center"/>
          </w:tcPr>
          <w:p>
            <w:pPr>
              <w:pStyle w:val="164"/>
              <w:spacing w:line="360" w:lineRule="exact"/>
              <w:rPr>
                <w:color w:val="auto"/>
              </w:rPr>
            </w:pPr>
            <w:r>
              <w:rPr>
                <w:color w:val="auto"/>
              </w:rPr>
              <w:t>NH</w:t>
            </w:r>
            <w:r>
              <w:rPr>
                <w:color w:val="auto"/>
                <w:szCs w:val="13"/>
                <w:vertAlign w:val="subscript"/>
              </w:rPr>
              <w:t>3</w:t>
            </w:r>
          </w:p>
        </w:tc>
        <w:tc>
          <w:tcPr>
            <w:tcW w:w="759" w:type="dxa"/>
            <w:vMerge w:val="continue"/>
            <w:shd w:val="clear" w:color="auto" w:fill="auto"/>
            <w:vAlign w:val="center"/>
          </w:tcPr>
          <w:p>
            <w:pPr>
              <w:pStyle w:val="164"/>
              <w:spacing w:line="360" w:lineRule="exact"/>
              <w:rPr>
                <w:color w:val="auto"/>
              </w:rPr>
            </w:pPr>
          </w:p>
        </w:tc>
        <w:tc>
          <w:tcPr>
            <w:tcW w:w="808" w:type="dxa"/>
            <w:shd w:val="clear" w:color="auto" w:fill="auto"/>
            <w:vAlign w:val="center"/>
          </w:tcPr>
          <w:p>
            <w:pPr>
              <w:pStyle w:val="164"/>
              <w:spacing w:line="360" w:lineRule="exact"/>
              <w:rPr>
                <w:color w:val="auto"/>
              </w:rPr>
            </w:pPr>
            <w:r>
              <w:rPr>
                <w:color w:val="auto"/>
              </w:rPr>
              <w:t>4.89</w:t>
            </w:r>
          </w:p>
        </w:tc>
        <w:tc>
          <w:tcPr>
            <w:tcW w:w="1087" w:type="dxa"/>
            <w:shd w:val="clear" w:color="auto" w:fill="auto"/>
            <w:vAlign w:val="center"/>
          </w:tcPr>
          <w:p>
            <w:pPr>
              <w:widowControl/>
              <w:jc w:val="center"/>
              <w:textAlignment w:val="center"/>
              <w:rPr>
                <w:color w:val="auto"/>
              </w:rPr>
            </w:pPr>
            <w:r>
              <w:rPr>
                <w:color w:val="auto"/>
                <w:kern w:val="0"/>
                <w:szCs w:val="21"/>
                <w:lang w:bidi="ar"/>
              </w:rPr>
              <w:t>0.02934</w:t>
            </w:r>
          </w:p>
        </w:tc>
        <w:tc>
          <w:tcPr>
            <w:tcW w:w="1089" w:type="dxa"/>
            <w:shd w:val="clear" w:color="auto" w:fill="auto"/>
            <w:vAlign w:val="center"/>
          </w:tcPr>
          <w:p>
            <w:pPr>
              <w:widowControl/>
              <w:jc w:val="center"/>
              <w:textAlignment w:val="center"/>
              <w:rPr>
                <w:color w:val="auto"/>
              </w:rPr>
            </w:pPr>
            <w:r>
              <w:rPr>
                <w:color w:val="auto"/>
                <w:kern w:val="0"/>
                <w:szCs w:val="21"/>
                <w:lang w:bidi="ar"/>
              </w:rPr>
              <w:t xml:space="preserve">0.1549 </w:t>
            </w:r>
          </w:p>
        </w:tc>
        <w:tc>
          <w:tcPr>
            <w:tcW w:w="860" w:type="dxa"/>
            <w:vMerge w:val="continue"/>
            <w:shd w:val="clear" w:color="auto" w:fill="auto"/>
            <w:vAlign w:val="center"/>
          </w:tcPr>
          <w:p>
            <w:pPr>
              <w:pStyle w:val="164"/>
              <w:spacing w:line="360" w:lineRule="exact"/>
              <w:rPr>
                <w:color w:val="auto"/>
              </w:rPr>
            </w:pPr>
          </w:p>
        </w:tc>
        <w:tc>
          <w:tcPr>
            <w:tcW w:w="702" w:type="dxa"/>
            <w:shd w:val="clear" w:color="auto" w:fill="auto"/>
            <w:vAlign w:val="center"/>
          </w:tcPr>
          <w:p>
            <w:pPr>
              <w:pStyle w:val="164"/>
              <w:spacing w:line="360" w:lineRule="exact"/>
              <w:rPr>
                <w:color w:val="auto"/>
              </w:rPr>
            </w:pPr>
            <w:r>
              <w:rPr>
                <w:color w:val="auto"/>
              </w:rPr>
              <w:t>25.15</w:t>
            </w:r>
          </w:p>
        </w:tc>
        <w:tc>
          <w:tcPr>
            <w:tcW w:w="915" w:type="dxa"/>
            <w:shd w:val="clear" w:color="auto" w:fill="auto"/>
            <w:vAlign w:val="center"/>
          </w:tcPr>
          <w:p>
            <w:pPr>
              <w:pStyle w:val="164"/>
              <w:spacing w:line="360" w:lineRule="exact"/>
              <w:rPr>
                <w:color w:val="auto"/>
              </w:rPr>
            </w:pPr>
            <w:r>
              <w:rPr>
                <w:color w:val="auto"/>
                <w:szCs w:val="21"/>
              </w:rPr>
              <w:t>3.66</w:t>
            </w:r>
          </w:p>
        </w:tc>
        <w:tc>
          <w:tcPr>
            <w:tcW w:w="1297" w:type="dxa"/>
            <w:shd w:val="clear" w:color="auto" w:fill="auto"/>
            <w:vAlign w:val="center"/>
          </w:tcPr>
          <w:p>
            <w:pPr>
              <w:widowControl/>
              <w:jc w:val="center"/>
              <w:textAlignment w:val="center"/>
              <w:rPr>
                <w:color w:val="auto"/>
              </w:rPr>
            </w:pPr>
            <w:r>
              <w:rPr>
                <w:color w:val="auto"/>
                <w:kern w:val="0"/>
                <w:szCs w:val="21"/>
                <w:lang w:bidi="ar"/>
              </w:rPr>
              <w:t xml:space="preserve">0.0220 </w:t>
            </w:r>
          </w:p>
        </w:tc>
        <w:tc>
          <w:tcPr>
            <w:tcW w:w="1094" w:type="dxa"/>
            <w:shd w:val="clear" w:color="auto" w:fill="auto"/>
            <w:vAlign w:val="center"/>
          </w:tcPr>
          <w:p>
            <w:pPr>
              <w:widowControl/>
              <w:jc w:val="center"/>
              <w:textAlignment w:val="center"/>
              <w:rPr>
                <w:color w:val="auto"/>
              </w:rPr>
            </w:pPr>
            <w:r>
              <w:rPr>
                <w:color w:val="auto"/>
                <w:kern w:val="0"/>
                <w:szCs w:val="21"/>
                <w:lang w:bidi="ar"/>
              </w:rPr>
              <w:t xml:space="preserve">0.1159 </w:t>
            </w:r>
          </w:p>
        </w:tc>
        <w:tc>
          <w:tcPr>
            <w:tcW w:w="647" w:type="dxa"/>
            <w:shd w:val="clear" w:color="auto" w:fill="auto"/>
            <w:vAlign w:val="center"/>
          </w:tcPr>
          <w:p>
            <w:pPr>
              <w:pStyle w:val="164"/>
              <w:spacing w:line="360" w:lineRule="exact"/>
              <w:rPr>
                <w:color w:val="auto"/>
                <w:szCs w:val="21"/>
              </w:rPr>
            </w:pPr>
            <w:r>
              <w:rPr>
                <w:color w:val="auto"/>
                <w:szCs w:val="21"/>
              </w:rPr>
              <w:t>/</w:t>
            </w:r>
          </w:p>
        </w:tc>
        <w:tc>
          <w:tcPr>
            <w:tcW w:w="698" w:type="dxa"/>
            <w:shd w:val="clear" w:color="auto" w:fill="auto"/>
            <w:vAlign w:val="center"/>
          </w:tcPr>
          <w:p>
            <w:pPr>
              <w:pStyle w:val="164"/>
              <w:spacing w:line="360" w:lineRule="exact"/>
              <w:rPr>
                <w:color w:val="auto"/>
                <w:szCs w:val="21"/>
              </w:rPr>
            </w:pPr>
            <w:r>
              <w:rPr>
                <w:color w:val="auto"/>
                <w:szCs w:val="21"/>
              </w:rPr>
              <w:t>4.9</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59" w:hRule="atLeast"/>
          <w:jc w:val="center"/>
        </w:trPr>
        <w:tc>
          <w:tcPr>
            <w:tcW w:w="434" w:type="dxa"/>
            <w:vMerge w:val="continue"/>
            <w:shd w:val="clear" w:color="auto" w:fill="auto"/>
            <w:vAlign w:val="center"/>
          </w:tcPr>
          <w:p>
            <w:pPr>
              <w:pStyle w:val="164"/>
              <w:spacing w:line="360" w:lineRule="exact"/>
              <w:rPr>
                <w:color w:val="auto"/>
                <w:szCs w:val="20"/>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860" w:type="dxa"/>
            <w:shd w:val="clear" w:color="auto" w:fill="auto"/>
            <w:vAlign w:val="center"/>
          </w:tcPr>
          <w:p>
            <w:pPr>
              <w:pStyle w:val="164"/>
              <w:spacing w:line="360" w:lineRule="exact"/>
              <w:rPr>
                <w:color w:val="auto"/>
              </w:rPr>
            </w:pPr>
            <w:r>
              <w:rPr>
                <w:color w:val="auto"/>
              </w:rPr>
              <w:t>H</w:t>
            </w:r>
            <w:r>
              <w:rPr>
                <w:color w:val="auto"/>
                <w:vertAlign w:val="subscript"/>
              </w:rPr>
              <w:t>2</w:t>
            </w:r>
            <w:r>
              <w:rPr>
                <w:color w:val="auto"/>
              </w:rPr>
              <w:t>S</w:t>
            </w:r>
          </w:p>
        </w:tc>
        <w:tc>
          <w:tcPr>
            <w:tcW w:w="759" w:type="dxa"/>
            <w:vMerge w:val="continue"/>
            <w:shd w:val="clear" w:color="auto" w:fill="auto"/>
            <w:vAlign w:val="center"/>
          </w:tcPr>
          <w:p>
            <w:pPr>
              <w:pStyle w:val="164"/>
              <w:spacing w:line="360" w:lineRule="exact"/>
              <w:rPr>
                <w:color w:val="auto"/>
              </w:rPr>
            </w:pPr>
          </w:p>
        </w:tc>
        <w:tc>
          <w:tcPr>
            <w:tcW w:w="808" w:type="dxa"/>
            <w:shd w:val="clear" w:color="auto" w:fill="auto"/>
            <w:vAlign w:val="center"/>
          </w:tcPr>
          <w:p>
            <w:pPr>
              <w:pStyle w:val="164"/>
              <w:spacing w:line="360" w:lineRule="exact"/>
              <w:rPr>
                <w:color w:val="auto"/>
              </w:rPr>
            </w:pPr>
            <w:r>
              <w:rPr>
                <w:color w:val="auto"/>
              </w:rPr>
              <w:t>0.03</w:t>
            </w:r>
          </w:p>
        </w:tc>
        <w:tc>
          <w:tcPr>
            <w:tcW w:w="1087" w:type="dxa"/>
            <w:shd w:val="clear" w:color="auto" w:fill="auto"/>
            <w:vAlign w:val="center"/>
          </w:tcPr>
          <w:p>
            <w:pPr>
              <w:widowControl/>
              <w:jc w:val="center"/>
              <w:textAlignment w:val="center"/>
              <w:rPr>
                <w:color w:val="auto"/>
              </w:rPr>
            </w:pPr>
            <w:r>
              <w:rPr>
                <w:color w:val="auto"/>
                <w:kern w:val="0"/>
                <w:szCs w:val="21"/>
                <w:lang w:bidi="ar"/>
              </w:rPr>
              <w:t>0.00018</w:t>
            </w:r>
          </w:p>
        </w:tc>
        <w:tc>
          <w:tcPr>
            <w:tcW w:w="1089" w:type="dxa"/>
            <w:shd w:val="clear" w:color="auto" w:fill="auto"/>
            <w:vAlign w:val="center"/>
          </w:tcPr>
          <w:p>
            <w:pPr>
              <w:widowControl/>
              <w:jc w:val="center"/>
              <w:textAlignment w:val="center"/>
              <w:rPr>
                <w:color w:val="auto"/>
              </w:rPr>
            </w:pPr>
            <w:r>
              <w:rPr>
                <w:color w:val="auto"/>
                <w:kern w:val="0"/>
                <w:szCs w:val="21"/>
                <w:lang w:bidi="ar"/>
              </w:rPr>
              <w:t xml:space="preserve">0.0010 </w:t>
            </w:r>
          </w:p>
        </w:tc>
        <w:tc>
          <w:tcPr>
            <w:tcW w:w="860" w:type="dxa"/>
            <w:vMerge w:val="continue"/>
            <w:shd w:val="clear" w:color="auto" w:fill="auto"/>
            <w:vAlign w:val="center"/>
          </w:tcPr>
          <w:p>
            <w:pPr>
              <w:pStyle w:val="164"/>
              <w:spacing w:line="360" w:lineRule="exact"/>
              <w:rPr>
                <w:color w:val="auto"/>
              </w:rPr>
            </w:pPr>
          </w:p>
        </w:tc>
        <w:tc>
          <w:tcPr>
            <w:tcW w:w="702" w:type="dxa"/>
            <w:shd w:val="clear" w:color="auto" w:fill="auto"/>
            <w:vAlign w:val="center"/>
          </w:tcPr>
          <w:p>
            <w:pPr>
              <w:pStyle w:val="164"/>
              <w:spacing w:line="360" w:lineRule="exact"/>
              <w:rPr>
                <w:color w:val="auto"/>
              </w:rPr>
            </w:pPr>
            <w:r>
              <w:rPr>
                <w:color w:val="auto"/>
              </w:rPr>
              <w:t>33.33</w:t>
            </w:r>
          </w:p>
        </w:tc>
        <w:tc>
          <w:tcPr>
            <w:tcW w:w="915" w:type="dxa"/>
            <w:shd w:val="clear" w:color="auto" w:fill="auto"/>
            <w:vAlign w:val="center"/>
          </w:tcPr>
          <w:p>
            <w:pPr>
              <w:pStyle w:val="164"/>
              <w:spacing w:line="360" w:lineRule="exact"/>
              <w:rPr>
                <w:color w:val="auto"/>
              </w:rPr>
            </w:pPr>
            <w:r>
              <w:rPr>
                <w:color w:val="auto"/>
                <w:szCs w:val="21"/>
              </w:rPr>
              <w:t>0.02</w:t>
            </w:r>
          </w:p>
        </w:tc>
        <w:tc>
          <w:tcPr>
            <w:tcW w:w="1297" w:type="dxa"/>
            <w:shd w:val="clear" w:color="auto" w:fill="auto"/>
            <w:vAlign w:val="center"/>
          </w:tcPr>
          <w:p>
            <w:pPr>
              <w:widowControl/>
              <w:jc w:val="center"/>
              <w:textAlignment w:val="center"/>
              <w:rPr>
                <w:color w:val="auto"/>
              </w:rPr>
            </w:pPr>
            <w:r>
              <w:rPr>
                <w:color w:val="auto"/>
                <w:kern w:val="0"/>
                <w:szCs w:val="21"/>
                <w:lang w:bidi="ar"/>
              </w:rPr>
              <w:t xml:space="preserve">0.0001 </w:t>
            </w:r>
          </w:p>
        </w:tc>
        <w:tc>
          <w:tcPr>
            <w:tcW w:w="1094" w:type="dxa"/>
            <w:shd w:val="clear" w:color="auto" w:fill="auto"/>
            <w:vAlign w:val="center"/>
          </w:tcPr>
          <w:p>
            <w:pPr>
              <w:widowControl/>
              <w:jc w:val="center"/>
              <w:textAlignment w:val="center"/>
              <w:rPr>
                <w:color w:val="auto"/>
              </w:rPr>
            </w:pPr>
            <w:r>
              <w:rPr>
                <w:color w:val="auto"/>
                <w:kern w:val="0"/>
                <w:szCs w:val="21"/>
                <w:lang w:bidi="ar"/>
              </w:rPr>
              <w:t xml:space="preserve">0.0006 </w:t>
            </w:r>
          </w:p>
        </w:tc>
        <w:tc>
          <w:tcPr>
            <w:tcW w:w="647" w:type="dxa"/>
            <w:shd w:val="clear" w:color="auto" w:fill="auto"/>
            <w:vAlign w:val="center"/>
          </w:tcPr>
          <w:p>
            <w:pPr>
              <w:pStyle w:val="164"/>
              <w:spacing w:line="360" w:lineRule="exact"/>
              <w:rPr>
                <w:color w:val="auto"/>
                <w:szCs w:val="21"/>
              </w:rPr>
            </w:pPr>
            <w:r>
              <w:rPr>
                <w:color w:val="auto"/>
                <w:szCs w:val="21"/>
              </w:rPr>
              <w:t>/</w:t>
            </w:r>
          </w:p>
        </w:tc>
        <w:tc>
          <w:tcPr>
            <w:tcW w:w="698" w:type="dxa"/>
            <w:shd w:val="clear" w:color="auto" w:fill="auto"/>
            <w:vAlign w:val="center"/>
          </w:tcPr>
          <w:p>
            <w:pPr>
              <w:pStyle w:val="164"/>
              <w:spacing w:line="360" w:lineRule="exact"/>
              <w:rPr>
                <w:color w:val="auto"/>
                <w:szCs w:val="21"/>
              </w:rPr>
            </w:pPr>
            <w:r>
              <w:rPr>
                <w:color w:val="auto"/>
                <w:szCs w:val="21"/>
              </w:rPr>
              <w:t>0.33</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33" w:hRule="atLeast"/>
          <w:jc w:val="center"/>
        </w:trPr>
        <w:tc>
          <w:tcPr>
            <w:tcW w:w="434" w:type="dxa"/>
            <w:vMerge w:val="continue"/>
            <w:shd w:val="clear" w:color="auto" w:fill="auto"/>
            <w:vAlign w:val="center"/>
          </w:tcPr>
          <w:p>
            <w:pPr>
              <w:pStyle w:val="164"/>
              <w:spacing w:line="360" w:lineRule="exact"/>
              <w:rPr>
                <w:color w:val="auto"/>
                <w:szCs w:val="20"/>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860" w:type="dxa"/>
            <w:shd w:val="clear" w:color="auto" w:fill="auto"/>
            <w:vAlign w:val="center"/>
          </w:tcPr>
          <w:p>
            <w:pPr>
              <w:pStyle w:val="164"/>
              <w:spacing w:line="240" w:lineRule="auto"/>
              <w:rPr>
                <w:color w:val="auto"/>
              </w:rPr>
            </w:pPr>
            <w:r>
              <w:rPr>
                <w:color w:val="auto"/>
              </w:rPr>
              <w:t>非甲烷总烃</w:t>
            </w:r>
          </w:p>
        </w:tc>
        <w:tc>
          <w:tcPr>
            <w:tcW w:w="759" w:type="dxa"/>
            <w:vMerge w:val="continue"/>
            <w:shd w:val="clear" w:color="auto" w:fill="auto"/>
            <w:vAlign w:val="center"/>
          </w:tcPr>
          <w:p>
            <w:pPr>
              <w:pStyle w:val="164"/>
              <w:spacing w:line="360" w:lineRule="exact"/>
              <w:rPr>
                <w:color w:val="auto"/>
              </w:rPr>
            </w:pPr>
          </w:p>
        </w:tc>
        <w:tc>
          <w:tcPr>
            <w:tcW w:w="808" w:type="dxa"/>
            <w:shd w:val="clear" w:color="auto" w:fill="auto"/>
            <w:vAlign w:val="center"/>
          </w:tcPr>
          <w:p>
            <w:pPr>
              <w:pStyle w:val="164"/>
              <w:spacing w:line="360" w:lineRule="exact"/>
              <w:rPr>
                <w:color w:val="auto"/>
              </w:rPr>
            </w:pPr>
            <w:r>
              <w:rPr>
                <w:color w:val="auto"/>
              </w:rPr>
              <w:t>1.10</w:t>
            </w:r>
          </w:p>
        </w:tc>
        <w:tc>
          <w:tcPr>
            <w:tcW w:w="1087" w:type="dxa"/>
            <w:shd w:val="clear" w:color="auto" w:fill="auto"/>
            <w:vAlign w:val="center"/>
          </w:tcPr>
          <w:p>
            <w:pPr>
              <w:widowControl/>
              <w:jc w:val="center"/>
              <w:textAlignment w:val="center"/>
              <w:rPr>
                <w:color w:val="auto"/>
              </w:rPr>
            </w:pPr>
            <w:r>
              <w:rPr>
                <w:color w:val="auto"/>
                <w:kern w:val="0"/>
                <w:szCs w:val="21"/>
                <w:lang w:bidi="ar"/>
              </w:rPr>
              <w:t>0.0066</w:t>
            </w:r>
          </w:p>
        </w:tc>
        <w:tc>
          <w:tcPr>
            <w:tcW w:w="1089" w:type="dxa"/>
            <w:shd w:val="clear" w:color="auto" w:fill="auto"/>
            <w:vAlign w:val="center"/>
          </w:tcPr>
          <w:p>
            <w:pPr>
              <w:widowControl/>
              <w:jc w:val="center"/>
              <w:textAlignment w:val="center"/>
              <w:rPr>
                <w:color w:val="auto"/>
              </w:rPr>
            </w:pPr>
            <w:r>
              <w:rPr>
                <w:color w:val="auto"/>
                <w:kern w:val="0"/>
                <w:szCs w:val="21"/>
                <w:lang w:bidi="ar"/>
              </w:rPr>
              <w:t xml:space="preserve">0.0348 </w:t>
            </w:r>
          </w:p>
        </w:tc>
        <w:tc>
          <w:tcPr>
            <w:tcW w:w="860" w:type="dxa"/>
            <w:vMerge w:val="continue"/>
            <w:shd w:val="clear" w:color="auto" w:fill="auto"/>
            <w:vAlign w:val="center"/>
          </w:tcPr>
          <w:p>
            <w:pPr>
              <w:pStyle w:val="164"/>
              <w:spacing w:line="360" w:lineRule="exact"/>
              <w:rPr>
                <w:color w:val="auto"/>
              </w:rPr>
            </w:pPr>
          </w:p>
        </w:tc>
        <w:tc>
          <w:tcPr>
            <w:tcW w:w="702" w:type="dxa"/>
            <w:shd w:val="clear" w:color="auto" w:fill="auto"/>
            <w:vAlign w:val="center"/>
          </w:tcPr>
          <w:p>
            <w:pPr>
              <w:pStyle w:val="164"/>
              <w:spacing w:line="360" w:lineRule="exact"/>
              <w:rPr>
                <w:color w:val="auto"/>
              </w:rPr>
            </w:pPr>
            <w:r>
              <w:rPr>
                <w:color w:val="auto"/>
              </w:rPr>
              <w:t>44.54</w:t>
            </w:r>
          </w:p>
        </w:tc>
        <w:tc>
          <w:tcPr>
            <w:tcW w:w="915" w:type="dxa"/>
            <w:shd w:val="clear" w:color="auto" w:fill="auto"/>
            <w:vAlign w:val="center"/>
          </w:tcPr>
          <w:p>
            <w:pPr>
              <w:pStyle w:val="164"/>
              <w:spacing w:line="360" w:lineRule="exact"/>
              <w:rPr>
                <w:color w:val="auto"/>
              </w:rPr>
            </w:pPr>
            <w:r>
              <w:rPr>
                <w:color w:val="auto"/>
                <w:szCs w:val="21"/>
              </w:rPr>
              <w:t>0.61</w:t>
            </w:r>
          </w:p>
        </w:tc>
        <w:tc>
          <w:tcPr>
            <w:tcW w:w="1297" w:type="dxa"/>
            <w:shd w:val="clear" w:color="auto" w:fill="auto"/>
            <w:vAlign w:val="center"/>
          </w:tcPr>
          <w:p>
            <w:pPr>
              <w:widowControl/>
              <w:jc w:val="center"/>
              <w:textAlignment w:val="center"/>
              <w:rPr>
                <w:color w:val="auto"/>
              </w:rPr>
            </w:pPr>
            <w:r>
              <w:rPr>
                <w:color w:val="auto"/>
                <w:kern w:val="0"/>
                <w:szCs w:val="21"/>
                <w:lang w:bidi="ar"/>
              </w:rPr>
              <w:t xml:space="preserve">0.0037 </w:t>
            </w:r>
          </w:p>
        </w:tc>
        <w:tc>
          <w:tcPr>
            <w:tcW w:w="1094" w:type="dxa"/>
            <w:shd w:val="clear" w:color="auto" w:fill="auto"/>
            <w:vAlign w:val="center"/>
          </w:tcPr>
          <w:p>
            <w:pPr>
              <w:widowControl/>
              <w:jc w:val="center"/>
              <w:textAlignment w:val="center"/>
              <w:rPr>
                <w:color w:val="auto"/>
              </w:rPr>
            </w:pPr>
            <w:r>
              <w:rPr>
                <w:color w:val="auto"/>
                <w:kern w:val="0"/>
                <w:szCs w:val="21"/>
                <w:lang w:bidi="ar"/>
              </w:rPr>
              <w:t xml:space="preserve">0.0193 </w:t>
            </w:r>
          </w:p>
        </w:tc>
        <w:tc>
          <w:tcPr>
            <w:tcW w:w="647" w:type="dxa"/>
            <w:shd w:val="clear" w:color="auto" w:fill="auto"/>
            <w:vAlign w:val="center"/>
          </w:tcPr>
          <w:p>
            <w:pPr>
              <w:pStyle w:val="164"/>
              <w:spacing w:line="360" w:lineRule="exact"/>
              <w:rPr>
                <w:color w:val="auto"/>
                <w:szCs w:val="21"/>
              </w:rPr>
            </w:pPr>
            <w:r>
              <w:rPr>
                <w:color w:val="auto"/>
                <w:szCs w:val="21"/>
              </w:rPr>
              <w:t>20</w:t>
            </w:r>
          </w:p>
        </w:tc>
        <w:tc>
          <w:tcPr>
            <w:tcW w:w="698" w:type="dxa"/>
            <w:shd w:val="clear" w:color="auto" w:fill="auto"/>
            <w:vAlign w:val="center"/>
          </w:tcPr>
          <w:p>
            <w:pPr>
              <w:pStyle w:val="164"/>
              <w:spacing w:line="360" w:lineRule="exact"/>
              <w:rPr>
                <w:color w:val="auto"/>
                <w:szCs w:val="21"/>
              </w:rPr>
            </w:pPr>
            <w:r>
              <w:rPr>
                <w:color w:val="auto"/>
                <w:szCs w:val="21"/>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05" w:hRule="atLeast"/>
          <w:jc w:val="center"/>
        </w:trPr>
        <w:tc>
          <w:tcPr>
            <w:tcW w:w="434" w:type="dxa"/>
            <w:vMerge w:val="continue"/>
            <w:shd w:val="clear" w:color="auto" w:fill="auto"/>
            <w:vAlign w:val="center"/>
          </w:tcPr>
          <w:p>
            <w:pPr>
              <w:pStyle w:val="164"/>
              <w:spacing w:line="360" w:lineRule="exact"/>
              <w:rPr>
                <w:color w:val="auto"/>
                <w:szCs w:val="20"/>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860" w:type="dxa"/>
            <w:shd w:val="clear" w:color="auto" w:fill="auto"/>
            <w:vAlign w:val="center"/>
          </w:tcPr>
          <w:p>
            <w:pPr>
              <w:pStyle w:val="164"/>
              <w:spacing w:line="240" w:lineRule="auto"/>
              <w:rPr>
                <w:color w:val="auto"/>
              </w:rPr>
            </w:pPr>
            <w:r>
              <w:rPr>
                <w:color w:val="auto"/>
              </w:rPr>
              <w:t>臭气浓度</w:t>
            </w:r>
          </w:p>
        </w:tc>
        <w:tc>
          <w:tcPr>
            <w:tcW w:w="759" w:type="dxa"/>
            <w:vMerge w:val="continue"/>
            <w:shd w:val="clear" w:color="auto" w:fill="auto"/>
            <w:vAlign w:val="center"/>
          </w:tcPr>
          <w:p>
            <w:pPr>
              <w:pStyle w:val="164"/>
              <w:spacing w:line="360" w:lineRule="exact"/>
              <w:rPr>
                <w:color w:val="auto"/>
              </w:rPr>
            </w:pPr>
          </w:p>
        </w:tc>
        <w:tc>
          <w:tcPr>
            <w:tcW w:w="808" w:type="dxa"/>
            <w:shd w:val="clear" w:color="auto" w:fill="auto"/>
            <w:vAlign w:val="center"/>
          </w:tcPr>
          <w:p>
            <w:pPr>
              <w:pStyle w:val="164"/>
              <w:spacing w:line="360" w:lineRule="exact"/>
              <w:rPr>
                <w:color w:val="auto"/>
              </w:rPr>
            </w:pPr>
            <w:r>
              <w:rPr>
                <w:color w:val="auto"/>
              </w:rPr>
              <w:t>753</w:t>
            </w:r>
          </w:p>
        </w:tc>
        <w:tc>
          <w:tcPr>
            <w:tcW w:w="1087" w:type="dxa"/>
            <w:shd w:val="clear" w:color="auto" w:fill="auto"/>
            <w:vAlign w:val="center"/>
          </w:tcPr>
          <w:p>
            <w:pPr>
              <w:pStyle w:val="164"/>
              <w:spacing w:line="360" w:lineRule="exact"/>
              <w:rPr>
                <w:color w:val="auto"/>
              </w:rPr>
            </w:pPr>
            <w:r>
              <w:rPr>
                <w:color w:val="auto"/>
              </w:rPr>
              <w:t>/</w:t>
            </w:r>
          </w:p>
        </w:tc>
        <w:tc>
          <w:tcPr>
            <w:tcW w:w="1089" w:type="dxa"/>
            <w:shd w:val="clear" w:color="auto" w:fill="auto"/>
            <w:vAlign w:val="center"/>
          </w:tcPr>
          <w:p>
            <w:pPr>
              <w:pStyle w:val="164"/>
              <w:spacing w:line="360" w:lineRule="exact"/>
              <w:rPr>
                <w:color w:val="auto"/>
              </w:rPr>
            </w:pPr>
            <w:r>
              <w:rPr>
                <w:color w:val="auto"/>
              </w:rPr>
              <w:t>/</w:t>
            </w:r>
          </w:p>
        </w:tc>
        <w:tc>
          <w:tcPr>
            <w:tcW w:w="860" w:type="dxa"/>
            <w:vMerge w:val="continue"/>
            <w:shd w:val="clear" w:color="auto" w:fill="auto"/>
            <w:vAlign w:val="center"/>
          </w:tcPr>
          <w:p>
            <w:pPr>
              <w:pStyle w:val="164"/>
              <w:spacing w:line="360" w:lineRule="exact"/>
              <w:rPr>
                <w:color w:val="auto"/>
              </w:rPr>
            </w:pPr>
          </w:p>
        </w:tc>
        <w:tc>
          <w:tcPr>
            <w:tcW w:w="702" w:type="dxa"/>
            <w:shd w:val="clear" w:color="auto" w:fill="auto"/>
            <w:vAlign w:val="center"/>
          </w:tcPr>
          <w:p>
            <w:pPr>
              <w:pStyle w:val="164"/>
              <w:spacing w:line="360" w:lineRule="exact"/>
              <w:rPr>
                <w:color w:val="auto"/>
              </w:rPr>
            </w:pPr>
            <w:r>
              <w:rPr>
                <w:color w:val="auto"/>
              </w:rPr>
              <w:t>25.1</w:t>
            </w:r>
          </w:p>
        </w:tc>
        <w:tc>
          <w:tcPr>
            <w:tcW w:w="915" w:type="dxa"/>
            <w:shd w:val="clear" w:color="auto" w:fill="auto"/>
            <w:vAlign w:val="center"/>
          </w:tcPr>
          <w:p>
            <w:pPr>
              <w:pStyle w:val="164"/>
              <w:spacing w:line="360" w:lineRule="exact"/>
              <w:rPr>
                <w:color w:val="auto"/>
              </w:rPr>
            </w:pPr>
            <w:r>
              <w:rPr>
                <w:color w:val="auto"/>
              </w:rPr>
              <w:t>564</w:t>
            </w:r>
          </w:p>
        </w:tc>
        <w:tc>
          <w:tcPr>
            <w:tcW w:w="1297" w:type="dxa"/>
            <w:shd w:val="clear" w:color="auto" w:fill="auto"/>
            <w:vAlign w:val="center"/>
          </w:tcPr>
          <w:p>
            <w:pPr>
              <w:pStyle w:val="164"/>
              <w:spacing w:line="360" w:lineRule="exact"/>
              <w:rPr>
                <w:color w:val="auto"/>
              </w:rPr>
            </w:pPr>
            <w:r>
              <w:rPr>
                <w:color w:val="auto"/>
              </w:rPr>
              <w:t>/</w:t>
            </w:r>
          </w:p>
        </w:tc>
        <w:tc>
          <w:tcPr>
            <w:tcW w:w="1094" w:type="dxa"/>
            <w:shd w:val="clear" w:color="auto" w:fill="auto"/>
            <w:vAlign w:val="center"/>
          </w:tcPr>
          <w:p>
            <w:pPr>
              <w:pStyle w:val="164"/>
              <w:spacing w:line="360" w:lineRule="exact"/>
              <w:rPr>
                <w:color w:val="auto"/>
              </w:rPr>
            </w:pPr>
            <w:r>
              <w:rPr>
                <w:color w:val="auto"/>
              </w:rPr>
              <w:t>/</w:t>
            </w:r>
          </w:p>
        </w:tc>
        <w:tc>
          <w:tcPr>
            <w:tcW w:w="647" w:type="dxa"/>
            <w:shd w:val="clear" w:color="auto" w:fill="auto"/>
            <w:vAlign w:val="center"/>
          </w:tcPr>
          <w:p>
            <w:pPr>
              <w:pStyle w:val="164"/>
              <w:spacing w:line="360" w:lineRule="exact"/>
              <w:rPr>
                <w:color w:val="auto"/>
              </w:rPr>
            </w:pPr>
            <w:r>
              <w:rPr>
                <w:color w:val="auto"/>
              </w:rPr>
              <w:t>2000</w:t>
            </w:r>
          </w:p>
        </w:tc>
        <w:tc>
          <w:tcPr>
            <w:tcW w:w="698" w:type="dxa"/>
            <w:shd w:val="clear" w:color="auto" w:fill="auto"/>
            <w:vAlign w:val="center"/>
          </w:tcPr>
          <w:p>
            <w:pPr>
              <w:pStyle w:val="164"/>
              <w:spacing w:line="360" w:lineRule="exact"/>
              <w:rPr>
                <w:color w:val="auto"/>
              </w:rPr>
            </w:pPr>
            <w:r>
              <w:rPr>
                <w:color w:val="auto"/>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05" w:hRule="atLeast"/>
          <w:jc w:val="center"/>
        </w:trPr>
        <w:tc>
          <w:tcPr>
            <w:tcW w:w="434" w:type="dxa"/>
            <w:vMerge w:val="restart"/>
            <w:shd w:val="clear" w:color="auto" w:fill="auto"/>
            <w:vAlign w:val="center"/>
          </w:tcPr>
          <w:p>
            <w:pPr>
              <w:pStyle w:val="164"/>
              <w:spacing w:line="240" w:lineRule="auto"/>
              <w:rPr>
                <w:color w:val="auto"/>
                <w:szCs w:val="20"/>
              </w:rPr>
            </w:pPr>
            <w:r>
              <w:rPr>
                <w:color w:val="auto"/>
                <w:szCs w:val="20"/>
              </w:rPr>
              <w:t>3</w:t>
            </w:r>
          </w:p>
        </w:tc>
        <w:tc>
          <w:tcPr>
            <w:tcW w:w="434" w:type="dxa"/>
            <w:vMerge w:val="restart"/>
            <w:shd w:val="clear" w:color="auto" w:fill="auto"/>
            <w:vAlign w:val="center"/>
          </w:tcPr>
          <w:p>
            <w:pPr>
              <w:pStyle w:val="164"/>
              <w:spacing w:line="240" w:lineRule="auto"/>
              <w:rPr>
                <w:color w:val="auto"/>
              </w:rPr>
            </w:pPr>
            <w:r>
              <w:rPr>
                <w:color w:val="auto"/>
              </w:rPr>
              <w:t>1#排气筒</w:t>
            </w:r>
          </w:p>
        </w:tc>
        <w:tc>
          <w:tcPr>
            <w:tcW w:w="434" w:type="dxa"/>
            <w:vMerge w:val="restart"/>
            <w:shd w:val="clear" w:color="auto" w:fill="auto"/>
            <w:vAlign w:val="center"/>
          </w:tcPr>
          <w:p>
            <w:pPr>
              <w:pStyle w:val="164"/>
              <w:spacing w:line="240" w:lineRule="auto"/>
              <w:rPr>
                <w:color w:val="auto"/>
              </w:rPr>
            </w:pPr>
            <w:r>
              <w:rPr>
                <w:color w:val="auto"/>
              </w:rPr>
              <w:t>医废</w:t>
            </w:r>
          </w:p>
          <w:p>
            <w:pPr>
              <w:pStyle w:val="164"/>
              <w:spacing w:line="240" w:lineRule="auto"/>
              <w:rPr>
                <w:color w:val="auto"/>
              </w:rPr>
            </w:pPr>
            <w:r>
              <w:rPr>
                <w:color w:val="auto"/>
              </w:rPr>
              <w:t>暂存间+灭菌系统</w:t>
            </w:r>
          </w:p>
        </w:tc>
        <w:tc>
          <w:tcPr>
            <w:tcW w:w="434" w:type="dxa"/>
            <w:vMerge w:val="restart"/>
            <w:shd w:val="clear" w:color="auto" w:fill="auto"/>
            <w:vAlign w:val="center"/>
          </w:tcPr>
          <w:p>
            <w:pPr>
              <w:pStyle w:val="164"/>
              <w:spacing w:line="240" w:lineRule="auto"/>
              <w:rPr>
                <w:color w:val="auto"/>
              </w:rPr>
            </w:pPr>
            <w:r>
              <w:rPr>
                <w:color w:val="auto"/>
              </w:rPr>
              <w:t>间歇</w:t>
            </w:r>
          </w:p>
        </w:tc>
        <w:tc>
          <w:tcPr>
            <w:tcW w:w="860" w:type="dxa"/>
            <w:shd w:val="clear" w:color="auto" w:fill="auto"/>
            <w:vAlign w:val="center"/>
          </w:tcPr>
          <w:p>
            <w:pPr>
              <w:pStyle w:val="164"/>
              <w:spacing w:line="240" w:lineRule="auto"/>
              <w:rPr>
                <w:color w:val="auto"/>
              </w:rPr>
            </w:pPr>
            <w:r>
              <w:rPr>
                <w:color w:val="auto"/>
              </w:rPr>
              <w:t>颗粒物</w:t>
            </w:r>
          </w:p>
        </w:tc>
        <w:tc>
          <w:tcPr>
            <w:tcW w:w="759" w:type="dxa"/>
            <w:vMerge w:val="restart"/>
            <w:shd w:val="clear" w:color="auto" w:fill="auto"/>
            <w:vAlign w:val="center"/>
          </w:tcPr>
          <w:p>
            <w:pPr>
              <w:pStyle w:val="164"/>
              <w:spacing w:line="240" w:lineRule="auto"/>
              <w:rPr>
                <w:color w:val="auto"/>
              </w:rPr>
            </w:pPr>
            <w:r>
              <w:rPr>
                <w:rFonts w:hint="eastAsia"/>
                <w:color w:val="auto"/>
              </w:rPr>
              <w:t>6100</w:t>
            </w:r>
          </w:p>
        </w:tc>
        <w:tc>
          <w:tcPr>
            <w:tcW w:w="808" w:type="dxa"/>
            <w:shd w:val="clear" w:color="auto" w:fill="auto"/>
            <w:vAlign w:val="center"/>
          </w:tcPr>
          <w:p>
            <w:pPr>
              <w:pStyle w:val="164"/>
              <w:spacing w:line="240" w:lineRule="auto"/>
              <w:rPr>
                <w:color w:val="auto"/>
              </w:rPr>
            </w:pPr>
            <w:r>
              <w:rPr>
                <w:color w:val="auto"/>
                <w:szCs w:val="21"/>
              </w:rPr>
              <w:t>/</w:t>
            </w:r>
          </w:p>
        </w:tc>
        <w:tc>
          <w:tcPr>
            <w:tcW w:w="1087" w:type="dxa"/>
            <w:shd w:val="clear" w:color="auto" w:fill="auto"/>
            <w:vAlign w:val="center"/>
          </w:tcPr>
          <w:p>
            <w:pPr>
              <w:pStyle w:val="164"/>
              <w:spacing w:line="240" w:lineRule="auto"/>
              <w:rPr>
                <w:color w:val="auto"/>
              </w:rPr>
            </w:pPr>
            <w:r>
              <w:rPr>
                <w:color w:val="auto"/>
                <w:szCs w:val="21"/>
              </w:rPr>
              <w:t>/</w:t>
            </w:r>
          </w:p>
        </w:tc>
        <w:tc>
          <w:tcPr>
            <w:tcW w:w="1089" w:type="dxa"/>
            <w:shd w:val="clear" w:color="auto" w:fill="auto"/>
            <w:vAlign w:val="center"/>
          </w:tcPr>
          <w:p>
            <w:pPr>
              <w:pStyle w:val="164"/>
              <w:spacing w:line="240" w:lineRule="auto"/>
              <w:rPr>
                <w:color w:val="auto"/>
              </w:rPr>
            </w:pPr>
            <w:r>
              <w:rPr>
                <w:rFonts w:hint="eastAsia"/>
                <w:color w:val="auto"/>
              </w:rPr>
              <w:t>0.6336</w:t>
            </w:r>
          </w:p>
        </w:tc>
        <w:tc>
          <w:tcPr>
            <w:tcW w:w="860" w:type="dxa"/>
            <w:vMerge w:val="restart"/>
            <w:shd w:val="clear" w:color="auto" w:fill="auto"/>
            <w:vAlign w:val="center"/>
          </w:tcPr>
          <w:p>
            <w:pPr>
              <w:pStyle w:val="164"/>
              <w:spacing w:line="240" w:lineRule="auto"/>
              <w:rPr>
                <w:color w:val="auto"/>
              </w:rPr>
            </w:pPr>
            <w:r>
              <w:rPr>
                <w:color w:val="auto"/>
              </w:rPr>
              <w:t>生物过滤+活性炭+碱洗喷淋+等离子+活性炭+15m高排气筒排放（1#）</w:t>
            </w:r>
          </w:p>
        </w:tc>
        <w:tc>
          <w:tcPr>
            <w:tcW w:w="702" w:type="dxa"/>
            <w:shd w:val="clear" w:color="auto" w:fill="auto"/>
            <w:vAlign w:val="center"/>
          </w:tcPr>
          <w:p>
            <w:pPr>
              <w:pStyle w:val="164"/>
              <w:spacing w:line="240" w:lineRule="auto"/>
              <w:rPr>
                <w:color w:val="auto"/>
              </w:rPr>
            </w:pPr>
            <w:r>
              <w:rPr>
                <w:color w:val="auto"/>
              </w:rPr>
              <w:t>86.65</w:t>
            </w:r>
          </w:p>
        </w:tc>
        <w:tc>
          <w:tcPr>
            <w:tcW w:w="915" w:type="dxa"/>
            <w:shd w:val="clear" w:color="auto" w:fill="auto"/>
            <w:vAlign w:val="center"/>
          </w:tcPr>
          <w:p>
            <w:pPr>
              <w:widowControl/>
              <w:jc w:val="center"/>
              <w:textAlignment w:val="center"/>
              <w:rPr>
                <w:color w:val="auto"/>
              </w:rPr>
            </w:pPr>
            <w:r>
              <w:rPr>
                <w:color w:val="auto"/>
                <w:kern w:val="0"/>
                <w:szCs w:val="21"/>
                <w:lang w:bidi="ar"/>
              </w:rPr>
              <w:t>2.67</w:t>
            </w:r>
          </w:p>
        </w:tc>
        <w:tc>
          <w:tcPr>
            <w:tcW w:w="1297" w:type="dxa"/>
            <w:shd w:val="clear" w:color="auto" w:fill="auto"/>
            <w:vAlign w:val="center"/>
          </w:tcPr>
          <w:p>
            <w:pPr>
              <w:widowControl/>
              <w:jc w:val="center"/>
              <w:textAlignment w:val="center"/>
              <w:rPr>
                <w:color w:val="auto"/>
              </w:rPr>
            </w:pPr>
            <w:r>
              <w:rPr>
                <w:color w:val="auto"/>
                <w:kern w:val="0"/>
                <w:szCs w:val="21"/>
                <w:lang w:bidi="ar"/>
              </w:rPr>
              <w:t>0.016</w:t>
            </w:r>
          </w:p>
        </w:tc>
        <w:tc>
          <w:tcPr>
            <w:tcW w:w="1094" w:type="dxa"/>
            <w:shd w:val="clear" w:color="auto" w:fill="auto"/>
            <w:vAlign w:val="center"/>
          </w:tcPr>
          <w:p>
            <w:pPr>
              <w:widowControl/>
              <w:jc w:val="center"/>
              <w:textAlignment w:val="center"/>
              <w:rPr>
                <w:color w:val="auto"/>
              </w:rPr>
            </w:pPr>
            <w:r>
              <w:rPr>
                <w:color w:val="auto"/>
                <w:kern w:val="0"/>
                <w:szCs w:val="21"/>
                <w:lang w:bidi="ar"/>
              </w:rPr>
              <w:t>0.0846</w:t>
            </w:r>
          </w:p>
        </w:tc>
        <w:tc>
          <w:tcPr>
            <w:tcW w:w="647" w:type="dxa"/>
            <w:shd w:val="clear" w:color="auto" w:fill="auto"/>
            <w:vAlign w:val="center"/>
          </w:tcPr>
          <w:p>
            <w:pPr>
              <w:pStyle w:val="164"/>
              <w:spacing w:line="240" w:lineRule="auto"/>
              <w:rPr>
                <w:color w:val="auto"/>
                <w:szCs w:val="21"/>
              </w:rPr>
            </w:pPr>
            <w:r>
              <w:rPr>
                <w:color w:val="auto"/>
                <w:szCs w:val="21"/>
              </w:rPr>
              <w:t>120</w:t>
            </w:r>
          </w:p>
        </w:tc>
        <w:tc>
          <w:tcPr>
            <w:tcW w:w="698" w:type="dxa"/>
            <w:shd w:val="clear" w:color="auto" w:fill="auto"/>
            <w:vAlign w:val="center"/>
          </w:tcPr>
          <w:p>
            <w:pPr>
              <w:pStyle w:val="164"/>
              <w:spacing w:line="240" w:lineRule="auto"/>
              <w:rPr>
                <w:color w:val="auto"/>
                <w:szCs w:val="21"/>
              </w:rPr>
            </w:pPr>
            <w:r>
              <w:rPr>
                <w:color w:val="auto"/>
                <w:szCs w:val="21"/>
              </w:rPr>
              <w:t>3.5</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41" w:hRule="atLeast"/>
          <w:jc w:val="center"/>
        </w:trPr>
        <w:tc>
          <w:tcPr>
            <w:tcW w:w="434" w:type="dxa"/>
            <w:vMerge w:val="continue"/>
            <w:shd w:val="clear" w:color="auto" w:fill="auto"/>
            <w:vAlign w:val="center"/>
          </w:tcPr>
          <w:p>
            <w:pPr>
              <w:pStyle w:val="164"/>
              <w:spacing w:line="240" w:lineRule="auto"/>
              <w:rPr>
                <w:color w:val="auto"/>
                <w:szCs w:val="20"/>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860" w:type="dxa"/>
            <w:shd w:val="clear" w:color="auto" w:fill="auto"/>
            <w:vAlign w:val="center"/>
          </w:tcPr>
          <w:p>
            <w:pPr>
              <w:pStyle w:val="164"/>
              <w:spacing w:line="240" w:lineRule="auto"/>
              <w:rPr>
                <w:color w:val="auto"/>
              </w:rPr>
            </w:pPr>
            <w:r>
              <w:rPr>
                <w:color w:val="auto"/>
              </w:rPr>
              <w:t>NH</w:t>
            </w:r>
            <w:r>
              <w:rPr>
                <w:color w:val="auto"/>
                <w:szCs w:val="13"/>
                <w:vertAlign w:val="subscript"/>
              </w:rPr>
              <w:t>3</w:t>
            </w:r>
          </w:p>
        </w:tc>
        <w:tc>
          <w:tcPr>
            <w:tcW w:w="759" w:type="dxa"/>
            <w:vMerge w:val="continue"/>
            <w:shd w:val="clear" w:color="auto" w:fill="auto"/>
            <w:vAlign w:val="center"/>
          </w:tcPr>
          <w:p>
            <w:pPr>
              <w:pStyle w:val="164"/>
              <w:spacing w:line="240" w:lineRule="auto"/>
              <w:rPr>
                <w:color w:val="auto"/>
              </w:rPr>
            </w:pPr>
          </w:p>
        </w:tc>
        <w:tc>
          <w:tcPr>
            <w:tcW w:w="808" w:type="dxa"/>
            <w:shd w:val="clear" w:color="auto" w:fill="auto"/>
            <w:vAlign w:val="center"/>
          </w:tcPr>
          <w:p>
            <w:pPr>
              <w:pStyle w:val="164"/>
              <w:spacing w:line="240" w:lineRule="auto"/>
              <w:rPr>
                <w:color w:val="auto"/>
              </w:rPr>
            </w:pPr>
            <w:r>
              <w:rPr>
                <w:color w:val="auto"/>
                <w:szCs w:val="21"/>
              </w:rPr>
              <w:t>/</w:t>
            </w:r>
          </w:p>
        </w:tc>
        <w:tc>
          <w:tcPr>
            <w:tcW w:w="1087" w:type="dxa"/>
            <w:shd w:val="clear" w:color="auto" w:fill="auto"/>
            <w:vAlign w:val="center"/>
          </w:tcPr>
          <w:p>
            <w:pPr>
              <w:pStyle w:val="164"/>
              <w:spacing w:line="240" w:lineRule="auto"/>
              <w:rPr>
                <w:color w:val="auto"/>
              </w:rPr>
            </w:pPr>
            <w:r>
              <w:rPr>
                <w:color w:val="auto"/>
                <w:szCs w:val="21"/>
              </w:rPr>
              <w:t>/</w:t>
            </w:r>
          </w:p>
        </w:tc>
        <w:tc>
          <w:tcPr>
            <w:tcW w:w="1089" w:type="dxa"/>
            <w:shd w:val="clear" w:color="auto" w:fill="auto"/>
            <w:vAlign w:val="center"/>
          </w:tcPr>
          <w:p>
            <w:pPr>
              <w:pStyle w:val="164"/>
              <w:spacing w:line="240" w:lineRule="auto"/>
              <w:rPr>
                <w:color w:val="auto"/>
              </w:rPr>
            </w:pPr>
            <w:r>
              <w:rPr>
                <w:rFonts w:hint="eastAsia"/>
                <w:color w:val="auto"/>
              </w:rPr>
              <w:t>0.1551</w:t>
            </w:r>
          </w:p>
        </w:tc>
        <w:tc>
          <w:tcPr>
            <w:tcW w:w="860" w:type="dxa"/>
            <w:vMerge w:val="continue"/>
            <w:shd w:val="clear" w:color="auto" w:fill="auto"/>
            <w:vAlign w:val="center"/>
          </w:tcPr>
          <w:p>
            <w:pPr>
              <w:pStyle w:val="164"/>
              <w:spacing w:line="240" w:lineRule="auto"/>
              <w:rPr>
                <w:color w:val="auto"/>
              </w:rPr>
            </w:pPr>
          </w:p>
        </w:tc>
        <w:tc>
          <w:tcPr>
            <w:tcW w:w="702" w:type="dxa"/>
            <w:shd w:val="clear" w:color="auto" w:fill="auto"/>
            <w:vAlign w:val="center"/>
          </w:tcPr>
          <w:p>
            <w:pPr>
              <w:pStyle w:val="164"/>
              <w:spacing w:line="240" w:lineRule="auto"/>
              <w:rPr>
                <w:color w:val="auto"/>
              </w:rPr>
            </w:pPr>
            <w:r>
              <w:rPr>
                <w:color w:val="auto"/>
              </w:rPr>
              <w:t>25.15</w:t>
            </w:r>
          </w:p>
        </w:tc>
        <w:tc>
          <w:tcPr>
            <w:tcW w:w="915" w:type="dxa"/>
            <w:shd w:val="clear" w:color="auto" w:fill="auto"/>
            <w:vAlign w:val="center"/>
          </w:tcPr>
          <w:p>
            <w:pPr>
              <w:widowControl/>
              <w:jc w:val="center"/>
              <w:textAlignment w:val="center"/>
              <w:rPr>
                <w:color w:val="auto"/>
              </w:rPr>
            </w:pPr>
            <w:r>
              <w:rPr>
                <w:color w:val="auto"/>
                <w:kern w:val="0"/>
                <w:szCs w:val="21"/>
                <w:lang w:bidi="ar"/>
              </w:rPr>
              <w:t xml:space="preserve">3.6031 </w:t>
            </w:r>
          </w:p>
        </w:tc>
        <w:tc>
          <w:tcPr>
            <w:tcW w:w="1297" w:type="dxa"/>
            <w:shd w:val="clear" w:color="auto" w:fill="auto"/>
            <w:vAlign w:val="center"/>
          </w:tcPr>
          <w:p>
            <w:pPr>
              <w:widowControl/>
              <w:jc w:val="center"/>
              <w:textAlignment w:val="center"/>
              <w:rPr>
                <w:color w:val="auto"/>
              </w:rPr>
            </w:pPr>
            <w:r>
              <w:rPr>
                <w:color w:val="auto"/>
                <w:kern w:val="0"/>
                <w:szCs w:val="21"/>
                <w:lang w:bidi="ar"/>
              </w:rPr>
              <w:t xml:space="preserve">0.0220 </w:t>
            </w:r>
          </w:p>
        </w:tc>
        <w:tc>
          <w:tcPr>
            <w:tcW w:w="1094" w:type="dxa"/>
            <w:shd w:val="clear" w:color="auto" w:fill="auto"/>
            <w:vAlign w:val="center"/>
          </w:tcPr>
          <w:p>
            <w:pPr>
              <w:widowControl/>
              <w:jc w:val="center"/>
              <w:textAlignment w:val="center"/>
              <w:rPr>
                <w:color w:val="auto"/>
              </w:rPr>
            </w:pPr>
            <w:r>
              <w:rPr>
                <w:color w:val="auto"/>
                <w:kern w:val="0"/>
                <w:szCs w:val="21"/>
                <w:lang w:bidi="ar"/>
              </w:rPr>
              <w:t>0.1160</w:t>
            </w:r>
          </w:p>
        </w:tc>
        <w:tc>
          <w:tcPr>
            <w:tcW w:w="647" w:type="dxa"/>
            <w:shd w:val="clear" w:color="auto" w:fill="auto"/>
            <w:vAlign w:val="center"/>
          </w:tcPr>
          <w:p>
            <w:pPr>
              <w:pStyle w:val="164"/>
              <w:spacing w:line="240" w:lineRule="auto"/>
              <w:rPr>
                <w:color w:val="auto"/>
                <w:szCs w:val="21"/>
              </w:rPr>
            </w:pPr>
            <w:r>
              <w:rPr>
                <w:color w:val="auto"/>
                <w:szCs w:val="21"/>
              </w:rPr>
              <w:t>/</w:t>
            </w:r>
          </w:p>
        </w:tc>
        <w:tc>
          <w:tcPr>
            <w:tcW w:w="698" w:type="dxa"/>
            <w:shd w:val="clear" w:color="auto" w:fill="auto"/>
            <w:vAlign w:val="center"/>
          </w:tcPr>
          <w:p>
            <w:pPr>
              <w:pStyle w:val="164"/>
              <w:spacing w:line="240" w:lineRule="auto"/>
              <w:rPr>
                <w:color w:val="auto"/>
                <w:szCs w:val="21"/>
              </w:rPr>
            </w:pPr>
            <w:r>
              <w:rPr>
                <w:color w:val="auto"/>
                <w:szCs w:val="21"/>
              </w:rPr>
              <w:t>4.9</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02" w:hRule="atLeast"/>
          <w:jc w:val="center"/>
        </w:trPr>
        <w:tc>
          <w:tcPr>
            <w:tcW w:w="434" w:type="dxa"/>
            <w:vMerge w:val="continue"/>
            <w:shd w:val="clear" w:color="auto" w:fill="auto"/>
            <w:vAlign w:val="center"/>
          </w:tcPr>
          <w:p>
            <w:pPr>
              <w:pStyle w:val="164"/>
              <w:spacing w:line="240" w:lineRule="auto"/>
              <w:rPr>
                <w:color w:val="auto"/>
                <w:szCs w:val="20"/>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860" w:type="dxa"/>
            <w:shd w:val="clear" w:color="auto" w:fill="auto"/>
            <w:vAlign w:val="center"/>
          </w:tcPr>
          <w:p>
            <w:pPr>
              <w:pStyle w:val="164"/>
              <w:spacing w:line="240" w:lineRule="auto"/>
              <w:rPr>
                <w:color w:val="auto"/>
              </w:rPr>
            </w:pPr>
            <w:r>
              <w:rPr>
                <w:color w:val="auto"/>
              </w:rPr>
              <w:t>H</w:t>
            </w:r>
            <w:r>
              <w:rPr>
                <w:color w:val="auto"/>
                <w:vertAlign w:val="subscript"/>
              </w:rPr>
              <w:t>2</w:t>
            </w:r>
            <w:r>
              <w:rPr>
                <w:color w:val="auto"/>
              </w:rPr>
              <w:t>S</w:t>
            </w:r>
          </w:p>
        </w:tc>
        <w:tc>
          <w:tcPr>
            <w:tcW w:w="759" w:type="dxa"/>
            <w:vMerge w:val="continue"/>
            <w:shd w:val="clear" w:color="auto" w:fill="auto"/>
            <w:vAlign w:val="center"/>
          </w:tcPr>
          <w:p>
            <w:pPr>
              <w:pStyle w:val="164"/>
              <w:spacing w:line="240" w:lineRule="auto"/>
              <w:rPr>
                <w:color w:val="auto"/>
              </w:rPr>
            </w:pPr>
          </w:p>
        </w:tc>
        <w:tc>
          <w:tcPr>
            <w:tcW w:w="808" w:type="dxa"/>
            <w:shd w:val="clear" w:color="auto" w:fill="auto"/>
            <w:vAlign w:val="center"/>
          </w:tcPr>
          <w:p>
            <w:pPr>
              <w:pStyle w:val="164"/>
              <w:spacing w:line="240" w:lineRule="auto"/>
              <w:rPr>
                <w:color w:val="auto"/>
              </w:rPr>
            </w:pPr>
            <w:r>
              <w:rPr>
                <w:color w:val="auto"/>
                <w:szCs w:val="21"/>
              </w:rPr>
              <w:t>/</w:t>
            </w:r>
          </w:p>
        </w:tc>
        <w:tc>
          <w:tcPr>
            <w:tcW w:w="1087" w:type="dxa"/>
            <w:shd w:val="clear" w:color="auto" w:fill="auto"/>
            <w:vAlign w:val="center"/>
          </w:tcPr>
          <w:p>
            <w:pPr>
              <w:pStyle w:val="164"/>
              <w:spacing w:line="240" w:lineRule="auto"/>
              <w:rPr>
                <w:color w:val="auto"/>
              </w:rPr>
            </w:pPr>
            <w:r>
              <w:rPr>
                <w:color w:val="auto"/>
                <w:szCs w:val="21"/>
              </w:rPr>
              <w:t>/</w:t>
            </w:r>
          </w:p>
        </w:tc>
        <w:tc>
          <w:tcPr>
            <w:tcW w:w="1089" w:type="dxa"/>
            <w:shd w:val="clear" w:color="auto" w:fill="auto"/>
            <w:vAlign w:val="center"/>
          </w:tcPr>
          <w:p>
            <w:pPr>
              <w:pStyle w:val="164"/>
              <w:spacing w:line="240" w:lineRule="auto"/>
              <w:rPr>
                <w:color w:val="auto"/>
              </w:rPr>
            </w:pPr>
            <w:r>
              <w:rPr>
                <w:rFonts w:hint="eastAsia"/>
                <w:color w:val="auto"/>
              </w:rPr>
              <w:t>0.001</w:t>
            </w:r>
          </w:p>
        </w:tc>
        <w:tc>
          <w:tcPr>
            <w:tcW w:w="860" w:type="dxa"/>
            <w:vMerge w:val="continue"/>
            <w:shd w:val="clear" w:color="auto" w:fill="auto"/>
            <w:vAlign w:val="center"/>
          </w:tcPr>
          <w:p>
            <w:pPr>
              <w:pStyle w:val="164"/>
              <w:spacing w:line="240" w:lineRule="auto"/>
              <w:rPr>
                <w:color w:val="auto"/>
              </w:rPr>
            </w:pPr>
          </w:p>
        </w:tc>
        <w:tc>
          <w:tcPr>
            <w:tcW w:w="702" w:type="dxa"/>
            <w:shd w:val="clear" w:color="auto" w:fill="auto"/>
            <w:vAlign w:val="center"/>
          </w:tcPr>
          <w:p>
            <w:pPr>
              <w:pStyle w:val="164"/>
              <w:spacing w:line="240" w:lineRule="auto"/>
              <w:rPr>
                <w:color w:val="auto"/>
              </w:rPr>
            </w:pPr>
            <w:r>
              <w:rPr>
                <w:color w:val="auto"/>
              </w:rPr>
              <w:t>33.33</w:t>
            </w:r>
          </w:p>
        </w:tc>
        <w:tc>
          <w:tcPr>
            <w:tcW w:w="915" w:type="dxa"/>
            <w:shd w:val="clear" w:color="auto" w:fill="auto"/>
            <w:vAlign w:val="center"/>
          </w:tcPr>
          <w:p>
            <w:pPr>
              <w:widowControl/>
              <w:jc w:val="center"/>
              <w:textAlignment w:val="center"/>
              <w:rPr>
                <w:color w:val="auto"/>
              </w:rPr>
            </w:pPr>
            <w:r>
              <w:rPr>
                <w:color w:val="auto"/>
                <w:kern w:val="0"/>
                <w:szCs w:val="21"/>
                <w:lang w:bidi="ar"/>
              </w:rPr>
              <w:t xml:space="preserve">0.0188 </w:t>
            </w:r>
          </w:p>
        </w:tc>
        <w:tc>
          <w:tcPr>
            <w:tcW w:w="1297" w:type="dxa"/>
            <w:shd w:val="clear" w:color="auto" w:fill="auto"/>
            <w:vAlign w:val="center"/>
          </w:tcPr>
          <w:p>
            <w:pPr>
              <w:widowControl/>
              <w:jc w:val="center"/>
              <w:textAlignment w:val="center"/>
              <w:rPr>
                <w:color w:val="auto"/>
              </w:rPr>
            </w:pPr>
            <w:r>
              <w:rPr>
                <w:color w:val="auto"/>
                <w:kern w:val="0"/>
                <w:szCs w:val="21"/>
                <w:lang w:bidi="ar"/>
              </w:rPr>
              <w:t xml:space="preserve">0.0001 </w:t>
            </w:r>
          </w:p>
        </w:tc>
        <w:tc>
          <w:tcPr>
            <w:tcW w:w="1094" w:type="dxa"/>
            <w:shd w:val="clear" w:color="auto" w:fill="auto"/>
            <w:vAlign w:val="center"/>
          </w:tcPr>
          <w:p>
            <w:pPr>
              <w:widowControl/>
              <w:jc w:val="center"/>
              <w:textAlignment w:val="center"/>
              <w:rPr>
                <w:color w:val="auto"/>
              </w:rPr>
            </w:pPr>
            <w:r>
              <w:rPr>
                <w:color w:val="auto"/>
                <w:kern w:val="0"/>
                <w:szCs w:val="21"/>
                <w:lang w:bidi="ar"/>
              </w:rPr>
              <w:t xml:space="preserve">0.0006 </w:t>
            </w:r>
          </w:p>
        </w:tc>
        <w:tc>
          <w:tcPr>
            <w:tcW w:w="647" w:type="dxa"/>
            <w:shd w:val="clear" w:color="auto" w:fill="auto"/>
            <w:vAlign w:val="center"/>
          </w:tcPr>
          <w:p>
            <w:pPr>
              <w:pStyle w:val="164"/>
              <w:spacing w:line="240" w:lineRule="auto"/>
              <w:rPr>
                <w:color w:val="auto"/>
                <w:szCs w:val="21"/>
              </w:rPr>
            </w:pPr>
            <w:r>
              <w:rPr>
                <w:color w:val="auto"/>
                <w:szCs w:val="21"/>
              </w:rPr>
              <w:t>/</w:t>
            </w:r>
          </w:p>
        </w:tc>
        <w:tc>
          <w:tcPr>
            <w:tcW w:w="698" w:type="dxa"/>
            <w:shd w:val="clear" w:color="auto" w:fill="auto"/>
            <w:vAlign w:val="center"/>
          </w:tcPr>
          <w:p>
            <w:pPr>
              <w:pStyle w:val="164"/>
              <w:spacing w:line="240" w:lineRule="auto"/>
              <w:rPr>
                <w:color w:val="auto"/>
                <w:szCs w:val="21"/>
              </w:rPr>
            </w:pPr>
            <w:r>
              <w:rPr>
                <w:color w:val="auto"/>
                <w:szCs w:val="21"/>
              </w:rPr>
              <w:t>0.33</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33" w:hRule="atLeast"/>
          <w:jc w:val="center"/>
        </w:trPr>
        <w:tc>
          <w:tcPr>
            <w:tcW w:w="434" w:type="dxa"/>
            <w:vMerge w:val="continue"/>
            <w:shd w:val="clear" w:color="auto" w:fill="auto"/>
            <w:vAlign w:val="center"/>
          </w:tcPr>
          <w:p>
            <w:pPr>
              <w:pStyle w:val="164"/>
              <w:spacing w:line="240" w:lineRule="auto"/>
              <w:rPr>
                <w:color w:val="auto"/>
                <w:szCs w:val="20"/>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860" w:type="dxa"/>
            <w:shd w:val="clear" w:color="auto" w:fill="auto"/>
            <w:vAlign w:val="center"/>
          </w:tcPr>
          <w:p>
            <w:pPr>
              <w:pStyle w:val="164"/>
              <w:spacing w:line="240" w:lineRule="auto"/>
              <w:rPr>
                <w:color w:val="auto"/>
              </w:rPr>
            </w:pPr>
            <w:r>
              <w:rPr>
                <w:color w:val="auto"/>
              </w:rPr>
              <w:t>非甲烷总烃</w:t>
            </w:r>
          </w:p>
        </w:tc>
        <w:tc>
          <w:tcPr>
            <w:tcW w:w="759" w:type="dxa"/>
            <w:vMerge w:val="continue"/>
            <w:shd w:val="clear" w:color="auto" w:fill="auto"/>
            <w:vAlign w:val="center"/>
          </w:tcPr>
          <w:p>
            <w:pPr>
              <w:pStyle w:val="164"/>
              <w:spacing w:line="240" w:lineRule="auto"/>
              <w:rPr>
                <w:color w:val="auto"/>
              </w:rPr>
            </w:pPr>
          </w:p>
        </w:tc>
        <w:tc>
          <w:tcPr>
            <w:tcW w:w="808" w:type="dxa"/>
            <w:shd w:val="clear" w:color="auto" w:fill="auto"/>
            <w:vAlign w:val="center"/>
          </w:tcPr>
          <w:p>
            <w:pPr>
              <w:pStyle w:val="164"/>
              <w:spacing w:line="240" w:lineRule="auto"/>
              <w:rPr>
                <w:color w:val="auto"/>
              </w:rPr>
            </w:pPr>
            <w:r>
              <w:rPr>
                <w:color w:val="auto"/>
                <w:szCs w:val="21"/>
              </w:rPr>
              <w:t>/</w:t>
            </w:r>
          </w:p>
        </w:tc>
        <w:tc>
          <w:tcPr>
            <w:tcW w:w="1087" w:type="dxa"/>
            <w:shd w:val="clear" w:color="auto" w:fill="auto"/>
            <w:vAlign w:val="center"/>
          </w:tcPr>
          <w:p>
            <w:pPr>
              <w:pStyle w:val="164"/>
              <w:spacing w:line="240" w:lineRule="auto"/>
              <w:rPr>
                <w:color w:val="auto"/>
              </w:rPr>
            </w:pPr>
            <w:r>
              <w:rPr>
                <w:color w:val="auto"/>
                <w:szCs w:val="21"/>
              </w:rPr>
              <w:t>/</w:t>
            </w:r>
          </w:p>
        </w:tc>
        <w:tc>
          <w:tcPr>
            <w:tcW w:w="1089" w:type="dxa"/>
            <w:shd w:val="clear" w:color="auto" w:fill="auto"/>
            <w:vAlign w:val="center"/>
          </w:tcPr>
          <w:p>
            <w:pPr>
              <w:pStyle w:val="164"/>
              <w:spacing w:line="240" w:lineRule="auto"/>
              <w:rPr>
                <w:color w:val="auto"/>
              </w:rPr>
            </w:pPr>
            <w:r>
              <w:rPr>
                <w:rFonts w:hint="eastAsia"/>
                <w:color w:val="auto"/>
              </w:rPr>
              <w:t>0.0348</w:t>
            </w:r>
          </w:p>
        </w:tc>
        <w:tc>
          <w:tcPr>
            <w:tcW w:w="860" w:type="dxa"/>
            <w:vMerge w:val="continue"/>
            <w:shd w:val="clear" w:color="auto" w:fill="auto"/>
            <w:vAlign w:val="center"/>
          </w:tcPr>
          <w:p>
            <w:pPr>
              <w:pStyle w:val="164"/>
              <w:spacing w:line="240" w:lineRule="auto"/>
              <w:rPr>
                <w:color w:val="auto"/>
              </w:rPr>
            </w:pPr>
          </w:p>
        </w:tc>
        <w:tc>
          <w:tcPr>
            <w:tcW w:w="702" w:type="dxa"/>
            <w:shd w:val="clear" w:color="auto" w:fill="auto"/>
            <w:vAlign w:val="center"/>
          </w:tcPr>
          <w:p>
            <w:pPr>
              <w:pStyle w:val="164"/>
              <w:spacing w:line="240" w:lineRule="auto"/>
              <w:rPr>
                <w:color w:val="auto"/>
              </w:rPr>
            </w:pPr>
            <w:r>
              <w:rPr>
                <w:color w:val="auto"/>
              </w:rPr>
              <w:t>44.54</w:t>
            </w:r>
          </w:p>
        </w:tc>
        <w:tc>
          <w:tcPr>
            <w:tcW w:w="915" w:type="dxa"/>
            <w:shd w:val="clear" w:color="auto" w:fill="auto"/>
            <w:vAlign w:val="center"/>
          </w:tcPr>
          <w:p>
            <w:pPr>
              <w:widowControl/>
              <w:jc w:val="center"/>
              <w:textAlignment w:val="center"/>
              <w:rPr>
                <w:color w:val="auto"/>
              </w:rPr>
            </w:pPr>
            <w:r>
              <w:rPr>
                <w:color w:val="auto"/>
                <w:kern w:val="0"/>
                <w:szCs w:val="21"/>
                <w:lang w:bidi="ar"/>
              </w:rPr>
              <w:t xml:space="preserve">0.5996 </w:t>
            </w:r>
          </w:p>
        </w:tc>
        <w:tc>
          <w:tcPr>
            <w:tcW w:w="1297" w:type="dxa"/>
            <w:shd w:val="clear" w:color="auto" w:fill="auto"/>
            <w:vAlign w:val="center"/>
          </w:tcPr>
          <w:p>
            <w:pPr>
              <w:widowControl/>
              <w:jc w:val="center"/>
              <w:textAlignment w:val="center"/>
              <w:rPr>
                <w:color w:val="auto"/>
              </w:rPr>
            </w:pPr>
            <w:r>
              <w:rPr>
                <w:color w:val="auto"/>
                <w:kern w:val="0"/>
                <w:szCs w:val="21"/>
                <w:lang w:bidi="ar"/>
              </w:rPr>
              <w:t xml:space="preserve">0.0037 </w:t>
            </w:r>
          </w:p>
        </w:tc>
        <w:tc>
          <w:tcPr>
            <w:tcW w:w="1094" w:type="dxa"/>
            <w:shd w:val="clear" w:color="auto" w:fill="auto"/>
            <w:vAlign w:val="center"/>
          </w:tcPr>
          <w:p>
            <w:pPr>
              <w:widowControl/>
              <w:jc w:val="center"/>
              <w:textAlignment w:val="center"/>
              <w:rPr>
                <w:color w:val="auto"/>
              </w:rPr>
            </w:pPr>
            <w:r>
              <w:rPr>
                <w:color w:val="auto"/>
                <w:kern w:val="0"/>
                <w:szCs w:val="21"/>
                <w:lang w:bidi="ar"/>
              </w:rPr>
              <w:t xml:space="preserve">0.0193 </w:t>
            </w:r>
          </w:p>
        </w:tc>
        <w:tc>
          <w:tcPr>
            <w:tcW w:w="647" w:type="dxa"/>
            <w:shd w:val="clear" w:color="auto" w:fill="auto"/>
            <w:vAlign w:val="center"/>
          </w:tcPr>
          <w:p>
            <w:pPr>
              <w:pStyle w:val="164"/>
              <w:spacing w:line="240" w:lineRule="auto"/>
              <w:rPr>
                <w:color w:val="auto"/>
                <w:szCs w:val="21"/>
              </w:rPr>
            </w:pPr>
            <w:r>
              <w:rPr>
                <w:color w:val="auto"/>
                <w:szCs w:val="21"/>
              </w:rPr>
              <w:t>20</w:t>
            </w:r>
          </w:p>
        </w:tc>
        <w:tc>
          <w:tcPr>
            <w:tcW w:w="698" w:type="dxa"/>
            <w:shd w:val="clear" w:color="auto" w:fill="auto"/>
            <w:vAlign w:val="center"/>
          </w:tcPr>
          <w:p>
            <w:pPr>
              <w:pStyle w:val="164"/>
              <w:spacing w:line="240" w:lineRule="auto"/>
              <w:rPr>
                <w:color w:val="auto"/>
                <w:szCs w:val="21"/>
              </w:rPr>
            </w:pPr>
            <w:r>
              <w:rPr>
                <w:color w:val="auto"/>
                <w:szCs w:val="21"/>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434" w:type="dxa"/>
            <w:vMerge w:val="continue"/>
            <w:shd w:val="clear" w:color="auto" w:fill="auto"/>
            <w:vAlign w:val="center"/>
          </w:tcPr>
          <w:p>
            <w:pPr>
              <w:pStyle w:val="164"/>
              <w:spacing w:line="240" w:lineRule="auto"/>
              <w:rPr>
                <w:color w:val="auto"/>
                <w:szCs w:val="20"/>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860" w:type="dxa"/>
            <w:shd w:val="clear" w:color="auto" w:fill="auto"/>
            <w:vAlign w:val="center"/>
          </w:tcPr>
          <w:p>
            <w:pPr>
              <w:pStyle w:val="164"/>
              <w:spacing w:line="240" w:lineRule="auto"/>
              <w:rPr>
                <w:color w:val="auto"/>
              </w:rPr>
            </w:pPr>
            <w:r>
              <w:rPr>
                <w:color w:val="auto"/>
              </w:rPr>
              <w:t>臭气浓度</w:t>
            </w:r>
          </w:p>
        </w:tc>
        <w:tc>
          <w:tcPr>
            <w:tcW w:w="759" w:type="dxa"/>
            <w:vMerge w:val="continue"/>
            <w:shd w:val="clear" w:color="auto" w:fill="auto"/>
            <w:vAlign w:val="center"/>
          </w:tcPr>
          <w:p>
            <w:pPr>
              <w:pStyle w:val="164"/>
              <w:spacing w:line="240" w:lineRule="auto"/>
              <w:rPr>
                <w:color w:val="auto"/>
              </w:rPr>
            </w:pPr>
          </w:p>
        </w:tc>
        <w:tc>
          <w:tcPr>
            <w:tcW w:w="808" w:type="dxa"/>
            <w:shd w:val="clear" w:color="auto" w:fill="auto"/>
            <w:vAlign w:val="center"/>
          </w:tcPr>
          <w:p>
            <w:pPr>
              <w:pStyle w:val="164"/>
              <w:spacing w:line="240" w:lineRule="auto"/>
              <w:rPr>
                <w:color w:val="auto"/>
              </w:rPr>
            </w:pPr>
            <w:r>
              <w:rPr>
                <w:color w:val="auto"/>
              </w:rPr>
              <w:t>753</w:t>
            </w:r>
          </w:p>
        </w:tc>
        <w:tc>
          <w:tcPr>
            <w:tcW w:w="1087" w:type="dxa"/>
            <w:shd w:val="clear" w:color="auto" w:fill="auto"/>
            <w:vAlign w:val="center"/>
          </w:tcPr>
          <w:p>
            <w:pPr>
              <w:pStyle w:val="164"/>
              <w:spacing w:line="240" w:lineRule="auto"/>
              <w:rPr>
                <w:color w:val="auto"/>
              </w:rPr>
            </w:pPr>
            <w:r>
              <w:rPr>
                <w:color w:val="auto"/>
              </w:rPr>
              <w:t>/</w:t>
            </w:r>
          </w:p>
        </w:tc>
        <w:tc>
          <w:tcPr>
            <w:tcW w:w="1089" w:type="dxa"/>
            <w:shd w:val="clear" w:color="auto" w:fill="auto"/>
            <w:vAlign w:val="center"/>
          </w:tcPr>
          <w:p>
            <w:pPr>
              <w:pStyle w:val="164"/>
              <w:spacing w:line="240" w:lineRule="auto"/>
              <w:rPr>
                <w:color w:val="auto"/>
              </w:rPr>
            </w:pPr>
            <w:r>
              <w:rPr>
                <w:color w:val="auto"/>
              </w:rPr>
              <w:t>/</w:t>
            </w:r>
          </w:p>
        </w:tc>
        <w:tc>
          <w:tcPr>
            <w:tcW w:w="860" w:type="dxa"/>
            <w:vMerge w:val="continue"/>
            <w:shd w:val="clear" w:color="auto" w:fill="auto"/>
            <w:vAlign w:val="center"/>
          </w:tcPr>
          <w:p>
            <w:pPr>
              <w:pStyle w:val="164"/>
              <w:spacing w:line="240" w:lineRule="auto"/>
              <w:rPr>
                <w:color w:val="auto"/>
              </w:rPr>
            </w:pPr>
          </w:p>
        </w:tc>
        <w:tc>
          <w:tcPr>
            <w:tcW w:w="702" w:type="dxa"/>
            <w:shd w:val="clear" w:color="auto" w:fill="auto"/>
            <w:vAlign w:val="center"/>
          </w:tcPr>
          <w:p>
            <w:pPr>
              <w:pStyle w:val="164"/>
              <w:spacing w:line="240" w:lineRule="auto"/>
              <w:rPr>
                <w:color w:val="auto"/>
              </w:rPr>
            </w:pPr>
            <w:r>
              <w:rPr>
                <w:color w:val="auto"/>
              </w:rPr>
              <w:t>25.1</w:t>
            </w:r>
          </w:p>
        </w:tc>
        <w:tc>
          <w:tcPr>
            <w:tcW w:w="915" w:type="dxa"/>
            <w:shd w:val="clear" w:color="auto" w:fill="auto"/>
            <w:vAlign w:val="center"/>
          </w:tcPr>
          <w:p>
            <w:pPr>
              <w:pStyle w:val="164"/>
              <w:spacing w:line="240" w:lineRule="auto"/>
              <w:rPr>
                <w:color w:val="auto"/>
              </w:rPr>
            </w:pPr>
            <w:r>
              <w:rPr>
                <w:color w:val="auto"/>
              </w:rPr>
              <w:t>564</w:t>
            </w:r>
          </w:p>
        </w:tc>
        <w:tc>
          <w:tcPr>
            <w:tcW w:w="1297" w:type="dxa"/>
            <w:shd w:val="clear" w:color="auto" w:fill="auto"/>
            <w:vAlign w:val="center"/>
          </w:tcPr>
          <w:p>
            <w:pPr>
              <w:pStyle w:val="164"/>
              <w:spacing w:line="240" w:lineRule="auto"/>
              <w:rPr>
                <w:color w:val="auto"/>
              </w:rPr>
            </w:pPr>
            <w:r>
              <w:rPr>
                <w:color w:val="auto"/>
              </w:rPr>
              <w:t>/</w:t>
            </w:r>
          </w:p>
        </w:tc>
        <w:tc>
          <w:tcPr>
            <w:tcW w:w="1094" w:type="dxa"/>
            <w:shd w:val="clear" w:color="auto" w:fill="auto"/>
            <w:vAlign w:val="center"/>
          </w:tcPr>
          <w:p>
            <w:pPr>
              <w:pStyle w:val="164"/>
              <w:spacing w:line="240" w:lineRule="auto"/>
              <w:rPr>
                <w:color w:val="auto"/>
              </w:rPr>
            </w:pPr>
            <w:r>
              <w:rPr>
                <w:color w:val="auto"/>
              </w:rPr>
              <w:t>/</w:t>
            </w:r>
          </w:p>
        </w:tc>
        <w:tc>
          <w:tcPr>
            <w:tcW w:w="647" w:type="dxa"/>
            <w:shd w:val="clear" w:color="auto" w:fill="auto"/>
            <w:vAlign w:val="center"/>
          </w:tcPr>
          <w:p>
            <w:pPr>
              <w:pStyle w:val="164"/>
              <w:spacing w:line="240" w:lineRule="auto"/>
              <w:rPr>
                <w:color w:val="auto"/>
              </w:rPr>
            </w:pPr>
            <w:r>
              <w:rPr>
                <w:color w:val="auto"/>
              </w:rPr>
              <w:t>2000</w:t>
            </w:r>
          </w:p>
        </w:tc>
        <w:tc>
          <w:tcPr>
            <w:tcW w:w="698" w:type="dxa"/>
            <w:shd w:val="clear" w:color="auto" w:fill="auto"/>
            <w:vAlign w:val="center"/>
          </w:tcPr>
          <w:p>
            <w:pPr>
              <w:pStyle w:val="164"/>
              <w:spacing w:line="240" w:lineRule="auto"/>
              <w:rPr>
                <w:color w:val="auto"/>
              </w:rPr>
            </w:pPr>
            <w:r>
              <w:rPr>
                <w:color w:val="auto"/>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71" w:hRule="atLeast"/>
          <w:jc w:val="center"/>
        </w:trPr>
        <w:tc>
          <w:tcPr>
            <w:tcW w:w="434" w:type="dxa"/>
            <w:vMerge w:val="restart"/>
            <w:shd w:val="clear" w:color="auto" w:fill="auto"/>
            <w:vAlign w:val="center"/>
          </w:tcPr>
          <w:p>
            <w:pPr>
              <w:pStyle w:val="164"/>
              <w:spacing w:line="360" w:lineRule="exact"/>
              <w:rPr>
                <w:color w:val="auto"/>
              </w:rPr>
            </w:pPr>
            <w:r>
              <w:rPr>
                <w:color w:val="auto"/>
              </w:rPr>
              <w:t>4</w:t>
            </w:r>
          </w:p>
        </w:tc>
        <w:tc>
          <w:tcPr>
            <w:tcW w:w="434" w:type="dxa"/>
            <w:vMerge w:val="restart"/>
            <w:shd w:val="clear" w:color="auto" w:fill="auto"/>
            <w:vAlign w:val="center"/>
          </w:tcPr>
          <w:p>
            <w:pPr>
              <w:pStyle w:val="164"/>
              <w:spacing w:line="360" w:lineRule="exact"/>
              <w:rPr>
                <w:color w:val="auto"/>
              </w:rPr>
            </w:pPr>
            <w:r>
              <w:rPr>
                <w:color w:val="auto"/>
              </w:rPr>
              <w:t>无组织</w:t>
            </w:r>
          </w:p>
        </w:tc>
        <w:tc>
          <w:tcPr>
            <w:tcW w:w="434" w:type="dxa"/>
            <w:vMerge w:val="restart"/>
            <w:shd w:val="clear" w:color="auto" w:fill="auto"/>
            <w:vAlign w:val="center"/>
          </w:tcPr>
          <w:p>
            <w:pPr>
              <w:pStyle w:val="164"/>
              <w:spacing w:line="240" w:lineRule="auto"/>
              <w:rPr>
                <w:color w:val="auto"/>
              </w:rPr>
            </w:pPr>
            <w:r>
              <w:rPr>
                <w:color w:val="auto"/>
              </w:rPr>
              <w:t>高温蒸煮车间</w:t>
            </w:r>
          </w:p>
        </w:tc>
        <w:tc>
          <w:tcPr>
            <w:tcW w:w="434" w:type="dxa"/>
            <w:vMerge w:val="restart"/>
            <w:shd w:val="clear" w:color="auto" w:fill="auto"/>
            <w:vAlign w:val="center"/>
          </w:tcPr>
          <w:p>
            <w:pPr>
              <w:pStyle w:val="164"/>
              <w:spacing w:line="360" w:lineRule="exact"/>
              <w:rPr>
                <w:color w:val="auto"/>
              </w:rPr>
            </w:pPr>
            <w:r>
              <w:rPr>
                <w:color w:val="auto"/>
              </w:rPr>
              <w:t>间歇</w:t>
            </w:r>
          </w:p>
        </w:tc>
        <w:tc>
          <w:tcPr>
            <w:tcW w:w="860" w:type="dxa"/>
            <w:shd w:val="clear" w:color="auto" w:fill="auto"/>
            <w:vAlign w:val="center"/>
          </w:tcPr>
          <w:p>
            <w:pPr>
              <w:pStyle w:val="164"/>
              <w:spacing w:line="360" w:lineRule="exact"/>
              <w:rPr>
                <w:color w:val="auto"/>
              </w:rPr>
            </w:pPr>
            <w:r>
              <w:rPr>
                <w:color w:val="auto"/>
              </w:rPr>
              <w:t>NH</w:t>
            </w:r>
            <w:r>
              <w:rPr>
                <w:color w:val="auto"/>
                <w:szCs w:val="13"/>
                <w:vertAlign w:val="subscript"/>
              </w:rPr>
              <w:t>3</w:t>
            </w:r>
          </w:p>
        </w:tc>
        <w:tc>
          <w:tcPr>
            <w:tcW w:w="759" w:type="dxa"/>
            <w:shd w:val="clear" w:color="auto" w:fill="auto"/>
            <w:vAlign w:val="center"/>
          </w:tcPr>
          <w:p>
            <w:pPr>
              <w:pStyle w:val="164"/>
              <w:spacing w:line="360" w:lineRule="exact"/>
              <w:rPr>
                <w:color w:val="auto"/>
              </w:rPr>
            </w:pPr>
            <w:r>
              <w:rPr>
                <w:color w:val="auto"/>
              </w:rPr>
              <w:t>/</w:t>
            </w:r>
          </w:p>
        </w:tc>
        <w:tc>
          <w:tcPr>
            <w:tcW w:w="808" w:type="dxa"/>
            <w:shd w:val="clear" w:color="auto" w:fill="auto"/>
            <w:vAlign w:val="center"/>
          </w:tcPr>
          <w:p>
            <w:pPr>
              <w:pStyle w:val="164"/>
              <w:spacing w:line="360" w:lineRule="exact"/>
              <w:rPr>
                <w:bCs/>
                <w:color w:val="auto"/>
              </w:rPr>
            </w:pPr>
            <w:r>
              <w:rPr>
                <w:bCs/>
                <w:color w:val="auto"/>
              </w:rPr>
              <w:t>/</w:t>
            </w:r>
          </w:p>
        </w:tc>
        <w:tc>
          <w:tcPr>
            <w:tcW w:w="1087" w:type="dxa"/>
            <w:shd w:val="clear" w:color="auto" w:fill="auto"/>
            <w:vAlign w:val="center"/>
          </w:tcPr>
          <w:p>
            <w:pPr>
              <w:pStyle w:val="114"/>
              <w:spacing w:before="0" w:beforeLines="0" w:line="360" w:lineRule="exact"/>
              <w:rPr>
                <w:color w:val="auto"/>
              </w:rPr>
            </w:pPr>
            <w:r>
              <w:rPr>
                <w:b w:val="0"/>
                <w:bCs/>
                <w:color w:val="auto"/>
                <w:sz w:val="21"/>
              </w:rPr>
              <w:t>0.002</w:t>
            </w:r>
            <w:r>
              <w:rPr>
                <w:rFonts w:hint="eastAsia"/>
                <w:b w:val="0"/>
                <w:bCs/>
                <w:color w:val="auto"/>
                <w:sz w:val="21"/>
              </w:rPr>
              <w:t>6</w:t>
            </w:r>
          </w:p>
        </w:tc>
        <w:tc>
          <w:tcPr>
            <w:tcW w:w="1089" w:type="dxa"/>
            <w:shd w:val="clear" w:color="auto" w:fill="auto"/>
            <w:vAlign w:val="center"/>
          </w:tcPr>
          <w:p>
            <w:pPr>
              <w:pStyle w:val="114"/>
              <w:spacing w:before="0" w:beforeLines="0" w:line="360" w:lineRule="exact"/>
              <w:rPr>
                <w:iCs/>
                <w:color w:val="auto"/>
              </w:rPr>
            </w:pPr>
            <w:r>
              <w:rPr>
                <w:b w:val="0"/>
                <w:bCs/>
                <w:color w:val="auto"/>
                <w:sz w:val="21"/>
              </w:rPr>
              <w:t>0.01</w:t>
            </w:r>
            <w:r>
              <w:rPr>
                <w:rFonts w:hint="eastAsia"/>
                <w:b w:val="0"/>
                <w:bCs/>
                <w:color w:val="auto"/>
                <w:sz w:val="21"/>
              </w:rPr>
              <w:t>72</w:t>
            </w:r>
          </w:p>
        </w:tc>
        <w:tc>
          <w:tcPr>
            <w:tcW w:w="860" w:type="dxa"/>
            <w:vMerge w:val="restart"/>
            <w:shd w:val="clear" w:color="auto" w:fill="auto"/>
            <w:vAlign w:val="center"/>
          </w:tcPr>
          <w:p>
            <w:pPr>
              <w:pStyle w:val="164"/>
              <w:spacing w:line="360" w:lineRule="exact"/>
              <w:rPr>
                <w:color w:val="auto"/>
              </w:rPr>
            </w:pPr>
            <w:r>
              <w:rPr>
                <w:color w:val="auto"/>
                <w:lang w:bidi="zh-CN"/>
              </w:rPr>
              <w:t>微负压设计，</w:t>
            </w:r>
            <w:r>
              <w:rPr>
                <w:color w:val="auto"/>
              </w:rPr>
              <w:t>加强通风</w:t>
            </w:r>
          </w:p>
        </w:tc>
        <w:tc>
          <w:tcPr>
            <w:tcW w:w="702" w:type="dxa"/>
            <w:shd w:val="clear" w:color="auto" w:fill="auto"/>
            <w:vAlign w:val="center"/>
          </w:tcPr>
          <w:p>
            <w:pPr>
              <w:pStyle w:val="164"/>
              <w:spacing w:line="360" w:lineRule="exact"/>
              <w:rPr>
                <w:bCs/>
                <w:color w:val="auto"/>
              </w:rPr>
            </w:pPr>
            <w:r>
              <w:rPr>
                <w:bCs/>
                <w:color w:val="auto"/>
              </w:rPr>
              <w:t>/</w:t>
            </w:r>
          </w:p>
        </w:tc>
        <w:tc>
          <w:tcPr>
            <w:tcW w:w="915" w:type="dxa"/>
            <w:shd w:val="clear" w:color="auto" w:fill="auto"/>
            <w:vAlign w:val="center"/>
          </w:tcPr>
          <w:p>
            <w:pPr>
              <w:pStyle w:val="164"/>
              <w:spacing w:line="360" w:lineRule="exact"/>
              <w:rPr>
                <w:color w:val="auto"/>
              </w:rPr>
            </w:pPr>
            <w:r>
              <w:rPr>
                <w:color w:val="auto"/>
              </w:rPr>
              <w:t>/</w:t>
            </w:r>
          </w:p>
        </w:tc>
        <w:tc>
          <w:tcPr>
            <w:tcW w:w="1297" w:type="dxa"/>
            <w:shd w:val="clear" w:color="auto" w:fill="auto"/>
            <w:vAlign w:val="center"/>
          </w:tcPr>
          <w:p>
            <w:pPr>
              <w:pStyle w:val="114"/>
              <w:spacing w:before="0" w:beforeLines="0" w:line="360" w:lineRule="exact"/>
              <w:rPr>
                <w:color w:val="auto"/>
              </w:rPr>
            </w:pPr>
            <w:r>
              <w:rPr>
                <w:b w:val="0"/>
                <w:bCs/>
                <w:color w:val="auto"/>
                <w:sz w:val="21"/>
              </w:rPr>
              <w:t>0.002</w:t>
            </w:r>
            <w:r>
              <w:rPr>
                <w:rFonts w:hint="eastAsia"/>
                <w:b w:val="0"/>
                <w:bCs/>
                <w:color w:val="auto"/>
                <w:sz w:val="21"/>
              </w:rPr>
              <w:t>6</w:t>
            </w:r>
          </w:p>
        </w:tc>
        <w:tc>
          <w:tcPr>
            <w:tcW w:w="1094" w:type="dxa"/>
            <w:shd w:val="clear" w:color="auto" w:fill="auto"/>
            <w:vAlign w:val="center"/>
          </w:tcPr>
          <w:p>
            <w:pPr>
              <w:pStyle w:val="114"/>
              <w:spacing w:before="0" w:beforeLines="0" w:line="360" w:lineRule="exact"/>
              <w:rPr>
                <w:iCs/>
                <w:color w:val="auto"/>
              </w:rPr>
            </w:pPr>
            <w:r>
              <w:rPr>
                <w:b w:val="0"/>
                <w:bCs/>
                <w:color w:val="auto"/>
                <w:sz w:val="21"/>
              </w:rPr>
              <w:t>0.01</w:t>
            </w:r>
            <w:r>
              <w:rPr>
                <w:rFonts w:hint="eastAsia"/>
                <w:b w:val="0"/>
                <w:bCs/>
                <w:color w:val="auto"/>
                <w:sz w:val="21"/>
              </w:rPr>
              <w:t>72</w:t>
            </w:r>
          </w:p>
        </w:tc>
        <w:tc>
          <w:tcPr>
            <w:tcW w:w="647" w:type="dxa"/>
            <w:shd w:val="clear" w:color="auto" w:fill="auto"/>
            <w:vAlign w:val="center"/>
          </w:tcPr>
          <w:p>
            <w:pPr>
              <w:pStyle w:val="164"/>
              <w:spacing w:line="360" w:lineRule="exact"/>
              <w:rPr>
                <w:color w:val="auto"/>
              </w:rPr>
            </w:pPr>
            <w:r>
              <w:rPr>
                <w:color w:val="auto"/>
              </w:rPr>
              <w:t>1.5</w:t>
            </w:r>
          </w:p>
        </w:tc>
        <w:tc>
          <w:tcPr>
            <w:tcW w:w="698" w:type="dxa"/>
            <w:shd w:val="clear" w:color="auto" w:fill="auto"/>
            <w:vAlign w:val="center"/>
          </w:tcPr>
          <w:p>
            <w:pPr>
              <w:pStyle w:val="164"/>
              <w:spacing w:line="360" w:lineRule="exact"/>
              <w:rPr>
                <w:color w:val="auto"/>
              </w:rPr>
            </w:pPr>
            <w:r>
              <w:rPr>
                <w:color w:val="auto"/>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68" w:hRule="atLeast"/>
          <w:jc w:val="center"/>
        </w:trPr>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860" w:type="dxa"/>
            <w:shd w:val="clear" w:color="auto" w:fill="auto"/>
            <w:vAlign w:val="center"/>
          </w:tcPr>
          <w:p>
            <w:pPr>
              <w:pStyle w:val="164"/>
              <w:spacing w:line="360" w:lineRule="exact"/>
              <w:rPr>
                <w:bCs/>
                <w:color w:val="auto"/>
              </w:rPr>
            </w:pPr>
            <w:r>
              <w:rPr>
                <w:color w:val="auto"/>
              </w:rPr>
              <w:t>H</w:t>
            </w:r>
            <w:r>
              <w:rPr>
                <w:color w:val="auto"/>
                <w:vertAlign w:val="subscript"/>
              </w:rPr>
              <w:t>2</w:t>
            </w:r>
            <w:r>
              <w:rPr>
                <w:color w:val="auto"/>
              </w:rPr>
              <w:t>S</w:t>
            </w:r>
          </w:p>
        </w:tc>
        <w:tc>
          <w:tcPr>
            <w:tcW w:w="759" w:type="dxa"/>
            <w:shd w:val="clear" w:color="auto" w:fill="auto"/>
            <w:vAlign w:val="center"/>
          </w:tcPr>
          <w:p>
            <w:pPr>
              <w:pStyle w:val="164"/>
              <w:spacing w:line="360" w:lineRule="exact"/>
              <w:rPr>
                <w:color w:val="auto"/>
              </w:rPr>
            </w:pPr>
            <w:r>
              <w:rPr>
                <w:color w:val="auto"/>
              </w:rPr>
              <w:t>/</w:t>
            </w:r>
          </w:p>
        </w:tc>
        <w:tc>
          <w:tcPr>
            <w:tcW w:w="808" w:type="dxa"/>
            <w:shd w:val="clear" w:color="auto" w:fill="auto"/>
            <w:vAlign w:val="center"/>
          </w:tcPr>
          <w:p>
            <w:pPr>
              <w:pStyle w:val="164"/>
              <w:spacing w:line="360" w:lineRule="exact"/>
              <w:rPr>
                <w:bCs/>
                <w:color w:val="auto"/>
              </w:rPr>
            </w:pPr>
            <w:r>
              <w:rPr>
                <w:bCs/>
                <w:color w:val="auto"/>
              </w:rPr>
              <w:t>/</w:t>
            </w:r>
          </w:p>
        </w:tc>
        <w:tc>
          <w:tcPr>
            <w:tcW w:w="1087" w:type="dxa"/>
            <w:shd w:val="clear" w:color="auto" w:fill="auto"/>
            <w:vAlign w:val="center"/>
          </w:tcPr>
          <w:p>
            <w:pPr>
              <w:pStyle w:val="114"/>
              <w:spacing w:before="0" w:beforeLines="0" w:line="360" w:lineRule="exact"/>
              <w:rPr>
                <w:color w:val="auto"/>
              </w:rPr>
            </w:pPr>
            <w:r>
              <w:rPr>
                <w:b w:val="0"/>
                <w:bCs/>
                <w:color w:val="auto"/>
                <w:sz w:val="21"/>
              </w:rPr>
              <w:t>0.000</w:t>
            </w:r>
            <w:r>
              <w:rPr>
                <w:rFonts w:hint="eastAsia"/>
                <w:b w:val="0"/>
                <w:bCs/>
                <w:color w:val="auto"/>
                <w:sz w:val="21"/>
              </w:rPr>
              <w:t>016</w:t>
            </w:r>
          </w:p>
        </w:tc>
        <w:tc>
          <w:tcPr>
            <w:tcW w:w="1089" w:type="dxa"/>
            <w:shd w:val="clear" w:color="auto" w:fill="auto"/>
            <w:vAlign w:val="center"/>
          </w:tcPr>
          <w:p>
            <w:pPr>
              <w:pStyle w:val="114"/>
              <w:spacing w:before="0" w:beforeLines="0" w:line="360" w:lineRule="exact"/>
              <w:rPr>
                <w:color w:val="auto"/>
              </w:rPr>
            </w:pPr>
            <w:r>
              <w:rPr>
                <w:b w:val="0"/>
                <w:bCs/>
                <w:color w:val="auto"/>
                <w:sz w:val="21"/>
              </w:rPr>
              <w:t>0.000</w:t>
            </w:r>
            <w:r>
              <w:rPr>
                <w:rFonts w:hint="eastAsia"/>
                <w:b w:val="0"/>
                <w:bCs/>
                <w:color w:val="auto"/>
                <w:sz w:val="21"/>
              </w:rPr>
              <w:t>1</w:t>
            </w:r>
          </w:p>
        </w:tc>
        <w:tc>
          <w:tcPr>
            <w:tcW w:w="860" w:type="dxa"/>
            <w:vMerge w:val="continue"/>
            <w:shd w:val="clear" w:color="auto" w:fill="auto"/>
            <w:vAlign w:val="center"/>
          </w:tcPr>
          <w:p>
            <w:pPr>
              <w:pStyle w:val="164"/>
              <w:spacing w:line="360" w:lineRule="exact"/>
              <w:rPr>
                <w:color w:val="auto"/>
              </w:rPr>
            </w:pPr>
          </w:p>
        </w:tc>
        <w:tc>
          <w:tcPr>
            <w:tcW w:w="702" w:type="dxa"/>
            <w:shd w:val="clear" w:color="auto" w:fill="auto"/>
            <w:vAlign w:val="center"/>
          </w:tcPr>
          <w:p>
            <w:pPr>
              <w:pStyle w:val="164"/>
              <w:spacing w:line="360" w:lineRule="exact"/>
              <w:rPr>
                <w:bCs/>
                <w:color w:val="auto"/>
                <w:szCs w:val="20"/>
              </w:rPr>
            </w:pPr>
            <w:r>
              <w:rPr>
                <w:bCs/>
                <w:color w:val="auto"/>
              </w:rPr>
              <w:t>/</w:t>
            </w:r>
          </w:p>
        </w:tc>
        <w:tc>
          <w:tcPr>
            <w:tcW w:w="915" w:type="dxa"/>
            <w:shd w:val="clear" w:color="auto" w:fill="auto"/>
            <w:vAlign w:val="center"/>
          </w:tcPr>
          <w:p>
            <w:pPr>
              <w:pStyle w:val="164"/>
              <w:spacing w:line="360" w:lineRule="exact"/>
              <w:rPr>
                <w:bCs/>
                <w:color w:val="auto"/>
                <w:szCs w:val="20"/>
              </w:rPr>
            </w:pPr>
            <w:r>
              <w:rPr>
                <w:color w:val="auto"/>
              </w:rPr>
              <w:t>/</w:t>
            </w:r>
          </w:p>
        </w:tc>
        <w:tc>
          <w:tcPr>
            <w:tcW w:w="1297" w:type="dxa"/>
            <w:shd w:val="clear" w:color="auto" w:fill="auto"/>
            <w:vAlign w:val="center"/>
          </w:tcPr>
          <w:p>
            <w:pPr>
              <w:pStyle w:val="114"/>
              <w:spacing w:before="0" w:beforeLines="0" w:line="360" w:lineRule="exact"/>
              <w:rPr>
                <w:color w:val="auto"/>
              </w:rPr>
            </w:pPr>
            <w:r>
              <w:rPr>
                <w:b w:val="0"/>
                <w:bCs/>
                <w:color w:val="auto"/>
                <w:sz w:val="21"/>
              </w:rPr>
              <w:t>0.000</w:t>
            </w:r>
            <w:r>
              <w:rPr>
                <w:rFonts w:hint="eastAsia"/>
                <w:b w:val="0"/>
                <w:bCs/>
                <w:color w:val="auto"/>
                <w:sz w:val="21"/>
              </w:rPr>
              <w:t>016</w:t>
            </w:r>
          </w:p>
        </w:tc>
        <w:tc>
          <w:tcPr>
            <w:tcW w:w="1094" w:type="dxa"/>
            <w:shd w:val="clear" w:color="auto" w:fill="auto"/>
            <w:vAlign w:val="center"/>
          </w:tcPr>
          <w:p>
            <w:pPr>
              <w:pStyle w:val="114"/>
              <w:spacing w:before="0" w:beforeLines="0" w:line="360" w:lineRule="exact"/>
              <w:rPr>
                <w:color w:val="auto"/>
              </w:rPr>
            </w:pPr>
            <w:r>
              <w:rPr>
                <w:b w:val="0"/>
                <w:bCs/>
                <w:color w:val="auto"/>
                <w:sz w:val="21"/>
              </w:rPr>
              <w:t>0.000</w:t>
            </w:r>
            <w:r>
              <w:rPr>
                <w:rFonts w:hint="eastAsia"/>
                <w:b w:val="0"/>
                <w:bCs/>
                <w:color w:val="auto"/>
                <w:sz w:val="21"/>
              </w:rPr>
              <w:t>1</w:t>
            </w:r>
          </w:p>
        </w:tc>
        <w:tc>
          <w:tcPr>
            <w:tcW w:w="647" w:type="dxa"/>
            <w:shd w:val="clear" w:color="auto" w:fill="auto"/>
            <w:vAlign w:val="center"/>
          </w:tcPr>
          <w:p>
            <w:pPr>
              <w:pStyle w:val="164"/>
              <w:spacing w:line="360" w:lineRule="exact"/>
              <w:rPr>
                <w:color w:val="auto"/>
              </w:rPr>
            </w:pPr>
            <w:r>
              <w:rPr>
                <w:color w:val="auto"/>
              </w:rPr>
              <w:t>0.06</w:t>
            </w:r>
          </w:p>
        </w:tc>
        <w:tc>
          <w:tcPr>
            <w:tcW w:w="698" w:type="dxa"/>
            <w:shd w:val="clear" w:color="auto" w:fill="auto"/>
            <w:vAlign w:val="center"/>
          </w:tcPr>
          <w:p>
            <w:pPr>
              <w:pStyle w:val="164"/>
              <w:spacing w:line="360" w:lineRule="exact"/>
              <w:rPr>
                <w:color w:val="auto"/>
              </w:rPr>
            </w:pPr>
            <w:r>
              <w:rPr>
                <w:color w:val="auto"/>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94" w:hRule="atLeast"/>
          <w:jc w:val="center"/>
        </w:trPr>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434" w:type="dxa"/>
            <w:vMerge w:val="continue"/>
            <w:shd w:val="clear" w:color="auto" w:fill="auto"/>
            <w:vAlign w:val="center"/>
          </w:tcPr>
          <w:p>
            <w:pPr>
              <w:pStyle w:val="164"/>
              <w:spacing w:line="360" w:lineRule="exact"/>
              <w:rPr>
                <w:color w:val="auto"/>
              </w:rPr>
            </w:pPr>
          </w:p>
        </w:tc>
        <w:tc>
          <w:tcPr>
            <w:tcW w:w="860" w:type="dxa"/>
            <w:shd w:val="clear" w:color="auto" w:fill="auto"/>
            <w:vAlign w:val="center"/>
          </w:tcPr>
          <w:p>
            <w:pPr>
              <w:pStyle w:val="164"/>
              <w:spacing w:line="240" w:lineRule="auto"/>
              <w:rPr>
                <w:bCs/>
                <w:color w:val="auto"/>
              </w:rPr>
            </w:pPr>
            <w:r>
              <w:rPr>
                <w:color w:val="auto"/>
              </w:rPr>
              <w:t>非甲烷总烃</w:t>
            </w:r>
          </w:p>
        </w:tc>
        <w:tc>
          <w:tcPr>
            <w:tcW w:w="759" w:type="dxa"/>
            <w:shd w:val="clear" w:color="auto" w:fill="auto"/>
            <w:vAlign w:val="center"/>
          </w:tcPr>
          <w:p>
            <w:pPr>
              <w:pStyle w:val="164"/>
              <w:spacing w:line="360" w:lineRule="exact"/>
              <w:rPr>
                <w:color w:val="auto"/>
              </w:rPr>
            </w:pPr>
            <w:r>
              <w:rPr>
                <w:color w:val="auto"/>
              </w:rPr>
              <w:t>/</w:t>
            </w:r>
          </w:p>
        </w:tc>
        <w:tc>
          <w:tcPr>
            <w:tcW w:w="808" w:type="dxa"/>
            <w:shd w:val="clear" w:color="auto" w:fill="auto"/>
            <w:vAlign w:val="center"/>
          </w:tcPr>
          <w:p>
            <w:pPr>
              <w:pStyle w:val="164"/>
              <w:spacing w:line="360" w:lineRule="exact"/>
              <w:rPr>
                <w:bCs/>
                <w:color w:val="auto"/>
              </w:rPr>
            </w:pPr>
            <w:r>
              <w:rPr>
                <w:bCs/>
                <w:color w:val="auto"/>
              </w:rPr>
              <w:t>/</w:t>
            </w:r>
          </w:p>
        </w:tc>
        <w:tc>
          <w:tcPr>
            <w:tcW w:w="1087" w:type="dxa"/>
            <w:shd w:val="clear" w:color="auto" w:fill="auto"/>
            <w:vAlign w:val="center"/>
          </w:tcPr>
          <w:p>
            <w:pPr>
              <w:pStyle w:val="114"/>
              <w:spacing w:before="0" w:beforeLines="0" w:line="360" w:lineRule="exact"/>
              <w:rPr>
                <w:color w:val="auto"/>
              </w:rPr>
            </w:pPr>
            <w:r>
              <w:rPr>
                <w:b w:val="0"/>
                <w:bCs/>
                <w:color w:val="auto"/>
                <w:sz w:val="21"/>
              </w:rPr>
              <w:t>0.000</w:t>
            </w:r>
            <w:r>
              <w:rPr>
                <w:rFonts w:hint="eastAsia"/>
                <w:b w:val="0"/>
                <w:bCs/>
                <w:color w:val="auto"/>
                <w:sz w:val="21"/>
              </w:rPr>
              <w:t>6</w:t>
            </w:r>
          </w:p>
        </w:tc>
        <w:tc>
          <w:tcPr>
            <w:tcW w:w="1089" w:type="dxa"/>
            <w:shd w:val="clear" w:color="auto" w:fill="auto"/>
            <w:vAlign w:val="center"/>
          </w:tcPr>
          <w:p>
            <w:pPr>
              <w:pStyle w:val="114"/>
              <w:spacing w:before="0" w:beforeLines="0" w:line="360" w:lineRule="exact"/>
              <w:rPr>
                <w:color w:val="auto"/>
              </w:rPr>
            </w:pPr>
            <w:r>
              <w:rPr>
                <w:b w:val="0"/>
                <w:bCs/>
                <w:color w:val="auto"/>
                <w:sz w:val="21"/>
              </w:rPr>
              <w:t>0.00</w:t>
            </w:r>
            <w:r>
              <w:rPr>
                <w:rFonts w:hint="eastAsia"/>
                <w:b w:val="0"/>
                <w:bCs/>
                <w:color w:val="auto"/>
                <w:sz w:val="21"/>
              </w:rPr>
              <w:t>39</w:t>
            </w:r>
          </w:p>
        </w:tc>
        <w:tc>
          <w:tcPr>
            <w:tcW w:w="860" w:type="dxa"/>
            <w:vMerge w:val="continue"/>
            <w:shd w:val="clear" w:color="auto" w:fill="auto"/>
            <w:vAlign w:val="center"/>
          </w:tcPr>
          <w:p>
            <w:pPr>
              <w:pStyle w:val="164"/>
              <w:spacing w:line="360" w:lineRule="exact"/>
              <w:rPr>
                <w:color w:val="auto"/>
              </w:rPr>
            </w:pPr>
          </w:p>
        </w:tc>
        <w:tc>
          <w:tcPr>
            <w:tcW w:w="702" w:type="dxa"/>
            <w:shd w:val="clear" w:color="auto" w:fill="auto"/>
            <w:vAlign w:val="center"/>
          </w:tcPr>
          <w:p>
            <w:pPr>
              <w:pStyle w:val="164"/>
              <w:spacing w:line="360" w:lineRule="exact"/>
              <w:rPr>
                <w:bCs/>
                <w:color w:val="auto"/>
                <w:szCs w:val="20"/>
              </w:rPr>
            </w:pPr>
            <w:r>
              <w:rPr>
                <w:bCs/>
                <w:color w:val="auto"/>
              </w:rPr>
              <w:t>/</w:t>
            </w:r>
          </w:p>
        </w:tc>
        <w:tc>
          <w:tcPr>
            <w:tcW w:w="915" w:type="dxa"/>
            <w:shd w:val="clear" w:color="auto" w:fill="auto"/>
            <w:vAlign w:val="center"/>
          </w:tcPr>
          <w:p>
            <w:pPr>
              <w:pStyle w:val="164"/>
              <w:spacing w:line="360" w:lineRule="exact"/>
              <w:rPr>
                <w:bCs/>
                <w:color w:val="auto"/>
                <w:szCs w:val="20"/>
              </w:rPr>
            </w:pPr>
            <w:r>
              <w:rPr>
                <w:color w:val="auto"/>
              </w:rPr>
              <w:t>/</w:t>
            </w:r>
          </w:p>
        </w:tc>
        <w:tc>
          <w:tcPr>
            <w:tcW w:w="1297" w:type="dxa"/>
            <w:shd w:val="clear" w:color="auto" w:fill="auto"/>
            <w:vAlign w:val="center"/>
          </w:tcPr>
          <w:p>
            <w:pPr>
              <w:pStyle w:val="114"/>
              <w:spacing w:before="0" w:beforeLines="0" w:line="360" w:lineRule="exact"/>
              <w:rPr>
                <w:color w:val="auto"/>
              </w:rPr>
            </w:pPr>
            <w:r>
              <w:rPr>
                <w:b w:val="0"/>
                <w:bCs/>
                <w:color w:val="auto"/>
                <w:sz w:val="21"/>
              </w:rPr>
              <w:t>0.000</w:t>
            </w:r>
            <w:r>
              <w:rPr>
                <w:rFonts w:hint="eastAsia"/>
                <w:b w:val="0"/>
                <w:bCs/>
                <w:color w:val="auto"/>
                <w:sz w:val="21"/>
              </w:rPr>
              <w:t>6</w:t>
            </w:r>
          </w:p>
        </w:tc>
        <w:tc>
          <w:tcPr>
            <w:tcW w:w="1094" w:type="dxa"/>
            <w:shd w:val="clear" w:color="auto" w:fill="auto"/>
            <w:vAlign w:val="center"/>
          </w:tcPr>
          <w:p>
            <w:pPr>
              <w:pStyle w:val="114"/>
              <w:spacing w:before="0" w:beforeLines="0" w:line="360" w:lineRule="exact"/>
              <w:rPr>
                <w:color w:val="auto"/>
              </w:rPr>
            </w:pPr>
            <w:r>
              <w:rPr>
                <w:b w:val="0"/>
                <w:bCs/>
                <w:color w:val="auto"/>
                <w:sz w:val="21"/>
              </w:rPr>
              <w:t>0.00</w:t>
            </w:r>
            <w:r>
              <w:rPr>
                <w:rFonts w:hint="eastAsia"/>
                <w:b w:val="0"/>
                <w:bCs/>
                <w:color w:val="auto"/>
                <w:sz w:val="21"/>
              </w:rPr>
              <w:t>39</w:t>
            </w:r>
          </w:p>
        </w:tc>
        <w:tc>
          <w:tcPr>
            <w:tcW w:w="647" w:type="dxa"/>
            <w:shd w:val="clear" w:color="auto" w:fill="auto"/>
            <w:vAlign w:val="center"/>
          </w:tcPr>
          <w:p>
            <w:pPr>
              <w:pStyle w:val="164"/>
              <w:spacing w:line="360" w:lineRule="exact"/>
              <w:rPr>
                <w:color w:val="auto"/>
              </w:rPr>
            </w:pPr>
            <w:r>
              <w:rPr>
                <w:color w:val="auto"/>
              </w:rPr>
              <w:t>4.0</w:t>
            </w:r>
          </w:p>
        </w:tc>
        <w:tc>
          <w:tcPr>
            <w:tcW w:w="698" w:type="dxa"/>
            <w:shd w:val="clear" w:color="auto" w:fill="auto"/>
            <w:vAlign w:val="center"/>
          </w:tcPr>
          <w:p>
            <w:pPr>
              <w:pStyle w:val="164"/>
              <w:spacing w:line="360" w:lineRule="exact"/>
              <w:rPr>
                <w:color w:val="auto"/>
              </w:rPr>
            </w:pPr>
            <w:r>
              <w:rPr>
                <w:color w:val="auto"/>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60" w:hRule="atLeast"/>
          <w:jc w:val="center"/>
        </w:trPr>
        <w:tc>
          <w:tcPr>
            <w:tcW w:w="434" w:type="dxa"/>
            <w:vMerge w:val="restart"/>
            <w:shd w:val="clear" w:color="auto" w:fill="auto"/>
            <w:vAlign w:val="center"/>
          </w:tcPr>
          <w:p>
            <w:pPr>
              <w:pStyle w:val="164"/>
              <w:spacing w:line="240" w:lineRule="auto"/>
              <w:rPr>
                <w:color w:val="auto"/>
              </w:rPr>
            </w:pPr>
            <w:r>
              <w:rPr>
                <w:color w:val="auto"/>
              </w:rPr>
              <w:t>5</w:t>
            </w:r>
          </w:p>
        </w:tc>
        <w:tc>
          <w:tcPr>
            <w:tcW w:w="434" w:type="dxa"/>
            <w:vMerge w:val="restart"/>
            <w:shd w:val="clear" w:color="auto" w:fill="auto"/>
            <w:vAlign w:val="center"/>
          </w:tcPr>
          <w:p>
            <w:pPr>
              <w:pStyle w:val="164"/>
              <w:spacing w:line="240" w:lineRule="auto"/>
              <w:rPr>
                <w:color w:val="auto"/>
              </w:rPr>
            </w:pPr>
            <w:r>
              <w:rPr>
                <w:color w:val="auto"/>
              </w:rPr>
              <w:t>无组织</w:t>
            </w:r>
          </w:p>
        </w:tc>
        <w:tc>
          <w:tcPr>
            <w:tcW w:w="434" w:type="dxa"/>
            <w:vMerge w:val="restart"/>
            <w:shd w:val="clear" w:color="auto" w:fill="auto"/>
            <w:vAlign w:val="center"/>
          </w:tcPr>
          <w:p>
            <w:pPr>
              <w:pStyle w:val="164"/>
              <w:spacing w:line="240" w:lineRule="auto"/>
              <w:rPr>
                <w:color w:val="auto"/>
              </w:rPr>
            </w:pPr>
            <w:r>
              <w:rPr>
                <w:color w:val="auto"/>
              </w:rPr>
              <w:t>污水</w:t>
            </w:r>
          </w:p>
          <w:p>
            <w:pPr>
              <w:pStyle w:val="164"/>
              <w:spacing w:line="240" w:lineRule="auto"/>
              <w:rPr>
                <w:color w:val="auto"/>
              </w:rPr>
            </w:pPr>
            <w:r>
              <w:rPr>
                <w:color w:val="auto"/>
              </w:rPr>
              <w:t>处理间</w:t>
            </w:r>
          </w:p>
        </w:tc>
        <w:tc>
          <w:tcPr>
            <w:tcW w:w="434" w:type="dxa"/>
            <w:vMerge w:val="restart"/>
            <w:shd w:val="clear" w:color="auto" w:fill="auto"/>
            <w:vAlign w:val="center"/>
          </w:tcPr>
          <w:p>
            <w:pPr>
              <w:pStyle w:val="164"/>
              <w:spacing w:line="240" w:lineRule="auto"/>
              <w:rPr>
                <w:color w:val="auto"/>
              </w:rPr>
            </w:pPr>
            <w:r>
              <w:rPr>
                <w:color w:val="auto"/>
              </w:rPr>
              <w:t>间歇</w:t>
            </w:r>
          </w:p>
        </w:tc>
        <w:tc>
          <w:tcPr>
            <w:tcW w:w="860" w:type="dxa"/>
            <w:shd w:val="clear" w:color="auto" w:fill="auto"/>
            <w:vAlign w:val="center"/>
          </w:tcPr>
          <w:p>
            <w:pPr>
              <w:pStyle w:val="164"/>
              <w:spacing w:line="240" w:lineRule="auto"/>
              <w:rPr>
                <w:color w:val="auto"/>
              </w:rPr>
            </w:pPr>
            <w:r>
              <w:rPr>
                <w:color w:val="auto"/>
              </w:rPr>
              <w:t>NH</w:t>
            </w:r>
            <w:r>
              <w:rPr>
                <w:color w:val="auto"/>
                <w:szCs w:val="13"/>
                <w:vertAlign w:val="subscript"/>
              </w:rPr>
              <w:t>3</w:t>
            </w:r>
          </w:p>
        </w:tc>
        <w:tc>
          <w:tcPr>
            <w:tcW w:w="759" w:type="dxa"/>
            <w:shd w:val="clear" w:color="auto" w:fill="auto"/>
            <w:vAlign w:val="center"/>
          </w:tcPr>
          <w:p>
            <w:pPr>
              <w:pStyle w:val="164"/>
              <w:spacing w:line="240" w:lineRule="auto"/>
              <w:rPr>
                <w:color w:val="auto"/>
              </w:rPr>
            </w:pPr>
            <w:r>
              <w:rPr>
                <w:color w:val="auto"/>
              </w:rPr>
              <w:t>/</w:t>
            </w:r>
          </w:p>
        </w:tc>
        <w:tc>
          <w:tcPr>
            <w:tcW w:w="808" w:type="dxa"/>
            <w:shd w:val="clear" w:color="auto" w:fill="auto"/>
            <w:vAlign w:val="center"/>
          </w:tcPr>
          <w:p>
            <w:pPr>
              <w:pStyle w:val="164"/>
              <w:spacing w:line="240" w:lineRule="auto"/>
              <w:rPr>
                <w:bCs/>
                <w:color w:val="auto"/>
              </w:rPr>
            </w:pPr>
            <w:r>
              <w:rPr>
                <w:bCs/>
                <w:color w:val="auto"/>
              </w:rPr>
              <w:t>/</w:t>
            </w:r>
          </w:p>
        </w:tc>
        <w:tc>
          <w:tcPr>
            <w:tcW w:w="1087" w:type="dxa"/>
            <w:shd w:val="clear" w:color="auto" w:fill="auto"/>
            <w:vAlign w:val="center"/>
          </w:tcPr>
          <w:p>
            <w:pPr>
              <w:pStyle w:val="164"/>
              <w:spacing w:line="240" w:lineRule="auto"/>
              <w:rPr>
                <w:bCs/>
                <w:color w:val="auto"/>
              </w:rPr>
            </w:pPr>
            <w:r>
              <w:rPr>
                <w:bCs/>
                <w:color w:val="auto"/>
              </w:rPr>
              <w:t>0.000</w:t>
            </w:r>
            <w:r>
              <w:rPr>
                <w:rFonts w:hint="eastAsia"/>
                <w:bCs/>
                <w:color w:val="auto"/>
              </w:rPr>
              <w:t>72</w:t>
            </w:r>
          </w:p>
        </w:tc>
        <w:tc>
          <w:tcPr>
            <w:tcW w:w="1089" w:type="dxa"/>
            <w:shd w:val="clear" w:color="auto" w:fill="auto"/>
            <w:vAlign w:val="center"/>
          </w:tcPr>
          <w:p>
            <w:pPr>
              <w:pStyle w:val="164"/>
              <w:spacing w:line="240" w:lineRule="auto"/>
              <w:rPr>
                <w:color w:val="auto"/>
              </w:rPr>
            </w:pPr>
            <w:r>
              <w:rPr>
                <w:color w:val="auto"/>
              </w:rPr>
              <w:t>0.00</w:t>
            </w:r>
            <w:r>
              <w:rPr>
                <w:rFonts w:hint="eastAsia"/>
                <w:color w:val="auto"/>
              </w:rPr>
              <w:t>57</w:t>
            </w:r>
          </w:p>
        </w:tc>
        <w:tc>
          <w:tcPr>
            <w:tcW w:w="860" w:type="dxa"/>
            <w:vMerge w:val="restart"/>
            <w:shd w:val="clear" w:color="auto" w:fill="auto"/>
            <w:vAlign w:val="center"/>
          </w:tcPr>
          <w:p>
            <w:pPr>
              <w:pStyle w:val="164"/>
              <w:spacing w:line="240" w:lineRule="auto"/>
              <w:rPr>
                <w:color w:val="auto"/>
              </w:rPr>
            </w:pPr>
            <w:r>
              <w:rPr>
                <w:color w:val="auto"/>
              </w:rPr>
              <w:t>加强管理，加盖密闭并喷洒除臭剂进行除臭</w:t>
            </w:r>
          </w:p>
        </w:tc>
        <w:tc>
          <w:tcPr>
            <w:tcW w:w="702" w:type="dxa"/>
            <w:shd w:val="clear" w:color="auto" w:fill="auto"/>
            <w:vAlign w:val="center"/>
          </w:tcPr>
          <w:p>
            <w:pPr>
              <w:pStyle w:val="164"/>
              <w:spacing w:line="240" w:lineRule="auto"/>
              <w:rPr>
                <w:bCs/>
                <w:color w:val="auto"/>
                <w:szCs w:val="20"/>
              </w:rPr>
            </w:pPr>
            <w:r>
              <w:rPr>
                <w:bCs/>
                <w:color w:val="auto"/>
              </w:rPr>
              <w:t>60</w:t>
            </w:r>
          </w:p>
        </w:tc>
        <w:tc>
          <w:tcPr>
            <w:tcW w:w="915" w:type="dxa"/>
            <w:shd w:val="clear" w:color="auto" w:fill="auto"/>
            <w:vAlign w:val="center"/>
          </w:tcPr>
          <w:p>
            <w:pPr>
              <w:pStyle w:val="164"/>
              <w:spacing w:line="360" w:lineRule="exact"/>
              <w:rPr>
                <w:bCs/>
                <w:color w:val="auto"/>
                <w:szCs w:val="20"/>
              </w:rPr>
            </w:pPr>
            <w:r>
              <w:rPr>
                <w:color w:val="auto"/>
              </w:rPr>
              <w:t>/</w:t>
            </w:r>
          </w:p>
        </w:tc>
        <w:tc>
          <w:tcPr>
            <w:tcW w:w="1297" w:type="dxa"/>
            <w:shd w:val="clear" w:color="auto" w:fill="auto"/>
            <w:vAlign w:val="center"/>
          </w:tcPr>
          <w:p>
            <w:pPr>
              <w:pStyle w:val="164"/>
              <w:spacing w:line="360" w:lineRule="exact"/>
              <w:rPr>
                <w:bCs/>
                <w:color w:val="auto"/>
              </w:rPr>
            </w:pPr>
            <w:r>
              <w:rPr>
                <w:color w:val="auto"/>
              </w:rPr>
              <w:t>0.00</w:t>
            </w:r>
            <w:r>
              <w:rPr>
                <w:rFonts w:hint="eastAsia"/>
                <w:color w:val="auto"/>
              </w:rPr>
              <w:t>029</w:t>
            </w:r>
            <w:r>
              <w:rPr>
                <w:color w:val="auto"/>
              </w:rPr>
              <w:t xml:space="preserve"> </w:t>
            </w:r>
          </w:p>
        </w:tc>
        <w:tc>
          <w:tcPr>
            <w:tcW w:w="1094" w:type="dxa"/>
            <w:shd w:val="clear" w:color="auto" w:fill="auto"/>
            <w:vAlign w:val="center"/>
          </w:tcPr>
          <w:p>
            <w:pPr>
              <w:pStyle w:val="164"/>
              <w:spacing w:line="360" w:lineRule="exact"/>
              <w:rPr>
                <w:color w:val="auto"/>
              </w:rPr>
            </w:pPr>
            <w:r>
              <w:rPr>
                <w:color w:val="auto"/>
              </w:rPr>
              <w:t>0.00</w:t>
            </w:r>
            <w:r>
              <w:rPr>
                <w:rFonts w:hint="eastAsia"/>
                <w:color w:val="auto"/>
              </w:rPr>
              <w:t>23</w:t>
            </w:r>
            <w:r>
              <w:rPr>
                <w:color w:val="auto"/>
              </w:rPr>
              <w:t xml:space="preserve"> </w:t>
            </w:r>
          </w:p>
        </w:tc>
        <w:tc>
          <w:tcPr>
            <w:tcW w:w="647" w:type="dxa"/>
            <w:shd w:val="clear" w:color="auto" w:fill="auto"/>
            <w:vAlign w:val="center"/>
          </w:tcPr>
          <w:p>
            <w:pPr>
              <w:pStyle w:val="164"/>
              <w:spacing w:line="360" w:lineRule="exact"/>
              <w:rPr>
                <w:color w:val="auto"/>
              </w:rPr>
            </w:pPr>
            <w:r>
              <w:rPr>
                <w:color w:val="auto"/>
              </w:rPr>
              <w:t>1.5</w:t>
            </w:r>
          </w:p>
        </w:tc>
        <w:tc>
          <w:tcPr>
            <w:tcW w:w="698" w:type="dxa"/>
            <w:shd w:val="clear" w:color="auto" w:fill="auto"/>
            <w:vAlign w:val="center"/>
          </w:tcPr>
          <w:p>
            <w:pPr>
              <w:pStyle w:val="164"/>
              <w:spacing w:line="360" w:lineRule="exact"/>
              <w:rPr>
                <w:color w:val="auto"/>
              </w:rPr>
            </w:pPr>
            <w:r>
              <w:rPr>
                <w:color w:val="auto"/>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434" w:type="dxa"/>
            <w:vMerge w:val="continue"/>
            <w:shd w:val="clear" w:color="auto" w:fill="auto"/>
            <w:vAlign w:val="center"/>
          </w:tcPr>
          <w:p>
            <w:pPr>
              <w:pStyle w:val="164"/>
              <w:spacing w:line="240" w:lineRule="auto"/>
              <w:rPr>
                <w:color w:val="auto"/>
              </w:rPr>
            </w:pPr>
          </w:p>
        </w:tc>
        <w:tc>
          <w:tcPr>
            <w:tcW w:w="860" w:type="dxa"/>
            <w:shd w:val="clear" w:color="auto" w:fill="auto"/>
            <w:vAlign w:val="center"/>
          </w:tcPr>
          <w:p>
            <w:pPr>
              <w:pStyle w:val="164"/>
              <w:spacing w:line="240" w:lineRule="auto"/>
              <w:rPr>
                <w:color w:val="auto"/>
              </w:rPr>
            </w:pPr>
            <w:r>
              <w:rPr>
                <w:color w:val="auto"/>
              </w:rPr>
              <w:t>H</w:t>
            </w:r>
            <w:r>
              <w:rPr>
                <w:color w:val="auto"/>
                <w:vertAlign w:val="subscript"/>
              </w:rPr>
              <w:t>2</w:t>
            </w:r>
            <w:r>
              <w:rPr>
                <w:color w:val="auto"/>
              </w:rPr>
              <w:t>S</w:t>
            </w:r>
          </w:p>
        </w:tc>
        <w:tc>
          <w:tcPr>
            <w:tcW w:w="759" w:type="dxa"/>
            <w:shd w:val="clear" w:color="auto" w:fill="auto"/>
            <w:vAlign w:val="center"/>
          </w:tcPr>
          <w:p>
            <w:pPr>
              <w:pStyle w:val="164"/>
              <w:spacing w:line="240" w:lineRule="auto"/>
              <w:rPr>
                <w:color w:val="auto"/>
              </w:rPr>
            </w:pPr>
            <w:r>
              <w:rPr>
                <w:color w:val="auto"/>
              </w:rPr>
              <w:t>/</w:t>
            </w:r>
          </w:p>
        </w:tc>
        <w:tc>
          <w:tcPr>
            <w:tcW w:w="808" w:type="dxa"/>
            <w:shd w:val="clear" w:color="auto" w:fill="auto"/>
            <w:vAlign w:val="center"/>
          </w:tcPr>
          <w:p>
            <w:pPr>
              <w:pStyle w:val="164"/>
              <w:spacing w:line="240" w:lineRule="auto"/>
              <w:rPr>
                <w:bCs/>
                <w:color w:val="auto"/>
              </w:rPr>
            </w:pPr>
            <w:r>
              <w:rPr>
                <w:bCs/>
                <w:color w:val="auto"/>
              </w:rPr>
              <w:t>/</w:t>
            </w:r>
          </w:p>
        </w:tc>
        <w:tc>
          <w:tcPr>
            <w:tcW w:w="1087" w:type="dxa"/>
            <w:shd w:val="clear" w:color="auto" w:fill="auto"/>
            <w:vAlign w:val="center"/>
          </w:tcPr>
          <w:p>
            <w:pPr>
              <w:pStyle w:val="164"/>
              <w:spacing w:line="240" w:lineRule="auto"/>
              <w:rPr>
                <w:bCs/>
                <w:color w:val="auto"/>
              </w:rPr>
            </w:pPr>
            <w:r>
              <w:rPr>
                <w:bCs/>
                <w:color w:val="auto"/>
              </w:rPr>
              <w:t>0.00002</w:t>
            </w:r>
            <w:r>
              <w:rPr>
                <w:rFonts w:hint="eastAsia"/>
                <w:bCs/>
                <w:color w:val="auto"/>
              </w:rPr>
              <w:t>8</w:t>
            </w:r>
          </w:p>
        </w:tc>
        <w:tc>
          <w:tcPr>
            <w:tcW w:w="1089" w:type="dxa"/>
            <w:shd w:val="clear" w:color="auto" w:fill="auto"/>
            <w:vAlign w:val="center"/>
          </w:tcPr>
          <w:p>
            <w:pPr>
              <w:pStyle w:val="164"/>
              <w:spacing w:line="240" w:lineRule="auto"/>
              <w:rPr>
                <w:color w:val="auto"/>
              </w:rPr>
            </w:pPr>
            <w:r>
              <w:rPr>
                <w:color w:val="auto"/>
              </w:rPr>
              <w:t>0.000</w:t>
            </w:r>
            <w:r>
              <w:rPr>
                <w:rFonts w:hint="eastAsia"/>
                <w:color w:val="auto"/>
              </w:rPr>
              <w:t>22</w:t>
            </w:r>
          </w:p>
        </w:tc>
        <w:tc>
          <w:tcPr>
            <w:tcW w:w="860" w:type="dxa"/>
            <w:vMerge w:val="continue"/>
            <w:shd w:val="clear" w:color="auto" w:fill="auto"/>
            <w:vAlign w:val="center"/>
          </w:tcPr>
          <w:p>
            <w:pPr>
              <w:pStyle w:val="164"/>
              <w:spacing w:line="240" w:lineRule="auto"/>
              <w:rPr>
                <w:color w:val="auto"/>
              </w:rPr>
            </w:pPr>
          </w:p>
        </w:tc>
        <w:tc>
          <w:tcPr>
            <w:tcW w:w="702" w:type="dxa"/>
            <w:shd w:val="clear" w:color="auto" w:fill="auto"/>
            <w:vAlign w:val="center"/>
          </w:tcPr>
          <w:p>
            <w:pPr>
              <w:pStyle w:val="164"/>
              <w:spacing w:line="240" w:lineRule="auto"/>
              <w:rPr>
                <w:bCs/>
                <w:color w:val="auto"/>
                <w:szCs w:val="20"/>
              </w:rPr>
            </w:pPr>
            <w:r>
              <w:rPr>
                <w:bCs/>
                <w:color w:val="auto"/>
              </w:rPr>
              <w:t>60</w:t>
            </w:r>
          </w:p>
        </w:tc>
        <w:tc>
          <w:tcPr>
            <w:tcW w:w="915" w:type="dxa"/>
            <w:shd w:val="clear" w:color="auto" w:fill="auto"/>
            <w:vAlign w:val="center"/>
          </w:tcPr>
          <w:p>
            <w:pPr>
              <w:pStyle w:val="164"/>
              <w:spacing w:line="360" w:lineRule="exact"/>
              <w:rPr>
                <w:bCs/>
                <w:color w:val="auto"/>
                <w:szCs w:val="20"/>
              </w:rPr>
            </w:pPr>
            <w:r>
              <w:rPr>
                <w:color w:val="auto"/>
              </w:rPr>
              <w:t>/</w:t>
            </w:r>
          </w:p>
        </w:tc>
        <w:tc>
          <w:tcPr>
            <w:tcW w:w="1297" w:type="dxa"/>
            <w:shd w:val="clear" w:color="auto" w:fill="auto"/>
            <w:vAlign w:val="center"/>
          </w:tcPr>
          <w:p>
            <w:pPr>
              <w:pStyle w:val="164"/>
              <w:spacing w:line="360" w:lineRule="exact"/>
              <w:rPr>
                <w:bCs/>
                <w:color w:val="auto"/>
              </w:rPr>
            </w:pPr>
            <w:r>
              <w:rPr>
                <w:color w:val="auto"/>
              </w:rPr>
              <w:t>0.0000</w:t>
            </w:r>
            <w:r>
              <w:rPr>
                <w:rFonts w:hint="eastAsia"/>
                <w:color w:val="auto"/>
              </w:rPr>
              <w:t>11</w:t>
            </w:r>
          </w:p>
        </w:tc>
        <w:tc>
          <w:tcPr>
            <w:tcW w:w="1094" w:type="dxa"/>
            <w:shd w:val="clear" w:color="auto" w:fill="auto"/>
            <w:vAlign w:val="center"/>
          </w:tcPr>
          <w:p>
            <w:pPr>
              <w:pStyle w:val="164"/>
              <w:spacing w:line="360" w:lineRule="exact"/>
              <w:rPr>
                <w:color w:val="auto"/>
              </w:rPr>
            </w:pPr>
            <w:r>
              <w:rPr>
                <w:color w:val="auto"/>
              </w:rPr>
              <w:t>0.00008</w:t>
            </w:r>
            <w:r>
              <w:rPr>
                <w:rFonts w:hint="eastAsia"/>
                <w:color w:val="auto"/>
              </w:rPr>
              <w:t>8</w:t>
            </w:r>
            <w:r>
              <w:rPr>
                <w:color w:val="auto"/>
              </w:rPr>
              <w:t xml:space="preserve"> </w:t>
            </w:r>
          </w:p>
        </w:tc>
        <w:tc>
          <w:tcPr>
            <w:tcW w:w="647" w:type="dxa"/>
            <w:shd w:val="clear" w:color="auto" w:fill="auto"/>
            <w:vAlign w:val="center"/>
          </w:tcPr>
          <w:p>
            <w:pPr>
              <w:pStyle w:val="164"/>
              <w:spacing w:line="360" w:lineRule="exact"/>
              <w:rPr>
                <w:color w:val="auto"/>
              </w:rPr>
            </w:pPr>
            <w:r>
              <w:rPr>
                <w:color w:val="auto"/>
              </w:rPr>
              <w:t>0.06</w:t>
            </w:r>
          </w:p>
        </w:tc>
        <w:tc>
          <w:tcPr>
            <w:tcW w:w="698" w:type="dxa"/>
            <w:shd w:val="clear" w:color="auto" w:fill="auto"/>
            <w:vAlign w:val="center"/>
          </w:tcPr>
          <w:p>
            <w:pPr>
              <w:pStyle w:val="164"/>
              <w:spacing w:line="360" w:lineRule="exact"/>
              <w:rPr>
                <w:color w:val="auto"/>
              </w:rPr>
            </w:pPr>
            <w:r>
              <w:rPr>
                <w:color w:val="auto"/>
              </w:rPr>
              <w:t>/</w:t>
            </w:r>
          </w:p>
        </w:tc>
        <w:tc>
          <w:tcPr>
            <w:tcW w:w="445" w:type="dxa"/>
            <w:shd w:val="clear" w:color="auto" w:fill="auto"/>
            <w:vAlign w:val="center"/>
          </w:tcPr>
          <w:p>
            <w:pPr>
              <w:pStyle w:val="164"/>
              <w:spacing w:line="360" w:lineRule="exact"/>
              <w:rPr>
                <w:color w:val="auto"/>
                <w:kern w:val="0"/>
                <w:szCs w:val="21"/>
              </w:rPr>
            </w:pPr>
            <w:r>
              <w:rPr>
                <w:color w:val="auto"/>
                <w:kern w:val="0"/>
                <w:szCs w:val="21"/>
              </w:rPr>
              <w:t>是</w:t>
            </w:r>
          </w:p>
        </w:tc>
      </w:tr>
      <w:bookmarkEnd w:id="257"/>
    </w:tbl>
    <w:p>
      <w:pPr>
        <w:pStyle w:val="59"/>
        <w:spacing w:after="0" w:line="360" w:lineRule="auto"/>
        <w:ind w:firstLine="420" w:firstLineChars="200"/>
        <w:rPr>
          <w:color w:val="auto"/>
        </w:rPr>
      </w:pPr>
      <w:r>
        <w:rPr>
          <w:color w:val="auto"/>
        </w:rPr>
        <w:t>备注：</w:t>
      </w:r>
      <w:r>
        <w:rPr>
          <w:rFonts w:hint="eastAsia"/>
          <w:color w:val="auto"/>
        </w:rPr>
        <w:t>灭菌系统指5t</w:t>
      </w:r>
      <w:r>
        <w:rPr>
          <w:color w:val="auto"/>
        </w:rPr>
        <w:t>/d</w:t>
      </w:r>
      <w:r>
        <w:rPr>
          <w:rFonts w:hint="eastAsia"/>
          <w:color w:val="auto"/>
        </w:rPr>
        <w:t>和3</w:t>
      </w:r>
      <w:r>
        <w:rPr>
          <w:color w:val="auto"/>
        </w:rPr>
        <w:t>t/d</w:t>
      </w:r>
      <w:r>
        <w:rPr>
          <w:rFonts w:hint="eastAsia"/>
          <w:color w:val="auto"/>
        </w:rPr>
        <w:t>的高温灭菌系统，</w:t>
      </w:r>
      <w:r>
        <w:rPr>
          <w:color w:val="auto"/>
        </w:rPr>
        <w:t>高温蒸汽灭菌工作时长按16h/d计，全年330天。</w:t>
      </w:r>
    </w:p>
    <w:p>
      <w:pPr>
        <w:pStyle w:val="118"/>
        <w:ind w:firstLine="480"/>
        <w:rPr>
          <w:color w:val="auto"/>
        </w:rPr>
      </w:pPr>
      <w:r>
        <w:rPr>
          <w:color w:val="auto"/>
        </w:rPr>
        <w:t>由上表可以看出，本项目</w:t>
      </w:r>
      <w:r>
        <w:rPr>
          <w:rFonts w:hint="eastAsia"/>
          <w:color w:val="auto"/>
        </w:rPr>
        <w:t>建成后全厂</w:t>
      </w:r>
      <w:r>
        <w:rPr>
          <w:color w:val="auto"/>
        </w:rPr>
        <w:t>有组织排放臭气浓度、氨气、硫化氢排放速率满足《恶臭污染物排放标准》（GB14554-93）表2标准限值要求，非甲烷总烃排放浓度满足《医疗废物处理处置污染控制标准》（GB39707-2020）中表3消毒处理设施排放废气污染物浓度限值，颗粒物排放浓度、速率满足《大气污染物综合排放标准》（GB16297-1996）表2的二级标准限值要求，可以达标排放。</w:t>
      </w:r>
    </w:p>
    <w:p>
      <w:pPr>
        <w:rPr>
          <w:color w:val="auto"/>
        </w:rPr>
        <w:sectPr>
          <w:pgSz w:w="16838" w:h="11906" w:orient="landscape"/>
          <w:pgMar w:top="1701" w:right="1701" w:bottom="1701" w:left="1701" w:header="851" w:footer="851" w:gutter="0"/>
          <w:cols w:space="720" w:num="1"/>
          <w:docGrid w:linePitch="466" w:charSpace="0"/>
        </w:sectPr>
      </w:pPr>
    </w:p>
    <w:p>
      <w:pPr>
        <w:pStyle w:val="6"/>
        <w:numPr>
          <w:ilvl w:val="3"/>
          <w:numId w:val="0"/>
        </w:numPr>
        <w:ind w:left="-861" w:leftChars="-410" w:firstLine="964" w:firstLineChars="400"/>
        <w:rPr>
          <w:color w:val="auto"/>
        </w:rPr>
      </w:pPr>
      <w:r>
        <w:rPr>
          <w:color w:val="auto"/>
        </w:rPr>
        <w:t>4.8.2.3非正常工况下废气污染源强分析</w:t>
      </w:r>
    </w:p>
    <w:p>
      <w:pPr>
        <w:pStyle w:val="130"/>
        <w:ind w:firstLine="480"/>
        <w:rPr>
          <w:rFonts w:eastAsiaTheme="minorEastAsia"/>
          <w:color w:val="auto"/>
        </w:rPr>
      </w:pPr>
      <w:r>
        <w:rPr>
          <w:rFonts w:eastAsiaTheme="minorEastAsia"/>
          <w:color w:val="auto"/>
        </w:rPr>
        <w:t>本项目</w:t>
      </w:r>
      <w:r>
        <w:rPr>
          <w:rFonts w:hint="eastAsia" w:eastAsiaTheme="minorEastAsia"/>
          <w:color w:val="auto"/>
        </w:rPr>
        <w:t>营运期全厂</w:t>
      </w:r>
      <w:r>
        <w:rPr>
          <w:rFonts w:eastAsiaTheme="minorEastAsia"/>
          <w:color w:val="auto"/>
        </w:rPr>
        <w:t>废气污染物非正常排放主要分正常开车、停车、设备检修和环保设施故障、达不到设计指标运行等两种情况。</w:t>
      </w:r>
    </w:p>
    <w:p>
      <w:pPr>
        <w:pStyle w:val="130"/>
        <w:ind w:firstLine="480"/>
        <w:rPr>
          <w:rFonts w:eastAsiaTheme="minorEastAsia"/>
          <w:color w:val="auto"/>
        </w:rPr>
      </w:pPr>
      <w:r>
        <w:rPr>
          <w:rFonts w:eastAsiaTheme="minorEastAsia"/>
          <w:color w:val="auto"/>
        </w:rPr>
        <w:t>(1)正常开车、停车及检维修过程若相应环保设施滞后启动或提前停止运行可能会导致污染物大量排放到环境空气中，易造成较为严重的环境污染问题，因此本次评价要求建设单位在正常开车、停车及设备检修期间，环保设施必须以与主体设备保持同步性运行为前提下，并且在开车过程中，应先运行废气处理装置，后运行生产装置；停车过程中，先停止生产装置，后停止废气处理装置（具体停用时间视工艺废气实际排放情况而定，一般在停车后30min左右，确保废气有效处理后再停止废气处理装置）；同时要求建设单位将所有的环保设施全部纳入正常生产管理范畴，不得擅自停用或者拆除、不得擅自挪为他用。</w:t>
      </w:r>
    </w:p>
    <w:p>
      <w:pPr>
        <w:pStyle w:val="130"/>
        <w:ind w:firstLine="480"/>
        <w:rPr>
          <w:color w:val="auto"/>
        </w:rPr>
      </w:pPr>
      <w:r>
        <w:rPr>
          <w:color w:val="auto"/>
        </w:rPr>
        <w:t>(2)针对环保设施故障、达不到设计指标运行的情况，本次评价主要从各生产系统工艺尾气处理装置发生故障，导致短时间内处理措施失效时的排放情况为典型事例，估算该类情况下的非正常排放污染源强，本项目</w:t>
      </w:r>
      <w:r>
        <w:rPr>
          <w:rFonts w:hint="eastAsia"/>
          <w:color w:val="auto"/>
        </w:rPr>
        <w:t>建成后全厂</w:t>
      </w:r>
      <w:r>
        <w:rPr>
          <w:color w:val="auto"/>
        </w:rPr>
        <w:t>非正常工况排放量核算情况见下表。</w:t>
      </w:r>
    </w:p>
    <w:p>
      <w:pPr>
        <w:pStyle w:val="114"/>
        <w:spacing w:before="0" w:beforeLines="0"/>
        <w:rPr>
          <w:color w:val="auto"/>
        </w:rPr>
      </w:pPr>
      <w:r>
        <w:rPr>
          <w:color w:val="auto"/>
        </w:rPr>
        <w:t>表4.8-14    本项目</w:t>
      </w:r>
      <w:r>
        <w:rPr>
          <w:rFonts w:hint="eastAsia"/>
          <w:color w:val="auto"/>
        </w:rPr>
        <w:t>建成后全厂</w:t>
      </w:r>
      <w:r>
        <w:rPr>
          <w:color w:val="auto"/>
        </w:rPr>
        <w:t>非正常工况排放量核算表</w:t>
      </w:r>
    </w:p>
    <w:tbl>
      <w:tblPr>
        <w:tblStyle w:val="74"/>
        <w:tblW w:w="8720"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95"/>
        <w:gridCol w:w="898"/>
        <w:gridCol w:w="1045"/>
        <w:gridCol w:w="896"/>
        <w:gridCol w:w="1118"/>
        <w:gridCol w:w="1177"/>
        <w:gridCol w:w="898"/>
        <w:gridCol w:w="898"/>
        <w:gridCol w:w="89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3" w:hRule="atLeast"/>
          <w:jc w:val="center"/>
        </w:trPr>
        <w:tc>
          <w:tcPr>
            <w:tcW w:w="895" w:type="dxa"/>
            <w:shd w:val="clear" w:color="auto" w:fill="auto"/>
            <w:vAlign w:val="center"/>
          </w:tcPr>
          <w:p>
            <w:pPr>
              <w:jc w:val="center"/>
              <w:rPr>
                <w:color w:val="auto"/>
                <w:szCs w:val="21"/>
              </w:rPr>
            </w:pPr>
            <w:r>
              <w:rPr>
                <w:color w:val="auto"/>
                <w:szCs w:val="21"/>
              </w:rPr>
              <w:t>序号</w:t>
            </w:r>
          </w:p>
        </w:tc>
        <w:tc>
          <w:tcPr>
            <w:tcW w:w="898" w:type="dxa"/>
            <w:shd w:val="clear" w:color="auto" w:fill="auto"/>
            <w:vAlign w:val="center"/>
          </w:tcPr>
          <w:p>
            <w:pPr>
              <w:jc w:val="center"/>
              <w:rPr>
                <w:color w:val="auto"/>
                <w:szCs w:val="21"/>
              </w:rPr>
            </w:pPr>
            <w:r>
              <w:rPr>
                <w:color w:val="auto"/>
                <w:szCs w:val="21"/>
              </w:rPr>
              <w:t>污染源</w:t>
            </w:r>
          </w:p>
        </w:tc>
        <w:tc>
          <w:tcPr>
            <w:tcW w:w="1045" w:type="dxa"/>
            <w:shd w:val="clear" w:color="auto" w:fill="auto"/>
            <w:vAlign w:val="center"/>
          </w:tcPr>
          <w:p>
            <w:pPr>
              <w:jc w:val="center"/>
              <w:rPr>
                <w:color w:val="auto"/>
                <w:szCs w:val="21"/>
              </w:rPr>
            </w:pPr>
            <w:r>
              <w:rPr>
                <w:color w:val="auto"/>
                <w:szCs w:val="21"/>
              </w:rPr>
              <w:t>非正常排放</w:t>
            </w:r>
          </w:p>
          <w:p>
            <w:pPr>
              <w:jc w:val="center"/>
              <w:rPr>
                <w:color w:val="auto"/>
                <w:szCs w:val="21"/>
              </w:rPr>
            </w:pPr>
            <w:r>
              <w:rPr>
                <w:color w:val="auto"/>
                <w:szCs w:val="21"/>
              </w:rPr>
              <w:t>原因</w:t>
            </w:r>
          </w:p>
        </w:tc>
        <w:tc>
          <w:tcPr>
            <w:tcW w:w="896" w:type="dxa"/>
            <w:shd w:val="clear" w:color="auto" w:fill="auto"/>
            <w:vAlign w:val="center"/>
          </w:tcPr>
          <w:p>
            <w:pPr>
              <w:jc w:val="center"/>
              <w:rPr>
                <w:color w:val="auto"/>
                <w:szCs w:val="21"/>
              </w:rPr>
            </w:pPr>
            <w:r>
              <w:rPr>
                <w:color w:val="auto"/>
                <w:szCs w:val="21"/>
              </w:rPr>
              <w:t>污染物</w:t>
            </w:r>
          </w:p>
        </w:tc>
        <w:tc>
          <w:tcPr>
            <w:tcW w:w="1118" w:type="dxa"/>
            <w:shd w:val="clear" w:color="auto" w:fill="auto"/>
            <w:vAlign w:val="center"/>
          </w:tcPr>
          <w:p>
            <w:pPr>
              <w:jc w:val="center"/>
              <w:rPr>
                <w:color w:val="auto"/>
                <w:szCs w:val="21"/>
              </w:rPr>
            </w:pPr>
            <w:r>
              <w:rPr>
                <w:color w:val="auto"/>
                <w:szCs w:val="21"/>
              </w:rPr>
              <w:t>非正常排放浓度</w:t>
            </w:r>
          </w:p>
          <w:p>
            <w:pPr>
              <w:jc w:val="center"/>
              <w:rPr>
                <w:color w:val="auto"/>
                <w:szCs w:val="21"/>
              </w:rPr>
            </w:pPr>
            <w:r>
              <w:rPr>
                <w:color w:val="auto"/>
                <w:szCs w:val="21"/>
              </w:rPr>
              <w:t>(mg/m</w:t>
            </w:r>
            <w:r>
              <w:rPr>
                <w:color w:val="auto"/>
                <w:szCs w:val="21"/>
                <w:vertAlign w:val="superscript"/>
              </w:rPr>
              <w:t>3</w:t>
            </w:r>
            <w:r>
              <w:rPr>
                <w:color w:val="auto"/>
                <w:szCs w:val="21"/>
              </w:rPr>
              <w:t xml:space="preserve"> )</w:t>
            </w:r>
          </w:p>
        </w:tc>
        <w:tc>
          <w:tcPr>
            <w:tcW w:w="1177" w:type="dxa"/>
            <w:shd w:val="clear" w:color="auto" w:fill="auto"/>
            <w:vAlign w:val="center"/>
          </w:tcPr>
          <w:p>
            <w:pPr>
              <w:jc w:val="center"/>
              <w:rPr>
                <w:color w:val="auto"/>
                <w:szCs w:val="21"/>
              </w:rPr>
            </w:pPr>
            <w:r>
              <w:rPr>
                <w:color w:val="auto"/>
                <w:szCs w:val="21"/>
              </w:rPr>
              <w:t>非正常排放速率</w:t>
            </w:r>
          </w:p>
          <w:p>
            <w:pPr>
              <w:jc w:val="center"/>
              <w:rPr>
                <w:color w:val="auto"/>
                <w:szCs w:val="21"/>
              </w:rPr>
            </w:pPr>
            <w:r>
              <w:rPr>
                <w:color w:val="auto"/>
                <w:szCs w:val="21"/>
              </w:rPr>
              <w:t>/(kg/h）</w:t>
            </w:r>
          </w:p>
        </w:tc>
        <w:tc>
          <w:tcPr>
            <w:tcW w:w="898" w:type="dxa"/>
            <w:shd w:val="clear" w:color="auto" w:fill="auto"/>
            <w:vAlign w:val="center"/>
          </w:tcPr>
          <w:p>
            <w:pPr>
              <w:jc w:val="center"/>
              <w:rPr>
                <w:color w:val="auto"/>
                <w:szCs w:val="21"/>
              </w:rPr>
            </w:pPr>
            <w:r>
              <w:rPr>
                <w:color w:val="auto"/>
                <w:szCs w:val="21"/>
              </w:rPr>
              <w:t>单次持续时</w:t>
            </w:r>
          </w:p>
          <w:p>
            <w:pPr>
              <w:jc w:val="center"/>
              <w:rPr>
                <w:color w:val="auto"/>
                <w:szCs w:val="21"/>
              </w:rPr>
            </w:pPr>
            <w:r>
              <w:rPr>
                <w:color w:val="auto"/>
                <w:szCs w:val="21"/>
              </w:rPr>
              <w:t>间/h</w:t>
            </w:r>
          </w:p>
        </w:tc>
        <w:tc>
          <w:tcPr>
            <w:tcW w:w="898" w:type="dxa"/>
            <w:shd w:val="clear" w:color="auto" w:fill="auto"/>
            <w:vAlign w:val="center"/>
          </w:tcPr>
          <w:p>
            <w:pPr>
              <w:jc w:val="center"/>
              <w:rPr>
                <w:color w:val="auto"/>
                <w:szCs w:val="21"/>
              </w:rPr>
            </w:pPr>
            <w:r>
              <w:rPr>
                <w:color w:val="auto"/>
                <w:szCs w:val="21"/>
              </w:rPr>
              <w:t>年发生频次</w:t>
            </w:r>
          </w:p>
          <w:p>
            <w:pPr>
              <w:jc w:val="center"/>
              <w:rPr>
                <w:color w:val="auto"/>
                <w:szCs w:val="21"/>
              </w:rPr>
            </w:pPr>
            <w:r>
              <w:rPr>
                <w:color w:val="auto"/>
                <w:szCs w:val="21"/>
              </w:rPr>
              <w:t>/次</w:t>
            </w:r>
          </w:p>
        </w:tc>
        <w:tc>
          <w:tcPr>
            <w:tcW w:w="895" w:type="dxa"/>
            <w:shd w:val="clear" w:color="auto" w:fill="auto"/>
            <w:vAlign w:val="center"/>
          </w:tcPr>
          <w:p>
            <w:pPr>
              <w:jc w:val="center"/>
              <w:rPr>
                <w:color w:val="auto"/>
                <w:szCs w:val="21"/>
              </w:rPr>
            </w:pPr>
            <w:r>
              <w:rPr>
                <w:color w:val="auto"/>
                <w:szCs w:val="21"/>
              </w:rPr>
              <w:t>应对</w:t>
            </w:r>
          </w:p>
          <w:p>
            <w:pPr>
              <w:jc w:val="center"/>
              <w:rPr>
                <w:color w:val="auto"/>
                <w:szCs w:val="21"/>
              </w:rPr>
            </w:pPr>
            <w:r>
              <w:rPr>
                <w:color w:val="auto"/>
                <w:szCs w:val="21"/>
              </w:rPr>
              <w:t>措施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895" w:type="dxa"/>
            <w:vMerge w:val="restart"/>
            <w:shd w:val="clear" w:color="auto" w:fill="auto"/>
            <w:vAlign w:val="center"/>
          </w:tcPr>
          <w:p>
            <w:pPr>
              <w:jc w:val="center"/>
              <w:rPr>
                <w:color w:val="auto"/>
                <w:szCs w:val="21"/>
              </w:rPr>
            </w:pPr>
            <w:r>
              <w:rPr>
                <w:color w:val="auto"/>
                <w:szCs w:val="21"/>
              </w:rPr>
              <w:t>1</w:t>
            </w:r>
          </w:p>
        </w:tc>
        <w:tc>
          <w:tcPr>
            <w:tcW w:w="898" w:type="dxa"/>
            <w:vMerge w:val="restart"/>
            <w:shd w:val="clear" w:color="auto" w:fill="auto"/>
            <w:vAlign w:val="center"/>
          </w:tcPr>
          <w:p>
            <w:pPr>
              <w:jc w:val="center"/>
              <w:rPr>
                <w:color w:val="auto"/>
                <w:szCs w:val="21"/>
              </w:rPr>
            </w:pPr>
            <w:r>
              <w:rPr>
                <w:color w:val="auto"/>
                <w:szCs w:val="21"/>
              </w:rPr>
              <w:t>排气筒DA001</w:t>
            </w:r>
          </w:p>
        </w:tc>
        <w:tc>
          <w:tcPr>
            <w:tcW w:w="1045" w:type="dxa"/>
            <w:vMerge w:val="restart"/>
            <w:shd w:val="clear" w:color="auto" w:fill="auto"/>
            <w:vAlign w:val="center"/>
          </w:tcPr>
          <w:p>
            <w:pPr>
              <w:jc w:val="center"/>
              <w:rPr>
                <w:color w:val="auto"/>
                <w:szCs w:val="21"/>
              </w:rPr>
            </w:pPr>
            <w:r>
              <w:rPr>
                <w:color w:val="auto"/>
                <w:szCs w:val="21"/>
              </w:rPr>
              <w:t>生物过滤+活性炭+碱洗喷淋+等离子+活性炭出现故障</w:t>
            </w:r>
          </w:p>
        </w:tc>
        <w:tc>
          <w:tcPr>
            <w:tcW w:w="896" w:type="dxa"/>
            <w:shd w:val="clear" w:color="auto" w:fill="auto"/>
            <w:vAlign w:val="center"/>
          </w:tcPr>
          <w:p>
            <w:pPr>
              <w:jc w:val="center"/>
              <w:rPr>
                <w:color w:val="auto"/>
              </w:rPr>
            </w:pPr>
            <w:r>
              <w:rPr>
                <w:color w:val="auto"/>
              </w:rPr>
              <w:t>颗粒物</w:t>
            </w:r>
          </w:p>
        </w:tc>
        <w:tc>
          <w:tcPr>
            <w:tcW w:w="1118" w:type="dxa"/>
            <w:shd w:val="clear" w:color="auto" w:fill="auto"/>
            <w:vAlign w:val="center"/>
          </w:tcPr>
          <w:p>
            <w:pPr>
              <w:widowControl/>
              <w:jc w:val="center"/>
              <w:rPr>
                <w:color w:val="auto"/>
                <w:kern w:val="0"/>
                <w:szCs w:val="21"/>
              </w:rPr>
            </w:pPr>
            <w:r>
              <w:rPr>
                <w:color w:val="auto"/>
                <w:szCs w:val="21"/>
              </w:rPr>
              <w:t>20</w:t>
            </w:r>
          </w:p>
        </w:tc>
        <w:tc>
          <w:tcPr>
            <w:tcW w:w="1177" w:type="dxa"/>
            <w:shd w:val="clear" w:color="auto" w:fill="auto"/>
            <w:vAlign w:val="center"/>
          </w:tcPr>
          <w:p>
            <w:pPr>
              <w:jc w:val="center"/>
              <w:rPr>
                <w:color w:val="auto"/>
                <w:szCs w:val="21"/>
              </w:rPr>
            </w:pPr>
            <w:r>
              <w:rPr>
                <w:color w:val="auto"/>
                <w:kern w:val="0"/>
                <w:szCs w:val="21"/>
                <w:lang w:bidi="ar"/>
              </w:rPr>
              <w:t>0.12</w:t>
            </w:r>
          </w:p>
        </w:tc>
        <w:tc>
          <w:tcPr>
            <w:tcW w:w="898" w:type="dxa"/>
            <w:vMerge w:val="restart"/>
            <w:shd w:val="clear" w:color="auto" w:fill="auto"/>
            <w:vAlign w:val="center"/>
          </w:tcPr>
          <w:p>
            <w:pPr>
              <w:widowControl/>
              <w:jc w:val="center"/>
              <w:rPr>
                <w:color w:val="auto"/>
                <w:szCs w:val="21"/>
              </w:rPr>
            </w:pPr>
            <w:r>
              <w:rPr>
                <w:color w:val="auto"/>
                <w:szCs w:val="21"/>
              </w:rPr>
              <w:t>1h</w:t>
            </w:r>
          </w:p>
        </w:tc>
        <w:tc>
          <w:tcPr>
            <w:tcW w:w="898" w:type="dxa"/>
            <w:vMerge w:val="restart"/>
            <w:shd w:val="clear" w:color="auto" w:fill="auto"/>
            <w:vAlign w:val="center"/>
          </w:tcPr>
          <w:p>
            <w:pPr>
              <w:widowControl/>
              <w:jc w:val="center"/>
              <w:rPr>
                <w:color w:val="auto"/>
                <w:szCs w:val="21"/>
              </w:rPr>
            </w:pPr>
            <w:r>
              <w:rPr>
                <w:color w:val="auto"/>
                <w:szCs w:val="21"/>
              </w:rPr>
              <w:t>2-3次</w:t>
            </w:r>
          </w:p>
        </w:tc>
        <w:tc>
          <w:tcPr>
            <w:tcW w:w="895" w:type="dxa"/>
            <w:vMerge w:val="restart"/>
            <w:shd w:val="clear" w:color="auto" w:fill="auto"/>
            <w:vAlign w:val="center"/>
          </w:tcPr>
          <w:p>
            <w:pPr>
              <w:widowControl/>
              <w:jc w:val="center"/>
              <w:rPr>
                <w:color w:val="auto"/>
                <w:szCs w:val="21"/>
              </w:rPr>
            </w:pPr>
            <w:r>
              <w:rPr>
                <w:color w:val="auto"/>
                <w:szCs w:val="21"/>
              </w:rPr>
              <w:t>定时维修，一旦出现故障及时停止生产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895" w:type="dxa"/>
            <w:vMerge w:val="continue"/>
            <w:shd w:val="clear" w:color="auto" w:fill="auto"/>
            <w:vAlign w:val="center"/>
          </w:tcPr>
          <w:p>
            <w:pPr>
              <w:widowControl/>
              <w:jc w:val="center"/>
              <w:rPr>
                <w:color w:val="auto"/>
                <w:szCs w:val="21"/>
              </w:rPr>
            </w:pPr>
          </w:p>
        </w:tc>
        <w:tc>
          <w:tcPr>
            <w:tcW w:w="898" w:type="dxa"/>
            <w:vMerge w:val="continue"/>
            <w:shd w:val="clear" w:color="auto" w:fill="auto"/>
            <w:vAlign w:val="center"/>
          </w:tcPr>
          <w:p>
            <w:pPr>
              <w:widowControl/>
              <w:jc w:val="center"/>
              <w:rPr>
                <w:color w:val="auto"/>
                <w:szCs w:val="21"/>
              </w:rPr>
            </w:pPr>
          </w:p>
        </w:tc>
        <w:tc>
          <w:tcPr>
            <w:tcW w:w="1045" w:type="dxa"/>
            <w:vMerge w:val="continue"/>
            <w:shd w:val="clear" w:color="auto" w:fill="auto"/>
            <w:vAlign w:val="center"/>
          </w:tcPr>
          <w:p>
            <w:pPr>
              <w:widowControl/>
              <w:jc w:val="center"/>
              <w:rPr>
                <w:color w:val="auto"/>
                <w:szCs w:val="21"/>
              </w:rPr>
            </w:pPr>
          </w:p>
        </w:tc>
        <w:tc>
          <w:tcPr>
            <w:tcW w:w="896" w:type="dxa"/>
            <w:shd w:val="clear" w:color="auto" w:fill="auto"/>
            <w:vAlign w:val="center"/>
          </w:tcPr>
          <w:p>
            <w:pPr>
              <w:jc w:val="center"/>
              <w:rPr>
                <w:color w:val="auto"/>
              </w:rPr>
            </w:pPr>
            <w:r>
              <w:rPr>
                <w:color w:val="auto"/>
              </w:rPr>
              <w:t>NH</w:t>
            </w:r>
            <w:r>
              <w:rPr>
                <w:color w:val="auto"/>
                <w:szCs w:val="13"/>
                <w:vertAlign w:val="subscript"/>
              </w:rPr>
              <w:t>3</w:t>
            </w:r>
          </w:p>
        </w:tc>
        <w:tc>
          <w:tcPr>
            <w:tcW w:w="1118" w:type="dxa"/>
            <w:shd w:val="clear" w:color="auto" w:fill="auto"/>
            <w:vAlign w:val="center"/>
          </w:tcPr>
          <w:p>
            <w:pPr>
              <w:widowControl/>
              <w:jc w:val="center"/>
              <w:rPr>
                <w:color w:val="auto"/>
                <w:kern w:val="0"/>
                <w:szCs w:val="21"/>
              </w:rPr>
            </w:pPr>
            <w:r>
              <w:rPr>
                <w:color w:val="auto"/>
              </w:rPr>
              <w:t>4.89</w:t>
            </w:r>
          </w:p>
        </w:tc>
        <w:tc>
          <w:tcPr>
            <w:tcW w:w="1177" w:type="dxa"/>
            <w:shd w:val="clear" w:color="auto" w:fill="auto"/>
            <w:vAlign w:val="center"/>
          </w:tcPr>
          <w:p>
            <w:pPr>
              <w:widowControl/>
              <w:jc w:val="center"/>
              <w:rPr>
                <w:color w:val="auto"/>
                <w:kern w:val="0"/>
                <w:szCs w:val="21"/>
              </w:rPr>
            </w:pPr>
            <w:r>
              <w:rPr>
                <w:color w:val="auto"/>
                <w:kern w:val="0"/>
                <w:szCs w:val="21"/>
                <w:lang w:bidi="ar"/>
              </w:rPr>
              <w:t>0.02934</w:t>
            </w:r>
          </w:p>
        </w:tc>
        <w:tc>
          <w:tcPr>
            <w:tcW w:w="898" w:type="dxa"/>
            <w:vMerge w:val="continue"/>
            <w:shd w:val="clear" w:color="auto" w:fill="auto"/>
            <w:vAlign w:val="center"/>
          </w:tcPr>
          <w:p>
            <w:pPr>
              <w:widowControl/>
              <w:jc w:val="center"/>
              <w:rPr>
                <w:color w:val="auto"/>
                <w:szCs w:val="21"/>
              </w:rPr>
            </w:pPr>
          </w:p>
        </w:tc>
        <w:tc>
          <w:tcPr>
            <w:tcW w:w="898" w:type="dxa"/>
            <w:vMerge w:val="continue"/>
            <w:shd w:val="clear" w:color="auto" w:fill="auto"/>
            <w:vAlign w:val="center"/>
          </w:tcPr>
          <w:p>
            <w:pPr>
              <w:widowControl/>
              <w:jc w:val="center"/>
              <w:rPr>
                <w:color w:val="auto"/>
                <w:szCs w:val="21"/>
              </w:rPr>
            </w:pPr>
          </w:p>
        </w:tc>
        <w:tc>
          <w:tcPr>
            <w:tcW w:w="895" w:type="dxa"/>
            <w:vMerge w:val="continue"/>
            <w:shd w:val="clear" w:color="auto" w:fill="auto"/>
            <w:vAlign w:val="center"/>
          </w:tcPr>
          <w:p>
            <w:pPr>
              <w:widowControl/>
              <w:jc w:val="center"/>
              <w:rPr>
                <w:color w:val="auto"/>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895" w:type="dxa"/>
            <w:vMerge w:val="continue"/>
            <w:shd w:val="clear" w:color="auto" w:fill="auto"/>
            <w:vAlign w:val="center"/>
          </w:tcPr>
          <w:p>
            <w:pPr>
              <w:widowControl/>
              <w:jc w:val="center"/>
              <w:rPr>
                <w:color w:val="auto"/>
                <w:szCs w:val="21"/>
              </w:rPr>
            </w:pPr>
          </w:p>
        </w:tc>
        <w:tc>
          <w:tcPr>
            <w:tcW w:w="898" w:type="dxa"/>
            <w:vMerge w:val="continue"/>
            <w:shd w:val="clear" w:color="auto" w:fill="auto"/>
            <w:vAlign w:val="center"/>
          </w:tcPr>
          <w:p>
            <w:pPr>
              <w:widowControl/>
              <w:jc w:val="center"/>
              <w:rPr>
                <w:color w:val="auto"/>
                <w:szCs w:val="21"/>
              </w:rPr>
            </w:pPr>
          </w:p>
        </w:tc>
        <w:tc>
          <w:tcPr>
            <w:tcW w:w="1045" w:type="dxa"/>
            <w:vMerge w:val="continue"/>
            <w:shd w:val="clear" w:color="auto" w:fill="auto"/>
            <w:vAlign w:val="center"/>
          </w:tcPr>
          <w:p>
            <w:pPr>
              <w:widowControl/>
              <w:jc w:val="center"/>
              <w:rPr>
                <w:color w:val="auto"/>
                <w:szCs w:val="21"/>
              </w:rPr>
            </w:pPr>
          </w:p>
        </w:tc>
        <w:tc>
          <w:tcPr>
            <w:tcW w:w="896" w:type="dxa"/>
            <w:shd w:val="clear" w:color="auto" w:fill="auto"/>
            <w:vAlign w:val="center"/>
          </w:tcPr>
          <w:p>
            <w:pPr>
              <w:jc w:val="center"/>
              <w:rPr>
                <w:color w:val="auto"/>
              </w:rPr>
            </w:pPr>
            <w:r>
              <w:rPr>
                <w:color w:val="auto"/>
              </w:rPr>
              <w:t>H</w:t>
            </w:r>
            <w:r>
              <w:rPr>
                <w:color w:val="auto"/>
                <w:vertAlign w:val="subscript"/>
              </w:rPr>
              <w:t>2</w:t>
            </w:r>
            <w:r>
              <w:rPr>
                <w:color w:val="auto"/>
              </w:rPr>
              <w:t>S</w:t>
            </w:r>
          </w:p>
        </w:tc>
        <w:tc>
          <w:tcPr>
            <w:tcW w:w="1118" w:type="dxa"/>
            <w:shd w:val="clear" w:color="auto" w:fill="auto"/>
            <w:vAlign w:val="center"/>
          </w:tcPr>
          <w:p>
            <w:pPr>
              <w:widowControl/>
              <w:jc w:val="center"/>
              <w:rPr>
                <w:color w:val="auto"/>
                <w:kern w:val="0"/>
                <w:szCs w:val="21"/>
              </w:rPr>
            </w:pPr>
            <w:r>
              <w:rPr>
                <w:color w:val="auto"/>
              </w:rPr>
              <w:t>0.03</w:t>
            </w:r>
          </w:p>
        </w:tc>
        <w:tc>
          <w:tcPr>
            <w:tcW w:w="1177" w:type="dxa"/>
            <w:shd w:val="clear" w:color="auto" w:fill="auto"/>
            <w:vAlign w:val="center"/>
          </w:tcPr>
          <w:p>
            <w:pPr>
              <w:widowControl/>
              <w:jc w:val="center"/>
              <w:rPr>
                <w:color w:val="auto"/>
                <w:kern w:val="0"/>
                <w:szCs w:val="21"/>
              </w:rPr>
            </w:pPr>
            <w:r>
              <w:rPr>
                <w:color w:val="auto"/>
                <w:kern w:val="0"/>
                <w:szCs w:val="21"/>
                <w:lang w:bidi="ar"/>
              </w:rPr>
              <w:t>0.00018</w:t>
            </w:r>
          </w:p>
        </w:tc>
        <w:tc>
          <w:tcPr>
            <w:tcW w:w="898" w:type="dxa"/>
            <w:vMerge w:val="continue"/>
            <w:shd w:val="clear" w:color="auto" w:fill="auto"/>
            <w:vAlign w:val="center"/>
          </w:tcPr>
          <w:p>
            <w:pPr>
              <w:widowControl/>
              <w:jc w:val="center"/>
              <w:rPr>
                <w:color w:val="auto"/>
                <w:szCs w:val="21"/>
              </w:rPr>
            </w:pPr>
          </w:p>
        </w:tc>
        <w:tc>
          <w:tcPr>
            <w:tcW w:w="898" w:type="dxa"/>
            <w:vMerge w:val="continue"/>
            <w:shd w:val="clear" w:color="auto" w:fill="auto"/>
            <w:vAlign w:val="center"/>
          </w:tcPr>
          <w:p>
            <w:pPr>
              <w:widowControl/>
              <w:jc w:val="center"/>
              <w:rPr>
                <w:color w:val="auto"/>
                <w:szCs w:val="21"/>
              </w:rPr>
            </w:pPr>
          </w:p>
        </w:tc>
        <w:tc>
          <w:tcPr>
            <w:tcW w:w="895" w:type="dxa"/>
            <w:vMerge w:val="continue"/>
            <w:shd w:val="clear" w:color="auto" w:fill="auto"/>
            <w:vAlign w:val="center"/>
          </w:tcPr>
          <w:p>
            <w:pPr>
              <w:widowControl/>
              <w:jc w:val="center"/>
              <w:rPr>
                <w:color w:val="auto"/>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895" w:type="dxa"/>
            <w:vMerge w:val="continue"/>
            <w:shd w:val="clear" w:color="auto" w:fill="auto"/>
            <w:vAlign w:val="center"/>
          </w:tcPr>
          <w:p>
            <w:pPr>
              <w:widowControl/>
              <w:jc w:val="center"/>
              <w:rPr>
                <w:color w:val="auto"/>
                <w:szCs w:val="21"/>
              </w:rPr>
            </w:pPr>
          </w:p>
        </w:tc>
        <w:tc>
          <w:tcPr>
            <w:tcW w:w="898" w:type="dxa"/>
            <w:vMerge w:val="continue"/>
            <w:shd w:val="clear" w:color="auto" w:fill="auto"/>
            <w:vAlign w:val="center"/>
          </w:tcPr>
          <w:p>
            <w:pPr>
              <w:widowControl/>
              <w:jc w:val="center"/>
              <w:rPr>
                <w:color w:val="auto"/>
                <w:szCs w:val="21"/>
              </w:rPr>
            </w:pPr>
          </w:p>
        </w:tc>
        <w:tc>
          <w:tcPr>
            <w:tcW w:w="1045" w:type="dxa"/>
            <w:vMerge w:val="continue"/>
            <w:shd w:val="clear" w:color="auto" w:fill="auto"/>
            <w:vAlign w:val="center"/>
          </w:tcPr>
          <w:p>
            <w:pPr>
              <w:widowControl/>
              <w:jc w:val="center"/>
              <w:rPr>
                <w:color w:val="auto"/>
                <w:szCs w:val="21"/>
              </w:rPr>
            </w:pPr>
          </w:p>
        </w:tc>
        <w:tc>
          <w:tcPr>
            <w:tcW w:w="896" w:type="dxa"/>
            <w:shd w:val="clear" w:color="auto" w:fill="auto"/>
            <w:vAlign w:val="center"/>
          </w:tcPr>
          <w:p>
            <w:pPr>
              <w:jc w:val="center"/>
              <w:rPr>
                <w:color w:val="auto"/>
              </w:rPr>
            </w:pPr>
            <w:r>
              <w:rPr>
                <w:color w:val="auto"/>
              </w:rPr>
              <w:t>非甲烷总烃</w:t>
            </w:r>
          </w:p>
        </w:tc>
        <w:tc>
          <w:tcPr>
            <w:tcW w:w="1118" w:type="dxa"/>
            <w:shd w:val="clear" w:color="auto" w:fill="auto"/>
            <w:vAlign w:val="center"/>
          </w:tcPr>
          <w:p>
            <w:pPr>
              <w:widowControl/>
              <w:jc w:val="center"/>
              <w:rPr>
                <w:color w:val="auto"/>
                <w:kern w:val="0"/>
                <w:szCs w:val="21"/>
              </w:rPr>
            </w:pPr>
            <w:r>
              <w:rPr>
                <w:color w:val="auto"/>
              </w:rPr>
              <w:t>1.10</w:t>
            </w:r>
          </w:p>
        </w:tc>
        <w:tc>
          <w:tcPr>
            <w:tcW w:w="1177" w:type="dxa"/>
            <w:shd w:val="clear" w:color="auto" w:fill="auto"/>
            <w:vAlign w:val="center"/>
          </w:tcPr>
          <w:p>
            <w:pPr>
              <w:widowControl/>
              <w:jc w:val="center"/>
              <w:rPr>
                <w:color w:val="auto"/>
                <w:kern w:val="0"/>
                <w:szCs w:val="21"/>
              </w:rPr>
            </w:pPr>
            <w:r>
              <w:rPr>
                <w:color w:val="auto"/>
                <w:kern w:val="0"/>
                <w:szCs w:val="21"/>
                <w:lang w:bidi="ar"/>
              </w:rPr>
              <w:t>0.0066</w:t>
            </w:r>
          </w:p>
        </w:tc>
        <w:tc>
          <w:tcPr>
            <w:tcW w:w="898" w:type="dxa"/>
            <w:vMerge w:val="continue"/>
            <w:shd w:val="clear" w:color="auto" w:fill="auto"/>
            <w:vAlign w:val="center"/>
          </w:tcPr>
          <w:p>
            <w:pPr>
              <w:widowControl/>
              <w:jc w:val="center"/>
              <w:rPr>
                <w:color w:val="auto"/>
                <w:szCs w:val="21"/>
              </w:rPr>
            </w:pPr>
          </w:p>
        </w:tc>
        <w:tc>
          <w:tcPr>
            <w:tcW w:w="898" w:type="dxa"/>
            <w:vMerge w:val="continue"/>
            <w:shd w:val="clear" w:color="auto" w:fill="auto"/>
            <w:vAlign w:val="center"/>
          </w:tcPr>
          <w:p>
            <w:pPr>
              <w:widowControl/>
              <w:jc w:val="center"/>
              <w:rPr>
                <w:color w:val="auto"/>
                <w:szCs w:val="21"/>
              </w:rPr>
            </w:pPr>
          </w:p>
        </w:tc>
        <w:tc>
          <w:tcPr>
            <w:tcW w:w="895" w:type="dxa"/>
            <w:vMerge w:val="continue"/>
            <w:shd w:val="clear" w:color="auto" w:fill="auto"/>
            <w:vAlign w:val="center"/>
          </w:tcPr>
          <w:p>
            <w:pPr>
              <w:widowControl/>
              <w:jc w:val="center"/>
              <w:rPr>
                <w:color w:val="auto"/>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895" w:type="dxa"/>
            <w:vMerge w:val="continue"/>
            <w:shd w:val="clear" w:color="auto" w:fill="auto"/>
            <w:vAlign w:val="center"/>
          </w:tcPr>
          <w:p>
            <w:pPr>
              <w:widowControl/>
              <w:jc w:val="center"/>
              <w:rPr>
                <w:color w:val="auto"/>
                <w:szCs w:val="21"/>
              </w:rPr>
            </w:pPr>
          </w:p>
        </w:tc>
        <w:tc>
          <w:tcPr>
            <w:tcW w:w="898" w:type="dxa"/>
            <w:vMerge w:val="continue"/>
            <w:shd w:val="clear" w:color="auto" w:fill="auto"/>
            <w:vAlign w:val="center"/>
          </w:tcPr>
          <w:p>
            <w:pPr>
              <w:widowControl/>
              <w:jc w:val="center"/>
              <w:rPr>
                <w:color w:val="auto"/>
                <w:szCs w:val="21"/>
              </w:rPr>
            </w:pPr>
          </w:p>
        </w:tc>
        <w:tc>
          <w:tcPr>
            <w:tcW w:w="1045" w:type="dxa"/>
            <w:vMerge w:val="continue"/>
            <w:shd w:val="clear" w:color="auto" w:fill="auto"/>
            <w:vAlign w:val="center"/>
          </w:tcPr>
          <w:p>
            <w:pPr>
              <w:widowControl/>
              <w:jc w:val="center"/>
              <w:rPr>
                <w:color w:val="auto"/>
                <w:szCs w:val="21"/>
              </w:rPr>
            </w:pPr>
          </w:p>
        </w:tc>
        <w:tc>
          <w:tcPr>
            <w:tcW w:w="896" w:type="dxa"/>
            <w:shd w:val="clear" w:color="auto" w:fill="auto"/>
            <w:vAlign w:val="center"/>
          </w:tcPr>
          <w:p>
            <w:pPr>
              <w:pStyle w:val="164"/>
              <w:spacing w:line="240" w:lineRule="auto"/>
              <w:ind w:left="-105" w:leftChars="-50" w:right="-105" w:rightChars="-50"/>
              <w:rPr>
                <w:color w:val="auto"/>
              </w:rPr>
            </w:pPr>
            <w:r>
              <w:rPr>
                <w:color w:val="auto"/>
              </w:rPr>
              <w:t>臭气浓度</w:t>
            </w:r>
          </w:p>
          <w:p>
            <w:pPr>
              <w:jc w:val="center"/>
              <w:rPr>
                <w:color w:val="auto"/>
              </w:rPr>
            </w:pPr>
            <w:r>
              <w:rPr>
                <w:color w:val="auto"/>
              </w:rPr>
              <w:t>（无量纲）</w:t>
            </w:r>
          </w:p>
        </w:tc>
        <w:tc>
          <w:tcPr>
            <w:tcW w:w="1118" w:type="dxa"/>
            <w:shd w:val="clear" w:color="auto" w:fill="auto"/>
            <w:vAlign w:val="center"/>
          </w:tcPr>
          <w:p>
            <w:pPr>
              <w:widowControl/>
              <w:jc w:val="center"/>
              <w:rPr>
                <w:color w:val="auto"/>
                <w:kern w:val="0"/>
                <w:szCs w:val="21"/>
              </w:rPr>
            </w:pPr>
            <w:r>
              <w:rPr>
                <w:color w:val="auto"/>
              </w:rPr>
              <w:t>753</w:t>
            </w:r>
          </w:p>
        </w:tc>
        <w:tc>
          <w:tcPr>
            <w:tcW w:w="1177" w:type="dxa"/>
            <w:shd w:val="clear" w:color="auto" w:fill="auto"/>
            <w:vAlign w:val="center"/>
          </w:tcPr>
          <w:p>
            <w:pPr>
              <w:widowControl/>
              <w:jc w:val="center"/>
              <w:rPr>
                <w:color w:val="auto"/>
                <w:kern w:val="0"/>
                <w:szCs w:val="21"/>
              </w:rPr>
            </w:pPr>
            <w:r>
              <w:rPr>
                <w:color w:val="auto"/>
              </w:rPr>
              <w:t>/</w:t>
            </w:r>
          </w:p>
        </w:tc>
        <w:tc>
          <w:tcPr>
            <w:tcW w:w="898" w:type="dxa"/>
            <w:vMerge w:val="continue"/>
            <w:shd w:val="clear" w:color="auto" w:fill="auto"/>
            <w:vAlign w:val="center"/>
          </w:tcPr>
          <w:p>
            <w:pPr>
              <w:widowControl/>
              <w:jc w:val="center"/>
              <w:rPr>
                <w:color w:val="auto"/>
                <w:szCs w:val="21"/>
              </w:rPr>
            </w:pPr>
          </w:p>
        </w:tc>
        <w:tc>
          <w:tcPr>
            <w:tcW w:w="898" w:type="dxa"/>
            <w:vMerge w:val="continue"/>
            <w:shd w:val="clear" w:color="auto" w:fill="auto"/>
            <w:vAlign w:val="center"/>
          </w:tcPr>
          <w:p>
            <w:pPr>
              <w:widowControl/>
              <w:jc w:val="center"/>
              <w:rPr>
                <w:color w:val="auto"/>
                <w:szCs w:val="21"/>
              </w:rPr>
            </w:pPr>
          </w:p>
        </w:tc>
        <w:tc>
          <w:tcPr>
            <w:tcW w:w="895" w:type="dxa"/>
            <w:vMerge w:val="continue"/>
            <w:shd w:val="clear" w:color="auto" w:fill="auto"/>
            <w:vAlign w:val="center"/>
          </w:tcPr>
          <w:p>
            <w:pPr>
              <w:widowControl/>
              <w:jc w:val="center"/>
              <w:rPr>
                <w:color w:val="auto"/>
                <w:szCs w:val="21"/>
              </w:rPr>
            </w:pPr>
          </w:p>
        </w:tc>
      </w:tr>
    </w:tbl>
    <w:p>
      <w:pPr>
        <w:rPr>
          <w:color w:val="auto"/>
        </w:rPr>
      </w:pPr>
    </w:p>
    <w:p>
      <w:pPr>
        <w:rPr>
          <w:color w:val="auto"/>
        </w:rPr>
        <w:sectPr>
          <w:pgSz w:w="11906" w:h="16838"/>
          <w:pgMar w:top="1701" w:right="1701" w:bottom="1701" w:left="1701" w:header="851" w:footer="851" w:gutter="0"/>
          <w:cols w:space="720" w:num="1"/>
          <w:docGrid w:linePitch="466" w:charSpace="0"/>
        </w:sectPr>
      </w:pPr>
    </w:p>
    <w:p>
      <w:pPr>
        <w:spacing w:line="14" w:lineRule="exact"/>
        <w:rPr>
          <w:rFonts w:eastAsiaTheme="minorEastAsia"/>
          <w:color w:val="auto"/>
        </w:rPr>
      </w:pPr>
    </w:p>
    <w:p>
      <w:pPr>
        <w:pStyle w:val="5"/>
        <w:numPr>
          <w:ilvl w:val="2"/>
          <w:numId w:val="0"/>
        </w:numPr>
        <w:ind w:left="-720" w:leftChars="-343" w:firstLine="723" w:firstLineChars="300"/>
        <w:rPr>
          <w:snapToGrid w:val="0"/>
          <w:color w:val="auto"/>
        </w:rPr>
      </w:pPr>
      <w:bookmarkStart w:id="258" w:name="_Toc58849444"/>
      <w:bookmarkStart w:id="259" w:name="_Toc109398617"/>
      <w:r>
        <w:rPr>
          <w:snapToGrid w:val="0"/>
          <w:color w:val="auto"/>
        </w:rPr>
        <w:t>4.8.3噪声</w:t>
      </w:r>
      <w:bookmarkEnd w:id="258"/>
      <w:bookmarkEnd w:id="259"/>
    </w:p>
    <w:p>
      <w:pPr>
        <w:pStyle w:val="130"/>
        <w:ind w:firstLine="480"/>
        <w:rPr>
          <w:color w:val="auto"/>
        </w:rPr>
      </w:pP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r>
        <w:rPr>
          <w:rFonts w:hint="eastAsia"/>
          <w:color w:val="auto"/>
        </w:rPr>
        <w:t>本项目噪声</w:t>
      </w:r>
    </w:p>
    <w:p>
      <w:pPr>
        <w:pStyle w:val="130"/>
        <w:ind w:firstLine="480"/>
        <w:rPr>
          <w:color w:val="auto"/>
        </w:rPr>
      </w:pPr>
      <w:r>
        <w:rPr>
          <w:color w:val="auto"/>
        </w:rPr>
        <w:t>本项目产生的噪声主要为机械动力噪声及车辆运输噪声，噪声值一般在75~90dB(A)，采取减振、隔声、消声等措施，各类水泵及风机等高噪设备置于封闭的厂房内运行，厂房有一定的隔声作用，可减少噪声对环境的影响，主要噪声源及源强见下表。</w:t>
      </w:r>
    </w:p>
    <w:p>
      <w:pPr>
        <w:jc w:val="center"/>
        <w:rPr>
          <w:rFonts w:eastAsiaTheme="minorEastAsia"/>
          <w:b/>
          <w:color w:val="auto"/>
          <w:sz w:val="24"/>
          <w:szCs w:val="24"/>
        </w:rPr>
      </w:pPr>
      <w:r>
        <w:rPr>
          <w:rFonts w:hint="eastAsia" w:eastAsiaTheme="minorEastAsia"/>
          <w:b/>
          <w:color w:val="auto"/>
          <w:sz w:val="24"/>
          <w:szCs w:val="24"/>
        </w:rPr>
        <w:t xml:space="preserve"> </w:t>
      </w:r>
      <w:r>
        <w:rPr>
          <w:rFonts w:eastAsiaTheme="minorEastAsia"/>
          <w:b/>
          <w:color w:val="auto"/>
          <w:sz w:val="24"/>
          <w:szCs w:val="24"/>
        </w:rPr>
        <w:t xml:space="preserve">      表4.8-15  </w:t>
      </w:r>
      <w:r>
        <w:rPr>
          <w:rFonts w:hint="eastAsia" w:eastAsiaTheme="minorEastAsia"/>
          <w:b/>
          <w:color w:val="auto"/>
          <w:sz w:val="24"/>
          <w:szCs w:val="24"/>
        </w:rPr>
        <w:t>本</w:t>
      </w:r>
      <w:r>
        <w:rPr>
          <w:rFonts w:eastAsiaTheme="minorEastAsia"/>
          <w:b/>
          <w:color w:val="auto"/>
          <w:sz w:val="24"/>
          <w:szCs w:val="24"/>
        </w:rPr>
        <w:t>项目主要噪声源及源强一览表    单位：dB（A）</w:t>
      </w:r>
    </w:p>
    <w:tbl>
      <w:tblPr>
        <w:tblStyle w:val="512"/>
        <w:tblW w:w="8632"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76"/>
        <w:gridCol w:w="1134"/>
        <w:gridCol w:w="1985"/>
        <w:gridCol w:w="2874"/>
        <w:gridCol w:w="136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276" w:type="dxa"/>
            <w:vAlign w:val="center"/>
          </w:tcPr>
          <w:p>
            <w:pPr>
              <w:pStyle w:val="164"/>
              <w:spacing w:line="240" w:lineRule="auto"/>
              <w:rPr>
                <w:rFonts w:ascii="Times New Roman" w:hAnsi="Times New Roman"/>
                <w:b/>
                <w:bCs/>
                <w:color w:val="auto"/>
              </w:rPr>
            </w:pPr>
            <w:r>
              <w:rPr>
                <w:rFonts w:ascii="Times New Roman" w:hAnsi="Times New Roman"/>
                <w:b/>
                <w:bCs/>
                <w:color w:val="auto"/>
              </w:rPr>
              <w:t>设备名称</w:t>
            </w:r>
          </w:p>
        </w:tc>
        <w:tc>
          <w:tcPr>
            <w:tcW w:w="1134" w:type="dxa"/>
            <w:vAlign w:val="center"/>
          </w:tcPr>
          <w:p>
            <w:pPr>
              <w:pStyle w:val="164"/>
              <w:spacing w:line="240" w:lineRule="auto"/>
              <w:rPr>
                <w:rFonts w:ascii="Times New Roman" w:hAnsi="Times New Roman"/>
                <w:b/>
                <w:bCs/>
                <w:color w:val="auto"/>
              </w:rPr>
            </w:pPr>
            <w:r>
              <w:rPr>
                <w:rFonts w:ascii="Times New Roman" w:hAnsi="Times New Roman"/>
                <w:b/>
                <w:bCs/>
                <w:color w:val="auto"/>
              </w:rPr>
              <w:t>噪声值</w:t>
            </w:r>
          </w:p>
        </w:tc>
        <w:tc>
          <w:tcPr>
            <w:tcW w:w="1985" w:type="dxa"/>
            <w:vAlign w:val="center"/>
          </w:tcPr>
          <w:p>
            <w:pPr>
              <w:pStyle w:val="164"/>
              <w:spacing w:line="240" w:lineRule="auto"/>
              <w:rPr>
                <w:rFonts w:ascii="Times New Roman" w:hAnsi="Times New Roman"/>
                <w:b/>
                <w:bCs/>
                <w:color w:val="auto"/>
              </w:rPr>
            </w:pPr>
            <w:r>
              <w:rPr>
                <w:rFonts w:ascii="Times New Roman" w:hAnsi="Times New Roman"/>
                <w:b/>
                <w:bCs/>
                <w:color w:val="auto"/>
              </w:rPr>
              <w:t>噪声源位置</w:t>
            </w:r>
          </w:p>
        </w:tc>
        <w:tc>
          <w:tcPr>
            <w:tcW w:w="2874" w:type="dxa"/>
            <w:vAlign w:val="center"/>
          </w:tcPr>
          <w:p>
            <w:pPr>
              <w:pStyle w:val="164"/>
              <w:spacing w:line="240" w:lineRule="auto"/>
              <w:rPr>
                <w:rFonts w:ascii="Times New Roman" w:hAnsi="Times New Roman"/>
                <w:b/>
                <w:bCs/>
                <w:color w:val="auto"/>
              </w:rPr>
            </w:pPr>
            <w:r>
              <w:rPr>
                <w:rFonts w:ascii="Times New Roman" w:hAnsi="Times New Roman"/>
                <w:b/>
                <w:bCs/>
                <w:color w:val="auto"/>
              </w:rPr>
              <w:t>降噪措施</w:t>
            </w:r>
          </w:p>
        </w:tc>
        <w:tc>
          <w:tcPr>
            <w:tcW w:w="1363" w:type="dxa"/>
            <w:vAlign w:val="center"/>
          </w:tcPr>
          <w:p>
            <w:pPr>
              <w:pStyle w:val="164"/>
              <w:spacing w:line="240" w:lineRule="auto"/>
              <w:rPr>
                <w:rFonts w:ascii="Times New Roman" w:hAnsi="Times New Roman"/>
                <w:b/>
                <w:bCs/>
                <w:color w:val="auto"/>
              </w:rPr>
            </w:pPr>
            <w:r>
              <w:rPr>
                <w:rFonts w:ascii="Times New Roman" w:hAnsi="Times New Roman"/>
                <w:b/>
                <w:bCs/>
                <w:color w:val="auto"/>
              </w:rPr>
              <w:t>削减后噪声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276" w:type="dxa"/>
            <w:vAlign w:val="center"/>
          </w:tcPr>
          <w:p>
            <w:pPr>
              <w:pStyle w:val="164"/>
              <w:spacing w:line="240" w:lineRule="auto"/>
              <w:rPr>
                <w:rFonts w:ascii="Times New Roman" w:hAnsi="Times New Roman"/>
                <w:color w:val="auto"/>
              </w:rPr>
            </w:pPr>
            <w:r>
              <w:rPr>
                <w:rFonts w:hint="eastAsia" w:ascii="Times New Roman" w:hAnsi="Times New Roman"/>
                <w:color w:val="auto"/>
              </w:rPr>
              <w:t>5</w:t>
            </w:r>
            <w:r>
              <w:rPr>
                <w:rFonts w:ascii="Times New Roman" w:hAnsi="Times New Roman"/>
                <w:color w:val="auto"/>
              </w:rPr>
              <w:t>t/d高温蒸汽处理设备</w:t>
            </w:r>
          </w:p>
        </w:tc>
        <w:tc>
          <w:tcPr>
            <w:tcW w:w="1134" w:type="dxa"/>
            <w:vAlign w:val="center"/>
          </w:tcPr>
          <w:p>
            <w:pPr>
              <w:pStyle w:val="164"/>
              <w:spacing w:line="240" w:lineRule="auto"/>
              <w:rPr>
                <w:rFonts w:ascii="Times New Roman" w:hAnsi="Times New Roman"/>
                <w:color w:val="auto"/>
              </w:rPr>
            </w:pPr>
            <w:r>
              <w:rPr>
                <w:rFonts w:ascii="Times New Roman" w:hAnsi="Times New Roman"/>
                <w:color w:val="auto"/>
              </w:rPr>
              <w:t>75</w:t>
            </w:r>
          </w:p>
        </w:tc>
        <w:tc>
          <w:tcPr>
            <w:tcW w:w="1985" w:type="dxa"/>
            <w:vAlign w:val="center"/>
          </w:tcPr>
          <w:p>
            <w:pPr>
              <w:pStyle w:val="164"/>
              <w:spacing w:line="240" w:lineRule="auto"/>
              <w:rPr>
                <w:rFonts w:ascii="Times New Roman" w:hAnsi="Times New Roman"/>
                <w:color w:val="auto"/>
              </w:rPr>
            </w:pPr>
            <w:r>
              <w:rPr>
                <w:rFonts w:ascii="Times New Roman" w:hAnsi="Times New Roman"/>
                <w:color w:val="auto"/>
              </w:rPr>
              <w:t>蒸汽灭菌厂房</w:t>
            </w:r>
          </w:p>
        </w:tc>
        <w:tc>
          <w:tcPr>
            <w:tcW w:w="2874" w:type="dxa"/>
            <w:vAlign w:val="center"/>
          </w:tcPr>
          <w:p>
            <w:pPr>
              <w:pStyle w:val="164"/>
              <w:spacing w:line="240" w:lineRule="auto"/>
              <w:rPr>
                <w:rFonts w:ascii="Times New Roman" w:hAnsi="Times New Roman"/>
                <w:color w:val="auto"/>
              </w:rPr>
            </w:pPr>
            <w:r>
              <w:rPr>
                <w:rFonts w:ascii="Times New Roman" w:hAnsi="Times New Roman"/>
                <w:color w:val="auto"/>
              </w:rPr>
              <w:t>基础减震、车间隔声</w:t>
            </w:r>
          </w:p>
        </w:tc>
        <w:tc>
          <w:tcPr>
            <w:tcW w:w="1363" w:type="dxa"/>
            <w:vAlign w:val="center"/>
          </w:tcPr>
          <w:p>
            <w:pPr>
              <w:pStyle w:val="164"/>
              <w:spacing w:line="240" w:lineRule="auto"/>
              <w:rPr>
                <w:rFonts w:ascii="Times New Roman" w:hAnsi="Times New Roman"/>
                <w:color w:val="auto"/>
              </w:rPr>
            </w:pPr>
            <w:r>
              <w:rPr>
                <w:rFonts w:ascii="Times New Roman" w:hAnsi="Times New Roman"/>
                <w:color w:val="auto"/>
              </w:rPr>
              <w:t>55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276" w:type="dxa"/>
            <w:vAlign w:val="center"/>
          </w:tcPr>
          <w:p>
            <w:pPr>
              <w:pStyle w:val="164"/>
              <w:spacing w:line="240" w:lineRule="auto"/>
              <w:rPr>
                <w:rFonts w:ascii="Times New Roman" w:hAnsi="Times New Roman"/>
                <w:color w:val="auto"/>
              </w:rPr>
            </w:pPr>
            <w:r>
              <w:rPr>
                <w:rFonts w:ascii="Times New Roman" w:hAnsi="Times New Roman"/>
                <w:color w:val="auto"/>
              </w:rPr>
              <w:t>各类水泵</w:t>
            </w:r>
          </w:p>
        </w:tc>
        <w:tc>
          <w:tcPr>
            <w:tcW w:w="1134" w:type="dxa"/>
            <w:vAlign w:val="center"/>
          </w:tcPr>
          <w:p>
            <w:pPr>
              <w:pStyle w:val="164"/>
              <w:spacing w:line="240" w:lineRule="auto"/>
              <w:rPr>
                <w:rFonts w:ascii="Times New Roman" w:hAnsi="Times New Roman"/>
                <w:color w:val="auto"/>
              </w:rPr>
            </w:pPr>
            <w:r>
              <w:rPr>
                <w:rFonts w:ascii="Times New Roman" w:hAnsi="Times New Roman"/>
                <w:color w:val="auto"/>
              </w:rPr>
              <w:t>80</w:t>
            </w:r>
          </w:p>
        </w:tc>
        <w:tc>
          <w:tcPr>
            <w:tcW w:w="1985" w:type="dxa"/>
            <w:vAlign w:val="center"/>
          </w:tcPr>
          <w:p>
            <w:pPr>
              <w:pStyle w:val="164"/>
              <w:spacing w:line="240" w:lineRule="auto"/>
              <w:rPr>
                <w:rFonts w:ascii="Times New Roman" w:hAnsi="Times New Roman"/>
                <w:color w:val="auto"/>
              </w:rPr>
            </w:pPr>
            <w:r>
              <w:rPr>
                <w:rFonts w:ascii="Times New Roman" w:hAnsi="Times New Roman"/>
                <w:color w:val="auto"/>
              </w:rPr>
              <w:t>蒸汽灭菌厂房、污水处理间</w:t>
            </w:r>
          </w:p>
        </w:tc>
        <w:tc>
          <w:tcPr>
            <w:tcW w:w="2874" w:type="dxa"/>
            <w:vAlign w:val="center"/>
          </w:tcPr>
          <w:p>
            <w:pPr>
              <w:pStyle w:val="164"/>
              <w:spacing w:line="240" w:lineRule="auto"/>
              <w:rPr>
                <w:rFonts w:ascii="Times New Roman" w:hAnsi="Times New Roman"/>
                <w:color w:val="auto"/>
              </w:rPr>
            </w:pPr>
            <w:r>
              <w:rPr>
                <w:rFonts w:ascii="Times New Roman" w:hAnsi="Times New Roman"/>
                <w:color w:val="auto"/>
              </w:rPr>
              <w:t>基础减震、消音、车间隔声</w:t>
            </w:r>
          </w:p>
        </w:tc>
        <w:tc>
          <w:tcPr>
            <w:tcW w:w="1363" w:type="dxa"/>
            <w:vAlign w:val="center"/>
          </w:tcPr>
          <w:p>
            <w:pPr>
              <w:pStyle w:val="164"/>
              <w:spacing w:line="240" w:lineRule="auto"/>
              <w:rPr>
                <w:rFonts w:ascii="Times New Roman" w:hAnsi="Times New Roman"/>
                <w:color w:val="auto"/>
              </w:rPr>
            </w:pPr>
            <w:r>
              <w:rPr>
                <w:rFonts w:ascii="Times New Roman" w:hAnsi="Times New Roman"/>
                <w:color w:val="auto"/>
              </w:rPr>
              <w:t>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276" w:type="dxa"/>
            <w:vAlign w:val="center"/>
          </w:tcPr>
          <w:p>
            <w:pPr>
              <w:pStyle w:val="164"/>
              <w:spacing w:line="240" w:lineRule="auto"/>
              <w:rPr>
                <w:rFonts w:ascii="Times New Roman" w:hAnsi="Times New Roman"/>
                <w:color w:val="auto"/>
              </w:rPr>
            </w:pPr>
            <w:r>
              <w:rPr>
                <w:rFonts w:ascii="Times New Roman" w:hAnsi="Times New Roman"/>
                <w:color w:val="auto"/>
              </w:rPr>
              <w:t>破碎机</w:t>
            </w:r>
          </w:p>
        </w:tc>
        <w:tc>
          <w:tcPr>
            <w:tcW w:w="1134" w:type="dxa"/>
            <w:vAlign w:val="center"/>
          </w:tcPr>
          <w:p>
            <w:pPr>
              <w:pStyle w:val="164"/>
              <w:spacing w:line="240" w:lineRule="auto"/>
              <w:rPr>
                <w:rFonts w:ascii="Times New Roman" w:hAnsi="Times New Roman"/>
                <w:color w:val="auto"/>
              </w:rPr>
            </w:pPr>
            <w:r>
              <w:rPr>
                <w:rFonts w:ascii="Times New Roman" w:hAnsi="Times New Roman"/>
                <w:color w:val="auto"/>
              </w:rPr>
              <w:t>80</w:t>
            </w:r>
          </w:p>
        </w:tc>
        <w:tc>
          <w:tcPr>
            <w:tcW w:w="1985" w:type="dxa"/>
            <w:vAlign w:val="center"/>
          </w:tcPr>
          <w:p>
            <w:pPr>
              <w:pStyle w:val="164"/>
              <w:spacing w:line="240" w:lineRule="auto"/>
              <w:rPr>
                <w:rFonts w:ascii="Times New Roman" w:hAnsi="Times New Roman"/>
                <w:color w:val="auto"/>
              </w:rPr>
            </w:pPr>
            <w:r>
              <w:rPr>
                <w:rFonts w:ascii="Times New Roman" w:hAnsi="Times New Roman"/>
                <w:color w:val="auto"/>
              </w:rPr>
              <w:t>蒸汽灭菌厂房</w:t>
            </w:r>
          </w:p>
        </w:tc>
        <w:tc>
          <w:tcPr>
            <w:tcW w:w="2874" w:type="dxa"/>
            <w:vAlign w:val="center"/>
          </w:tcPr>
          <w:p>
            <w:pPr>
              <w:pStyle w:val="164"/>
              <w:spacing w:line="240" w:lineRule="auto"/>
              <w:rPr>
                <w:rFonts w:ascii="Times New Roman" w:hAnsi="Times New Roman"/>
                <w:color w:val="auto"/>
              </w:rPr>
            </w:pPr>
            <w:r>
              <w:rPr>
                <w:rFonts w:ascii="Times New Roman" w:hAnsi="Times New Roman"/>
                <w:color w:val="auto"/>
              </w:rPr>
              <w:t>基础减震、车间隔声</w:t>
            </w:r>
          </w:p>
        </w:tc>
        <w:tc>
          <w:tcPr>
            <w:tcW w:w="1363" w:type="dxa"/>
            <w:vAlign w:val="center"/>
          </w:tcPr>
          <w:p>
            <w:pPr>
              <w:pStyle w:val="164"/>
              <w:spacing w:line="240" w:lineRule="auto"/>
              <w:rPr>
                <w:rFonts w:ascii="Times New Roman" w:hAnsi="Times New Roman"/>
                <w:color w:val="auto"/>
              </w:rPr>
            </w:pPr>
            <w:r>
              <w:rPr>
                <w:rFonts w:ascii="Times New Roman" w:hAnsi="Times New Roman"/>
                <w:color w:val="auto"/>
              </w:rPr>
              <w:t>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276" w:type="dxa"/>
            <w:vAlign w:val="center"/>
          </w:tcPr>
          <w:p>
            <w:pPr>
              <w:pStyle w:val="164"/>
              <w:spacing w:line="240" w:lineRule="auto"/>
              <w:rPr>
                <w:rFonts w:ascii="Times New Roman" w:hAnsi="Times New Roman"/>
                <w:color w:val="auto"/>
              </w:rPr>
            </w:pPr>
            <w:r>
              <w:rPr>
                <w:rFonts w:ascii="Times New Roman" w:hAnsi="Times New Roman"/>
                <w:color w:val="auto"/>
              </w:rPr>
              <w:t>空压机</w:t>
            </w:r>
          </w:p>
        </w:tc>
        <w:tc>
          <w:tcPr>
            <w:tcW w:w="1134" w:type="dxa"/>
            <w:vAlign w:val="center"/>
          </w:tcPr>
          <w:p>
            <w:pPr>
              <w:pStyle w:val="164"/>
              <w:spacing w:line="240" w:lineRule="auto"/>
              <w:rPr>
                <w:rFonts w:ascii="Times New Roman" w:hAnsi="Times New Roman"/>
                <w:color w:val="auto"/>
              </w:rPr>
            </w:pPr>
            <w:r>
              <w:rPr>
                <w:rFonts w:ascii="Times New Roman" w:hAnsi="Times New Roman"/>
                <w:color w:val="auto"/>
              </w:rPr>
              <w:t>85</w:t>
            </w:r>
          </w:p>
        </w:tc>
        <w:tc>
          <w:tcPr>
            <w:tcW w:w="1985" w:type="dxa"/>
            <w:vAlign w:val="center"/>
          </w:tcPr>
          <w:p>
            <w:pPr>
              <w:pStyle w:val="164"/>
              <w:spacing w:line="240" w:lineRule="auto"/>
              <w:rPr>
                <w:rFonts w:ascii="Times New Roman" w:hAnsi="Times New Roman"/>
                <w:color w:val="auto"/>
              </w:rPr>
            </w:pPr>
            <w:r>
              <w:rPr>
                <w:rFonts w:ascii="Times New Roman" w:hAnsi="Times New Roman"/>
                <w:color w:val="auto"/>
              </w:rPr>
              <w:t>蒸汽灭菌厂房</w:t>
            </w:r>
          </w:p>
        </w:tc>
        <w:tc>
          <w:tcPr>
            <w:tcW w:w="2874" w:type="dxa"/>
            <w:vAlign w:val="center"/>
          </w:tcPr>
          <w:p>
            <w:pPr>
              <w:pStyle w:val="164"/>
              <w:spacing w:line="240" w:lineRule="auto"/>
              <w:rPr>
                <w:rFonts w:ascii="Times New Roman" w:hAnsi="Times New Roman"/>
                <w:color w:val="auto"/>
              </w:rPr>
            </w:pPr>
            <w:r>
              <w:rPr>
                <w:rFonts w:ascii="Times New Roman" w:hAnsi="Times New Roman"/>
                <w:color w:val="auto"/>
              </w:rPr>
              <w:t>基础减震、车间隔声</w:t>
            </w:r>
          </w:p>
        </w:tc>
        <w:tc>
          <w:tcPr>
            <w:tcW w:w="1363" w:type="dxa"/>
            <w:vAlign w:val="center"/>
          </w:tcPr>
          <w:p>
            <w:pPr>
              <w:pStyle w:val="164"/>
              <w:spacing w:line="240" w:lineRule="auto"/>
              <w:rPr>
                <w:rFonts w:ascii="Times New Roman" w:hAnsi="Times New Roman"/>
                <w:color w:val="auto"/>
              </w:rPr>
            </w:pPr>
            <w:r>
              <w:rPr>
                <w:rFonts w:ascii="Times New Roman" w:hAnsi="Times New Roman"/>
                <w:color w:val="auto"/>
              </w:rPr>
              <w:t>65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276" w:type="dxa"/>
            <w:vAlign w:val="center"/>
          </w:tcPr>
          <w:p>
            <w:pPr>
              <w:pStyle w:val="164"/>
              <w:spacing w:line="240" w:lineRule="auto"/>
              <w:rPr>
                <w:rFonts w:ascii="Times New Roman" w:hAnsi="Times New Roman"/>
                <w:color w:val="auto"/>
              </w:rPr>
            </w:pPr>
            <w:r>
              <w:rPr>
                <w:rFonts w:ascii="Times New Roman" w:hAnsi="Times New Roman"/>
                <w:color w:val="auto"/>
              </w:rPr>
              <w:t>各类风机</w:t>
            </w:r>
          </w:p>
        </w:tc>
        <w:tc>
          <w:tcPr>
            <w:tcW w:w="1134" w:type="dxa"/>
            <w:vAlign w:val="center"/>
          </w:tcPr>
          <w:p>
            <w:pPr>
              <w:pStyle w:val="164"/>
              <w:spacing w:line="240" w:lineRule="auto"/>
              <w:rPr>
                <w:rFonts w:ascii="Times New Roman" w:hAnsi="Times New Roman"/>
                <w:color w:val="auto"/>
              </w:rPr>
            </w:pPr>
            <w:r>
              <w:rPr>
                <w:rFonts w:ascii="Times New Roman" w:hAnsi="Times New Roman"/>
                <w:color w:val="auto"/>
              </w:rPr>
              <w:t>85-90</w:t>
            </w:r>
          </w:p>
        </w:tc>
        <w:tc>
          <w:tcPr>
            <w:tcW w:w="1985" w:type="dxa"/>
            <w:vAlign w:val="center"/>
          </w:tcPr>
          <w:p>
            <w:pPr>
              <w:pStyle w:val="164"/>
              <w:spacing w:line="240" w:lineRule="auto"/>
              <w:rPr>
                <w:rFonts w:ascii="Times New Roman" w:hAnsi="Times New Roman"/>
                <w:color w:val="auto"/>
              </w:rPr>
            </w:pPr>
            <w:r>
              <w:rPr>
                <w:rFonts w:ascii="Times New Roman" w:hAnsi="Times New Roman"/>
                <w:color w:val="auto"/>
              </w:rPr>
              <w:t>蒸汽灭菌厂房、污水处理间</w:t>
            </w:r>
          </w:p>
        </w:tc>
        <w:tc>
          <w:tcPr>
            <w:tcW w:w="2874" w:type="dxa"/>
            <w:vAlign w:val="center"/>
          </w:tcPr>
          <w:p>
            <w:pPr>
              <w:pStyle w:val="164"/>
              <w:spacing w:line="240" w:lineRule="auto"/>
              <w:rPr>
                <w:rFonts w:ascii="Times New Roman" w:hAnsi="Times New Roman"/>
                <w:color w:val="auto"/>
              </w:rPr>
            </w:pPr>
            <w:r>
              <w:rPr>
                <w:rFonts w:ascii="Times New Roman" w:hAnsi="Times New Roman"/>
                <w:color w:val="auto"/>
              </w:rPr>
              <w:t>基础减震、消音、车间隔声</w:t>
            </w:r>
          </w:p>
        </w:tc>
        <w:tc>
          <w:tcPr>
            <w:tcW w:w="1363" w:type="dxa"/>
            <w:vAlign w:val="center"/>
          </w:tcPr>
          <w:p>
            <w:pPr>
              <w:pStyle w:val="164"/>
              <w:spacing w:line="240" w:lineRule="auto"/>
              <w:rPr>
                <w:rFonts w:ascii="Times New Roman" w:hAnsi="Times New Roman"/>
                <w:color w:val="auto"/>
              </w:rPr>
            </w:pPr>
            <w:r>
              <w:rPr>
                <w:rFonts w:ascii="Times New Roman" w:hAnsi="Times New Roman"/>
                <w:color w:val="auto"/>
              </w:rPr>
              <w:t>70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276" w:type="dxa"/>
            <w:vAlign w:val="center"/>
          </w:tcPr>
          <w:p>
            <w:pPr>
              <w:pStyle w:val="164"/>
              <w:spacing w:line="240" w:lineRule="auto"/>
              <w:rPr>
                <w:rFonts w:ascii="Times New Roman" w:hAnsi="Times New Roman"/>
                <w:color w:val="auto"/>
              </w:rPr>
            </w:pPr>
            <w:r>
              <w:rPr>
                <w:rFonts w:ascii="Times New Roman" w:hAnsi="Times New Roman"/>
                <w:color w:val="auto"/>
              </w:rPr>
              <w:t>冷却塔</w:t>
            </w:r>
          </w:p>
        </w:tc>
        <w:tc>
          <w:tcPr>
            <w:tcW w:w="1134" w:type="dxa"/>
            <w:vAlign w:val="center"/>
          </w:tcPr>
          <w:p>
            <w:pPr>
              <w:pStyle w:val="164"/>
              <w:spacing w:line="240" w:lineRule="auto"/>
              <w:rPr>
                <w:rFonts w:ascii="Times New Roman" w:hAnsi="Times New Roman"/>
                <w:color w:val="auto"/>
              </w:rPr>
            </w:pPr>
            <w:r>
              <w:rPr>
                <w:rFonts w:ascii="Times New Roman" w:hAnsi="Times New Roman"/>
                <w:color w:val="auto"/>
              </w:rPr>
              <w:t>75</w:t>
            </w:r>
          </w:p>
        </w:tc>
        <w:tc>
          <w:tcPr>
            <w:tcW w:w="1985" w:type="dxa"/>
            <w:vAlign w:val="center"/>
          </w:tcPr>
          <w:p>
            <w:pPr>
              <w:pStyle w:val="164"/>
              <w:spacing w:line="240" w:lineRule="auto"/>
              <w:rPr>
                <w:rFonts w:ascii="Times New Roman" w:hAnsi="Times New Roman"/>
                <w:color w:val="auto"/>
              </w:rPr>
            </w:pPr>
            <w:r>
              <w:rPr>
                <w:rFonts w:ascii="Times New Roman" w:hAnsi="Times New Roman"/>
                <w:color w:val="auto"/>
              </w:rPr>
              <w:t>蒸汽灭菌厂房</w:t>
            </w:r>
          </w:p>
        </w:tc>
        <w:tc>
          <w:tcPr>
            <w:tcW w:w="2874" w:type="dxa"/>
            <w:vAlign w:val="center"/>
          </w:tcPr>
          <w:p>
            <w:pPr>
              <w:pStyle w:val="164"/>
              <w:spacing w:line="240" w:lineRule="auto"/>
              <w:rPr>
                <w:rFonts w:ascii="Times New Roman" w:hAnsi="Times New Roman"/>
                <w:color w:val="auto"/>
              </w:rPr>
            </w:pPr>
            <w:r>
              <w:rPr>
                <w:rFonts w:ascii="Times New Roman" w:hAnsi="Times New Roman"/>
                <w:color w:val="auto"/>
              </w:rPr>
              <w:t>合理布局</w:t>
            </w:r>
          </w:p>
        </w:tc>
        <w:tc>
          <w:tcPr>
            <w:tcW w:w="1363" w:type="dxa"/>
            <w:vAlign w:val="center"/>
          </w:tcPr>
          <w:p>
            <w:pPr>
              <w:pStyle w:val="164"/>
              <w:spacing w:line="240" w:lineRule="auto"/>
              <w:rPr>
                <w:rFonts w:ascii="Times New Roman" w:hAnsi="Times New Roman"/>
                <w:color w:val="auto"/>
              </w:rPr>
            </w:pPr>
            <w:r>
              <w:rPr>
                <w:rFonts w:ascii="Times New Roman" w:hAnsi="Times New Roman"/>
                <w:color w:val="auto"/>
              </w:rPr>
              <w:t>55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276" w:type="dxa"/>
            <w:vAlign w:val="center"/>
          </w:tcPr>
          <w:p>
            <w:pPr>
              <w:pStyle w:val="164"/>
              <w:spacing w:line="240" w:lineRule="auto"/>
              <w:rPr>
                <w:rFonts w:ascii="Times New Roman" w:hAnsi="Times New Roman"/>
                <w:color w:val="auto"/>
              </w:rPr>
            </w:pPr>
            <w:r>
              <w:rPr>
                <w:rFonts w:ascii="Times New Roman" w:hAnsi="Times New Roman"/>
                <w:color w:val="auto"/>
              </w:rPr>
              <w:t>运输车辆</w:t>
            </w:r>
          </w:p>
        </w:tc>
        <w:tc>
          <w:tcPr>
            <w:tcW w:w="1134" w:type="dxa"/>
            <w:vAlign w:val="center"/>
          </w:tcPr>
          <w:p>
            <w:pPr>
              <w:pStyle w:val="164"/>
              <w:spacing w:line="240" w:lineRule="auto"/>
              <w:rPr>
                <w:rFonts w:ascii="Times New Roman" w:hAnsi="Times New Roman"/>
                <w:color w:val="auto"/>
              </w:rPr>
            </w:pPr>
            <w:r>
              <w:rPr>
                <w:rFonts w:ascii="Times New Roman" w:hAnsi="Times New Roman"/>
                <w:color w:val="auto"/>
              </w:rPr>
              <w:t>75</w:t>
            </w:r>
          </w:p>
        </w:tc>
        <w:tc>
          <w:tcPr>
            <w:tcW w:w="4859" w:type="dxa"/>
            <w:gridSpan w:val="2"/>
            <w:vAlign w:val="center"/>
          </w:tcPr>
          <w:p>
            <w:pPr>
              <w:pStyle w:val="164"/>
              <w:spacing w:line="240" w:lineRule="auto"/>
              <w:rPr>
                <w:rFonts w:ascii="Times New Roman" w:hAnsi="Times New Roman"/>
                <w:color w:val="auto"/>
              </w:rPr>
            </w:pPr>
            <w:r>
              <w:rPr>
                <w:rFonts w:ascii="Times New Roman" w:hAnsi="Times New Roman"/>
                <w:color w:val="auto"/>
              </w:rPr>
              <w:t>减速、禁止鸣笛</w:t>
            </w:r>
          </w:p>
        </w:tc>
        <w:tc>
          <w:tcPr>
            <w:tcW w:w="1363" w:type="dxa"/>
            <w:vAlign w:val="center"/>
          </w:tcPr>
          <w:p>
            <w:pPr>
              <w:pStyle w:val="164"/>
              <w:spacing w:line="240" w:lineRule="auto"/>
              <w:rPr>
                <w:rFonts w:ascii="Times New Roman" w:hAnsi="Times New Roman"/>
                <w:color w:val="auto"/>
              </w:rPr>
            </w:pPr>
            <w:r>
              <w:rPr>
                <w:rFonts w:ascii="Times New Roman" w:hAnsi="Times New Roman"/>
                <w:color w:val="auto"/>
              </w:rPr>
              <w:t>55</w:t>
            </w:r>
          </w:p>
        </w:tc>
      </w:tr>
    </w:tbl>
    <w:p>
      <w:pPr>
        <w:pStyle w:val="130"/>
        <w:spacing w:before="120" w:beforeLines="50"/>
        <w:ind w:firstLine="480"/>
        <w:rPr>
          <w:color w:val="auto"/>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r>
        <w:rPr>
          <w:rFonts w:hint="eastAsia"/>
          <w:color w:val="auto"/>
        </w:rPr>
        <w:t>本项目建成后全厂噪声</w:t>
      </w:r>
    </w:p>
    <w:p>
      <w:pPr>
        <w:pStyle w:val="130"/>
        <w:ind w:firstLine="480"/>
        <w:rPr>
          <w:color w:val="auto"/>
        </w:rPr>
      </w:pPr>
      <w:r>
        <w:rPr>
          <w:rFonts w:hint="eastAsia"/>
          <w:color w:val="auto"/>
        </w:rPr>
        <w:t>本项目建成后全厂主要噪声源及源强见下表。</w:t>
      </w:r>
    </w:p>
    <w:p>
      <w:pPr>
        <w:jc w:val="center"/>
        <w:rPr>
          <w:rFonts w:eastAsiaTheme="minorEastAsia"/>
          <w:b/>
          <w:color w:val="auto"/>
          <w:sz w:val="24"/>
          <w:szCs w:val="24"/>
        </w:rPr>
      </w:pPr>
      <w:r>
        <w:rPr>
          <w:rFonts w:hint="eastAsia" w:eastAsiaTheme="minorEastAsia"/>
          <w:b/>
          <w:color w:val="auto"/>
          <w:sz w:val="24"/>
          <w:szCs w:val="24"/>
        </w:rPr>
        <w:t xml:space="preserve"> </w:t>
      </w:r>
      <w:r>
        <w:rPr>
          <w:rFonts w:eastAsiaTheme="minorEastAsia"/>
          <w:b/>
          <w:color w:val="auto"/>
          <w:sz w:val="24"/>
          <w:szCs w:val="24"/>
        </w:rPr>
        <w:t>表4.8-1</w:t>
      </w:r>
      <w:r>
        <w:rPr>
          <w:rFonts w:hint="eastAsia" w:eastAsiaTheme="minorEastAsia"/>
          <w:b/>
          <w:color w:val="auto"/>
          <w:sz w:val="24"/>
          <w:szCs w:val="24"/>
        </w:rPr>
        <w:t>6</w:t>
      </w:r>
      <w:r>
        <w:rPr>
          <w:rFonts w:eastAsiaTheme="minorEastAsia"/>
          <w:b/>
          <w:color w:val="auto"/>
          <w:sz w:val="24"/>
          <w:szCs w:val="24"/>
        </w:rPr>
        <w:t xml:space="preserve">  </w:t>
      </w:r>
      <w:r>
        <w:rPr>
          <w:rFonts w:hint="eastAsia" w:eastAsiaTheme="minorEastAsia"/>
          <w:b/>
          <w:color w:val="auto"/>
          <w:sz w:val="24"/>
          <w:szCs w:val="24"/>
        </w:rPr>
        <w:t>本项目建成后全厂</w:t>
      </w:r>
      <w:r>
        <w:rPr>
          <w:rFonts w:eastAsiaTheme="minorEastAsia"/>
          <w:b/>
          <w:color w:val="auto"/>
          <w:sz w:val="24"/>
          <w:szCs w:val="24"/>
        </w:rPr>
        <w:t>主要噪声源及源强一览表  单位：dB（A）</w:t>
      </w:r>
    </w:p>
    <w:tbl>
      <w:tblPr>
        <w:tblStyle w:val="512"/>
        <w:tblW w:w="8882"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501"/>
        <w:gridCol w:w="881"/>
        <w:gridCol w:w="790"/>
        <w:gridCol w:w="2080"/>
        <w:gridCol w:w="2311"/>
        <w:gridCol w:w="131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501" w:type="dxa"/>
            <w:vAlign w:val="center"/>
          </w:tcPr>
          <w:p>
            <w:pPr>
              <w:pStyle w:val="164"/>
              <w:rPr>
                <w:rFonts w:ascii="Times New Roman" w:hAnsi="Times New Roman"/>
                <w:b/>
                <w:bCs/>
                <w:color w:val="auto"/>
              </w:rPr>
            </w:pPr>
            <w:r>
              <w:rPr>
                <w:rFonts w:ascii="Times New Roman" w:hAnsi="Times New Roman"/>
                <w:b/>
                <w:bCs/>
                <w:color w:val="auto"/>
              </w:rPr>
              <w:t>设备名称</w:t>
            </w:r>
          </w:p>
        </w:tc>
        <w:tc>
          <w:tcPr>
            <w:tcW w:w="881" w:type="dxa"/>
            <w:vAlign w:val="center"/>
          </w:tcPr>
          <w:p>
            <w:pPr>
              <w:pStyle w:val="164"/>
              <w:rPr>
                <w:rFonts w:ascii="Times New Roman" w:hAnsi="Times New Roman"/>
                <w:b/>
                <w:bCs/>
                <w:color w:val="auto"/>
              </w:rPr>
            </w:pPr>
            <w:r>
              <w:rPr>
                <w:rFonts w:ascii="Times New Roman" w:hAnsi="Times New Roman"/>
                <w:b/>
                <w:bCs/>
                <w:color w:val="auto"/>
              </w:rPr>
              <w:t>噪声值</w:t>
            </w:r>
          </w:p>
        </w:tc>
        <w:tc>
          <w:tcPr>
            <w:tcW w:w="790" w:type="dxa"/>
            <w:vAlign w:val="center"/>
          </w:tcPr>
          <w:p>
            <w:pPr>
              <w:pStyle w:val="164"/>
              <w:rPr>
                <w:rFonts w:ascii="Times New Roman" w:hAnsi="Times New Roman"/>
                <w:b/>
                <w:bCs/>
                <w:color w:val="auto"/>
              </w:rPr>
            </w:pPr>
            <w:r>
              <w:rPr>
                <w:rFonts w:ascii="Times New Roman" w:hAnsi="Times New Roman"/>
                <w:b/>
                <w:bCs/>
                <w:color w:val="auto"/>
              </w:rPr>
              <w:t>台数</w:t>
            </w:r>
          </w:p>
        </w:tc>
        <w:tc>
          <w:tcPr>
            <w:tcW w:w="2080" w:type="dxa"/>
            <w:vAlign w:val="center"/>
          </w:tcPr>
          <w:p>
            <w:pPr>
              <w:pStyle w:val="164"/>
              <w:rPr>
                <w:rFonts w:ascii="Times New Roman" w:hAnsi="Times New Roman"/>
                <w:b/>
                <w:bCs/>
                <w:color w:val="auto"/>
              </w:rPr>
            </w:pPr>
            <w:r>
              <w:rPr>
                <w:rFonts w:ascii="Times New Roman" w:hAnsi="Times New Roman"/>
                <w:b/>
                <w:bCs/>
                <w:color w:val="auto"/>
              </w:rPr>
              <w:t>噪声源位置</w:t>
            </w:r>
          </w:p>
        </w:tc>
        <w:tc>
          <w:tcPr>
            <w:tcW w:w="2311" w:type="dxa"/>
            <w:vAlign w:val="center"/>
          </w:tcPr>
          <w:p>
            <w:pPr>
              <w:pStyle w:val="164"/>
              <w:rPr>
                <w:rFonts w:ascii="Times New Roman" w:hAnsi="Times New Roman"/>
                <w:b/>
                <w:bCs/>
                <w:color w:val="auto"/>
              </w:rPr>
            </w:pPr>
            <w:r>
              <w:rPr>
                <w:rFonts w:ascii="Times New Roman" w:hAnsi="Times New Roman"/>
                <w:b/>
                <w:bCs/>
                <w:color w:val="auto"/>
              </w:rPr>
              <w:t>降噪措施</w:t>
            </w:r>
          </w:p>
        </w:tc>
        <w:tc>
          <w:tcPr>
            <w:tcW w:w="1319" w:type="dxa"/>
            <w:vAlign w:val="center"/>
          </w:tcPr>
          <w:p>
            <w:pPr>
              <w:pStyle w:val="164"/>
              <w:rPr>
                <w:rFonts w:ascii="Times New Roman" w:hAnsi="Times New Roman"/>
                <w:b/>
                <w:bCs/>
                <w:color w:val="auto"/>
              </w:rPr>
            </w:pPr>
            <w:r>
              <w:rPr>
                <w:rFonts w:ascii="Times New Roman" w:hAnsi="Times New Roman"/>
                <w:b/>
                <w:bCs/>
                <w:color w:val="auto"/>
              </w:rPr>
              <w:t>削减后噪声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501" w:type="dxa"/>
            <w:vAlign w:val="center"/>
          </w:tcPr>
          <w:p>
            <w:pPr>
              <w:pStyle w:val="164"/>
              <w:rPr>
                <w:rFonts w:ascii="Times New Roman" w:hAnsi="Times New Roman"/>
                <w:color w:val="auto"/>
              </w:rPr>
            </w:pPr>
            <w:r>
              <w:rPr>
                <w:rFonts w:ascii="Times New Roman" w:hAnsi="Times New Roman"/>
                <w:color w:val="auto"/>
              </w:rPr>
              <w:t>5t/d高温蒸汽处理设备</w:t>
            </w:r>
          </w:p>
        </w:tc>
        <w:tc>
          <w:tcPr>
            <w:tcW w:w="881" w:type="dxa"/>
            <w:vAlign w:val="center"/>
          </w:tcPr>
          <w:p>
            <w:pPr>
              <w:pStyle w:val="164"/>
              <w:rPr>
                <w:rFonts w:ascii="Times New Roman" w:hAnsi="Times New Roman"/>
                <w:color w:val="auto"/>
              </w:rPr>
            </w:pPr>
            <w:r>
              <w:rPr>
                <w:rFonts w:ascii="Times New Roman" w:hAnsi="Times New Roman"/>
                <w:color w:val="auto"/>
              </w:rPr>
              <w:t>75</w:t>
            </w:r>
          </w:p>
        </w:tc>
        <w:tc>
          <w:tcPr>
            <w:tcW w:w="790" w:type="dxa"/>
            <w:vAlign w:val="center"/>
          </w:tcPr>
          <w:p>
            <w:pPr>
              <w:pStyle w:val="164"/>
              <w:rPr>
                <w:rFonts w:ascii="Times New Roman" w:hAnsi="Times New Roman"/>
                <w:color w:val="auto"/>
              </w:rPr>
            </w:pPr>
            <w:r>
              <w:rPr>
                <w:rFonts w:ascii="Times New Roman" w:hAnsi="Times New Roman"/>
                <w:color w:val="auto"/>
              </w:rPr>
              <w:t>1</w:t>
            </w:r>
          </w:p>
        </w:tc>
        <w:tc>
          <w:tcPr>
            <w:tcW w:w="2080" w:type="dxa"/>
            <w:vAlign w:val="center"/>
          </w:tcPr>
          <w:p>
            <w:pPr>
              <w:pStyle w:val="164"/>
              <w:rPr>
                <w:rFonts w:ascii="Times New Roman" w:hAnsi="Times New Roman"/>
                <w:color w:val="auto"/>
              </w:rPr>
            </w:pPr>
            <w:r>
              <w:rPr>
                <w:rFonts w:ascii="Times New Roman" w:hAnsi="Times New Roman"/>
                <w:color w:val="auto"/>
              </w:rPr>
              <w:t>蒸汽灭菌厂房</w:t>
            </w:r>
          </w:p>
        </w:tc>
        <w:tc>
          <w:tcPr>
            <w:tcW w:w="2311" w:type="dxa"/>
            <w:vAlign w:val="center"/>
          </w:tcPr>
          <w:p>
            <w:pPr>
              <w:pStyle w:val="164"/>
              <w:rPr>
                <w:rFonts w:ascii="Times New Roman" w:hAnsi="Times New Roman"/>
                <w:color w:val="auto"/>
              </w:rPr>
            </w:pPr>
            <w:r>
              <w:rPr>
                <w:rFonts w:ascii="Times New Roman" w:hAnsi="Times New Roman"/>
                <w:color w:val="auto"/>
              </w:rPr>
              <w:t>基础减震、车间隔声</w:t>
            </w:r>
          </w:p>
        </w:tc>
        <w:tc>
          <w:tcPr>
            <w:tcW w:w="1319" w:type="dxa"/>
            <w:vAlign w:val="center"/>
          </w:tcPr>
          <w:p>
            <w:pPr>
              <w:pStyle w:val="164"/>
              <w:rPr>
                <w:rFonts w:ascii="Times New Roman" w:hAnsi="Times New Roman"/>
                <w:color w:val="auto"/>
              </w:rPr>
            </w:pPr>
            <w:r>
              <w:rPr>
                <w:rFonts w:ascii="Times New Roman" w:hAnsi="Times New Roman"/>
                <w:color w:val="auto"/>
              </w:rPr>
              <w:t>55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501" w:type="dxa"/>
            <w:vAlign w:val="center"/>
          </w:tcPr>
          <w:p>
            <w:pPr>
              <w:pStyle w:val="164"/>
              <w:rPr>
                <w:rFonts w:ascii="Times New Roman" w:hAnsi="Times New Roman"/>
                <w:color w:val="auto"/>
              </w:rPr>
            </w:pPr>
            <w:r>
              <w:rPr>
                <w:rFonts w:ascii="Times New Roman" w:hAnsi="Times New Roman"/>
                <w:color w:val="auto"/>
              </w:rPr>
              <w:t>3t/d高温蒸汽处理设备</w:t>
            </w:r>
          </w:p>
        </w:tc>
        <w:tc>
          <w:tcPr>
            <w:tcW w:w="881" w:type="dxa"/>
            <w:vAlign w:val="center"/>
          </w:tcPr>
          <w:p>
            <w:pPr>
              <w:pStyle w:val="164"/>
              <w:rPr>
                <w:rFonts w:ascii="Times New Roman" w:hAnsi="Times New Roman"/>
                <w:color w:val="auto"/>
              </w:rPr>
            </w:pPr>
            <w:r>
              <w:rPr>
                <w:rFonts w:ascii="Times New Roman" w:hAnsi="Times New Roman"/>
                <w:color w:val="auto"/>
              </w:rPr>
              <w:t>75</w:t>
            </w:r>
          </w:p>
        </w:tc>
        <w:tc>
          <w:tcPr>
            <w:tcW w:w="790" w:type="dxa"/>
            <w:vAlign w:val="center"/>
          </w:tcPr>
          <w:p>
            <w:pPr>
              <w:pStyle w:val="164"/>
              <w:rPr>
                <w:rFonts w:ascii="Times New Roman" w:hAnsi="Times New Roman"/>
                <w:color w:val="auto"/>
              </w:rPr>
            </w:pPr>
            <w:r>
              <w:rPr>
                <w:rFonts w:ascii="Times New Roman" w:hAnsi="Times New Roman"/>
                <w:color w:val="auto"/>
              </w:rPr>
              <w:t>1</w:t>
            </w:r>
          </w:p>
        </w:tc>
        <w:tc>
          <w:tcPr>
            <w:tcW w:w="2080" w:type="dxa"/>
            <w:vAlign w:val="center"/>
          </w:tcPr>
          <w:p>
            <w:pPr>
              <w:pStyle w:val="164"/>
              <w:rPr>
                <w:rFonts w:ascii="Times New Roman" w:hAnsi="Times New Roman"/>
                <w:color w:val="auto"/>
              </w:rPr>
            </w:pPr>
            <w:r>
              <w:rPr>
                <w:rFonts w:ascii="Times New Roman" w:hAnsi="Times New Roman"/>
                <w:color w:val="auto"/>
              </w:rPr>
              <w:t>蒸汽灭菌厂房</w:t>
            </w:r>
          </w:p>
        </w:tc>
        <w:tc>
          <w:tcPr>
            <w:tcW w:w="2311" w:type="dxa"/>
            <w:vAlign w:val="center"/>
          </w:tcPr>
          <w:p>
            <w:pPr>
              <w:pStyle w:val="164"/>
              <w:rPr>
                <w:rFonts w:ascii="Times New Roman" w:hAnsi="Times New Roman"/>
                <w:color w:val="auto"/>
              </w:rPr>
            </w:pPr>
            <w:r>
              <w:rPr>
                <w:rFonts w:ascii="Times New Roman" w:hAnsi="Times New Roman"/>
                <w:color w:val="auto"/>
              </w:rPr>
              <w:t>基础减震、车间隔声</w:t>
            </w:r>
          </w:p>
        </w:tc>
        <w:tc>
          <w:tcPr>
            <w:tcW w:w="1319" w:type="dxa"/>
            <w:vAlign w:val="center"/>
          </w:tcPr>
          <w:p>
            <w:pPr>
              <w:pStyle w:val="164"/>
              <w:rPr>
                <w:rFonts w:ascii="Times New Roman" w:hAnsi="Times New Roman"/>
                <w:color w:val="auto"/>
              </w:rPr>
            </w:pPr>
            <w:r>
              <w:rPr>
                <w:rFonts w:ascii="Times New Roman" w:hAnsi="Times New Roman"/>
                <w:color w:val="auto"/>
              </w:rPr>
              <w:t>55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501" w:type="dxa"/>
            <w:vAlign w:val="center"/>
          </w:tcPr>
          <w:p>
            <w:pPr>
              <w:pStyle w:val="164"/>
              <w:rPr>
                <w:rFonts w:ascii="Times New Roman" w:hAnsi="Times New Roman"/>
                <w:color w:val="auto"/>
              </w:rPr>
            </w:pPr>
            <w:r>
              <w:rPr>
                <w:rFonts w:ascii="Times New Roman" w:hAnsi="Times New Roman"/>
                <w:color w:val="auto"/>
              </w:rPr>
              <w:t>各类水泵</w:t>
            </w:r>
          </w:p>
        </w:tc>
        <w:tc>
          <w:tcPr>
            <w:tcW w:w="881" w:type="dxa"/>
            <w:vAlign w:val="center"/>
          </w:tcPr>
          <w:p>
            <w:pPr>
              <w:pStyle w:val="164"/>
              <w:rPr>
                <w:rFonts w:ascii="Times New Roman" w:hAnsi="Times New Roman"/>
                <w:color w:val="auto"/>
              </w:rPr>
            </w:pPr>
            <w:r>
              <w:rPr>
                <w:rFonts w:ascii="Times New Roman" w:hAnsi="Times New Roman"/>
                <w:color w:val="auto"/>
              </w:rPr>
              <w:t>80</w:t>
            </w:r>
          </w:p>
        </w:tc>
        <w:tc>
          <w:tcPr>
            <w:tcW w:w="790" w:type="dxa"/>
            <w:vAlign w:val="center"/>
          </w:tcPr>
          <w:p>
            <w:pPr>
              <w:pStyle w:val="164"/>
              <w:rPr>
                <w:rFonts w:ascii="Times New Roman" w:hAnsi="Times New Roman"/>
                <w:color w:val="auto"/>
              </w:rPr>
            </w:pPr>
            <w:r>
              <w:rPr>
                <w:rFonts w:ascii="Times New Roman" w:hAnsi="Times New Roman"/>
                <w:color w:val="auto"/>
              </w:rPr>
              <w:t>10</w:t>
            </w:r>
          </w:p>
        </w:tc>
        <w:tc>
          <w:tcPr>
            <w:tcW w:w="2080" w:type="dxa"/>
            <w:vAlign w:val="center"/>
          </w:tcPr>
          <w:p>
            <w:pPr>
              <w:pStyle w:val="164"/>
              <w:rPr>
                <w:rFonts w:ascii="Times New Roman" w:hAnsi="Times New Roman"/>
                <w:color w:val="auto"/>
              </w:rPr>
            </w:pPr>
            <w:r>
              <w:rPr>
                <w:rFonts w:ascii="Times New Roman" w:hAnsi="Times New Roman"/>
                <w:color w:val="auto"/>
              </w:rPr>
              <w:t>蒸汽灭菌厂房、污水处理间</w:t>
            </w:r>
          </w:p>
        </w:tc>
        <w:tc>
          <w:tcPr>
            <w:tcW w:w="2311" w:type="dxa"/>
            <w:vAlign w:val="center"/>
          </w:tcPr>
          <w:p>
            <w:pPr>
              <w:pStyle w:val="164"/>
              <w:rPr>
                <w:rFonts w:ascii="Times New Roman" w:hAnsi="Times New Roman"/>
                <w:color w:val="auto"/>
              </w:rPr>
            </w:pPr>
            <w:r>
              <w:rPr>
                <w:rFonts w:ascii="Times New Roman" w:hAnsi="Times New Roman"/>
                <w:color w:val="auto"/>
              </w:rPr>
              <w:t>基础减震、消音、车间隔声</w:t>
            </w:r>
          </w:p>
        </w:tc>
        <w:tc>
          <w:tcPr>
            <w:tcW w:w="1319" w:type="dxa"/>
            <w:vAlign w:val="center"/>
          </w:tcPr>
          <w:p>
            <w:pPr>
              <w:pStyle w:val="164"/>
              <w:rPr>
                <w:rFonts w:ascii="Times New Roman" w:hAnsi="Times New Roman"/>
                <w:color w:val="auto"/>
              </w:rPr>
            </w:pPr>
            <w:r>
              <w:rPr>
                <w:rFonts w:ascii="Times New Roman" w:hAnsi="Times New Roman"/>
                <w:color w:val="auto"/>
              </w:rPr>
              <w:t>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501" w:type="dxa"/>
            <w:vAlign w:val="center"/>
          </w:tcPr>
          <w:p>
            <w:pPr>
              <w:pStyle w:val="164"/>
              <w:rPr>
                <w:rFonts w:ascii="Times New Roman" w:hAnsi="Times New Roman"/>
                <w:color w:val="auto"/>
              </w:rPr>
            </w:pPr>
            <w:r>
              <w:rPr>
                <w:rFonts w:ascii="Times New Roman" w:hAnsi="Times New Roman"/>
                <w:color w:val="auto"/>
              </w:rPr>
              <w:t>破碎机</w:t>
            </w:r>
          </w:p>
        </w:tc>
        <w:tc>
          <w:tcPr>
            <w:tcW w:w="881" w:type="dxa"/>
            <w:vAlign w:val="center"/>
          </w:tcPr>
          <w:p>
            <w:pPr>
              <w:pStyle w:val="164"/>
              <w:rPr>
                <w:rFonts w:ascii="Times New Roman" w:hAnsi="Times New Roman"/>
                <w:color w:val="auto"/>
              </w:rPr>
            </w:pPr>
            <w:r>
              <w:rPr>
                <w:rFonts w:ascii="Times New Roman" w:hAnsi="Times New Roman"/>
                <w:color w:val="auto"/>
              </w:rPr>
              <w:t>80</w:t>
            </w:r>
          </w:p>
        </w:tc>
        <w:tc>
          <w:tcPr>
            <w:tcW w:w="790" w:type="dxa"/>
            <w:vAlign w:val="center"/>
          </w:tcPr>
          <w:p>
            <w:pPr>
              <w:pStyle w:val="164"/>
              <w:rPr>
                <w:rFonts w:ascii="Times New Roman" w:hAnsi="Times New Roman"/>
                <w:color w:val="auto"/>
              </w:rPr>
            </w:pPr>
            <w:r>
              <w:rPr>
                <w:rFonts w:ascii="Times New Roman" w:hAnsi="Times New Roman"/>
                <w:color w:val="auto"/>
              </w:rPr>
              <w:t>2</w:t>
            </w:r>
          </w:p>
        </w:tc>
        <w:tc>
          <w:tcPr>
            <w:tcW w:w="2080" w:type="dxa"/>
            <w:vAlign w:val="center"/>
          </w:tcPr>
          <w:p>
            <w:pPr>
              <w:pStyle w:val="164"/>
              <w:rPr>
                <w:rFonts w:ascii="Times New Roman" w:hAnsi="Times New Roman"/>
                <w:color w:val="auto"/>
              </w:rPr>
            </w:pPr>
            <w:r>
              <w:rPr>
                <w:rFonts w:ascii="Times New Roman" w:hAnsi="Times New Roman"/>
                <w:color w:val="auto"/>
              </w:rPr>
              <w:t>蒸汽灭菌厂房</w:t>
            </w:r>
          </w:p>
        </w:tc>
        <w:tc>
          <w:tcPr>
            <w:tcW w:w="2311" w:type="dxa"/>
            <w:vAlign w:val="center"/>
          </w:tcPr>
          <w:p>
            <w:pPr>
              <w:pStyle w:val="164"/>
              <w:rPr>
                <w:rFonts w:ascii="Times New Roman" w:hAnsi="Times New Roman"/>
                <w:color w:val="auto"/>
              </w:rPr>
            </w:pPr>
            <w:r>
              <w:rPr>
                <w:rFonts w:ascii="Times New Roman" w:hAnsi="Times New Roman"/>
                <w:color w:val="auto"/>
              </w:rPr>
              <w:t>基础减震、车间隔声</w:t>
            </w:r>
          </w:p>
        </w:tc>
        <w:tc>
          <w:tcPr>
            <w:tcW w:w="1319" w:type="dxa"/>
            <w:vAlign w:val="center"/>
          </w:tcPr>
          <w:p>
            <w:pPr>
              <w:pStyle w:val="164"/>
              <w:rPr>
                <w:rFonts w:ascii="Times New Roman" w:hAnsi="Times New Roman"/>
                <w:color w:val="auto"/>
              </w:rPr>
            </w:pPr>
            <w:r>
              <w:rPr>
                <w:rFonts w:ascii="Times New Roman" w:hAnsi="Times New Roman"/>
                <w:color w:val="auto"/>
              </w:rPr>
              <w:t>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501" w:type="dxa"/>
            <w:vAlign w:val="center"/>
          </w:tcPr>
          <w:p>
            <w:pPr>
              <w:pStyle w:val="164"/>
              <w:rPr>
                <w:rFonts w:ascii="Times New Roman" w:hAnsi="Times New Roman"/>
                <w:color w:val="auto"/>
              </w:rPr>
            </w:pPr>
            <w:r>
              <w:rPr>
                <w:rFonts w:ascii="Times New Roman" w:hAnsi="Times New Roman"/>
                <w:color w:val="auto"/>
              </w:rPr>
              <w:t>空压机</w:t>
            </w:r>
          </w:p>
        </w:tc>
        <w:tc>
          <w:tcPr>
            <w:tcW w:w="881" w:type="dxa"/>
            <w:vAlign w:val="center"/>
          </w:tcPr>
          <w:p>
            <w:pPr>
              <w:pStyle w:val="164"/>
              <w:rPr>
                <w:rFonts w:ascii="Times New Roman" w:hAnsi="Times New Roman"/>
                <w:color w:val="auto"/>
              </w:rPr>
            </w:pPr>
            <w:r>
              <w:rPr>
                <w:rFonts w:ascii="Times New Roman" w:hAnsi="Times New Roman"/>
                <w:color w:val="auto"/>
              </w:rPr>
              <w:t>85</w:t>
            </w:r>
          </w:p>
        </w:tc>
        <w:tc>
          <w:tcPr>
            <w:tcW w:w="790" w:type="dxa"/>
            <w:vAlign w:val="center"/>
          </w:tcPr>
          <w:p>
            <w:pPr>
              <w:pStyle w:val="164"/>
              <w:rPr>
                <w:rFonts w:ascii="Times New Roman" w:hAnsi="Times New Roman"/>
                <w:color w:val="auto"/>
              </w:rPr>
            </w:pPr>
            <w:r>
              <w:rPr>
                <w:rFonts w:ascii="Times New Roman" w:hAnsi="Times New Roman"/>
                <w:color w:val="auto"/>
              </w:rPr>
              <w:t>2</w:t>
            </w:r>
          </w:p>
        </w:tc>
        <w:tc>
          <w:tcPr>
            <w:tcW w:w="2080" w:type="dxa"/>
            <w:vAlign w:val="center"/>
          </w:tcPr>
          <w:p>
            <w:pPr>
              <w:pStyle w:val="164"/>
              <w:rPr>
                <w:rFonts w:ascii="Times New Roman" w:hAnsi="Times New Roman"/>
                <w:color w:val="auto"/>
              </w:rPr>
            </w:pPr>
            <w:r>
              <w:rPr>
                <w:rFonts w:ascii="Times New Roman" w:hAnsi="Times New Roman"/>
                <w:color w:val="auto"/>
              </w:rPr>
              <w:t>蒸汽灭菌厂房</w:t>
            </w:r>
          </w:p>
        </w:tc>
        <w:tc>
          <w:tcPr>
            <w:tcW w:w="2311" w:type="dxa"/>
            <w:vAlign w:val="center"/>
          </w:tcPr>
          <w:p>
            <w:pPr>
              <w:pStyle w:val="164"/>
              <w:rPr>
                <w:rFonts w:ascii="Times New Roman" w:hAnsi="Times New Roman"/>
                <w:color w:val="auto"/>
              </w:rPr>
            </w:pPr>
            <w:r>
              <w:rPr>
                <w:rFonts w:ascii="Times New Roman" w:hAnsi="Times New Roman"/>
                <w:color w:val="auto"/>
              </w:rPr>
              <w:t>基础减震、车间隔声</w:t>
            </w:r>
          </w:p>
        </w:tc>
        <w:tc>
          <w:tcPr>
            <w:tcW w:w="1319" w:type="dxa"/>
            <w:vAlign w:val="center"/>
          </w:tcPr>
          <w:p>
            <w:pPr>
              <w:pStyle w:val="164"/>
              <w:rPr>
                <w:rFonts w:ascii="Times New Roman" w:hAnsi="Times New Roman"/>
                <w:color w:val="auto"/>
              </w:rPr>
            </w:pPr>
            <w:r>
              <w:rPr>
                <w:rFonts w:ascii="Times New Roman" w:hAnsi="Times New Roman"/>
                <w:color w:val="auto"/>
              </w:rPr>
              <w:t>65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501" w:type="dxa"/>
            <w:vAlign w:val="center"/>
          </w:tcPr>
          <w:p>
            <w:pPr>
              <w:pStyle w:val="164"/>
              <w:rPr>
                <w:rFonts w:ascii="Times New Roman" w:hAnsi="Times New Roman"/>
                <w:color w:val="auto"/>
              </w:rPr>
            </w:pPr>
            <w:r>
              <w:rPr>
                <w:rFonts w:ascii="Times New Roman" w:hAnsi="Times New Roman"/>
                <w:color w:val="auto"/>
              </w:rPr>
              <w:t>各类风机</w:t>
            </w:r>
          </w:p>
        </w:tc>
        <w:tc>
          <w:tcPr>
            <w:tcW w:w="881" w:type="dxa"/>
            <w:vAlign w:val="center"/>
          </w:tcPr>
          <w:p>
            <w:pPr>
              <w:pStyle w:val="164"/>
              <w:rPr>
                <w:rFonts w:ascii="Times New Roman" w:hAnsi="Times New Roman"/>
                <w:color w:val="auto"/>
              </w:rPr>
            </w:pPr>
            <w:r>
              <w:rPr>
                <w:rFonts w:ascii="Times New Roman" w:hAnsi="Times New Roman"/>
                <w:color w:val="auto"/>
              </w:rPr>
              <w:t>85-90</w:t>
            </w:r>
          </w:p>
        </w:tc>
        <w:tc>
          <w:tcPr>
            <w:tcW w:w="790" w:type="dxa"/>
            <w:vAlign w:val="center"/>
          </w:tcPr>
          <w:p>
            <w:pPr>
              <w:pStyle w:val="164"/>
              <w:rPr>
                <w:rFonts w:ascii="Times New Roman" w:hAnsi="Times New Roman"/>
                <w:color w:val="auto"/>
              </w:rPr>
            </w:pPr>
            <w:r>
              <w:rPr>
                <w:rFonts w:ascii="Times New Roman" w:hAnsi="Times New Roman"/>
                <w:color w:val="auto"/>
              </w:rPr>
              <w:t>1</w:t>
            </w:r>
          </w:p>
        </w:tc>
        <w:tc>
          <w:tcPr>
            <w:tcW w:w="2080" w:type="dxa"/>
            <w:vAlign w:val="center"/>
          </w:tcPr>
          <w:p>
            <w:pPr>
              <w:pStyle w:val="164"/>
              <w:rPr>
                <w:rFonts w:ascii="Times New Roman" w:hAnsi="Times New Roman"/>
                <w:color w:val="auto"/>
              </w:rPr>
            </w:pPr>
            <w:r>
              <w:rPr>
                <w:rFonts w:ascii="Times New Roman" w:hAnsi="Times New Roman"/>
                <w:color w:val="auto"/>
              </w:rPr>
              <w:t>蒸汽灭菌厂房、污水处理间</w:t>
            </w:r>
          </w:p>
        </w:tc>
        <w:tc>
          <w:tcPr>
            <w:tcW w:w="2311" w:type="dxa"/>
            <w:vAlign w:val="center"/>
          </w:tcPr>
          <w:p>
            <w:pPr>
              <w:pStyle w:val="164"/>
              <w:rPr>
                <w:rFonts w:ascii="Times New Roman" w:hAnsi="Times New Roman"/>
                <w:color w:val="auto"/>
              </w:rPr>
            </w:pPr>
            <w:r>
              <w:rPr>
                <w:rFonts w:ascii="Times New Roman" w:hAnsi="Times New Roman"/>
                <w:color w:val="auto"/>
              </w:rPr>
              <w:t>基础减震、消音、车间隔声</w:t>
            </w:r>
          </w:p>
        </w:tc>
        <w:tc>
          <w:tcPr>
            <w:tcW w:w="1319" w:type="dxa"/>
            <w:vAlign w:val="center"/>
          </w:tcPr>
          <w:p>
            <w:pPr>
              <w:pStyle w:val="164"/>
              <w:rPr>
                <w:rFonts w:ascii="Times New Roman" w:hAnsi="Times New Roman"/>
                <w:color w:val="auto"/>
              </w:rPr>
            </w:pPr>
            <w:r>
              <w:rPr>
                <w:rFonts w:ascii="Times New Roman" w:hAnsi="Times New Roman"/>
                <w:color w:val="auto"/>
              </w:rPr>
              <w:t>70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501" w:type="dxa"/>
            <w:vAlign w:val="center"/>
          </w:tcPr>
          <w:p>
            <w:pPr>
              <w:pStyle w:val="164"/>
              <w:rPr>
                <w:rFonts w:ascii="Times New Roman" w:hAnsi="Times New Roman"/>
                <w:color w:val="auto"/>
              </w:rPr>
            </w:pPr>
            <w:r>
              <w:rPr>
                <w:rFonts w:ascii="Times New Roman" w:hAnsi="Times New Roman"/>
                <w:color w:val="auto"/>
              </w:rPr>
              <w:t>冷却塔</w:t>
            </w:r>
          </w:p>
        </w:tc>
        <w:tc>
          <w:tcPr>
            <w:tcW w:w="881" w:type="dxa"/>
            <w:vAlign w:val="center"/>
          </w:tcPr>
          <w:p>
            <w:pPr>
              <w:pStyle w:val="164"/>
              <w:rPr>
                <w:rFonts w:ascii="Times New Roman" w:hAnsi="Times New Roman"/>
                <w:color w:val="auto"/>
              </w:rPr>
            </w:pPr>
            <w:r>
              <w:rPr>
                <w:rFonts w:ascii="Times New Roman" w:hAnsi="Times New Roman"/>
                <w:color w:val="auto"/>
              </w:rPr>
              <w:t>75</w:t>
            </w:r>
          </w:p>
        </w:tc>
        <w:tc>
          <w:tcPr>
            <w:tcW w:w="790" w:type="dxa"/>
            <w:vAlign w:val="center"/>
          </w:tcPr>
          <w:p>
            <w:pPr>
              <w:pStyle w:val="164"/>
              <w:rPr>
                <w:rFonts w:ascii="Times New Roman" w:hAnsi="Times New Roman"/>
                <w:color w:val="auto"/>
              </w:rPr>
            </w:pPr>
            <w:r>
              <w:rPr>
                <w:rFonts w:ascii="Times New Roman" w:hAnsi="Times New Roman"/>
                <w:color w:val="auto"/>
              </w:rPr>
              <w:t>2</w:t>
            </w:r>
          </w:p>
        </w:tc>
        <w:tc>
          <w:tcPr>
            <w:tcW w:w="2080" w:type="dxa"/>
            <w:vAlign w:val="center"/>
          </w:tcPr>
          <w:p>
            <w:pPr>
              <w:pStyle w:val="164"/>
              <w:rPr>
                <w:rFonts w:ascii="Times New Roman" w:hAnsi="Times New Roman"/>
                <w:color w:val="auto"/>
              </w:rPr>
            </w:pPr>
            <w:r>
              <w:rPr>
                <w:rFonts w:ascii="Times New Roman" w:hAnsi="Times New Roman"/>
                <w:color w:val="auto"/>
              </w:rPr>
              <w:t>蒸汽灭菌厂房</w:t>
            </w:r>
          </w:p>
        </w:tc>
        <w:tc>
          <w:tcPr>
            <w:tcW w:w="2311" w:type="dxa"/>
            <w:vAlign w:val="center"/>
          </w:tcPr>
          <w:p>
            <w:pPr>
              <w:pStyle w:val="164"/>
              <w:rPr>
                <w:rFonts w:ascii="Times New Roman" w:hAnsi="Times New Roman"/>
                <w:color w:val="auto"/>
              </w:rPr>
            </w:pPr>
            <w:r>
              <w:rPr>
                <w:rFonts w:ascii="Times New Roman" w:hAnsi="Times New Roman"/>
                <w:color w:val="auto"/>
              </w:rPr>
              <w:t>合理布局</w:t>
            </w:r>
          </w:p>
        </w:tc>
        <w:tc>
          <w:tcPr>
            <w:tcW w:w="1319" w:type="dxa"/>
            <w:vAlign w:val="center"/>
          </w:tcPr>
          <w:p>
            <w:pPr>
              <w:pStyle w:val="164"/>
              <w:rPr>
                <w:rFonts w:ascii="Times New Roman" w:hAnsi="Times New Roman"/>
                <w:color w:val="auto"/>
              </w:rPr>
            </w:pPr>
            <w:r>
              <w:rPr>
                <w:rFonts w:ascii="Times New Roman" w:hAnsi="Times New Roman"/>
                <w:color w:val="auto"/>
              </w:rPr>
              <w:t>55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jc w:val="center"/>
        </w:trPr>
        <w:tc>
          <w:tcPr>
            <w:tcW w:w="1501" w:type="dxa"/>
            <w:vAlign w:val="center"/>
          </w:tcPr>
          <w:p>
            <w:pPr>
              <w:pStyle w:val="164"/>
              <w:rPr>
                <w:rFonts w:ascii="Times New Roman" w:hAnsi="Times New Roman"/>
                <w:color w:val="auto"/>
              </w:rPr>
            </w:pPr>
            <w:r>
              <w:rPr>
                <w:rFonts w:ascii="Times New Roman" w:hAnsi="Times New Roman"/>
                <w:color w:val="auto"/>
              </w:rPr>
              <w:t>运输车辆</w:t>
            </w:r>
          </w:p>
        </w:tc>
        <w:tc>
          <w:tcPr>
            <w:tcW w:w="881" w:type="dxa"/>
            <w:vAlign w:val="center"/>
          </w:tcPr>
          <w:p>
            <w:pPr>
              <w:pStyle w:val="164"/>
              <w:rPr>
                <w:rFonts w:ascii="Times New Roman" w:hAnsi="Times New Roman"/>
                <w:color w:val="auto"/>
              </w:rPr>
            </w:pPr>
            <w:r>
              <w:rPr>
                <w:rFonts w:ascii="Times New Roman" w:hAnsi="Times New Roman"/>
                <w:color w:val="auto"/>
              </w:rPr>
              <w:t>75</w:t>
            </w:r>
          </w:p>
        </w:tc>
        <w:tc>
          <w:tcPr>
            <w:tcW w:w="790" w:type="dxa"/>
            <w:vAlign w:val="center"/>
          </w:tcPr>
          <w:p>
            <w:pPr>
              <w:pStyle w:val="164"/>
              <w:rPr>
                <w:rFonts w:ascii="Times New Roman" w:hAnsi="Times New Roman"/>
                <w:color w:val="auto"/>
              </w:rPr>
            </w:pPr>
            <w:r>
              <w:rPr>
                <w:rFonts w:ascii="Times New Roman" w:hAnsi="Times New Roman"/>
                <w:color w:val="auto"/>
              </w:rPr>
              <w:t>13</w:t>
            </w:r>
          </w:p>
        </w:tc>
        <w:tc>
          <w:tcPr>
            <w:tcW w:w="4391" w:type="dxa"/>
            <w:gridSpan w:val="2"/>
            <w:vAlign w:val="center"/>
          </w:tcPr>
          <w:p>
            <w:pPr>
              <w:pStyle w:val="164"/>
              <w:rPr>
                <w:rFonts w:ascii="Times New Roman" w:hAnsi="Times New Roman"/>
                <w:color w:val="auto"/>
              </w:rPr>
            </w:pPr>
            <w:r>
              <w:rPr>
                <w:rFonts w:ascii="Times New Roman" w:hAnsi="Times New Roman"/>
                <w:color w:val="auto"/>
              </w:rPr>
              <w:t>减速、禁止鸣笛</w:t>
            </w:r>
          </w:p>
        </w:tc>
        <w:tc>
          <w:tcPr>
            <w:tcW w:w="1319" w:type="dxa"/>
            <w:vAlign w:val="center"/>
          </w:tcPr>
          <w:p>
            <w:pPr>
              <w:pStyle w:val="164"/>
              <w:rPr>
                <w:rFonts w:ascii="Times New Roman" w:hAnsi="Times New Roman"/>
                <w:color w:val="auto"/>
              </w:rPr>
            </w:pPr>
            <w:r>
              <w:rPr>
                <w:rFonts w:ascii="Times New Roman" w:hAnsi="Times New Roman"/>
                <w:color w:val="auto"/>
              </w:rPr>
              <w:t>55</w:t>
            </w:r>
          </w:p>
        </w:tc>
      </w:tr>
    </w:tbl>
    <w:p>
      <w:pPr>
        <w:pStyle w:val="2"/>
        <w:rPr>
          <w:color w:val="auto"/>
        </w:rPr>
      </w:pPr>
    </w:p>
    <w:p>
      <w:pPr>
        <w:pStyle w:val="5"/>
        <w:numPr>
          <w:ilvl w:val="2"/>
          <w:numId w:val="0"/>
        </w:numPr>
        <w:ind w:left="-720" w:leftChars="-343" w:firstLine="723" w:firstLineChars="300"/>
        <w:rPr>
          <w:snapToGrid w:val="0"/>
          <w:color w:val="auto"/>
        </w:rPr>
      </w:pPr>
      <w:bookmarkStart w:id="260" w:name="_Toc109398618"/>
      <w:bookmarkStart w:id="261" w:name="_Toc58849445"/>
      <w:r>
        <w:rPr>
          <w:snapToGrid w:val="0"/>
          <w:color w:val="auto"/>
        </w:rPr>
        <w:t>4.8.4固体废物</w:t>
      </w:r>
      <w:bookmarkEnd w:id="260"/>
      <w:bookmarkEnd w:id="261"/>
    </w:p>
    <w:p>
      <w:pPr>
        <w:pStyle w:val="6"/>
        <w:numPr>
          <w:ilvl w:val="3"/>
          <w:numId w:val="0"/>
        </w:numPr>
        <w:rPr>
          <w:color w:val="auto"/>
        </w:rPr>
      </w:pPr>
      <w:r>
        <w:rPr>
          <w:color w:val="auto"/>
        </w:rPr>
        <w:t>4</w:t>
      </w:r>
      <w:r>
        <w:rPr>
          <w:rFonts w:hint="eastAsia"/>
          <w:color w:val="auto"/>
        </w:rPr>
        <w:t>.8.4.1本项目固体废物</w:t>
      </w:r>
    </w:p>
    <w:p>
      <w:pPr>
        <w:pStyle w:val="130"/>
        <w:ind w:firstLine="456"/>
        <w:rPr>
          <w:color w:val="auto"/>
          <w:spacing w:val="-6"/>
        </w:rPr>
      </w:pPr>
      <w:r>
        <w:rPr>
          <w:color w:val="auto"/>
          <w:spacing w:val="-6"/>
        </w:rPr>
        <w:t>本项目运营期产生的主要固体废物包括生活垃圾、报废周转箱、灭菌处理后的医疗废物、废活性炭、废滤芯、污水处理站污泥和废树脂。</w:t>
      </w:r>
    </w:p>
    <w:p>
      <w:pPr>
        <w:pStyle w:val="130"/>
        <w:ind w:firstLine="480"/>
        <w:rPr>
          <w:color w:val="auto"/>
        </w:rPr>
      </w:pPr>
      <w:r>
        <w:rPr>
          <w:color w:val="auto"/>
        </w:rPr>
        <w:t>1、一般固废</w:t>
      </w:r>
    </w:p>
    <w:p>
      <w:pPr>
        <w:pStyle w:val="130"/>
        <w:ind w:firstLine="480"/>
        <w:rPr>
          <w:color w:val="auto"/>
        </w:rPr>
      </w:pPr>
      <w:r>
        <w:rPr>
          <w:color w:val="auto"/>
        </w:rPr>
        <w:t>①生活垃圾</w:t>
      </w:r>
    </w:p>
    <w:p>
      <w:pPr>
        <w:pStyle w:val="130"/>
        <w:ind w:firstLine="480"/>
        <w:rPr>
          <w:color w:val="auto"/>
        </w:rPr>
      </w:pPr>
      <w:r>
        <w:rPr>
          <w:color w:val="auto"/>
        </w:rPr>
        <w:t>本项目不新增劳动定员，生活垃圾产生量为0.02t/d（6.6t/a），由建设单位负责定期清运至中卫市第二生活垃圾填埋场填埋。</w:t>
      </w:r>
    </w:p>
    <w:p>
      <w:pPr>
        <w:pStyle w:val="130"/>
        <w:ind w:firstLine="480"/>
        <w:rPr>
          <w:color w:val="auto"/>
        </w:rPr>
      </w:pPr>
      <w:r>
        <w:rPr>
          <w:color w:val="auto"/>
        </w:rPr>
        <w:t>②报废周转箱</w:t>
      </w:r>
    </w:p>
    <w:p>
      <w:pPr>
        <w:pStyle w:val="130"/>
        <w:ind w:firstLine="480"/>
        <w:rPr>
          <w:color w:val="auto"/>
        </w:rPr>
      </w:pPr>
      <w:r>
        <w:rPr>
          <w:color w:val="auto"/>
        </w:rPr>
        <w:t>周转箱使用过程会存在一定的破损导致无法正常使用。本项目废周转箱产生量按20个/a计算（约0.01t/a）。报废周转箱属于一般固体废物，可在本处置系统进行灭菌处理后送中卫市第二生活垃圾填埋场填埋。</w:t>
      </w:r>
    </w:p>
    <w:p>
      <w:pPr>
        <w:pStyle w:val="130"/>
        <w:ind w:firstLine="480"/>
        <w:rPr>
          <w:color w:val="auto"/>
        </w:rPr>
      </w:pPr>
      <w:r>
        <w:rPr>
          <w:color w:val="auto"/>
        </w:rPr>
        <w:fldChar w:fldCharType="begin"/>
      </w:r>
      <w:r>
        <w:rPr>
          <w:color w:val="auto"/>
        </w:rPr>
        <w:instrText xml:space="preserve"> = 3 \* GB3 </w:instrText>
      </w:r>
      <w:r>
        <w:rPr>
          <w:color w:val="auto"/>
        </w:rPr>
        <w:fldChar w:fldCharType="separate"/>
      </w:r>
      <w:r>
        <w:rPr>
          <w:color w:val="auto"/>
        </w:rPr>
        <w:t>③</w:t>
      </w:r>
      <w:r>
        <w:rPr>
          <w:color w:val="auto"/>
        </w:rPr>
        <w:fldChar w:fldCharType="end"/>
      </w:r>
      <w:r>
        <w:rPr>
          <w:color w:val="auto"/>
        </w:rPr>
        <w:t>废树脂</w:t>
      </w:r>
    </w:p>
    <w:p>
      <w:pPr>
        <w:pStyle w:val="130"/>
        <w:ind w:firstLine="480"/>
        <w:rPr>
          <w:color w:val="auto"/>
        </w:rPr>
      </w:pPr>
      <w:r>
        <w:rPr>
          <w:color w:val="auto"/>
        </w:rPr>
        <w:t>软水制备过程会产生一定量的废树脂，产生量约为</w:t>
      </w:r>
      <w:r>
        <w:rPr>
          <w:rFonts w:eastAsia="Times New Roman"/>
          <w:color w:val="auto"/>
        </w:rPr>
        <w:t>0.05t/a</w:t>
      </w:r>
      <w:r>
        <w:rPr>
          <w:color w:val="auto"/>
        </w:rPr>
        <w:t>，属于一般固体废物，由建设单位负责定期清运至中卫市第二生活垃圾填埋场填埋。</w:t>
      </w:r>
    </w:p>
    <w:p>
      <w:pPr>
        <w:pStyle w:val="130"/>
        <w:ind w:firstLine="480"/>
        <w:rPr>
          <w:color w:val="auto"/>
        </w:rPr>
      </w:pPr>
      <w:r>
        <w:rPr>
          <w:color w:val="auto"/>
        </w:rPr>
        <w:t>2、危险废物</w:t>
      </w:r>
    </w:p>
    <w:p>
      <w:pPr>
        <w:pStyle w:val="130"/>
        <w:ind w:firstLine="480"/>
        <w:rPr>
          <w:color w:val="auto"/>
        </w:rPr>
      </w:pPr>
      <w:r>
        <w:rPr>
          <w:color w:val="auto"/>
        </w:rPr>
        <w:t>①灭菌处理后的医疗废物</w:t>
      </w:r>
    </w:p>
    <w:p>
      <w:pPr>
        <w:pStyle w:val="130"/>
        <w:ind w:firstLine="480"/>
        <w:rPr>
          <w:color w:val="auto"/>
        </w:rPr>
      </w:pPr>
      <w:r>
        <w:rPr>
          <w:color w:val="auto"/>
        </w:rPr>
        <w:t>本项目医疗废物经过高温蒸汽灭菌后由破碎机破碎成小于5cm的碎块，根据物料衡算，破碎后医疗废物产生量</w:t>
      </w:r>
      <w:r>
        <w:rPr>
          <w:rFonts w:hint="eastAsia"/>
          <w:color w:val="auto"/>
        </w:rPr>
        <w:t>为</w:t>
      </w:r>
      <w:r>
        <w:rPr>
          <w:color w:val="auto"/>
        </w:rPr>
        <w:t>1520.74t/a，根据《国家危险废物名录（2021）》附录：危险废物豁免管理清单，感染性废物和损伤性废物（HW01，841-001-01、841-002-01）按照《医疗废物高温蒸汽消毒集中处理工程技术规范》（HJ 276-2021）进行处理后，处置过程不按危险废物管理，可作为一般的生活垃圾送中卫市第二生活垃圾填埋场填埋。</w:t>
      </w:r>
    </w:p>
    <w:p>
      <w:pPr>
        <w:pStyle w:val="130"/>
        <w:ind w:firstLine="480"/>
        <w:rPr>
          <w:color w:val="auto"/>
        </w:rPr>
      </w:pPr>
      <w:r>
        <w:rPr>
          <w:color w:val="auto"/>
        </w:rPr>
        <w:t>③废活性炭</w:t>
      </w:r>
    </w:p>
    <w:p>
      <w:pPr>
        <w:pStyle w:val="130"/>
        <w:ind w:firstLine="480"/>
        <w:rPr>
          <w:color w:val="auto"/>
        </w:rPr>
      </w:pPr>
      <w:r>
        <w:rPr>
          <w:color w:val="auto"/>
        </w:rPr>
        <w:t>高温蒸汽灭菌工艺废气处理过程中需要使用活性炭，高温蒸汽灭菌工艺废气中非甲烷总烃处理量约0.0076t/a，根据广东工业大学工程研究及《简明通风设计手册》中的研究内容，每1t活性炭可以吸附0.3t污染物，则活性炭使用量为0.025t/a，每半年更换一次，每次更换量为0.025t，则废活性炭的产生量为0.05t/a。废活性炭属于危险废物（HW49，900-039-49），要求建设单位按照危险废物管理要求对其进行暂存、转移，收集后委托宁夏德坤环保科技实业集团有限公司处置。</w:t>
      </w:r>
    </w:p>
    <w:p>
      <w:pPr>
        <w:pStyle w:val="130"/>
        <w:ind w:firstLine="480"/>
        <w:rPr>
          <w:color w:val="auto"/>
        </w:rPr>
      </w:pPr>
      <w:r>
        <w:rPr>
          <w:color w:val="auto"/>
        </w:rPr>
        <w:t>④废滤芯</w:t>
      </w:r>
    </w:p>
    <w:p>
      <w:pPr>
        <w:pStyle w:val="130"/>
        <w:ind w:firstLine="480"/>
        <w:rPr>
          <w:color w:val="auto"/>
        </w:rPr>
      </w:pPr>
      <w:r>
        <w:rPr>
          <w:color w:val="auto"/>
        </w:rPr>
        <w:t>高温蒸汽灭菌设备自带生物过滤滤芯每月需要跟换一次，一次更换量约4kg，</w:t>
      </w:r>
      <w:r>
        <w:rPr>
          <w:rFonts w:hint="eastAsia"/>
          <w:color w:val="auto"/>
        </w:rPr>
        <w:t>年更换量为0.048t，</w:t>
      </w:r>
      <w:r>
        <w:rPr>
          <w:color w:val="auto"/>
        </w:rPr>
        <w:t>属于危险废物（HW49，900-041-49），要求建设单位按照危险废物管理要求对其进行暂存、转移，收集后委托宁夏德坤环保科技实业集团有限公司处置。</w:t>
      </w:r>
    </w:p>
    <w:p>
      <w:pPr>
        <w:pStyle w:val="130"/>
        <w:ind w:firstLine="480"/>
        <w:rPr>
          <w:color w:val="auto"/>
        </w:rPr>
      </w:pPr>
      <w:r>
        <w:rPr>
          <w:color w:val="auto"/>
        </w:rPr>
        <w:t>⑤污水处理站污泥</w:t>
      </w:r>
    </w:p>
    <w:p>
      <w:pPr>
        <w:pStyle w:val="130"/>
        <w:ind w:firstLine="472"/>
        <w:rPr>
          <w:color w:val="auto"/>
        </w:rPr>
      </w:pPr>
      <w:r>
        <w:rPr>
          <w:color w:val="auto"/>
          <w:spacing w:val="-2"/>
        </w:rPr>
        <w:t>根据统计，项目污水处理站污泥产生量约为</w:t>
      </w:r>
      <w:r>
        <w:rPr>
          <w:rFonts w:eastAsia="Times New Roman"/>
          <w:color w:val="auto"/>
        </w:rPr>
        <w:t>0.5t/a</w:t>
      </w:r>
      <w:r>
        <w:rPr>
          <w:color w:val="auto"/>
          <w:spacing w:val="-2"/>
        </w:rPr>
        <w:t>，采用次氯酸钠溶液</w:t>
      </w:r>
      <w:r>
        <w:rPr>
          <w:color w:val="auto"/>
          <w:spacing w:val="-4"/>
        </w:rPr>
        <w:t>进行消毒，需满足《医疗机构水污染物排放标准》（GB18466-2005）表4医疗机构污泥控制标准要求。</w:t>
      </w:r>
      <w:r>
        <w:rPr>
          <w:color w:val="auto"/>
        </w:rPr>
        <w:t>污水处理站污泥属于危险废物（HW49，772-006-49），要求建设单位按照危险废物管理要求对其进行暂存、转移，收集后委托宁夏德坤环保科技实业集团有限公司处置。</w:t>
      </w:r>
    </w:p>
    <w:p>
      <w:pPr>
        <w:pStyle w:val="6"/>
        <w:numPr>
          <w:ilvl w:val="3"/>
          <w:numId w:val="0"/>
        </w:numPr>
        <w:rPr>
          <w:color w:val="auto"/>
        </w:rPr>
      </w:pPr>
      <w:r>
        <w:rPr>
          <w:color w:val="auto"/>
        </w:rPr>
        <w:t>4</w:t>
      </w:r>
      <w:r>
        <w:rPr>
          <w:rFonts w:hint="eastAsia"/>
          <w:color w:val="auto"/>
        </w:rPr>
        <w:t>.8.4.2本项目建成后全厂固体废物</w:t>
      </w:r>
    </w:p>
    <w:p>
      <w:pPr>
        <w:pStyle w:val="130"/>
        <w:ind w:firstLine="480"/>
        <w:rPr>
          <w:color w:val="auto"/>
        </w:rPr>
      </w:pPr>
      <w:r>
        <w:rPr>
          <w:color w:val="auto"/>
        </w:rPr>
        <w:t>1、一般固废</w:t>
      </w:r>
    </w:p>
    <w:p>
      <w:pPr>
        <w:pStyle w:val="130"/>
        <w:ind w:firstLine="480"/>
        <w:rPr>
          <w:color w:val="auto"/>
        </w:rPr>
      </w:pPr>
      <w:r>
        <w:rPr>
          <w:color w:val="auto"/>
        </w:rPr>
        <w:t>①生活垃圾</w:t>
      </w:r>
    </w:p>
    <w:p>
      <w:pPr>
        <w:pStyle w:val="130"/>
        <w:ind w:firstLine="480"/>
        <w:rPr>
          <w:color w:val="auto"/>
        </w:rPr>
      </w:pPr>
      <w:r>
        <w:rPr>
          <w:color w:val="auto"/>
        </w:rPr>
        <w:t>本项目不新增劳动定员，生活垃圾产生量</w:t>
      </w:r>
      <w:r>
        <w:rPr>
          <w:rFonts w:hint="eastAsia"/>
          <w:color w:val="auto"/>
        </w:rPr>
        <w:t>不变。</w:t>
      </w:r>
    </w:p>
    <w:p>
      <w:pPr>
        <w:pStyle w:val="130"/>
        <w:ind w:firstLine="480"/>
        <w:rPr>
          <w:color w:val="auto"/>
        </w:rPr>
      </w:pPr>
      <w:r>
        <w:rPr>
          <w:color w:val="auto"/>
        </w:rPr>
        <w:t>②报废周转箱</w:t>
      </w:r>
    </w:p>
    <w:p>
      <w:pPr>
        <w:pStyle w:val="130"/>
        <w:ind w:firstLine="480"/>
        <w:rPr>
          <w:color w:val="auto"/>
        </w:rPr>
      </w:pPr>
      <w:r>
        <w:rPr>
          <w:color w:val="auto"/>
        </w:rPr>
        <w:t>本项目</w:t>
      </w:r>
      <w:r>
        <w:rPr>
          <w:rFonts w:hint="eastAsia"/>
          <w:color w:val="auto"/>
        </w:rPr>
        <w:t>建成后全厂报</w:t>
      </w:r>
      <w:r>
        <w:rPr>
          <w:color w:val="auto"/>
        </w:rPr>
        <w:t>废周转箱产生量按</w:t>
      </w:r>
      <w:r>
        <w:rPr>
          <w:rFonts w:hint="eastAsia"/>
          <w:color w:val="auto"/>
        </w:rPr>
        <w:t>25</w:t>
      </w:r>
      <w:r>
        <w:rPr>
          <w:color w:val="auto"/>
        </w:rPr>
        <w:t>个/a计算（约0.01</w:t>
      </w:r>
      <w:r>
        <w:rPr>
          <w:rFonts w:hint="eastAsia"/>
          <w:color w:val="auto"/>
        </w:rPr>
        <w:t>5</w:t>
      </w:r>
      <w:r>
        <w:rPr>
          <w:color w:val="auto"/>
        </w:rPr>
        <w:t>t/a）。报废周转箱属于一般固体废物，可在本处置系统进行灭菌处理后送中卫市第二生活垃圾填埋场填埋。</w:t>
      </w:r>
    </w:p>
    <w:p>
      <w:pPr>
        <w:pStyle w:val="130"/>
        <w:ind w:firstLine="480"/>
        <w:rPr>
          <w:color w:val="auto"/>
        </w:rPr>
      </w:pPr>
      <w:r>
        <w:rPr>
          <w:color w:val="auto"/>
        </w:rPr>
        <w:fldChar w:fldCharType="begin"/>
      </w:r>
      <w:r>
        <w:rPr>
          <w:color w:val="auto"/>
        </w:rPr>
        <w:instrText xml:space="preserve"> = 3 \* GB3 </w:instrText>
      </w:r>
      <w:r>
        <w:rPr>
          <w:color w:val="auto"/>
        </w:rPr>
        <w:fldChar w:fldCharType="separate"/>
      </w:r>
      <w:r>
        <w:rPr>
          <w:color w:val="auto"/>
        </w:rPr>
        <w:t>③</w:t>
      </w:r>
      <w:r>
        <w:rPr>
          <w:color w:val="auto"/>
        </w:rPr>
        <w:fldChar w:fldCharType="end"/>
      </w:r>
      <w:r>
        <w:rPr>
          <w:color w:val="auto"/>
        </w:rPr>
        <w:t>废树脂</w:t>
      </w:r>
    </w:p>
    <w:p>
      <w:pPr>
        <w:pStyle w:val="130"/>
        <w:ind w:firstLine="480"/>
        <w:rPr>
          <w:color w:val="auto"/>
        </w:rPr>
      </w:pPr>
      <w:r>
        <w:rPr>
          <w:color w:val="auto"/>
        </w:rPr>
        <w:t>本项目</w:t>
      </w:r>
      <w:r>
        <w:rPr>
          <w:rFonts w:hint="eastAsia"/>
          <w:color w:val="auto"/>
        </w:rPr>
        <w:t>建成后全厂</w:t>
      </w:r>
      <w:r>
        <w:rPr>
          <w:color w:val="auto"/>
        </w:rPr>
        <w:t>软水制备过程</w:t>
      </w:r>
      <w:r>
        <w:rPr>
          <w:rFonts w:hint="eastAsia"/>
          <w:color w:val="auto"/>
        </w:rPr>
        <w:t>中</w:t>
      </w:r>
      <w:r>
        <w:rPr>
          <w:color w:val="auto"/>
        </w:rPr>
        <w:t>废树脂产生量约为0.0</w:t>
      </w:r>
      <w:r>
        <w:rPr>
          <w:rFonts w:hint="eastAsia"/>
          <w:color w:val="auto"/>
        </w:rPr>
        <w:t>8</w:t>
      </w:r>
      <w:r>
        <w:rPr>
          <w:color w:val="auto"/>
        </w:rPr>
        <w:t>t/a，属于一般固体废物，由建设单位负责定期清运至中卫市第二生活垃圾填埋场填埋。</w:t>
      </w:r>
    </w:p>
    <w:p>
      <w:pPr>
        <w:pStyle w:val="130"/>
        <w:ind w:firstLine="480"/>
        <w:rPr>
          <w:color w:val="auto"/>
        </w:rPr>
      </w:pPr>
      <w:r>
        <w:rPr>
          <w:color w:val="auto"/>
        </w:rPr>
        <w:t>2、危险废物</w:t>
      </w:r>
    </w:p>
    <w:p>
      <w:pPr>
        <w:pStyle w:val="130"/>
        <w:ind w:firstLine="480"/>
        <w:rPr>
          <w:color w:val="auto"/>
        </w:rPr>
      </w:pPr>
      <w:r>
        <w:rPr>
          <w:color w:val="auto"/>
        </w:rPr>
        <w:t>①灭菌处理后的医疗废物</w:t>
      </w:r>
    </w:p>
    <w:p>
      <w:pPr>
        <w:pStyle w:val="130"/>
        <w:ind w:firstLine="480"/>
        <w:rPr>
          <w:color w:val="auto"/>
        </w:rPr>
      </w:pPr>
      <w:r>
        <w:rPr>
          <w:rFonts w:hint="eastAsia"/>
          <w:color w:val="auto"/>
        </w:rPr>
        <w:t>本项目</w:t>
      </w:r>
      <w:r>
        <w:rPr>
          <w:color w:val="auto"/>
        </w:rPr>
        <w:t>破碎后医疗废物产生量</w:t>
      </w:r>
      <w:r>
        <w:rPr>
          <w:rFonts w:hint="eastAsia"/>
          <w:color w:val="auto"/>
        </w:rPr>
        <w:t>为</w:t>
      </w:r>
      <w:r>
        <w:rPr>
          <w:color w:val="auto"/>
        </w:rPr>
        <w:t>1520.74t/a，</w:t>
      </w:r>
      <w:r>
        <w:rPr>
          <w:rFonts w:hint="eastAsia"/>
          <w:color w:val="auto"/>
        </w:rPr>
        <w:t>现有工程</w:t>
      </w:r>
      <w:r>
        <w:rPr>
          <w:color w:val="auto"/>
        </w:rPr>
        <w:t>破碎后医疗废物产生量</w:t>
      </w:r>
      <w:r>
        <w:rPr>
          <w:rFonts w:hint="eastAsia"/>
          <w:color w:val="auto"/>
        </w:rPr>
        <w:t>为</w:t>
      </w:r>
      <w:r>
        <w:rPr>
          <w:color w:val="auto"/>
        </w:rPr>
        <w:t>912.4t/a，本项目</w:t>
      </w:r>
      <w:r>
        <w:rPr>
          <w:rFonts w:hint="eastAsia"/>
          <w:color w:val="auto"/>
        </w:rPr>
        <w:t>建成后全厂</w:t>
      </w:r>
      <w:r>
        <w:rPr>
          <w:color w:val="auto"/>
        </w:rPr>
        <w:t>破碎后医疗废物产生量</w:t>
      </w:r>
      <w:r>
        <w:rPr>
          <w:rFonts w:hint="eastAsia"/>
          <w:color w:val="auto"/>
        </w:rPr>
        <w:t>为24</w:t>
      </w:r>
      <w:r>
        <w:rPr>
          <w:color w:val="auto"/>
        </w:rPr>
        <w:t>33.14t/a，根据《国家危险废物名录（2021）》附录：危险废物豁免管理清单，感染性废物和损伤性废物（HW01，841-001-01、841-002-01）按照《医疗废物高温蒸汽消毒集中处理工程技术规范》（HJ 276-2021）进行处理后，处置过程不按危险废物管理，可作为一般的生活垃圾送中卫市第二生活垃圾填埋场填埋。</w:t>
      </w:r>
    </w:p>
    <w:p>
      <w:pPr>
        <w:pStyle w:val="130"/>
        <w:ind w:firstLine="480"/>
        <w:rPr>
          <w:color w:val="auto"/>
        </w:rPr>
      </w:pPr>
      <w:r>
        <w:rPr>
          <w:color w:val="auto"/>
        </w:rPr>
        <w:t>③废活性炭</w:t>
      </w:r>
    </w:p>
    <w:p>
      <w:pPr>
        <w:pStyle w:val="130"/>
        <w:ind w:firstLine="480"/>
        <w:rPr>
          <w:color w:val="auto"/>
        </w:rPr>
      </w:pPr>
      <w:r>
        <w:rPr>
          <w:color w:val="auto"/>
        </w:rPr>
        <w:t>本项目</w:t>
      </w:r>
      <w:r>
        <w:rPr>
          <w:rFonts w:hint="eastAsia"/>
          <w:color w:val="auto"/>
        </w:rPr>
        <w:t>建成后全厂</w:t>
      </w:r>
      <w:r>
        <w:rPr>
          <w:color w:val="auto"/>
        </w:rPr>
        <w:t>高温蒸汽灭菌工艺废气处理过程中非甲烷总烃处理量约0.0</w:t>
      </w:r>
      <w:r>
        <w:rPr>
          <w:rFonts w:hint="eastAsia"/>
          <w:color w:val="auto"/>
        </w:rPr>
        <w:t>155</w:t>
      </w:r>
      <w:r>
        <w:rPr>
          <w:color w:val="auto"/>
        </w:rPr>
        <w:t>t/a，根据广东工业大学工程研究及《简明通风设计手册》中的研究内容，每1t活性炭可以吸附0.3t污染物，则活性炭使用量为0.0</w:t>
      </w:r>
      <w:r>
        <w:rPr>
          <w:rFonts w:hint="eastAsia"/>
          <w:color w:val="auto"/>
        </w:rPr>
        <w:t>47</w:t>
      </w:r>
      <w:r>
        <w:rPr>
          <w:color w:val="auto"/>
        </w:rPr>
        <w:t>t/a，每半年更换一次，每次更换量为0.025t，则废活性炭的产生量为0.05t/a。废活性炭属于危险废物（HW49，900-039-49），要求建设单位按照危险废物管理要求对其进行暂存、转移，收集后委托宁夏德坤环保科技实业集团有限公司处置。</w:t>
      </w:r>
    </w:p>
    <w:p>
      <w:pPr>
        <w:pStyle w:val="130"/>
        <w:ind w:firstLine="480"/>
        <w:rPr>
          <w:color w:val="auto"/>
        </w:rPr>
      </w:pPr>
      <w:r>
        <w:rPr>
          <w:color w:val="auto"/>
        </w:rPr>
        <w:t>④废滤芯</w:t>
      </w:r>
    </w:p>
    <w:p>
      <w:pPr>
        <w:pStyle w:val="130"/>
        <w:ind w:firstLine="480"/>
        <w:rPr>
          <w:color w:val="auto"/>
        </w:rPr>
      </w:pPr>
      <w:r>
        <w:rPr>
          <w:rFonts w:hint="eastAsia"/>
          <w:color w:val="auto"/>
        </w:rPr>
        <w:t>本项目</w:t>
      </w:r>
      <w:r>
        <w:rPr>
          <w:color w:val="auto"/>
        </w:rPr>
        <w:t>高温蒸汽灭菌设备自带生物过滤滤芯</w:t>
      </w:r>
      <w:r>
        <w:rPr>
          <w:rFonts w:hint="eastAsia"/>
          <w:color w:val="auto"/>
        </w:rPr>
        <w:t>年更换量为0.048t，现有工程年更换量为0.04t，</w:t>
      </w:r>
      <w:r>
        <w:rPr>
          <w:color w:val="auto"/>
        </w:rPr>
        <w:t>本项目</w:t>
      </w:r>
      <w:r>
        <w:rPr>
          <w:rFonts w:hint="eastAsia"/>
          <w:color w:val="auto"/>
        </w:rPr>
        <w:t>建成后全厂</w:t>
      </w:r>
      <w:r>
        <w:rPr>
          <w:color w:val="auto"/>
        </w:rPr>
        <w:t>高温蒸汽灭菌设备自带生物过滤滤芯</w:t>
      </w:r>
      <w:r>
        <w:rPr>
          <w:rFonts w:hint="eastAsia"/>
          <w:color w:val="auto"/>
        </w:rPr>
        <w:t>年更换量为0.088t，</w:t>
      </w:r>
      <w:r>
        <w:rPr>
          <w:color w:val="auto"/>
        </w:rPr>
        <w:t>属于危险废物（HW49，900-041-49），要求建设单位按照危险废物管理要求对其进行暂存、转移，收集后委托宁夏德坤环保科技实业集团有限公司处置。</w:t>
      </w:r>
    </w:p>
    <w:p>
      <w:pPr>
        <w:pStyle w:val="130"/>
        <w:ind w:firstLine="480"/>
        <w:rPr>
          <w:color w:val="auto"/>
        </w:rPr>
      </w:pPr>
      <w:r>
        <w:rPr>
          <w:color w:val="auto"/>
        </w:rPr>
        <w:t>⑤污水处理站污泥</w:t>
      </w:r>
    </w:p>
    <w:p>
      <w:pPr>
        <w:pStyle w:val="130"/>
        <w:ind w:firstLine="472"/>
        <w:rPr>
          <w:color w:val="auto"/>
        </w:rPr>
      </w:pPr>
      <w:r>
        <w:rPr>
          <w:color w:val="auto"/>
          <w:spacing w:val="-2"/>
        </w:rPr>
        <w:t>根据统计，本项目污水处理站污泥产生量约为</w:t>
      </w:r>
      <w:r>
        <w:rPr>
          <w:rFonts w:eastAsia="Times New Roman"/>
          <w:color w:val="auto"/>
        </w:rPr>
        <w:t>0.5t/a</w:t>
      </w:r>
      <w:r>
        <w:rPr>
          <w:color w:val="auto"/>
          <w:spacing w:val="-2"/>
        </w:rPr>
        <w:t>，</w:t>
      </w:r>
      <w:r>
        <w:rPr>
          <w:rFonts w:hint="eastAsia"/>
          <w:color w:val="auto"/>
          <w:spacing w:val="-2"/>
        </w:rPr>
        <w:t>类比本项目污泥产生量，确定建成后全厂</w:t>
      </w:r>
      <w:r>
        <w:rPr>
          <w:color w:val="auto"/>
          <w:spacing w:val="-2"/>
        </w:rPr>
        <w:t>污水处理站污泥产生量约为</w:t>
      </w:r>
      <w:r>
        <w:rPr>
          <w:rFonts w:eastAsia="Times New Roman"/>
          <w:color w:val="auto"/>
        </w:rPr>
        <w:t>0.</w:t>
      </w:r>
      <w:r>
        <w:rPr>
          <w:rFonts w:hint="eastAsia"/>
          <w:color w:val="auto"/>
        </w:rPr>
        <w:t>8</w:t>
      </w:r>
      <w:r>
        <w:rPr>
          <w:rFonts w:eastAsia="Times New Roman"/>
          <w:color w:val="auto"/>
        </w:rPr>
        <w:t>t/a</w:t>
      </w:r>
      <w:r>
        <w:rPr>
          <w:color w:val="auto"/>
          <w:spacing w:val="-2"/>
        </w:rPr>
        <w:t>，采用次氯酸钠溶液</w:t>
      </w:r>
      <w:r>
        <w:rPr>
          <w:color w:val="auto"/>
          <w:spacing w:val="-4"/>
        </w:rPr>
        <w:t>进行消毒，需满足《医疗机构水污染物排放标准》（GB18466-2005）表4医疗机构污泥控制标准要求。</w:t>
      </w:r>
      <w:r>
        <w:rPr>
          <w:color w:val="auto"/>
        </w:rPr>
        <w:t>污水处理站污泥属于危险废物（HW49，772-006-49），要求建设单位按照危险废物管理要求对其进行暂存、转移，收集后委托宁夏德坤环保科技实业集团有限公司处置。</w:t>
      </w:r>
    </w:p>
    <w:p>
      <w:pPr>
        <w:spacing w:line="360" w:lineRule="auto"/>
        <w:rPr>
          <w:bCs/>
          <w:color w:val="auto"/>
          <w:kern w:val="0"/>
          <w:sz w:val="24"/>
          <w:szCs w:val="24"/>
        </w:rPr>
      </w:pPr>
      <w:r>
        <w:rPr>
          <w:rFonts w:hint="eastAsia"/>
          <w:color w:val="auto"/>
        </w:rPr>
        <w:t xml:space="preserve"> </w:t>
      </w:r>
      <w:r>
        <w:rPr>
          <w:color w:val="auto"/>
        </w:rPr>
        <w:t xml:space="preserve">   </w:t>
      </w:r>
      <w:r>
        <w:rPr>
          <w:rFonts w:hint="eastAsia"/>
          <w:bCs/>
          <w:color w:val="auto"/>
          <w:kern w:val="0"/>
          <w:sz w:val="24"/>
          <w:szCs w:val="24"/>
        </w:rPr>
        <w:t>本项目固废产生情况及处置措施一览表见表4</w:t>
      </w:r>
      <w:r>
        <w:rPr>
          <w:bCs/>
          <w:color w:val="auto"/>
          <w:kern w:val="0"/>
          <w:sz w:val="24"/>
          <w:szCs w:val="24"/>
        </w:rPr>
        <w:t>.8</w:t>
      </w:r>
      <w:r>
        <w:rPr>
          <w:rFonts w:hint="eastAsia"/>
          <w:bCs/>
          <w:color w:val="auto"/>
          <w:kern w:val="0"/>
          <w:sz w:val="24"/>
          <w:szCs w:val="24"/>
        </w:rPr>
        <w:t>-</w:t>
      </w:r>
      <w:r>
        <w:rPr>
          <w:bCs/>
          <w:color w:val="auto"/>
          <w:kern w:val="0"/>
          <w:sz w:val="24"/>
          <w:szCs w:val="24"/>
        </w:rPr>
        <w:t>17</w:t>
      </w:r>
      <w:r>
        <w:rPr>
          <w:rFonts w:hint="eastAsia"/>
          <w:bCs/>
          <w:color w:val="auto"/>
          <w:kern w:val="0"/>
          <w:sz w:val="24"/>
          <w:szCs w:val="24"/>
        </w:rPr>
        <w:t>，本项目建成后全厂固废产生情况及处置措施一览表见表4</w:t>
      </w:r>
      <w:r>
        <w:rPr>
          <w:bCs/>
          <w:color w:val="auto"/>
          <w:kern w:val="0"/>
          <w:sz w:val="24"/>
          <w:szCs w:val="24"/>
        </w:rPr>
        <w:t>.8</w:t>
      </w:r>
      <w:r>
        <w:rPr>
          <w:rFonts w:hint="eastAsia"/>
          <w:bCs/>
          <w:color w:val="auto"/>
          <w:kern w:val="0"/>
          <w:sz w:val="24"/>
          <w:szCs w:val="24"/>
        </w:rPr>
        <w:t>-</w:t>
      </w:r>
      <w:r>
        <w:rPr>
          <w:bCs/>
          <w:color w:val="auto"/>
          <w:kern w:val="0"/>
          <w:sz w:val="24"/>
          <w:szCs w:val="24"/>
        </w:rPr>
        <w:t>18</w:t>
      </w:r>
      <w:r>
        <w:rPr>
          <w:rFonts w:hint="eastAsia"/>
          <w:bCs/>
          <w:color w:val="auto"/>
          <w:kern w:val="0"/>
          <w:sz w:val="24"/>
          <w:szCs w:val="24"/>
        </w:rPr>
        <w:t>。</w:t>
      </w:r>
    </w:p>
    <w:p>
      <w:pPr>
        <w:pStyle w:val="114"/>
        <w:spacing w:before="120"/>
        <w:rPr>
          <w:color w:val="auto"/>
        </w:rPr>
        <w:sectPr>
          <w:pgSz w:w="11906" w:h="16838"/>
          <w:pgMar w:top="1701" w:right="1701" w:bottom="1701" w:left="1701" w:header="851" w:footer="851" w:gutter="0"/>
          <w:cols w:space="720" w:num="1"/>
          <w:docGrid w:linePitch="466" w:charSpace="0"/>
        </w:sectPr>
      </w:pPr>
    </w:p>
    <w:p>
      <w:pPr>
        <w:pStyle w:val="114"/>
        <w:spacing w:before="120"/>
        <w:rPr>
          <w:color w:val="auto"/>
        </w:rPr>
      </w:pPr>
      <w:r>
        <w:rPr>
          <w:color w:val="auto"/>
        </w:rPr>
        <w:t>表</w:t>
      </w:r>
      <w:r>
        <w:rPr>
          <w:rFonts w:eastAsia="Times New Roman"/>
          <w:color w:val="auto"/>
        </w:rPr>
        <w:t xml:space="preserve">4.8-17  </w:t>
      </w:r>
      <w:r>
        <w:rPr>
          <w:color w:val="auto"/>
        </w:rPr>
        <w:t xml:space="preserve"> 本项目固废产生情况及处置措施一览表</w:t>
      </w:r>
    </w:p>
    <w:tbl>
      <w:tblPr>
        <w:tblStyle w:val="512"/>
        <w:tblW w:w="13633"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435"/>
        <w:gridCol w:w="1876"/>
        <w:gridCol w:w="723"/>
        <w:gridCol w:w="1437"/>
        <w:gridCol w:w="1295"/>
        <w:gridCol w:w="1440"/>
        <w:gridCol w:w="1295"/>
        <w:gridCol w:w="313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01" w:hRule="atLeast"/>
        </w:trPr>
        <w:tc>
          <w:tcPr>
            <w:tcW w:w="2435" w:type="dxa"/>
            <w:vAlign w:val="center"/>
          </w:tcPr>
          <w:p>
            <w:pPr>
              <w:pStyle w:val="164"/>
              <w:rPr>
                <w:rFonts w:ascii="Times New Roman" w:hAnsi="Times New Roman"/>
                <w:b/>
                <w:bCs/>
                <w:color w:val="auto"/>
              </w:rPr>
            </w:pPr>
            <w:r>
              <w:rPr>
                <w:rFonts w:ascii="Times New Roman" w:hAnsi="Times New Roman"/>
                <w:b/>
                <w:bCs/>
                <w:color w:val="auto"/>
              </w:rPr>
              <w:t>名称</w:t>
            </w:r>
          </w:p>
        </w:tc>
        <w:tc>
          <w:tcPr>
            <w:tcW w:w="1876" w:type="dxa"/>
            <w:vAlign w:val="center"/>
          </w:tcPr>
          <w:p>
            <w:pPr>
              <w:pStyle w:val="164"/>
              <w:rPr>
                <w:rFonts w:ascii="Times New Roman" w:hAnsi="Times New Roman"/>
                <w:b/>
                <w:bCs/>
                <w:color w:val="auto"/>
              </w:rPr>
            </w:pPr>
            <w:r>
              <w:rPr>
                <w:rFonts w:ascii="Times New Roman" w:hAnsi="Times New Roman"/>
                <w:b/>
                <w:bCs/>
                <w:color w:val="auto"/>
              </w:rPr>
              <w:t>产生工段</w:t>
            </w:r>
          </w:p>
        </w:tc>
        <w:tc>
          <w:tcPr>
            <w:tcW w:w="723" w:type="dxa"/>
            <w:vAlign w:val="center"/>
          </w:tcPr>
          <w:p>
            <w:pPr>
              <w:pStyle w:val="164"/>
              <w:rPr>
                <w:rFonts w:ascii="Times New Roman" w:hAnsi="Times New Roman"/>
                <w:b/>
                <w:bCs/>
                <w:color w:val="auto"/>
              </w:rPr>
            </w:pPr>
            <w:r>
              <w:rPr>
                <w:rFonts w:ascii="Times New Roman" w:hAnsi="Times New Roman"/>
                <w:b/>
                <w:bCs/>
                <w:color w:val="auto"/>
              </w:rPr>
              <w:t>形态</w:t>
            </w:r>
          </w:p>
        </w:tc>
        <w:tc>
          <w:tcPr>
            <w:tcW w:w="1437" w:type="dxa"/>
            <w:vAlign w:val="center"/>
          </w:tcPr>
          <w:p>
            <w:pPr>
              <w:pStyle w:val="164"/>
              <w:rPr>
                <w:rFonts w:ascii="Times New Roman" w:hAnsi="Times New Roman"/>
                <w:b/>
                <w:bCs/>
                <w:color w:val="auto"/>
              </w:rPr>
            </w:pPr>
            <w:r>
              <w:rPr>
                <w:rFonts w:ascii="Times New Roman" w:hAnsi="Times New Roman"/>
                <w:b/>
                <w:bCs/>
                <w:color w:val="auto"/>
              </w:rPr>
              <w:t>固废类型</w:t>
            </w:r>
          </w:p>
        </w:tc>
        <w:tc>
          <w:tcPr>
            <w:tcW w:w="1295" w:type="dxa"/>
            <w:vAlign w:val="center"/>
          </w:tcPr>
          <w:p>
            <w:pPr>
              <w:pStyle w:val="164"/>
              <w:rPr>
                <w:rFonts w:ascii="Times New Roman" w:hAnsi="Times New Roman"/>
                <w:b/>
                <w:bCs/>
                <w:color w:val="auto"/>
              </w:rPr>
            </w:pPr>
            <w:r>
              <w:rPr>
                <w:rFonts w:ascii="Times New Roman" w:hAnsi="Times New Roman"/>
                <w:b/>
                <w:bCs/>
                <w:color w:val="auto"/>
              </w:rPr>
              <w:t>危废类别</w:t>
            </w:r>
          </w:p>
        </w:tc>
        <w:tc>
          <w:tcPr>
            <w:tcW w:w="1440" w:type="dxa"/>
            <w:vAlign w:val="center"/>
          </w:tcPr>
          <w:p>
            <w:pPr>
              <w:pStyle w:val="164"/>
              <w:rPr>
                <w:rFonts w:ascii="Times New Roman" w:hAnsi="Times New Roman"/>
                <w:b/>
                <w:bCs/>
                <w:color w:val="auto"/>
              </w:rPr>
            </w:pPr>
            <w:r>
              <w:rPr>
                <w:rFonts w:ascii="Times New Roman" w:hAnsi="Times New Roman"/>
                <w:b/>
                <w:bCs/>
                <w:color w:val="auto"/>
              </w:rPr>
              <w:t>危废代码</w:t>
            </w:r>
          </w:p>
        </w:tc>
        <w:tc>
          <w:tcPr>
            <w:tcW w:w="1295" w:type="dxa"/>
            <w:vAlign w:val="center"/>
          </w:tcPr>
          <w:p>
            <w:pPr>
              <w:pStyle w:val="164"/>
              <w:rPr>
                <w:rFonts w:ascii="Times New Roman" w:hAnsi="Times New Roman"/>
                <w:b/>
                <w:bCs/>
                <w:color w:val="auto"/>
              </w:rPr>
            </w:pPr>
            <w:r>
              <w:rPr>
                <w:rFonts w:ascii="Times New Roman" w:hAnsi="Times New Roman"/>
                <w:b/>
                <w:bCs/>
                <w:color w:val="auto"/>
              </w:rPr>
              <w:t>产生量(t/a)</w:t>
            </w:r>
          </w:p>
        </w:tc>
        <w:tc>
          <w:tcPr>
            <w:tcW w:w="3132" w:type="dxa"/>
            <w:vAlign w:val="center"/>
          </w:tcPr>
          <w:p>
            <w:pPr>
              <w:pStyle w:val="164"/>
              <w:rPr>
                <w:rFonts w:ascii="Times New Roman" w:hAnsi="Times New Roman"/>
                <w:b/>
                <w:bCs/>
                <w:color w:val="auto"/>
              </w:rPr>
            </w:pPr>
            <w:r>
              <w:rPr>
                <w:rFonts w:ascii="Times New Roman" w:hAnsi="Times New Roman"/>
                <w:b/>
                <w:bCs/>
                <w:color w:val="auto"/>
              </w:rPr>
              <w:t>处置措施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5" w:type="dxa"/>
            <w:vAlign w:val="center"/>
          </w:tcPr>
          <w:p>
            <w:pPr>
              <w:pStyle w:val="164"/>
              <w:rPr>
                <w:rFonts w:ascii="Times New Roman" w:hAnsi="Times New Roman"/>
                <w:color w:val="auto"/>
              </w:rPr>
            </w:pPr>
            <w:r>
              <w:rPr>
                <w:rFonts w:ascii="Times New Roman" w:hAnsi="Times New Roman"/>
                <w:color w:val="auto"/>
              </w:rPr>
              <w:t>生活垃圾</w:t>
            </w:r>
          </w:p>
        </w:tc>
        <w:tc>
          <w:tcPr>
            <w:tcW w:w="1876" w:type="dxa"/>
            <w:vAlign w:val="center"/>
          </w:tcPr>
          <w:p>
            <w:pPr>
              <w:pStyle w:val="164"/>
              <w:rPr>
                <w:rFonts w:ascii="Times New Roman" w:hAnsi="Times New Roman"/>
                <w:color w:val="auto"/>
              </w:rPr>
            </w:pPr>
            <w:r>
              <w:rPr>
                <w:rFonts w:ascii="Times New Roman" w:hAnsi="Times New Roman"/>
                <w:color w:val="auto"/>
              </w:rPr>
              <w:t>生活办公</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7" w:type="dxa"/>
            <w:vAlign w:val="center"/>
          </w:tcPr>
          <w:p>
            <w:pPr>
              <w:pStyle w:val="164"/>
              <w:rPr>
                <w:rFonts w:ascii="Times New Roman" w:hAnsi="Times New Roman"/>
                <w:color w:val="auto"/>
              </w:rPr>
            </w:pPr>
            <w:r>
              <w:rPr>
                <w:rFonts w:ascii="Times New Roman" w:hAnsi="Times New Roman"/>
                <w:color w:val="auto"/>
              </w:rPr>
              <w:t>一般固废</w:t>
            </w:r>
          </w:p>
        </w:tc>
        <w:tc>
          <w:tcPr>
            <w:tcW w:w="1295"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5" w:type="dxa"/>
            <w:vAlign w:val="center"/>
          </w:tcPr>
          <w:p>
            <w:pPr>
              <w:pStyle w:val="164"/>
              <w:rPr>
                <w:rFonts w:ascii="Times New Roman" w:hAnsi="Times New Roman"/>
                <w:color w:val="auto"/>
              </w:rPr>
            </w:pPr>
            <w:r>
              <w:rPr>
                <w:rFonts w:ascii="Times New Roman" w:hAnsi="Times New Roman"/>
                <w:color w:val="auto"/>
              </w:rPr>
              <w:t>6.6</w:t>
            </w:r>
          </w:p>
        </w:tc>
        <w:tc>
          <w:tcPr>
            <w:tcW w:w="3132" w:type="dxa"/>
            <w:vMerge w:val="restart"/>
            <w:vAlign w:val="center"/>
          </w:tcPr>
          <w:p>
            <w:pPr>
              <w:pStyle w:val="164"/>
              <w:rPr>
                <w:rFonts w:ascii="Times New Roman" w:hAnsi="Times New Roman"/>
                <w:color w:val="auto"/>
              </w:rPr>
            </w:pPr>
            <w:r>
              <w:rPr>
                <w:rFonts w:ascii="Times New Roman" w:hAnsi="Times New Roman"/>
                <w:color w:val="auto"/>
              </w:rPr>
              <w:t>送中卫市第二生活垃圾填埋场填埋</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5" w:type="dxa"/>
            <w:vAlign w:val="center"/>
          </w:tcPr>
          <w:p>
            <w:pPr>
              <w:pStyle w:val="164"/>
              <w:rPr>
                <w:rFonts w:ascii="Times New Roman" w:hAnsi="Times New Roman"/>
                <w:color w:val="auto"/>
              </w:rPr>
            </w:pPr>
            <w:r>
              <w:rPr>
                <w:rFonts w:ascii="Times New Roman" w:hAnsi="Times New Roman"/>
                <w:color w:val="auto"/>
              </w:rPr>
              <w:t>报废周转箱</w:t>
            </w:r>
          </w:p>
        </w:tc>
        <w:tc>
          <w:tcPr>
            <w:tcW w:w="1876" w:type="dxa"/>
            <w:vAlign w:val="center"/>
          </w:tcPr>
          <w:p>
            <w:pPr>
              <w:pStyle w:val="164"/>
              <w:rPr>
                <w:rFonts w:ascii="Times New Roman" w:hAnsi="Times New Roman"/>
                <w:color w:val="auto"/>
              </w:rPr>
            </w:pPr>
            <w:r>
              <w:rPr>
                <w:rFonts w:ascii="Times New Roman" w:hAnsi="Times New Roman"/>
                <w:color w:val="auto"/>
                <w:szCs w:val="21"/>
              </w:rPr>
              <w:t>周转箱使用</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7" w:type="dxa"/>
            <w:vAlign w:val="center"/>
          </w:tcPr>
          <w:p>
            <w:pPr>
              <w:pStyle w:val="164"/>
              <w:rPr>
                <w:rFonts w:ascii="Times New Roman" w:hAnsi="Times New Roman"/>
                <w:color w:val="auto"/>
              </w:rPr>
            </w:pPr>
            <w:r>
              <w:rPr>
                <w:rFonts w:ascii="Times New Roman" w:hAnsi="Times New Roman"/>
                <w:color w:val="auto"/>
              </w:rPr>
              <w:t>一般固废</w:t>
            </w:r>
          </w:p>
        </w:tc>
        <w:tc>
          <w:tcPr>
            <w:tcW w:w="1295"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5" w:type="dxa"/>
            <w:vAlign w:val="center"/>
          </w:tcPr>
          <w:p>
            <w:pPr>
              <w:pStyle w:val="164"/>
              <w:rPr>
                <w:rFonts w:ascii="Times New Roman" w:hAnsi="Times New Roman"/>
                <w:color w:val="auto"/>
              </w:rPr>
            </w:pPr>
            <w:r>
              <w:rPr>
                <w:rFonts w:ascii="Times New Roman" w:hAnsi="Times New Roman"/>
                <w:color w:val="auto"/>
              </w:rPr>
              <w:t>0.01</w:t>
            </w:r>
          </w:p>
        </w:tc>
        <w:tc>
          <w:tcPr>
            <w:tcW w:w="3132" w:type="dxa"/>
            <w:vMerge w:val="continue"/>
            <w:vAlign w:val="center"/>
          </w:tcPr>
          <w:p>
            <w:pPr>
              <w:pStyle w:val="164"/>
              <w:rPr>
                <w:rFonts w:ascii="Times New Roman" w:hAnsi="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5" w:type="dxa"/>
            <w:vAlign w:val="center"/>
          </w:tcPr>
          <w:p>
            <w:pPr>
              <w:pStyle w:val="164"/>
              <w:rPr>
                <w:rFonts w:ascii="Times New Roman" w:hAnsi="Times New Roman"/>
                <w:color w:val="auto"/>
              </w:rPr>
            </w:pPr>
            <w:r>
              <w:rPr>
                <w:rFonts w:ascii="Times New Roman" w:hAnsi="Times New Roman"/>
                <w:color w:val="auto"/>
              </w:rPr>
              <w:t>废树脂</w:t>
            </w:r>
          </w:p>
        </w:tc>
        <w:tc>
          <w:tcPr>
            <w:tcW w:w="1876" w:type="dxa"/>
            <w:vAlign w:val="center"/>
          </w:tcPr>
          <w:p>
            <w:pPr>
              <w:pStyle w:val="164"/>
              <w:rPr>
                <w:rFonts w:ascii="Times New Roman" w:hAnsi="Times New Roman"/>
                <w:color w:val="auto"/>
                <w:szCs w:val="21"/>
              </w:rPr>
            </w:pPr>
            <w:r>
              <w:rPr>
                <w:rFonts w:ascii="Times New Roman" w:hAnsi="Times New Roman"/>
                <w:color w:val="auto"/>
                <w:szCs w:val="21"/>
              </w:rPr>
              <w:t>软水制备</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7" w:type="dxa"/>
            <w:vAlign w:val="center"/>
          </w:tcPr>
          <w:p>
            <w:pPr>
              <w:pStyle w:val="164"/>
              <w:rPr>
                <w:rFonts w:ascii="Times New Roman" w:hAnsi="Times New Roman"/>
                <w:color w:val="auto"/>
              </w:rPr>
            </w:pPr>
            <w:r>
              <w:rPr>
                <w:rFonts w:ascii="Times New Roman" w:hAnsi="Times New Roman"/>
                <w:color w:val="auto"/>
              </w:rPr>
              <w:t>一般固废</w:t>
            </w:r>
          </w:p>
        </w:tc>
        <w:tc>
          <w:tcPr>
            <w:tcW w:w="1295"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5" w:type="dxa"/>
            <w:vAlign w:val="center"/>
          </w:tcPr>
          <w:p>
            <w:pPr>
              <w:pStyle w:val="164"/>
              <w:rPr>
                <w:rFonts w:ascii="Times New Roman" w:hAnsi="Times New Roman"/>
                <w:color w:val="auto"/>
              </w:rPr>
            </w:pPr>
            <w:r>
              <w:rPr>
                <w:rFonts w:ascii="Times New Roman" w:hAnsi="Times New Roman"/>
                <w:color w:val="auto"/>
              </w:rPr>
              <w:t>0.05</w:t>
            </w:r>
          </w:p>
        </w:tc>
        <w:tc>
          <w:tcPr>
            <w:tcW w:w="3132" w:type="dxa"/>
            <w:vMerge w:val="continue"/>
            <w:vAlign w:val="center"/>
          </w:tcPr>
          <w:p>
            <w:pPr>
              <w:pStyle w:val="164"/>
              <w:rPr>
                <w:rFonts w:ascii="Times New Roman" w:hAnsi="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5" w:type="dxa"/>
            <w:vAlign w:val="center"/>
          </w:tcPr>
          <w:p>
            <w:pPr>
              <w:pStyle w:val="164"/>
              <w:rPr>
                <w:rFonts w:ascii="Times New Roman" w:hAnsi="Times New Roman"/>
                <w:color w:val="auto"/>
              </w:rPr>
            </w:pPr>
            <w:r>
              <w:rPr>
                <w:rFonts w:ascii="Times New Roman" w:hAnsi="Times New Roman"/>
                <w:color w:val="auto"/>
              </w:rPr>
              <w:t>一般废物总计</w:t>
            </w:r>
          </w:p>
        </w:tc>
        <w:tc>
          <w:tcPr>
            <w:tcW w:w="1876" w:type="dxa"/>
            <w:vAlign w:val="center"/>
          </w:tcPr>
          <w:p>
            <w:pPr>
              <w:pStyle w:val="164"/>
              <w:rPr>
                <w:rFonts w:ascii="Times New Roman" w:hAnsi="Times New Roman"/>
                <w:color w:val="auto"/>
              </w:rPr>
            </w:pPr>
            <w:r>
              <w:rPr>
                <w:rFonts w:ascii="Times New Roman" w:hAnsi="Times New Roman"/>
                <w:color w:val="auto"/>
              </w:rPr>
              <w:t>/</w:t>
            </w:r>
          </w:p>
        </w:tc>
        <w:tc>
          <w:tcPr>
            <w:tcW w:w="723" w:type="dxa"/>
            <w:vAlign w:val="center"/>
          </w:tcPr>
          <w:p>
            <w:pPr>
              <w:pStyle w:val="164"/>
              <w:rPr>
                <w:rFonts w:ascii="Times New Roman" w:hAnsi="Times New Roman"/>
                <w:color w:val="auto"/>
              </w:rPr>
            </w:pPr>
            <w:r>
              <w:rPr>
                <w:rFonts w:ascii="Times New Roman" w:hAnsi="Times New Roman"/>
                <w:color w:val="auto"/>
              </w:rPr>
              <w:t>/</w:t>
            </w:r>
          </w:p>
        </w:tc>
        <w:tc>
          <w:tcPr>
            <w:tcW w:w="1437" w:type="dxa"/>
            <w:vAlign w:val="center"/>
          </w:tcPr>
          <w:p>
            <w:pPr>
              <w:pStyle w:val="164"/>
              <w:rPr>
                <w:rFonts w:ascii="Times New Roman" w:hAnsi="Times New Roman"/>
                <w:color w:val="auto"/>
              </w:rPr>
            </w:pPr>
            <w:r>
              <w:rPr>
                <w:rFonts w:ascii="Times New Roman" w:hAnsi="Times New Roman"/>
                <w:color w:val="auto"/>
              </w:rPr>
              <w:t>/</w:t>
            </w:r>
          </w:p>
        </w:tc>
        <w:tc>
          <w:tcPr>
            <w:tcW w:w="1295"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5" w:type="dxa"/>
            <w:vAlign w:val="center"/>
          </w:tcPr>
          <w:p>
            <w:pPr>
              <w:pStyle w:val="164"/>
              <w:rPr>
                <w:rFonts w:ascii="Times New Roman" w:hAnsi="Times New Roman"/>
                <w:color w:val="auto"/>
              </w:rPr>
            </w:pPr>
            <w:r>
              <w:rPr>
                <w:rFonts w:ascii="Times New Roman" w:hAnsi="Times New Roman"/>
                <w:color w:val="auto"/>
              </w:rPr>
              <w:t>6.66</w:t>
            </w:r>
          </w:p>
        </w:tc>
        <w:tc>
          <w:tcPr>
            <w:tcW w:w="3132"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07" w:hRule="atLeast"/>
        </w:trPr>
        <w:tc>
          <w:tcPr>
            <w:tcW w:w="2435" w:type="dxa"/>
            <w:vAlign w:val="center"/>
          </w:tcPr>
          <w:p>
            <w:pPr>
              <w:pStyle w:val="164"/>
              <w:rPr>
                <w:rFonts w:ascii="Times New Roman" w:hAnsi="Times New Roman"/>
                <w:color w:val="auto"/>
              </w:rPr>
            </w:pPr>
            <w:r>
              <w:rPr>
                <w:rFonts w:ascii="Times New Roman" w:hAnsi="Times New Roman"/>
                <w:color w:val="auto"/>
              </w:rPr>
              <w:t>灭菌处理后的医疗废物</w:t>
            </w:r>
          </w:p>
        </w:tc>
        <w:tc>
          <w:tcPr>
            <w:tcW w:w="1876" w:type="dxa"/>
            <w:vAlign w:val="center"/>
          </w:tcPr>
          <w:p>
            <w:pPr>
              <w:pStyle w:val="164"/>
              <w:rPr>
                <w:rFonts w:ascii="Times New Roman" w:hAnsi="Times New Roman"/>
                <w:color w:val="auto"/>
              </w:rPr>
            </w:pPr>
            <w:r>
              <w:rPr>
                <w:rFonts w:ascii="Times New Roman" w:hAnsi="Times New Roman"/>
                <w:color w:val="auto"/>
                <w:szCs w:val="21"/>
              </w:rPr>
              <w:t>高温蒸汽灭菌</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7" w:type="dxa"/>
            <w:vAlign w:val="center"/>
          </w:tcPr>
          <w:p>
            <w:pPr>
              <w:pStyle w:val="164"/>
              <w:rPr>
                <w:rFonts w:ascii="Times New Roman" w:hAnsi="Times New Roman"/>
                <w:color w:val="auto"/>
              </w:rPr>
            </w:pPr>
            <w:r>
              <w:rPr>
                <w:rFonts w:ascii="Times New Roman" w:hAnsi="Times New Roman"/>
                <w:color w:val="auto"/>
              </w:rPr>
              <w:t>危险废物</w:t>
            </w:r>
          </w:p>
          <w:p>
            <w:pPr>
              <w:pStyle w:val="164"/>
              <w:rPr>
                <w:rFonts w:ascii="Times New Roman" w:hAnsi="Times New Roman"/>
                <w:color w:val="auto"/>
              </w:rPr>
            </w:pPr>
            <w:r>
              <w:rPr>
                <w:rFonts w:ascii="Times New Roman" w:hAnsi="Times New Roman"/>
                <w:color w:val="auto"/>
              </w:rPr>
              <w:t>（豁免）</w:t>
            </w:r>
          </w:p>
        </w:tc>
        <w:tc>
          <w:tcPr>
            <w:tcW w:w="1295" w:type="dxa"/>
            <w:vAlign w:val="center"/>
          </w:tcPr>
          <w:p>
            <w:pPr>
              <w:pStyle w:val="164"/>
              <w:rPr>
                <w:rFonts w:ascii="Times New Roman" w:hAnsi="Times New Roman"/>
                <w:color w:val="auto"/>
              </w:rPr>
            </w:pPr>
            <w:r>
              <w:rPr>
                <w:rFonts w:ascii="Times New Roman" w:hAnsi="Times New Roman"/>
                <w:color w:val="auto"/>
              </w:rPr>
              <w:t>HW01</w:t>
            </w:r>
          </w:p>
        </w:tc>
        <w:tc>
          <w:tcPr>
            <w:tcW w:w="1440" w:type="dxa"/>
            <w:vAlign w:val="center"/>
          </w:tcPr>
          <w:p>
            <w:pPr>
              <w:pStyle w:val="164"/>
              <w:rPr>
                <w:rFonts w:ascii="Times New Roman" w:hAnsi="Times New Roman"/>
                <w:color w:val="auto"/>
              </w:rPr>
            </w:pPr>
            <w:r>
              <w:rPr>
                <w:rFonts w:ascii="Times New Roman" w:hAnsi="Times New Roman"/>
                <w:color w:val="auto"/>
              </w:rPr>
              <w:t>841-001-01</w:t>
            </w:r>
          </w:p>
          <w:p>
            <w:pPr>
              <w:pStyle w:val="164"/>
              <w:rPr>
                <w:rFonts w:ascii="Times New Roman" w:hAnsi="Times New Roman"/>
                <w:color w:val="auto"/>
              </w:rPr>
            </w:pPr>
            <w:r>
              <w:rPr>
                <w:rFonts w:ascii="Times New Roman" w:hAnsi="Times New Roman"/>
                <w:color w:val="auto"/>
              </w:rPr>
              <w:t>841-002-01</w:t>
            </w:r>
          </w:p>
        </w:tc>
        <w:tc>
          <w:tcPr>
            <w:tcW w:w="1295" w:type="dxa"/>
            <w:vAlign w:val="center"/>
          </w:tcPr>
          <w:p>
            <w:pPr>
              <w:pStyle w:val="164"/>
              <w:rPr>
                <w:rFonts w:ascii="Times New Roman" w:hAnsi="Times New Roman"/>
                <w:color w:val="auto"/>
              </w:rPr>
            </w:pPr>
            <w:r>
              <w:rPr>
                <w:rFonts w:ascii="Times New Roman" w:hAnsi="Times New Roman"/>
                <w:color w:val="auto"/>
              </w:rPr>
              <w:t>1520.74</w:t>
            </w:r>
          </w:p>
        </w:tc>
        <w:tc>
          <w:tcPr>
            <w:tcW w:w="3132" w:type="dxa"/>
            <w:vAlign w:val="center"/>
          </w:tcPr>
          <w:p>
            <w:pPr>
              <w:pStyle w:val="164"/>
              <w:rPr>
                <w:rFonts w:ascii="Times New Roman" w:hAnsi="Times New Roman"/>
                <w:color w:val="auto"/>
              </w:rPr>
            </w:pPr>
            <w:r>
              <w:rPr>
                <w:rFonts w:ascii="Times New Roman" w:hAnsi="Times New Roman"/>
                <w:color w:val="auto"/>
              </w:rPr>
              <w:t>送中卫市第二生活垃圾填埋场填埋</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5" w:type="dxa"/>
            <w:vAlign w:val="center"/>
          </w:tcPr>
          <w:p>
            <w:pPr>
              <w:pStyle w:val="164"/>
              <w:rPr>
                <w:rFonts w:ascii="Times New Roman" w:hAnsi="Times New Roman"/>
                <w:color w:val="auto"/>
              </w:rPr>
            </w:pPr>
            <w:r>
              <w:rPr>
                <w:rFonts w:ascii="Times New Roman" w:hAnsi="Times New Roman"/>
                <w:color w:val="auto"/>
              </w:rPr>
              <w:t>废活性炭</w:t>
            </w:r>
          </w:p>
        </w:tc>
        <w:tc>
          <w:tcPr>
            <w:tcW w:w="1876" w:type="dxa"/>
            <w:vAlign w:val="center"/>
          </w:tcPr>
          <w:p>
            <w:pPr>
              <w:pStyle w:val="164"/>
              <w:rPr>
                <w:rFonts w:ascii="Times New Roman" w:hAnsi="Times New Roman"/>
                <w:color w:val="auto"/>
              </w:rPr>
            </w:pPr>
            <w:r>
              <w:rPr>
                <w:rFonts w:ascii="Times New Roman" w:hAnsi="Times New Roman"/>
                <w:color w:val="auto"/>
                <w:szCs w:val="21"/>
              </w:rPr>
              <w:t>废气处理</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7" w:type="dxa"/>
            <w:vAlign w:val="center"/>
          </w:tcPr>
          <w:p>
            <w:pPr>
              <w:pStyle w:val="164"/>
              <w:rPr>
                <w:rFonts w:ascii="Times New Roman" w:hAnsi="Times New Roman"/>
                <w:color w:val="auto"/>
              </w:rPr>
            </w:pPr>
            <w:r>
              <w:rPr>
                <w:rFonts w:ascii="Times New Roman" w:hAnsi="Times New Roman"/>
                <w:color w:val="auto"/>
              </w:rPr>
              <w:t>危险固废</w:t>
            </w:r>
          </w:p>
        </w:tc>
        <w:tc>
          <w:tcPr>
            <w:tcW w:w="1295" w:type="dxa"/>
            <w:vAlign w:val="center"/>
          </w:tcPr>
          <w:p>
            <w:pPr>
              <w:pStyle w:val="164"/>
              <w:rPr>
                <w:rFonts w:ascii="Times New Roman" w:hAnsi="Times New Roman"/>
                <w:color w:val="auto"/>
              </w:rPr>
            </w:pPr>
            <w:r>
              <w:rPr>
                <w:rFonts w:ascii="Times New Roman" w:hAnsi="Times New Roman"/>
                <w:color w:val="auto"/>
              </w:rPr>
              <w:t>HW49</w:t>
            </w:r>
          </w:p>
        </w:tc>
        <w:tc>
          <w:tcPr>
            <w:tcW w:w="1440" w:type="dxa"/>
            <w:vAlign w:val="center"/>
          </w:tcPr>
          <w:p>
            <w:pPr>
              <w:pStyle w:val="164"/>
              <w:rPr>
                <w:rFonts w:ascii="Times New Roman" w:hAnsi="Times New Roman"/>
                <w:color w:val="auto"/>
              </w:rPr>
            </w:pPr>
            <w:r>
              <w:rPr>
                <w:rFonts w:ascii="Times New Roman" w:hAnsi="Times New Roman"/>
                <w:color w:val="auto"/>
              </w:rPr>
              <w:t>900-039-49</w:t>
            </w:r>
          </w:p>
        </w:tc>
        <w:tc>
          <w:tcPr>
            <w:tcW w:w="1295" w:type="dxa"/>
            <w:vAlign w:val="center"/>
          </w:tcPr>
          <w:p>
            <w:pPr>
              <w:pStyle w:val="164"/>
              <w:rPr>
                <w:rFonts w:ascii="Times New Roman" w:hAnsi="Times New Roman"/>
                <w:color w:val="auto"/>
              </w:rPr>
            </w:pPr>
            <w:r>
              <w:rPr>
                <w:rFonts w:ascii="Times New Roman" w:hAnsi="Times New Roman"/>
                <w:color w:val="auto"/>
              </w:rPr>
              <w:t>0.05</w:t>
            </w:r>
          </w:p>
        </w:tc>
        <w:tc>
          <w:tcPr>
            <w:tcW w:w="3132" w:type="dxa"/>
            <w:vMerge w:val="restart"/>
            <w:vAlign w:val="center"/>
          </w:tcPr>
          <w:p>
            <w:pPr>
              <w:pStyle w:val="164"/>
              <w:rPr>
                <w:rFonts w:ascii="Times New Roman" w:hAnsi="Times New Roman"/>
                <w:color w:val="auto"/>
              </w:rPr>
            </w:pPr>
            <w:r>
              <w:rPr>
                <w:rFonts w:ascii="Times New Roman" w:hAnsi="Times New Roman"/>
                <w:color w:val="auto"/>
              </w:rPr>
              <w:t>收集后委托宁夏德坤环保科技实业集团有限公司处置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5" w:type="dxa"/>
            <w:vAlign w:val="center"/>
          </w:tcPr>
          <w:p>
            <w:pPr>
              <w:pStyle w:val="164"/>
              <w:rPr>
                <w:rFonts w:ascii="Times New Roman" w:hAnsi="Times New Roman"/>
                <w:color w:val="auto"/>
              </w:rPr>
            </w:pPr>
            <w:r>
              <w:rPr>
                <w:rFonts w:ascii="Times New Roman" w:hAnsi="Times New Roman"/>
                <w:color w:val="auto"/>
              </w:rPr>
              <w:t>废滤芯</w:t>
            </w:r>
          </w:p>
        </w:tc>
        <w:tc>
          <w:tcPr>
            <w:tcW w:w="1876" w:type="dxa"/>
            <w:vAlign w:val="center"/>
          </w:tcPr>
          <w:p>
            <w:pPr>
              <w:pStyle w:val="164"/>
              <w:rPr>
                <w:rFonts w:ascii="Times New Roman" w:hAnsi="Times New Roman"/>
                <w:color w:val="auto"/>
              </w:rPr>
            </w:pPr>
            <w:r>
              <w:rPr>
                <w:rFonts w:ascii="Times New Roman" w:hAnsi="Times New Roman"/>
                <w:color w:val="auto"/>
                <w:szCs w:val="21"/>
              </w:rPr>
              <w:t>废气处理</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7" w:type="dxa"/>
            <w:vAlign w:val="center"/>
          </w:tcPr>
          <w:p>
            <w:pPr>
              <w:pStyle w:val="164"/>
              <w:rPr>
                <w:rFonts w:ascii="Times New Roman" w:hAnsi="Times New Roman"/>
                <w:color w:val="auto"/>
              </w:rPr>
            </w:pPr>
            <w:r>
              <w:rPr>
                <w:rFonts w:ascii="Times New Roman" w:hAnsi="Times New Roman"/>
                <w:color w:val="auto"/>
              </w:rPr>
              <w:t>危险固废</w:t>
            </w:r>
          </w:p>
        </w:tc>
        <w:tc>
          <w:tcPr>
            <w:tcW w:w="1295" w:type="dxa"/>
            <w:vAlign w:val="center"/>
          </w:tcPr>
          <w:p>
            <w:pPr>
              <w:pStyle w:val="164"/>
              <w:rPr>
                <w:rFonts w:ascii="Times New Roman" w:hAnsi="Times New Roman"/>
                <w:color w:val="auto"/>
              </w:rPr>
            </w:pPr>
            <w:r>
              <w:rPr>
                <w:rFonts w:ascii="Times New Roman" w:hAnsi="Times New Roman"/>
                <w:color w:val="auto"/>
              </w:rPr>
              <w:t>HW49</w:t>
            </w:r>
          </w:p>
        </w:tc>
        <w:tc>
          <w:tcPr>
            <w:tcW w:w="1440" w:type="dxa"/>
            <w:vAlign w:val="center"/>
          </w:tcPr>
          <w:p>
            <w:pPr>
              <w:pStyle w:val="164"/>
              <w:rPr>
                <w:rFonts w:ascii="Times New Roman" w:hAnsi="Times New Roman"/>
                <w:color w:val="auto"/>
              </w:rPr>
            </w:pPr>
            <w:r>
              <w:rPr>
                <w:rFonts w:ascii="Times New Roman" w:hAnsi="Times New Roman"/>
                <w:color w:val="auto"/>
              </w:rPr>
              <w:t>900-041-49</w:t>
            </w:r>
          </w:p>
        </w:tc>
        <w:tc>
          <w:tcPr>
            <w:tcW w:w="1295" w:type="dxa"/>
            <w:vAlign w:val="center"/>
          </w:tcPr>
          <w:p>
            <w:pPr>
              <w:pStyle w:val="164"/>
              <w:rPr>
                <w:rFonts w:ascii="Times New Roman" w:hAnsi="Times New Roman"/>
                <w:color w:val="auto"/>
              </w:rPr>
            </w:pPr>
            <w:r>
              <w:rPr>
                <w:rFonts w:ascii="Times New Roman" w:hAnsi="Times New Roman"/>
                <w:color w:val="auto"/>
              </w:rPr>
              <w:t>0.05</w:t>
            </w:r>
          </w:p>
        </w:tc>
        <w:tc>
          <w:tcPr>
            <w:tcW w:w="3132" w:type="dxa"/>
            <w:vMerge w:val="continue"/>
            <w:vAlign w:val="center"/>
          </w:tcPr>
          <w:p>
            <w:pPr>
              <w:pStyle w:val="164"/>
              <w:rPr>
                <w:rFonts w:ascii="Times New Roman" w:hAnsi="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5" w:type="dxa"/>
            <w:vAlign w:val="center"/>
          </w:tcPr>
          <w:p>
            <w:pPr>
              <w:pStyle w:val="164"/>
              <w:rPr>
                <w:rFonts w:ascii="Times New Roman" w:hAnsi="Times New Roman"/>
                <w:color w:val="auto"/>
              </w:rPr>
            </w:pPr>
            <w:r>
              <w:rPr>
                <w:rFonts w:ascii="Times New Roman" w:hAnsi="Times New Roman"/>
                <w:color w:val="auto"/>
              </w:rPr>
              <w:t>污水处理站污泥</w:t>
            </w:r>
          </w:p>
        </w:tc>
        <w:tc>
          <w:tcPr>
            <w:tcW w:w="1876" w:type="dxa"/>
            <w:vAlign w:val="center"/>
          </w:tcPr>
          <w:p>
            <w:pPr>
              <w:pStyle w:val="164"/>
              <w:rPr>
                <w:rFonts w:ascii="Times New Roman" w:hAnsi="Times New Roman"/>
                <w:color w:val="auto"/>
              </w:rPr>
            </w:pPr>
            <w:r>
              <w:rPr>
                <w:rFonts w:ascii="Times New Roman" w:hAnsi="Times New Roman"/>
                <w:color w:val="auto"/>
                <w:szCs w:val="21"/>
              </w:rPr>
              <w:t>污水处理</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7" w:type="dxa"/>
            <w:vAlign w:val="center"/>
          </w:tcPr>
          <w:p>
            <w:pPr>
              <w:pStyle w:val="164"/>
              <w:rPr>
                <w:rFonts w:ascii="Times New Roman" w:hAnsi="Times New Roman"/>
                <w:color w:val="auto"/>
              </w:rPr>
            </w:pPr>
            <w:r>
              <w:rPr>
                <w:rFonts w:ascii="Times New Roman" w:hAnsi="Times New Roman"/>
                <w:color w:val="auto"/>
              </w:rPr>
              <w:t>危险固废</w:t>
            </w:r>
          </w:p>
        </w:tc>
        <w:tc>
          <w:tcPr>
            <w:tcW w:w="1295" w:type="dxa"/>
            <w:vAlign w:val="center"/>
          </w:tcPr>
          <w:p>
            <w:pPr>
              <w:pStyle w:val="164"/>
              <w:rPr>
                <w:rFonts w:ascii="Times New Roman" w:hAnsi="Times New Roman"/>
                <w:color w:val="auto"/>
              </w:rPr>
            </w:pPr>
            <w:r>
              <w:rPr>
                <w:rFonts w:ascii="Times New Roman" w:hAnsi="Times New Roman"/>
                <w:color w:val="auto"/>
              </w:rPr>
              <w:t>HW49</w:t>
            </w:r>
          </w:p>
        </w:tc>
        <w:tc>
          <w:tcPr>
            <w:tcW w:w="1440" w:type="dxa"/>
            <w:vAlign w:val="center"/>
          </w:tcPr>
          <w:p>
            <w:pPr>
              <w:pStyle w:val="164"/>
              <w:rPr>
                <w:rFonts w:ascii="Times New Roman" w:hAnsi="Times New Roman"/>
                <w:color w:val="auto"/>
              </w:rPr>
            </w:pPr>
            <w:r>
              <w:rPr>
                <w:rFonts w:ascii="Times New Roman" w:hAnsi="Times New Roman"/>
                <w:color w:val="auto"/>
              </w:rPr>
              <w:t>772-006-49</w:t>
            </w:r>
          </w:p>
        </w:tc>
        <w:tc>
          <w:tcPr>
            <w:tcW w:w="1295" w:type="dxa"/>
            <w:vAlign w:val="center"/>
          </w:tcPr>
          <w:p>
            <w:pPr>
              <w:pStyle w:val="164"/>
              <w:rPr>
                <w:rFonts w:ascii="Times New Roman" w:hAnsi="Times New Roman"/>
                <w:color w:val="auto"/>
              </w:rPr>
            </w:pPr>
            <w:r>
              <w:rPr>
                <w:rFonts w:ascii="Times New Roman" w:hAnsi="Times New Roman"/>
                <w:color w:val="auto"/>
              </w:rPr>
              <w:t>0.5</w:t>
            </w:r>
          </w:p>
        </w:tc>
        <w:tc>
          <w:tcPr>
            <w:tcW w:w="3132" w:type="dxa"/>
            <w:vMerge w:val="continue"/>
            <w:vAlign w:val="center"/>
          </w:tcPr>
          <w:p>
            <w:pPr>
              <w:pStyle w:val="164"/>
              <w:rPr>
                <w:rFonts w:ascii="Times New Roman" w:hAnsi="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18" w:hRule="atLeast"/>
        </w:trPr>
        <w:tc>
          <w:tcPr>
            <w:tcW w:w="2435" w:type="dxa"/>
            <w:vAlign w:val="center"/>
          </w:tcPr>
          <w:p>
            <w:pPr>
              <w:pStyle w:val="164"/>
              <w:rPr>
                <w:rFonts w:ascii="Times New Roman" w:hAnsi="Times New Roman"/>
                <w:color w:val="auto"/>
              </w:rPr>
            </w:pPr>
            <w:r>
              <w:rPr>
                <w:rFonts w:ascii="Times New Roman" w:hAnsi="Times New Roman"/>
                <w:color w:val="auto"/>
              </w:rPr>
              <w:t>危险废物总计</w:t>
            </w:r>
          </w:p>
        </w:tc>
        <w:tc>
          <w:tcPr>
            <w:tcW w:w="1876" w:type="dxa"/>
            <w:vAlign w:val="center"/>
          </w:tcPr>
          <w:p>
            <w:pPr>
              <w:pStyle w:val="164"/>
              <w:rPr>
                <w:rFonts w:ascii="Times New Roman" w:hAnsi="Times New Roman"/>
                <w:color w:val="auto"/>
              </w:rPr>
            </w:pPr>
            <w:r>
              <w:rPr>
                <w:rFonts w:ascii="Times New Roman" w:hAnsi="Times New Roman"/>
                <w:color w:val="auto"/>
              </w:rPr>
              <w:t>/</w:t>
            </w:r>
          </w:p>
        </w:tc>
        <w:tc>
          <w:tcPr>
            <w:tcW w:w="723" w:type="dxa"/>
            <w:vAlign w:val="center"/>
          </w:tcPr>
          <w:p>
            <w:pPr>
              <w:pStyle w:val="164"/>
              <w:rPr>
                <w:rFonts w:ascii="Times New Roman" w:hAnsi="Times New Roman"/>
                <w:color w:val="auto"/>
              </w:rPr>
            </w:pPr>
            <w:r>
              <w:rPr>
                <w:rFonts w:ascii="Times New Roman" w:hAnsi="Times New Roman"/>
                <w:color w:val="auto"/>
              </w:rPr>
              <w:t>/</w:t>
            </w:r>
          </w:p>
        </w:tc>
        <w:tc>
          <w:tcPr>
            <w:tcW w:w="1437" w:type="dxa"/>
            <w:vAlign w:val="center"/>
          </w:tcPr>
          <w:p>
            <w:pPr>
              <w:pStyle w:val="164"/>
              <w:rPr>
                <w:rFonts w:ascii="Times New Roman" w:hAnsi="Times New Roman"/>
                <w:color w:val="auto"/>
              </w:rPr>
            </w:pPr>
            <w:r>
              <w:rPr>
                <w:rFonts w:ascii="Times New Roman" w:hAnsi="Times New Roman"/>
                <w:color w:val="auto"/>
              </w:rPr>
              <w:t>/</w:t>
            </w:r>
          </w:p>
        </w:tc>
        <w:tc>
          <w:tcPr>
            <w:tcW w:w="1295"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5" w:type="dxa"/>
            <w:vAlign w:val="center"/>
          </w:tcPr>
          <w:p>
            <w:pPr>
              <w:pStyle w:val="164"/>
              <w:rPr>
                <w:rFonts w:ascii="Times New Roman" w:hAnsi="Times New Roman"/>
                <w:color w:val="auto"/>
              </w:rPr>
            </w:pPr>
            <w:r>
              <w:rPr>
                <w:rFonts w:ascii="Times New Roman" w:hAnsi="Times New Roman"/>
                <w:color w:val="auto"/>
              </w:rPr>
              <w:t>1521.34</w:t>
            </w:r>
          </w:p>
        </w:tc>
        <w:tc>
          <w:tcPr>
            <w:tcW w:w="3132" w:type="dxa"/>
            <w:vAlign w:val="center"/>
          </w:tcPr>
          <w:p>
            <w:pPr>
              <w:pStyle w:val="164"/>
              <w:rPr>
                <w:rFonts w:ascii="Times New Roman" w:hAnsi="Times New Roman"/>
                <w:color w:val="auto"/>
              </w:rPr>
            </w:pPr>
            <w:r>
              <w:rPr>
                <w:rFonts w:ascii="Times New Roman" w:hAnsi="Times New Roman"/>
                <w:color w:val="auto"/>
              </w:rPr>
              <w:t>/</w:t>
            </w:r>
          </w:p>
        </w:tc>
      </w:tr>
    </w:tbl>
    <w:p>
      <w:pPr>
        <w:pStyle w:val="114"/>
        <w:spacing w:before="120"/>
        <w:rPr>
          <w:color w:val="auto"/>
        </w:rPr>
      </w:pPr>
      <w:r>
        <w:rPr>
          <w:color w:val="auto"/>
        </w:rPr>
        <w:t>表</w:t>
      </w:r>
      <w:r>
        <w:rPr>
          <w:rFonts w:eastAsia="Times New Roman"/>
          <w:color w:val="auto"/>
        </w:rPr>
        <w:t>4.8-</w:t>
      </w:r>
      <w:r>
        <w:rPr>
          <w:rFonts w:hint="eastAsia"/>
          <w:color w:val="auto"/>
        </w:rPr>
        <w:t>18</w:t>
      </w:r>
      <w:r>
        <w:rPr>
          <w:rFonts w:eastAsia="Times New Roman"/>
          <w:color w:val="auto"/>
        </w:rPr>
        <w:t xml:space="preserve">  </w:t>
      </w:r>
      <w:r>
        <w:rPr>
          <w:color w:val="auto"/>
        </w:rPr>
        <w:t xml:space="preserve"> 本项目</w:t>
      </w:r>
      <w:r>
        <w:rPr>
          <w:rFonts w:hint="eastAsia"/>
          <w:color w:val="auto"/>
        </w:rPr>
        <w:t>建成后全厂</w:t>
      </w:r>
      <w:r>
        <w:rPr>
          <w:color w:val="auto"/>
        </w:rPr>
        <w:t>固废产生情况及处置措施一览表</w:t>
      </w:r>
    </w:p>
    <w:tbl>
      <w:tblPr>
        <w:tblStyle w:val="512"/>
        <w:tblW w:w="13633"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434"/>
        <w:gridCol w:w="1877"/>
        <w:gridCol w:w="723"/>
        <w:gridCol w:w="1438"/>
        <w:gridCol w:w="1296"/>
        <w:gridCol w:w="1440"/>
        <w:gridCol w:w="1296"/>
        <w:gridCol w:w="312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01" w:hRule="atLeast"/>
        </w:trPr>
        <w:tc>
          <w:tcPr>
            <w:tcW w:w="2434" w:type="dxa"/>
            <w:vAlign w:val="center"/>
          </w:tcPr>
          <w:p>
            <w:pPr>
              <w:pStyle w:val="164"/>
              <w:rPr>
                <w:rFonts w:ascii="Times New Roman" w:hAnsi="Times New Roman"/>
                <w:b/>
                <w:bCs/>
                <w:color w:val="auto"/>
              </w:rPr>
            </w:pPr>
            <w:r>
              <w:rPr>
                <w:rFonts w:ascii="Times New Roman" w:hAnsi="Times New Roman"/>
                <w:b/>
                <w:bCs/>
                <w:color w:val="auto"/>
              </w:rPr>
              <w:t>名称</w:t>
            </w:r>
          </w:p>
        </w:tc>
        <w:tc>
          <w:tcPr>
            <w:tcW w:w="1877" w:type="dxa"/>
            <w:vAlign w:val="center"/>
          </w:tcPr>
          <w:p>
            <w:pPr>
              <w:pStyle w:val="164"/>
              <w:rPr>
                <w:rFonts w:ascii="Times New Roman" w:hAnsi="Times New Roman"/>
                <w:b/>
                <w:bCs/>
                <w:color w:val="auto"/>
              </w:rPr>
            </w:pPr>
            <w:r>
              <w:rPr>
                <w:rFonts w:ascii="Times New Roman" w:hAnsi="Times New Roman"/>
                <w:b/>
                <w:bCs/>
                <w:color w:val="auto"/>
              </w:rPr>
              <w:t>产生工段</w:t>
            </w:r>
          </w:p>
        </w:tc>
        <w:tc>
          <w:tcPr>
            <w:tcW w:w="723" w:type="dxa"/>
            <w:vAlign w:val="center"/>
          </w:tcPr>
          <w:p>
            <w:pPr>
              <w:pStyle w:val="164"/>
              <w:rPr>
                <w:rFonts w:ascii="Times New Roman" w:hAnsi="Times New Roman"/>
                <w:b/>
                <w:bCs/>
                <w:color w:val="auto"/>
              </w:rPr>
            </w:pPr>
            <w:r>
              <w:rPr>
                <w:rFonts w:ascii="Times New Roman" w:hAnsi="Times New Roman"/>
                <w:b/>
                <w:bCs/>
                <w:color w:val="auto"/>
              </w:rPr>
              <w:t>形态</w:t>
            </w:r>
          </w:p>
        </w:tc>
        <w:tc>
          <w:tcPr>
            <w:tcW w:w="1438" w:type="dxa"/>
            <w:vAlign w:val="center"/>
          </w:tcPr>
          <w:p>
            <w:pPr>
              <w:pStyle w:val="164"/>
              <w:rPr>
                <w:rFonts w:ascii="Times New Roman" w:hAnsi="Times New Roman"/>
                <w:b/>
                <w:bCs/>
                <w:color w:val="auto"/>
              </w:rPr>
            </w:pPr>
            <w:r>
              <w:rPr>
                <w:rFonts w:ascii="Times New Roman" w:hAnsi="Times New Roman"/>
                <w:b/>
                <w:bCs/>
                <w:color w:val="auto"/>
              </w:rPr>
              <w:t>固废类型</w:t>
            </w:r>
          </w:p>
        </w:tc>
        <w:tc>
          <w:tcPr>
            <w:tcW w:w="1296" w:type="dxa"/>
            <w:vAlign w:val="center"/>
          </w:tcPr>
          <w:p>
            <w:pPr>
              <w:pStyle w:val="164"/>
              <w:rPr>
                <w:rFonts w:ascii="Times New Roman" w:hAnsi="Times New Roman"/>
                <w:b/>
                <w:bCs/>
                <w:color w:val="auto"/>
              </w:rPr>
            </w:pPr>
            <w:r>
              <w:rPr>
                <w:rFonts w:ascii="Times New Roman" w:hAnsi="Times New Roman"/>
                <w:b/>
                <w:bCs/>
                <w:color w:val="auto"/>
              </w:rPr>
              <w:t>危废类别</w:t>
            </w:r>
          </w:p>
        </w:tc>
        <w:tc>
          <w:tcPr>
            <w:tcW w:w="1440" w:type="dxa"/>
            <w:vAlign w:val="center"/>
          </w:tcPr>
          <w:p>
            <w:pPr>
              <w:pStyle w:val="164"/>
              <w:rPr>
                <w:rFonts w:ascii="Times New Roman" w:hAnsi="Times New Roman"/>
                <w:b/>
                <w:bCs/>
                <w:color w:val="auto"/>
              </w:rPr>
            </w:pPr>
            <w:r>
              <w:rPr>
                <w:rFonts w:ascii="Times New Roman" w:hAnsi="Times New Roman"/>
                <w:b/>
                <w:bCs/>
                <w:color w:val="auto"/>
              </w:rPr>
              <w:t>危废代码</w:t>
            </w:r>
          </w:p>
        </w:tc>
        <w:tc>
          <w:tcPr>
            <w:tcW w:w="1296" w:type="dxa"/>
            <w:vAlign w:val="center"/>
          </w:tcPr>
          <w:p>
            <w:pPr>
              <w:pStyle w:val="164"/>
              <w:rPr>
                <w:rFonts w:ascii="Times New Roman" w:hAnsi="Times New Roman"/>
                <w:b/>
                <w:bCs/>
                <w:color w:val="auto"/>
              </w:rPr>
            </w:pPr>
            <w:r>
              <w:rPr>
                <w:rFonts w:ascii="Times New Roman" w:hAnsi="Times New Roman"/>
                <w:b/>
                <w:bCs/>
                <w:color w:val="auto"/>
              </w:rPr>
              <w:t>产生量(t/a)</w:t>
            </w:r>
          </w:p>
        </w:tc>
        <w:tc>
          <w:tcPr>
            <w:tcW w:w="3129" w:type="dxa"/>
            <w:vAlign w:val="center"/>
          </w:tcPr>
          <w:p>
            <w:pPr>
              <w:pStyle w:val="164"/>
              <w:rPr>
                <w:rFonts w:ascii="Times New Roman" w:hAnsi="Times New Roman"/>
                <w:b/>
                <w:bCs/>
                <w:color w:val="auto"/>
              </w:rPr>
            </w:pPr>
            <w:r>
              <w:rPr>
                <w:rFonts w:ascii="Times New Roman" w:hAnsi="Times New Roman"/>
                <w:b/>
                <w:bCs/>
                <w:color w:val="auto"/>
              </w:rPr>
              <w:t>处置措施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4" w:type="dxa"/>
            <w:vAlign w:val="center"/>
          </w:tcPr>
          <w:p>
            <w:pPr>
              <w:pStyle w:val="164"/>
              <w:rPr>
                <w:rFonts w:ascii="Times New Roman" w:hAnsi="Times New Roman"/>
                <w:color w:val="auto"/>
              </w:rPr>
            </w:pPr>
            <w:r>
              <w:rPr>
                <w:rFonts w:ascii="Times New Roman" w:hAnsi="Times New Roman"/>
                <w:color w:val="auto"/>
              </w:rPr>
              <w:t>生活垃圾</w:t>
            </w:r>
          </w:p>
        </w:tc>
        <w:tc>
          <w:tcPr>
            <w:tcW w:w="1877" w:type="dxa"/>
            <w:vAlign w:val="center"/>
          </w:tcPr>
          <w:p>
            <w:pPr>
              <w:pStyle w:val="164"/>
              <w:rPr>
                <w:rFonts w:ascii="Times New Roman" w:hAnsi="Times New Roman"/>
                <w:color w:val="auto"/>
              </w:rPr>
            </w:pPr>
            <w:r>
              <w:rPr>
                <w:rFonts w:ascii="Times New Roman" w:hAnsi="Times New Roman"/>
                <w:color w:val="auto"/>
              </w:rPr>
              <w:t>生活办公</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8" w:type="dxa"/>
            <w:vAlign w:val="center"/>
          </w:tcPr>
          <w:p>
            <w:pPr>
              <w:pStyle w:val="164"/>
              <w:rPr>
                <w:rFonts w:ascii="Times New Roman" w:hAnsi="Times New Roman"/>
                <w:color w:val="auto"/>
              </w:rPr>
            </w:pPr>
            <w:r>
              <w:rPr>
                <w:rFonts w:ascii="Times New Roman" w:hAnsi="Times New Roman"/>
                <w:color w:val="auto"/>
              </w:rPr>
              <w:t>一般固废</w:t>
            </w:r>
          </w:p>
        </w:tc>
        <w:tc>
          <w:tcPr>
            <w:tcW w:w="1296"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6" w:type="dxa"/>
            <w:vAlign w:val="center"/>
          </w:tcPr>
          <w:p>
            <w:pPr>
              <w:pStyle w:val="164"/>
              <w:rPr>
                <w:rFonts w:ascii="Times New Roman" w:hAnsi="Times New Roman"/>
                <w:color w:val="auto"/>
              </w:rPr>
            </w:pPr>
            <w:r>
              <w:rPr>
                <w:rFonts w:ascii="Times New Roman" w:hAnsi="Times New Roman"/>
                <w:color w:val="auto"/>
              </w:rPr>
              <w:t>6.6</w:t>
            </w:r>
          </w:p>
        </w:tc>
        <w:tc>
          <w:tcPr>
            <w:tcW w:w="3129" w:type="dxa"/>
            <w:vMerge w:val="restart"/>
            <w:vAlign w:val="center"/>
          </w:tcPr>
          <w:p>
            <w:pPr>
              <w:pStyle w:val="164"/>
              <w:rPr>
                <w:rFonts w:ascii="Times New Roman" w:hAnsi="Times New Roman"/>
                <w:color w:val="auto"/>
              </w:rPr>
            </w:pPr>
            <w:r>
              <w:rPr>
                <w:rFonts w:ascii="Times New Roman" w:hAnsi="Times New Roman"/>
                <w:color w:val="auto"/>
              </w:rPr>
              <w:t>送中卫市第二生活垃圾填埋场填埋</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4" w:type="dxa"/>
            <w:vAlign w:val="center"/>
          </w:tcPr>
          <w:p>
            <w:pPr>
              <w:pStyle w:val="164"/>
              <w:rPr>
                <w:rFonts w:ascii="Times New Roman" w:hAnsi="Times New Roman"/>
                <w:color w:val="auto"/>
              </w:rPr>
            </w:pPr>
            <w:r>
              <w:rPr>
                <w:rFonts w:ascii="Times New Roman" w:hAnsi="Times New Roman"/>
                <w:color w:val="auto"/>
              </w:rPr>
              <w:t>报废周转箱</w:t>
            </w:r>
          </w:p>
        </w:tc>
        <w:tc>
          <w:tcPr>
            <w:tcW w:w="1877" w:type="dxa"/>
            <w:vAlign w:val="center"/>
          </w:tcPr>
          <w:p>
            <w:pPr>
              <w:pStyle w:val="164"/>
              <w:rPr>
                <w:rFonts w:ascii="Times New Roman" w:hAnsi="Times New Roman"/>
                <w:color w:val="auto"/>
              </w:rPr>
            </w:pPr>
            <w:r>
              <w:rPr>
                <w:rFonts w:ascii="Times New Roman" w:hAnsi="Times New Roman"/>
                <w:color w:val="auto"/>
                <w:szCs w:val="21"/>
              </w:rPr>
              <w:t>周转箱使用</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8" w:type="dxa"/>
            <w:vAlign w:val="center"/>
          </w:tcPr>
          <w:p>
            <w:pPr>
              <w:pStyle w:val="164"/>
              <w:rPr>
                <w:rFonts w:ascii="Times New Roman" w:hAnsi="Times New Roman"/>
                <w:color w:val="auto"/>
              </w:rPr>
            </w:pPr>
            <w:r>
              <w:rPr>
                <w:rFonts w:ascii="Times New Roman" w:hAnsi="Times New Roman"/>
                <w:color w:val="auto"/>
              </w:rPr>
              <w:t>一般固废</w:t>
            </w:r>
          </w:p>
        </w:tc>
        <w:tc>
          <w:tcPr>
            <w:tcW w:w="1296"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6" w:type="dxa"/>
            <w:vAlign w:val="center"/>
          </w:tcPr>
          <w:p>
            <w:pPr>
              <w:pStyle w:val="164"/>
              <w:rPr>
                <w:rFonts w:ascii="Times New Roman" w:hAnsi="Times New Roman"/>
                <w:color w:val="auto"/>
              </w:rPr>
            </w:pPr>
            <w:r>
              <w:rPr>
                <w:rFonts w:ascii="Times New Roman" w:hAnsi="Times New Roman"/>
                <w:color w:val="auto"/>
              </w:rPr>
              <w:t>0.015</w:t>
            </w:r>
          </w:p>
        </w:tc>
        <w:tc>
          <w:tcPr>
            <w:tcW w:w="3129" w:type="dxa"/>
            <w:vMerge w:val="continue"/>
            <w:vAlign w:val="center"/>
          </w:tcPr>
          <w:p>
            <w:pPr>
              <w:pStyle w:val="164"/>
              <w:rPr>
                <w:rFonts w:ascii="Times New Roman" w:hAnsi="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4" w:type="dxa"/>
            <w:vAlign w:val="center"/>
          </w:tcPr>
          <w:p>
            <w:pPr>
              <w:pStyle w:val="164"/>
              <w:rPr>
                <w:rFonts w:ascii="Times New Roman" w:hAnsi="Times New Roman"/>
                <w:color w:val="auto"/>
              </w:rPr>
            </w:pPr>
            <w:r>
              <w:rPr>
                <w:rFonts w:ascii="Times New Roman" w:hAnsi="Times New Roman"/>
                <w:color w:val="auto"/>
              </w:rPr>
              <w:t>废树脂</w:t>
            </w:r>
          </w:p>
        </w:tc>
        <w:tc>
          <w:tcPr>
            <w:tcW w:w="1877" w:type="dxa"/>
            <w:vAlign w:val="center"/>
          </w:tcPr>
          <w:p>
            <w:pPr>
              <w:pStyle w:val="164"/>
              <w:rPr>
                <w:rFonts w:ascii="Times New Roman" w:hAnsi="Times New Roman"/>
                <w:color w:val="auto"/>
                <w:szCs w:val="21"/>
              </w:rPr>
            </w:pPr>
            <w:r>
              <w:rPr>
                <w:rFonts w:ascii="Times New Roman" w:hAnsi="Times New Roman"/>
                <w:color w:val="auto"/>
                <w:szCs w:val="21"/>
              </w:rPr>
              <w:t>软水制备</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8" w:type="dxa"/>
            <w:vAlign w:val="center"/>
          </w:tcPr>
          <w:p>
            <w:pPr>
              <w:pStyle w:val="164"/>
              <w:rPr>
                <w:rFonts w:ascii="Times New Roman" w:hAnsi="Times New Roman"/>
                <w:color w:val="auto"/>
              </w:rPr>
            </w:pPr>
            <w:r>
              <w:rPr>
                <w:rFonts w:ascii="Times New Roman" w:hAnsi="Times New Roman"/>
                <w:color w:val="auto"/>
              </w:rPr>
              <w:t>一般固废</w:t>
            </w:r>
          </w:p>
        </w:tc>
        <w:tc>
          <w:tcPr>
            <w:tcW w:w="1296"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6" w:type="dxa"/>
            <w:vAlign w:val="center"/>
          </w:tcPr>
          <w:p>
            <w:pPr>
              <w:pStyle w:val="164"/>
              <w:rPr>
                <w:rFonts w:ascii="Times New Roman" w:hAnsi="Times New Roman"/>
                <w:color w:val="auto"/>
              </w:rPr>
            </w:pPr>
            <w:r>
              <w:rPr>
                <w:rFonts w:ascii="Times New Roman" w:hAnsi="Times New Roman"/>
                <w:color w:val="auto"/>
              </w:rPr>
              <w:t>0.08</w:t>
            </w:r>
          </w:p>
        </w:tc>
        <w:tc>
          <w:tcPr>
            <w:tcW w:w="3129" w:type="dxa"/>
            <w:vMerge w:val="continue"/>
            <w:vAlign w:val="center"/>
          </w:tcPr>
          <w:p>
            <w:pPr>
              <w:pStyle w:val="164"/>
              <w:rPr>
                <w:rFonts w:ascii="Times New Roman" w:hAnsi="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4" w:type="dxa"/>
            <w:vAlign w:val="center"/>
          </w:tcPr>
          <w:p>
            <w:pPr>
              <w:pStyle w:val="164"/>
              <w:rPr>
                <w:rFonts w:ascii="Times New Roman" w:hAnsi="Times New Roman"/>
                <w:color w:val="auto"/>
              </w:rPr>
            </w:pPr>
            <w:r>
              <w:rPr>
                <w:rFonts w:ascii="Times New Roman" w:hAnsi="Times New Roman"/>
                <w:color w:val="auto"/>
              </w:rPr>
              <w:t>一般废物总计</w:t>
            </w:r>
          </w:p>
        </w:tc>
        <w:tc>
          <w:tcPr>
            <w:tcW w:w="1877" w:type="dxa"/>
            <w:vAlign w:val="center"/>
          </w:tcPr>
          <w:p>
            <w:pPr>
              <w:pStyle w:val="164"/>
              <w:rPr>
                <w:rFonts w:ascii="Times New Roman" w:hAnsi="Times New Roman"/>
                <w:color w:val="auto"/>
              </w:rPr>
            </w:pPr>
            <w:r>
              <w:rPr>
                <w:rFonts w:ascii="Times New Roman" w:hAnsi="Times New Roman"/>
                <w:color w:val="auto"/>
              </w:rPr>
              <w:t>/</w:t>
            </w:r>
          </w:p>
        </w:tc>
        <w:tc>
          <w:tcPr>
            <w:tcW w:w="723" w:type="dxa"/>
            <w:vAlign w:val="center"/>
          </w:tcPr>
          <w:p>
            <w:pPr>
              <w:pStyle w:val="164"/>
              <w:rPr>
                <w:rFonts w:ascii="Times New Roman" w:hAnsi="Times New Roman"/>
                <w:color w:val="auto"/>
              </w:rPr>
            </w:pPr>
            <w:r>
              <w:rPr>
                <w:rFonts w:ascii="Times New Roman" w:hAnsi="Times New Roman"/>
                <w:color w:val="auto"/>
              </w:rPr>
              <w:t>/</w:t>
            </w:r>
          </w:p>
        </w:tc>
        <w:tc>
          <w:tcPr>
            <w:tcW w:w="1438" w:type="dxa"/>
            <w:vAlign w:val="center"/>
          </w:tcPr>
          <w:p>
            <w:pPr>
              <w:pStyle w:val="164"/>
              <w:rPr>
                <w:rFonts w:ascii="Times New Roman" w:hAnsi="Times New Roman"/>
                <w:color w:val="auto"/>
              </w:rPr>
            </w:pPr>
            <w:r>
              <w:rPr>
                <w:rFonts w:ascii="Times New Roman" w:hAnsi="Times New Roman"/>
                <w:color w:val="auto"/>
              </w:rPr>
              <w:t>/</w:t>
            </w:r>
          </w:p>
        </w:tc>
        <w:tc>
          <w:tcPr>
            <w:tcW w:w="1296"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6" w:type="dxa"/>
            <w:vAlign w:val="center"/>
          </w:tcPr>
          <w:p>
            <w:pPr>
              <w:pStyle w:val="164"/>
              <w:rPr>
                <w:rFonts w:ascii="Times New Roman" w:hAnsi="Times New Roman"/>
                <w:color w:val="auto"/>
              </w:rPr>
            </w:pPr>
            <w:r>
              <w:rPr>
                <w:rFonts w:ascii="Times New Roman" w:hAnsi="Times New Roman"/>
                <w:color w:val="auto"/>
              </w:rPr>
              <w:t>6.695</w:t>
            </w:r>
          </w:p>
        </w:tc>
        <w:tc>
          <w:tcPr>
            <w:tcW w:w="3129" w:type="dxa"/>
            <w:vAlign w:val="center"/>
          </w:tcPr>
          <w:p>
            <w:pPr>
              <w:pStyle w:val="164"/>
              <w:rPr>
                <w:rFonts w:ascii="Times New Roman" w:hAnsi="Times New Roman"/>
                <w:color w:val="auto"/>
              </w:rPr>
            </w:pPr>
            <w:r>
              <w:rPr>
                <w:rFonts w:ascii="Times New Roman" w:hAnsi="Times New Roman"/>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07" w:hRule="atLeast"/>
        </w:trPr>
        <w:tc>
          <w:tcPr>
            <w:tcW w:w="2434" w:type="dxa"/>
            <w:vAlign w:val="center"/>
          </w:tcPr>
          <w:p>
            <w:pPr>
              <w:pStyle w:val="164"/>
              <w:rPr>
                <w:rFonts w:ascii="Times New Roman" w:hAnsi="Times New Roman"/>
                <w:color w:val="auto"/>
              </w:rPr>
            </w:pPr>
            <w:r>
              <w:rPr>
                <w:rFonts w:ascii="Times New Roman" w:hAnsi="Times New Roman"/>
                <w:color w:val="auto"/>
              </w:rPr>
              <w:t>灭菌处理后的医疗废物</w:t>
            </w:r>
          </w:p>
        </w:tc>
        <w:tc>
          <w:tcPr>
            <w:tcW w:w="1877" w:type="dxa"/>
            <w:vAlign w:val="center"/>
          </w:tcPr>
          <w:p>
            <w:pPr>
              <w:pStyle w:val="164"/>
              <w:rPr>
                <w:rFonts w:ascii="Times New Roman" w:hAnsi="Times New Roman"/>
                <w:color w:val="auto"/>
              </w:rPr>
            </w:pPr>
            <w:r>
              <w:rPr>
                <w:rFonts w:ascii="Times New Roman" w:hAnsi="Times New Roman"/>
                <w:color w:val="auto"/>
                <w:szCs w:val="21"/>
              </w:rPr>
              <w:t>高温蒸汽灭菌</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8" w:type="dxa"/>
            <w:vAlign w:val="center"/>
          </w:tcPr>
          <w:p>
            <w:pPr>
              <w:pStyle w:val="164"/>
              <w:rPr>
                <w:rFonts w:ascii="Times New Roman" w:hAnsi="Times New Roman"/>
                <w:color w:val="auto"/>
              </w:rPr>
            </w:pPr>
            <w:r>
              <w:rPr>
                <w:rFonts w:ascii="Times New Roman" w:hAnsi="Times New Roman"/>
                <w:color w:val="auto"/>
              </w:rPr>
              <w:t>危险废物</w:t>
            </w:r>
          </w:p>
          <w:p>
            <w:pPr>
              <w:pStyle w:val="164"/>
              <w:rPr>
                <w:rFonts w:ascii="Times New Roman" w:hAnsi="Times New Roman"/>
                <w:color w:val="auto"/>
              </w:rPr>
            </w:pPr>
            <w:r>
              <w:rPr>
                <w:rFonts w:ascii="Times New Roman" w:hAnsi="Times New Roman"/>
                <w:color w:val="auto"/>
              </w:rPr>
              <w:t>（豁免）</w:t>
            </w:r>
          </w:p>
        </w:tc>
        <w:tc>
          <w:tcPr>
            <w:tcW w:w="1296" w:type="dxa"/>
            <w:vAlign w:val="center"/>
          </w:tcPr>
          <w:p>
            <w:pPr>
              <w:pStyle w:val="164"/>
              <w:rPr>
                <w:rFonts w:ascii="Times New Roman" w:hAnsi="Times New Roman"/>
                <w:color w:val="auto"/>
              </w:rPr>
            </w:pPr>
            <w:r>
              <w:rPr>
                <w:rFonts w:ascii="Times New Roman" w:hAnsi="Times New Roman"/>
                <w:color w:val="auto"/>
              </w:rPr>
              <w:t>HW01</w:t>
            </w:r>
          </w:p>
        </w:tc>
        <w:tc>
          <w:tcPr>
            <w:tcW w:w="1440" w:type="dxa"/>
            <w:vAlign w:val="center"/>
          </w:tcPr>
          <w:p>
            <w:pPr>
              <w:pStyle w:val="164"/>
              <w:rPr>
                <w:rFonts w:ascii="Times New Roman" w:hAnsi="Times New Roman"/>
                <w:color w:val="auto"/>
              </w:rPr>
            </w:pPr>
            <w:r>
              <w:rPr>
                <w:rFonts w:ascii="Times New Roman" w:hAnsi="Times New Roman"/>
                <w:color w:val="auto"/>
              </w:rPr>
              <w:t>841-001-01</w:t>
            </w:r>
          </w:p>
          <w:p>
            <w:pPr>
              <w:pStyle w:val="164"/>
              <w:rPr>
                <w:rFonts w:ascii="Times New Roman" w:hAnsi="Times New Roman"/>
                <w:color w:val="auto"/>
              </w:rPr>
            </w:pPr>
            <w:r>
              <w:rPr>
                <w:rFonts w:ascii="Times New Roman" w:hAnsi="Times New Roman"/>
                <w:color w:val="auto"/>
              </w:rPr>
              <w:t>841-002-01</w:t>
            </w:r>
          </w:p>
        </w:tc>
        <w:tc>
          <w:tcPr>
            <w:tcW w:w="1296" w:type="dxa"/>
            <w:vAlign w:val="center"/>
          </w:tcPr>
          <w:p>
            <w:pPr>
              <w:pStyle w:val="164"/>
              <w:rPr>
                <w:rFonts w:ascii="Times New Roman" w:hAnsi="Times New Roman"/>
                <w:color w:val="auto"/>
              </w:rPr>
            </w:pPr>
            <w:r>
              <w:rPr>
                <w:rFonts w:ascii="Times New Roman" w:hAnsi="Times New Roman"/>
                <w:color w:val="auto"/>
              </w:rPr>
              <w:t>2433.14</w:t>
            </w:r>
          </w:p>
        </w:tc>
        <w:tc>
          <w:tcPr>
            <w:tcW w:w="3129" w:type="dxa"/>
            <w:vAlign w:val="center"/>
          </w:tcPr>
          <w:p>
            <w:pPr>
              <w:pStyle w:val="164"/>
              <w:rPr>
                <w:rFonts w:ascii="Times New Roman" w:hAnsi="Times New Roman"/>
                <w:color w:val="auto"/>
              </w:rPr>
            </w:pPr>
            <w:r>
              <w:rPr>
                <w:rFonts w:ascii="Times New Roman" w:hAnsi="Times New Roman"/>
                <w:color w:val="auto"/>
              </w:rPr>
              <w:t>送中卫市第二生活垃圾填埋场填埋</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4" w:type="dxa"/>
            <w:vAlign w:val="center"/>
          </w:tcPr>
          <w:p>
            <w:pPr>
              <w:pStyle w:val="164"/>
              <w:rPr>
                <w:rFonts w:ascii="Times New Roman" w:hAnsi="Times New Roman"/>
                <w:color w:val="auto"/>
              </w:rPr>
            </w:pPr>
            <w:r>
              <w:rPr>
                <w:rFonts w:ascii="Times New Roman" w:hAnsi="Times New Roman"/>
                <w:color w:val="auto"/>
              </w:rPr>
              <w:t>废活性炭</w:t>
            </w:r>
          </w:p>
        </w:tc>
        <w:tc>
          <w:tcPr>
            <w:tcW w:w="1877" w:type="dxa"/>
            <w:vAlign w:val="center"/>
          </w:tcPr>
          <w:p>
            <w:pPr>
              <w:pStyle w:val="164"/>
              <w:rPr>
                <w:rFonts w:ascii="Times New Roman" w:hAnsi="Times New Roman"/>
                <w:color w:val="auto"/>
              </w:rPr>
            </w:pPr>
            <w:r>
              <w:rPr>
                <w:rFonts w:ascii="Times New Roman" w:hAnsi="Times New Roman"/>
                <w:color w:val="auto"/>
                <w:szCs w:val="21"/>
              </w:rPr>
              <w:t>废气处理</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8" w:type="dxa"/>
            <w:vAlign w:val="center"/>
          </w:tcPr>
          <w:p>
            <w:pPr>
              <w:pStyle w:val="164"/>
              <w:rPr>
                <w:rFonts w:ascii="Times New Roman" w:hAnsi="Times New Roman"/>
                <w:color w:val="auto"/>
              </w:rPr>
            </w:pPr>
            <w:r>
              <w:rPr>
                <w:rFonts w:ascii="Times New Roman" w:hAnsi="Times New Roman"/>
                <w:color w:val="auto"/>
              </w:rPr>
              <w:t>危险固废</w:t>
            </w:r>
          </w:p>
        </w:tc>
        <w:tc>
          <w:tcPr>
            <w:tcW w:w="1296" w:type="dxa"/>
            <w:vAlign w:val="center"/>
          </w:tcPr>
          <w:p>
            <w:pPr>
              <w:pStyle w:val="164"/>
              <w:rPr>
                <w:rFonts w:ascii="Times New Roman" w:hAnsi="Times New Roman"/>
                <w:color w:val="auto"/>
              </w:rPr>
            </w:pPr>
            <w:r>
              <w:rPr>
                <w:rFonts w:ascii="Times New Roman" w:hAnsi="Times New Roman"/>
                <w:color w:val="auto"/>
              </w:rPr>
              <w:t>HW49</w:t>
            </w:r>
          </w:p>
        </w:tc>
        <w:tc>
          <w:tcPr>
            <w:tcW w:w="1440" w:type="dxa"/>
            <w:vAlign w:val="center"/>
          </w:tcPr>
          <w:p>
            <w:pPr>
              <w:pStyle w:val="164"/>
              <w:rPr>
                <w:rFonts w:ascii="Times New Roman" w:hAnsi="Times New Roman"/>
                <w:color w:val="auto"/>
              </w:rPr>
            </w:pPr>
            <w:r>
              <w:rPr>
                <w:rFonts w:ascii="Times New Roman" w:hAnsi="Times New Roman"/>
                <w:color w:val="auto"/>
              </w:rPr>
              <w:t>900-039-49</w:t>
            </w:r>
          </w:p>
        </w:tc>
        <w:tc>
          <w:tcPr>
            <w:tcW w:w="1296" w:type="dxa"/>
            <w:vAlign w:val="center"/>
          </w:tcPr>
          <w:p>
            <w:pPr>
              <w:pStyle w:val="164"/>
              <w:rPr>
                <w:rFonts w:ascii="Times New Roman" w:hAnsi="Times New Roman"/>
                <w:color w:val="auto"/>
              </w:rPr>
            </w:pPr>
            <w:r>
              <w:rPr>
                <w:rFonts w:ascii="Times New Roman" w:hAnsi="Times New Roman"/>
                <w:color w:val="auto"/>
              </w:rPr>
              <w:t>0.05</w:t>
            </w:r>
          </w:p>
        </w:tc>
        <w:tc>
          <w:tcPr>
            <w:tcW w:w="3129" w:type="dxa"/>
            <w:vMerge w:val="restart"/>
            <w:vAlign w:val="center"/>
          </w:tcPr>
          <w:p>
            <w:pPr>
              <w:pStyle w:val="164"/>
              <w:rPr>
                <w:rFonts w:ascii="Times New Roman" w:hAnsi="Times New Roman"/>
                <w:color w:val="auto"/>
              </w:rPr>
            </w:pPr>
            <w:r>
              <w:rPr>
                <w:rFonts w:ascii="Times New Roman" w:hAnsi="Times New Roman"/>
                <w:color w:val="auto"/>
              </w:rPr>
              <w:t>收集后委托宁夏德坤环保科技实业集团有限公司处置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4" w:type="dxa"/>
            <w:vAlign w:val="center"/>
          </w:tcPr>
          <w:p>
            <w:pPr>
              <w:pStyle w:val="164"/>
              <w:rPr>
                <w:rFonts w:ascii="Times New Roman" w:hAnsi="Times New Roman"/>
                <w:color w:val="auto"/>
              </w:rPr>
            </w:pPr>
            <w:r>
              <w:rPr>
                <w:rFonts w:ascii="Times New Roman" w:hAnsi="Times New Roman"/>
                <w:color w:val="auto"/>
              </w:rPr>
              <w:t>废滤芯</w:t>
            </w:r>
          </w:p>
        </w:tc>
        <w:tc>
          <w:tcPr>
            <w:tcW w:w="1877" w:type="dxa"/>
            <w:vAlign w:val="center"/>
          </w:tcPr>
          <w:p>
            <w:pPr>
              <w:pStyle w:val="164"/>
              <w:rPr>
                <w:rFonts w:ascii="Times New Roman" w:hAnsi="Times New Roman"/>
                <w:color w:val="auto"/>
              </w:rPr>
            </w:pPr>
            <w:r>
              <w:rPr>
                <w:rFonts w:ascii="Times New Roman" w:hAnsi="Times New Roman"/>
                <w:color w:val="auto"/>
                <w:szCs w:val="21"/>
              </w:rPr>
              <w:t>废气处理</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8" w:type="dxa"/>
            <w:vAlign w:val="center"/>
          </w:tcPr>
          <w:p>
            <w:pPr>
              <w:pStyle w:val="164"/>
              <w:rPr>
                <w:rFonts w:ascii="Times New Roman" w:hAnsi="Times New Roman"/>
                <w:color w:val="auto"/>
              </w:rPr>
            </w:pPr>
            <w:r>
              <w:rPr>
                <w:rFonts w:ascii="Times New Roman" w:hAnsi="Times New Roman"/>
                <w:color w:val="auto"/>
              </w:rPr>
              <w:t>危险固废</w:t>
            </w:r>
          </w:p>
        </w:tc>
        <w:tc>
          <w:tcPr>
            <w:tcW w:w="1296" w:type="dxa"/>
            <w:vAlign w:val="center"/>
          </w:tcPr>
          <w:p>
            <w:pPr>
              <w:pStyle w:val="164"/>
              <w:rPr>
                <w:rFonts w:ascii="Times New Roman" w:hAnsi="Times New Roman"/>
                <w:color w:val="auto"/>
              </w:rPr>
            </w:pPr>
            <w:r>
              <w:rPr>
                <w:rFonts w:ascii="Times New Roman" w:hAnsi="Times New Roman"/>
                <w:color w:val="auto"/>
              </w:rPr>
              <w:t>HW49</w:t>
            </w:r>
          </w:p>
        </w:tc>
        <w:tc>
          <w:tcPr>
            <w:tcW w:w="1440" w:type="dxa"/>
            <w:vAlign w:val="center"/>
          </w:tcPr>
          <w:p>
            <w:pPr>
              <w:pStyle w:val="164"/>
              <w:rPr>
                <w:rFonts w:ascii="Times New Roman" w:hAnsi="Times New Roman"/>
                <w:color w:val="auto"/>
              </w:rPr>
            </w:pPr>
            <w:r>
              <w:rPr>
                <w:rFonts w:ascii="Times New Roman" w:hAnsi="Times New Roman"/>
                <w:color w:val="auto"/>
              </w:rPr>
              <w:t>900-041-49</w:t>
            </w:r>
          </w:p>
        </w:tc>
        <w:tc>
          <w:tcPr>
            <w:tcW w:w="1296" w:type="dxa"/>
            <w:vAlign w:val="center"/>
          </w:tcPr>
          <w:p>
            <w:pPr>
              <w:pStyle w:val="164"/>
              <w:rPr>
                <w:rFonts w:ascii="Times New Roman" w:hAnsi="Times New Roman"/>
                <w:color w:val="auto"/>
              </w:rPr>
            </w:pPr>
            <w:r>
              <w:rPr>
                <w:rFonts w:ascii="Times New Roman" w:hAnsi="Times New Roman"/>
                <w:color w:val="auto"/>
              </w:rPr>
              <w:t>0.088</w:t>
            </w:r>
          </w:p>
        </w:tc>
        <w:tc>
          <w:tcPr>
            <w:tcW w:w="3129" w:type="dxa"/>
            <w:vMerge w:val="continue"/>
            <w:vAlign w:val="center"/>
          </w:tcPr>
          <w:p>
            <w:pPr>
              <w:pStyle w:val="164"/>
              <w:rPr>
                <w:rFonts w:ascii="Times New Roman" w:hAnsi="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5" w:hRule="atLeast"/>
        </w:trPr>
        <w:tc>
          <w:tcPr>
            <w:tcW w:w="2434" w:type="dxa"/>
            <w:vAlign w:val="center"/>
          </w:tcPr>
          <w:p>
            <w:pPr>
              <w:pStyle w:val="164"/>
              <w:rPr>
                <w:rFonts w:ascii="Times New Roman" w:hAnsi="Times New Roman"/>
                <w:color w:val="auto"/>
              </w:rPr>
            </w:pPr>
            <w:r>
              <w:rPr>
                <w:rFonts w:ascii="Times New Roman" w:hAnsi="Times New Roman"/>
                <w:color w:val="auto"/>
              </w:rPr>
              <w:t>污水处理站污泥</w:t>
            </w:r>
          </w:p>
        </w:tc>
        <w:tc>
          <w:tcPr>
            <w:tcW w:w="1877" w:type="dxa"/>
            <w:vAlign w:val="center"/>
          </w:tcPr>
          <w:p>
            <w:pPr>
              <w:pStyle w:val="164"/>
              <w:rPr>
                <w:rFonts w:ascii="Times New Roman" w:hAnsi="Times New Roman"/>
                <w:color w:val="auto"/>
              </w:rPr>
            </w:pPr>
            <w:r>
              <w:rPr>
                <w:rFonts w:ascii="Times New Roman" w:hAnsi="Times New Roman"/>
                <w:color w:val="auto"/>
                <w:szCs w:val="21"/>
              </w:rPr>
              <w:t>污水处理</w:t>
            </w:r>
          </w:p>
        </w:tc>
        <w:tc>
          <w:tcPr>
            <w:tcW w:w="723" w:type="dxa"/>
            <w:vAlign w:val="center"/>
          </w:tcPr>
          <w:p>
            <w:pPr>
              <w:pStyle w:val="164"/>
              <w:rPr>
                <w:rFonts w:ascii="Times New Roman" w:hAnsi="Times New Roman"/>
                <w:color w:val="auto"/>
              </w:rPr>
            </w:pPr>
            <w:r>
              <w:rPr>
                <w:rFonts w:ascii="Times New Roman" w:hAnsi="Times New Roman"/>
                <w:color w:val="auto"/>
              </w:rPr>
              <w:t>固态</w:t>
            </w:r>
          </w:p>
        </w:tc>
        <w:tc>
          <w:tcPr>
            <w:tcW w:w="1438" w:type="dxa"/>
            <w:vAlign w:val="center"/>
          </w:tcPr>
          <w:p>
            <w:pPr>
              <w:pStyle w:val="164"/>
              <w:rPr>
                <w:rFonts w:ascii="Times New Roman" w:hAnsi="Times New Roman"/>
                <w:color w:val="auto"/>
              </w:rPr>
            </w:pPr>
            <w:r>
              <w:rPr>
                <w:rFonts w:ascii="Times New Roman" w:hAnsi="Times New Roman"/>
                <w:color w:val="auto"/>
              </w:rPr>
              <w:t>危险固废</w:t>
            </w:r>
          </w:p>
        </w:tc>
        <w:tc>
          <w:tcPr>
            <w:tcW w:w="1296" w:type="dxa"/>
            <w:vAlign w:val="center"/>
          </w:tcPr>
          <w:p>
            <w:pPr>
              <w:pStyle w:val="164"/>
              <w:rPr>
                <w:rFonts w:ascii="Times New Roman" w:hAnsi="Times New Roman"/>
                <w:color w:val="auto"/>
              </w:rPr>
            </w:pPr>
            <w:r>
              <w:rPr>
                <w:rFonts w:ascii="Times New Roman" w:hAnsi="Times New Roman"/>
                <w:color w:val="auto"/>
              </w:rPr>
              <w:t>HW49</w:t>
            </w:r>
          </w:p>
        </w:tc>
        <w:tc>
          <w:tcPr>
            <w:tcW w:w="1440" w:type="dxa"/>
            <w:vAlign w:val="center"/>
          </w:tcPr>
          <w:p>
            <w:pPr>
              <w:pStyle w:val="164"/>
              <w:rPr>
                <w:rFonts w:ascii="Times New Roman" w:hAnsi="Times New Roman"/>
                <w:color w:val="auto"/>
              </w:rPr>
            </w:pPr>
            <w:r>
              <w:rPr>
                <w:rFonts w:ascii="Times New Roman" w:hAnsi="Times New Roman"/>
                <w:color w:val="auto"/>
              </w:rPr>
              <w:t>772-006-49</w:t>
            </w:r>
          </w:p>
        </w:tc>
        <w:tc>
          <w:tcPr>
            <w:tcW w:w="1296" w:type="dxa"/>
            <w:vAlign w:val="center"/>
          </w:tcPr>
          <w:p>
            <w:pPr>
              <w:pStyle w:val="164"/>
              <w:rPr>
                <w:rFonts w:ascii="Times New Roman" w:hAnsi="Times New Roman"/>
                <w:color w:val="auto"/>
              </w:rPr>
            </w:pPr>
            <w:r>
              <w:rPr>
                <w:rFonts w:ascii="Times New Roman" w:hAnsi="Times New Roman"/>
                <w:color w:val="auto"/>
              </w:rPr>
              <w:t>0.8</w:t>
            </w:r>
          </w:p>
        </w:tc>
        <w:tc>
          <w:tcPr>
            <w:tcW w:w="3129" w:type="dxa"/>
            <w:vMerge w:val="continue"/>
            <w:vAlign w:val="center"/>
          </w:tcPr>
          <w:p>
            <w:pPr>
              <w:pStyle w:val="164"/>
              <w:rPr>
                <w:rFonts w:ascii="Times New Roman" w:hAnsi="Times New Roman"/>
                <w:color w:val="auto"/>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18" w:hRule="atLeast"/>
        </w:trPr>
        <w:tc>
          <w:tcPr>
            <w:tcW w:w="2434" w:type="dxa"/>
            <w:vAlign w:val="center"/>
          </w:tcPr>
          <w:p>
            <w:pPr>
              <w:pStyle w:val="164"/>
              <w:rPr>
                <w:rFonts w:ascii="Times New Roman" w:hAnsi="Times New Roman"/>
                <w:color w:val="auto"/>
              </w:rPr>
            </w:pPr>
            <w:r>
              <w:rPr>
                <w:rFonts w:ascii="Times New Roman" w:hAnsi="Times New Roman"/>
                <w:color w:val="auto"/>
              </w:rPr>
              <w:t>危险废物总计</w:t>
            </w:r>
          </w:p>
        </w:tc>
        <w:tc>
          <w:tcPr>
            <w:tcW w:w="1877" w:type="dxa"/>
            <w:vAlign w:val="center"/>
          </w:tcPr>
          <w:p>
            <w:pPr>
              <w:pStyle w:val="164"/>
              <w:rPr>
                <w:rFonts w:ascii="Times New Roman" w:hAnsi="Times New Roman"/>
                <w:color w:val="auto"/>
              </w:rPr>
            </w:pPr>
            <w:r>
              <w:rPr>
                <w:rFonts w:ascii="Times New Roman" w:hAnsi="Times New Roman"/>
                <w:color w:val="auto"/>
              </w:rPr>
              <w:t>/</w:t>
            </w:r>
          </w:p>
        </w:tc>
        <w:tc>
          <w:tcPr>
            <w:tcW w:w="723" w:type="dxa"/>
            <w:vAlign w:val="center"/>
          </w:tcPr>
          <w:p>
            <w:pPr>
              <w:pStyle w:val="164"/>
              <w:rPr>
                <w:rFonts w:ascii="Times New Roman" w:hAnsi="Times New Roman"/>
                <w:color w:val="auto"/>
              </w:rPr>
            </w:pPr>
            <w:r>
              <w:rPr>
                <w:rFonts w:ascii="Times New Roman" w:hAnsi="Times New Roman"/>
                <w:color w:val="auto"/>
              </w:rPr>
              <w:t>/</w:t>
            </w:r>
          </w:p>
        </w:tc>
        <w:tc>
          <w:tcPr>
            <w:tcW w:w="1438" w:type="dxa"/>
            <w:vAlign w:val="center"/>
          </w:tcPr>
          <w:p>
            <w:pPr>
              <w:pStyle w:val="164"/>
              <w:rPr>
                <w:rFonts w:ascii="Times New Roman" w:hAnsi="Times New Roman"/>
                <w:color w:val="auto"/>
              </w:rPr>
            </w:pPr>
            <w:r>
              <w:rPr>
                <w:rFonts w:ascii="Times New Roman" w:hAnsi="Times New Roman"/>
                <w:color w:val="auto"/>
              </w:rPr>
              <w:t>/</w:t>
            </w:r>
          </w:p>
        </w:tc>
        <w:tc>
          <w:tcPr>
            <w:tcW w:w="1296" w:type="dxa"/>
            <w:vAlign w:val="center"/>
          </w:tcPr>
          <w:p>
            <w:pPr>
              <w:pStyle w:val="164"/>
              <w:rPr>
                <w:rFonts w:ascii="Times New Roman" w:hAnsi="Times New Roman"/>
                <w:color w:val="auto"/>
              </w:rPr>
            </w:pPr>
            <w:r>
              <w:rPr>
                <w:rFonts w:ascii="Times New Roman" w:hAnsi="Times New Roman"/>
                <w:color w:val="auto"/>
              </w:rPr>
              <w:t>/</w:t>
            </w:r>
          </w:p>
        </w:tc>
        <w:tc>
          <w:tcPr>
            <w:tcW w:w="1440" w:type="dxa"/>
            <w:vAlign w:val="center"/>
          </w:tcPr>
          <w:p>
            <w:pPr>
              <w:pStyle w:val="164"/>
              <w:rPr>
                <w:rFonts w:ascii="Times New Roman" w:hAnsi="Times New Roman"/>
                <w:color w:val="auto"/>
              </w:rPr>
            </w:pPr>
            <w:r>
              <w:rPr>
                <w:rFonts w:ascii="Times New Roman" w:hAnsi="Times New Roman"/>
                <w:color w:val="auto"/>
              </w:rPr>
              <w:t>/</w:t>
            </w:r>
          </w:p>
        </w:tc>
        <w:tc>
          <w:tcPr>
            <w:tcW w:w="1296" w:type="dxa"/>
            <w:vAlign w:val="center"/>
          </w:tcPr>
          <w:p>
            <w:pPr>
              <w:pStyle w:val="164"/>
              <w:rPr>
                <w:rFonts w:ascii="Times New Roman" w:hAnsi="Times New Roman"/>
                <w:color w:val="auto"/>
              </w:rPr>
            </w:pPr>
            <w:r>
              <w:rPr>
                <w:rFonts w:ascii="Times New Roman" w:hAnsi="Times New Roman"/>
                <w:color w:val="auto"/>
              </w:rPr>
              <w:t>2434.078</w:t>
            </w:r>
          </w:p>
        </w:tc>
        <w:tc>
          <w:tcPr>
            <w:tcW w:w="3129" w:type="dxa"/>
            <w:vAlign w:val="center"/>
          </w:tcPr>
          <w:p>
            <w:pPr>
              <w:pStyle w:val="164"/>
              <w:rPr>
                <w:rFonts w:ascii="Times New Roman" w:hAnsi="Times New Roman"/>
                <w:color w:val="auto"/>
              </w:rPr>
            </w:pPr>
            <w:r>
              <w:rPr>
                <w:rFonts w:ascii="Times New Roman" w:hAnsi="Times New Roman"/>
                <w:color w:val="auto"/>
              </w:rPr>
              <w:t>/</w:t>
            </w:r>
          </w:p>
        </w:tc>
      </w:tr>
    </w:tbl>
    <w:p>
      <w:pPr>
        <w:rPr>
          <w:color w:val="auto"/>
        </w:rPr>
        <w:sectPr>
          <w:pgSz w:w="16838" w:h="11906" w:orient="landscape"/>
          <w:pgMar w:top="1701" w:right="1701" w:bottom="1701" w:left="1701" w:header="851" w:footer="851" w:gutter="0"/>
          <w:cols w:space="720" w:num="1"/>
          <w:docGrid w:linePitch="466" w:charSpace="0"/>
        </w:sectPr>
      </w:pPr>
    </w:p>
    <w:p>
      <w:pPr>
        <w:pStyle w:val="4"/>
        <w:numPr>
          <w:ilvl w:val="1"/>
          <w:numId w:val="0"/>
        </w:numPr>
        <w:spacing w:before="120"/>
        <w:rPr>
          <w:color w:val="auto"/>
        </w:rPr>
      </w:pPr>
      <w:bookmarkStart w:id="262" w:name="_Toc109398619"/>
      <w:bookmarkStart w:id="263" w:name="_Toc58849446"/>
      <w:r>
        <w:rPr>
          <w:color w:val="auto"/>
        </w:rPr>
        <w:t>4.9项目改造前后污染物排放三本帐</w:t>
      </w:r>
      <w:bookmarkEnd w:id="262"/>
      <w:bookmarkEnd w:id="263"/>
    </w:p>
    <w:p>
      <w:pPr>
        <w:pStyle w:val="130"/>
        <w:ind w:firstLine="480"/>
        <w:rPr>
          <w:color w:val="auto"/>
        </w:rPr>
      </w:pPr>
      <w:r>
        <w:rPr>
          <w:color w:val="auto"/>
        </w:rPr>
        <w:t>本项目“三本账”分析情况详见表4.9-1。</w:t>
      </w:r>
    </w:p>
    <w:p>
      <w:pPr>
        <w:pStyle w:val="114"/>
        <w:spacing w:before="0" w:beforeLines="0"/>
        <w:rPr>
          <w:color w:val="auto"/>
        </w:rPr>
      </w:pPr>
      <w:r>
        <w:rPr>
          <w:color w:val="auto"/>
        </w:rPr>
        <w:t xml:space="preserve">               表4.9-1  本项目“三本账”分析情况一览表       单位：t/a</w:t>
      </w:r>
    </w:p>
    <w:tbl>
      <w:tblPr>
        <w:tblStyle w:val="75"/>
        <w:tblW w:w="9105"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27"/>
        <w:gridCol w:w="1943"/>
        <w:gridCol w:w="1377"/>
        <w:gridCol w:w="1337"/>
        <w:gridCol w:w="1388"/>
        <w:gridCol w:w="1470"/>
        <w:gridCol w:w="10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Align w:val="center"/>
          </w:tcPr>
          <w:p>
            <w:pPr>
              <w:pStyle w:val="164"/>
              <w:rPr>
                <w:color w:val="auto"/>
              </w:rPr>
            </w:pPr>
            <w:r>
              <w:rPr>
                <w:color w:val="auto"/>
              </w:rPr>
              <w:t>种类</w:t>
            </w:r>
          </w:p>
        </w:tc>
        <w:tc>
          <w:tcPr>
            <w:tcW w:w="1943" w:type="dxa"/>
            <w:vAlign w:val="center"/>
          </w:tcPr>
          <w:p>
            <w:pPr>
              <w:pStyle w:val="164"/>
              <w:rPr>
                <w:color w:val="auto"/>
              </w:rPr>
            </w:pPr>
            <w:r>
              <w:rPr>
                <w:color w:val="auto"/>
              </w:rPr>
              <w:t>污染物</w:t>
            </w:r>
          </w:p>
        </w:tc>
        <w:tc>
          <w:tcPr>
            <w:tcW w:w="1377" w:type="dxa"/>
            <w:vAlign w:val="center"/>
          </w:tcPr>
          <w:p>
            <w:pPr>
              <w:pStyle w:val="164"/>
              <w:rPr>
                <w:color w:val="auto"/>
              </w:rPr>
            </w:pPr>
            <w:r>
              <w:rPr>
                <w:color w:val="auto"/>
              </w:rPr>
              <w:t>现有项目</w:t>
            </w:r>
          </w:p>
          <w:p>
            <w:pPr>
              <w:pStyle w:val="164"/>
              <w:rPr>
                <w:color w:val="auto"/>
              </w:rPr>
            </w:pPr>
            <w:r>
              <w:rPr>
                <w:color w:val="auto"/>
              </w:rPr>
              <w:t>排放量</w:t>
            </w:r>
          </w:p>
        </w:tc>
        <w:tc>
          <w:tcPr>
            <w:tcW w:w="1337" w:type="dxa"/>
            <w:vAlign w:val="center"/>
          </w:tcPr>
          <w:p>
            <w:pPr>
              <w:pStyle w:val="164"/>
              <w:rPr>
                <w:color w:val="auto"/>
              </w:rPr>
            </w:pPr>
            <w:r>
              <w:rPr>
                <w:color w:val="auto"/>
              </w:rPr>
              <w:t>“以新带老”</w:t>
            </w:r>
          </w:p>
          <w:p>
            <w:pPr>
              <w:pStyle w:val="164"/>
              <w:rPr>
                <w:color w:val="auto"/>
              </w:rPr>
            </w:pPr>
            <w:r>
              <w:rPr>
                <w:color w:val="auto"/>
              </w:rPr>
              <w:t>消减量</w:t>
            </w:r>
          </w:p>
        </w:tc>
        <w:tc>
          <w:tcPr>
            <w:tcW w:w="1388" w:type="dxa"/>
            <w:vAlign w:val="center"/>
          </w:tcPr>
          <w:p>
            <w:pPr>
              <w:pStyle w:val="164"/>
              <w:rPr>
                <w:color w:val="auto"/>
              </w:rPr>
            </w:pPr>
            <w:r>
              <w:rPr>
                <w:color w:val="auto"/>
              </w:rPr>
              <w:t>扩建项目</w:t>
            </w:r>
          </w:p>
          <w:p>
            <w:pPr>
              <w:pStyle w:val="164"/>
              <w:rPr>
                <w:color w:val="auto"/>
              </w:rPr>
            </w:pPr>
            <w:r>
              <w:rPr>
                <w:color w:val="auto"/>
              </w:rPr>
              <w:t>新增排放量</w:t>
            </w:r>
          </w:p>
        </w:tc>
        <w:tc>
          <w:tcPr>
            <w:tcW w:w="1470" w:type="dxa"/>
            <w:vAlign w:val="center"/>
          </w:tcPr>
          <w:p>
            <w:pPr>
              <w:pStyle w:val="164"/>
              <w:rPr>
                <w:color w:val="auto"/>
              </w:rPr>
            </w:pPr>
            <w:r>
              <w:rPr>
                <w:color w:val="auto"/>
              </w:rPr>
              <w:t>扩建后</w:t>
            </w:r>
            <w:r>
              <w:rPr>
                <w:rFonts w:hint="eastAsia"/>
                <w:color w:val="auto"/>
              </w:rPr>
              <w:t>全厂</w:t>
            </w:r>
            <w:r>
              <w:rPr>
                <w:color w:val="auto"/>
              </w:rPr>
              <w:t>排放总量</w:t>
            </w:r>
          </w:p>
        </w:tc>
        <w:tc>
          <w:tcPr>
            <w:tcW w:w="1063" w:type="dxa"/>
            <w:vAlign w:val="center"/>
          </w:tcPr>
          <w:p>
            <w:pPr>
              <w:pStyle w:val="164"/>
              <w:rPr>
                <w:color w:val="auto"/>
              </w:rPr>
            </w:pPr>
            <w:r>
              <w:rPr>
                <w:color w:val="auto"/>
              </w:rPr>
              <w:t>排放</w:t>
            </w:r>
          </w:p>
          <w:p>
            <w:pPr>
              <w:pStyle w:val="164"/>
              <w:rPr>
                <w:color w:val="auto"/>
              </w:rPr>
            </w:pPr>
            <w:r>
              <w:rPr>
                <w:color w:val="auto"/>
              </w:rPr>
              <w:t>增减量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restart"/>
            <w:vAlign w:val="center"/>
          </w:tcPr>
          <w:p>
            <w:pPr>
              <w:pStyle w:val="164"/>
              <w:rPr>
                <w:color w:val="auto"/>
              </w:rPr>
            </w:pPr>
            <w:r>
              <w:rPr>
                <w:color w:val="auto"/>
              </w:rPr>
              <w:t>废气</w:t>
            </w:r>
          </w:p>
        </w:tc>
        <w:tc>
          <w:tcPr>
            <w:tcW w:w="1943" w:type="dxa"/>
            <w:vAlign w:val="center"/>
          </w:tcPr>
          <w:p>
            <w:pPr>
              <w:pStyle w:val="164"/>
              <w:rPr>
                <w:color w:val="auto"/>
              </w:rPr>
            </w:pPr>
            <w:r>
              <w:rPr>
                <w:color w:val="auto"/>
              </w:rPr>
              <w:t>颗粒物</w:t>
            </w:r>
          </w:p>
        </w:tc>
        <w:tc>
          <w:tcPr>
            <w:tcW w:w="1377" w:type="dxa"/>
            <w:vAlign w:val="center"/>
          </w:tcPr>
          <w:p>
            <w:pPr>
              <w:pStyle w:val="164"/>
              <w:rPr>
                <w:color w:val="auto"/>
              </w:rPr>
            </w:pPr>
            <w:r>
              <w:rPr>
                <w:color w:val="auto"/>
              </w:rPr>
              <w:t>0.3931</w:t>
            </w:r>
          </w:p>
        </w:tc>
        <w:tc>
          <w:tcPr>
            <w:tcW w:w="1337" w:type="dxa"/>
            <w:vAlign w:val="center"/>
          </w:tcPr>
          <w:p>
            <w:pPr>
              <w:pStyle w:val="164"/>
              <w:rPr>
                <w:color w:val="auto"/>
              </w:rPr>
            </w:pPr>
            <w:r>
              <w:rPr>
                <w:color w:val="auto"/>
              </w:rPr>
              <w:t>0.36</w:t>
            </w:r>
          </w:p>
        </w:tc>
        <w:tc>
          <w:tcPr>
            <w:tcW w:w="1388" w:type="dxa"/>
            <w:vAlign w:val="center"/>
          </w:tcPr>
          <w:p>
            <w:pPr>
              <w:pStyle w:val="164"/>
              <w:rPr>
                <w:color w:val="auto"/>
              </w:rPr>
            </w:pPr>
            <w:r>
              <w:rPr>
                <w:color w:val="auto"/>
                <w:szCs w:val="21"/>
              </w:rPr>
              <w:t>0.0515</w:t>
            </w:r>
          </w:p>
        </w:tc>
        <w:tc>
          <w:tcPr>
            <w:tcW w:w="1470" w:type="dxa"/>
            <w:vAlign w:val="center"/>
          </w:tcPr>
          <w:p>
            <w:pPr>
              <w:pStyle w:val="164"/>
              <w:rPr>
                <w:color w:val="auto"/>
              </w:rPr>
            </w:pPr>
            <w:r>
              <w:rPr>
                <w:color w:val="auto"/>
                <w:szCs w:val="21"/>
              </w:rPr>
              <w:t>0.0846</w:t>
            </w:r>
          </w:p>
        </w:tc>
        <w:tc>
          <w:tcPr>
            <w:tcW w:w="1063" w:type="dxa"/>
            <w:vAlign w:val="center"/>
          </w:tcPr>
          <w:p>
            <w:pPr>
              <w:pStyle w:val="164"/>
              <w:rPr>
                <w:color w:val="auto"/>
              </w:rPr>
            </w:pPr>
            <w:r>
              <w:rPr>
                <w:color w:val="auto"/>
                <w:szCs w:val="21"/>
              </w:rPr>
              <w:t>-0.3085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SO</w:t>
            </w:r>
            <w:r>
              <w:rPr>
                <w:color w:val="auto"/>
                <w:vertAlign w:val="subscript"/>
              </w:rPr>
              <w:t>2</w:t>
            </w:r>
          </w:p>
        </w:tc>
        <w:tc>
          <w:tcPr>
            <w:tcW w:w="1377" w:type="dxa"/>
            <w:vAlign w:val="center"/>
          </w:tcPr>
          <w:p>
            <w:pPr>
              <w:pStyle w:val="164"/>
              <w:rPr>
                <w:color w:val="auto"/>
              </w:rPr>
            </w:pPr>
            <w:r>
              <w:rPr>
                <w:color w:val="auto"/>
              </w:rPr>
              <w:t>1.48</w:t>
            </w:r>
          </w:p>
        </w:tc>
        <w:tc>
          <w:tcPr>
            <w:tcW w:w="1337" w:type="dxa"/>
            <w:vAlign w:val="center"/>
          </w:tcPr>
          <w:p>
            <w:pPr>
              <w:pStyle w:val="164"/>
              <w:rPr>
                <w:color w:val="auto"/>
              </w:rPr>
            </w:pPr>
            <w:r>
              <w:rPr>
                <w:color w:val="auto"/>
              </w:rPr>
              <w:t>1.48</w:t>
            </w:r>
          </w:p>
        </w:tc>
        <w:tc>
          <w:tcPr>
            <w:tcW w:w="1388" w:type="dxa"/>
            <w:vAlign w:val="center"/>
          </w:tcPr>
          <w:p>
            <w:pPr>
              <w:pStyle w:val="164"/>
              <w:rPr>
                <w:color w:val="auto"/>
              </w:rPr>
            </w:pPr>
            <w:r>
              <w:rPr>
                <w:color w:val="auto"/>
                <w:szCs w:val="21"/>
              </w:rPr>
              <w:t>0</w:t>
            </w:r>
          </w:p>
        </w:tc>
        <w:tc>
          <w:tcPr>
            <w:tcW w:w="1470" w:type="dxa"/>
            <w:vAlign w:val="center"/>
          </w:tcPr>
          <w:p>
            <w:pPr>
              <w:pStyle w:val="164"/>
              <w:rPr>
                <w:color w:val="auto"/>
              </w:rPr>
            </w:pPr>
            <w:r>
              <w:rPr>
                <w:color w:val="auto"/>
                <w:szCs w:val="21"/>
              </w:rPr>
              <w:t>0</w:t>
            </w:r>
          </w:p>
        </w:tc>
        <w:tc>
          <w:tcPr>
            <w:tcW w:w="1063" w:type="dxa"/>
            <w:vAlign w:val="center"/>
          </w:tcPr>
          <w:p>
            <w:pPr>
              <w:pStyle w:val="164"/>
              <w:rPr>
                <w:color w:val="auto"/>
              </w:rPr>
            </w:pPr>
            <w:r>
              <w:rPr>
                <w:color w:val="auto"/>
              </w:rPr>
              <w:t>-1.48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NOx</w:t>
            </w:r>
          </w:p>
        </w:tc>
        <w:tc>
          <w:tcPr>
            <w:tcW w:w="1377" w:type="dxa"/>
            <w:vAlign w:val="center"/>
          </w:tcPr>
          <w:p>
            <w:pPr>
              <w:pStyle w:val="164"/>
              <w:rPr>
                <w:color w:val="auto"/>
              </w:rPr>
            </w:pPr>
            <w:r>
              <w:rPr>
                <w:color w:val="auto"/>
              </w:rPr>
              <w:t>0.95</w:t>
            </w:r>
          </w:p>
        </w:tc>
        <w:tc>
          <w:tcPr>
            <w:tcW w:w="1337" w:type="dxa"/>
            <w:vAlign w:val="center"/>
          </w:tcPr>
          <w:p>
            <w:pPr>
              <w:pStyle w:val="164"/>
              <w:rPr>
                <w:color w:val="auto"/>
              </w:rPr>
            </w:pPr>
            <w:r>
              <w:rPr>
                <w:color w:val="auto"/>
              </w:rPr>
              <w:t>0.95</w:t>
            </w:r>
          </w:p>
        </w:tc>
        <w:tc>
          <w:tcPr>
            <w:tcW w:w="1388" w:type="dxa"/>
            <w:vAlign w:val="center"/>
          </w:tcPr>
          <w:p>
            <w:pPr>
              <w:pStyle w:val="164"/>
              <w:rPr>
                <w:color w:val="auto"/>
              </w:rPr>
            </w:pPr>
            <w:r>
              <w:rPr>
                <w:color w:val="auto"/>
                <w:szCs w:val="21"/>
              </w:rPr>
              <w:t>0</w:t>
            </w:r>
          </w:p>
        </w:tc>
        <w:tc>
          <w:tcPr>
            <w:tcW w:w="1470" w:type="dxa"/>
            <w:vAlign w:val="center"/>
          </w:tcPr>
          <w:p>
            <w:pPr>
              <w:pStyle w:val="164"/>
              <w:rPr>
                <w:color w:val="auto"/>
              </w:rPr>
            </w:pPr>
            <w:r>
              <w:rPr>
                <w:color w:val="auto"/>
                <w:szCs w:val="21"/>
              </w:rPr>
              <w:t>0</w:t>
            </w:r>
          </w:p>
        </w:tc>
        <w:tc>
          <w:tcPr>
            <w:tcW w:w="1063" w:type="dxa"/>
            <w:vAlign w:val="center"/>
          </w:tcPr>
          <w:p>
            <w:pPr>
              <w:pStyle w:val="164"/>
              <w:rPr>
                <w:color w:val="auto"/>
              </w:rPr>
            </w:pPr>
            <w:r>
              <w:rPr>
                <w:color w:val="auto"/>
              </w:rPr>
              <w:t>-0.95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VOCs</w:t>
            </w:r>
          </w:p>
          <w:p>
            <w:pPr>
              <w:pStyle w:val="164"/>
              <w:rPr>
                <w:color w:val="auto"/>
              </w:rPr>
            </w:pPr>
            <w:r>
              <w:rPr>
                <w:rFonts w:hint="eastAsia"/>
                <w:color w:val="auto"/>
              </w:rPr>
              <w:t>(</w:t>
            </w:r>
            <w:r>
              <w:rPr>
                <w:color w:val="auto"/>
              </w:rPr>
              <w:t>以非甲烷总烃计</w:t>
            </w:r>
            <w:r>
              <w:rPr>
                <w:rFonts w:hint="eastAsia"/>
                <w:color w:val="auto"/>
              </w:rPr>
              <w:t>)</w:t>
            </w:r>
          </w:p>
        </w:tc>
        <w:tc>
          <w:tcPr>
            <w:tcW w:w="1377" w:type="dxa"/>
            <w:vAlign w:val="center"/>
          </w:tcPr>
          <w:p>
            <w:pPr>
              <w:pStyle w:val="164"/>
              <w:rPr>
                <w:color w:val="auto"/>
              </w:rPr>
            </w:pPr>
            <w:r>
              <w:rPr>
                <w:color w:val="auto"/>
              </w:rPr>
              <w:t>0.0</w:t>
            </w:r>
            <w:r>
              <w:rPr>
                <w:rFonts w:hint="eastAsia"/>
                <w:color w:val="auto"/>
              </w:rPr>
              <w:t>116</w:t>
            </w:r>
          </w:p>
        </w:tc>
        <w:tc>
          <w:tcPr>
            <w:tcW w:w="1337" w:type="dxa"/>
            <w:vAlign w:val="center"/>
          </w:tcPr>
          <w:p>
            <w:pPr>
              <w:pStyle w:val="164"/>
              <w:rPr>
                <w:color w:val="auto"/>
              </w:rPr>
            </w:pPr>
            <w:r>
              <w:rPr>
                <w:color w:val="auto"/>
              </w:rPr>
              <w:t>0.0</w:t>
            </w:r>
            <w:r>
              <w:rPr>
                <w:rFonts w:hint="eastAsia"/>
                <w:color w:val="auto"/>
              </w:rPr>
              <w:t>041</w:t>
            </w:r>
          </w:p>
        </w:tc>
        <w:tc>
          <w:tcPr>
            <w:tcW w:w="1388" w:type="dxa"/>
            <w:vAlign w:val="center"/>
          </w:tcPr>
          <w:p>
            <w:pPr>
              <w:pStyle w:val="164"/>
              <w:rPr>
                <w:color w:val="auto"/>
              </w:rPr>
            </w:pPr>
            <w:r>
              <w:rPr>
                <w:color w:val="auto"/>
              </w:rPr>
              <w:t>0.0118</w:t>
            </w:r>
          </w:p>
        </w:tc>
        <w:tc>
          <w:tcPr>
            <w:tcW w:w="1470" w:type="dxa"/>
            <w:vAlign w:val="center"/>
          </w:tcPr>
          <w:p>
            <w:pPr>
              <w:pStyle w:val="164"/>
              <w:rPr>
                <w:color w:val="auto"/>
              </w:rPr>
            </w:pPr>
            <w:r>
              <w:rPr>
                <w:color w:val="auto"/>
              </w:rPr>
              <w:t>0.0</w:t>
            </w:r>
            <w:r>
              <w:rPr>
                <w:rFonts w:hint="eastAsia"/>
                <w:color w:val="auto"/>
              </w:rPr>
              <w:t>193</w:t>
            </w:r>
          </w:p>
        </w:tc>
        <w:tc>
          <w:tcPr>
            <w:tcW w:w="1063" w:type="dxa"/>
            <w:vAlign w:val="center"/>
          </w:tcPr>
          <w:p>
            <w:pPr>
              <w:pStyle w:val="164"/>
              <w:rPr>
                <w:rFonts w:hint="default" w:eastAsia="宋体"/>
                <w:color w:val="auto"/>
                <w:lang w:val="en-US" w:eastAsia="zh-CN"/>
              </w:rPr>
            </w:pPr>
            <w:r>
              <w:rPr>
                <w:rFonts w:hint="eastAsia"/>
                <w:color w:val="auto"/>
                <w:lang w:val="en-US" w:eastAsia="zh-CN"/>
              </w:rPr>
              <w:t>+</w:t>
            </w:r>
            <w:r>
              <w:rPr>
                <w:color w:val="auto"/>
              </w:rPr>
              <w:t>0.</w:t>
            </w:r>
            <w:r>
              <w:rPr>
                <w:rFonts w:hint="eastAsia"/>
                <w:color w:val="auto"/>
              </w:rPr>
              <w:t>0</w:t>
            </w:r>
            <w:r>
              <w:rPr>
                <w:color w:val="auto"/>
              </w:rPr>
              <w:t>0</w:t>
            </w:r>
            <w:r>
              <w:rPr>
                <w:rFonts w:hint="eastAsia"/>
                <w:color w:val="auto"/>
                <w:lang w:val="en-US" w:eastAsia="zh-CN"/>
              </w:rPr>
              <w:t>77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snapToGrid w:val="0"/>
                <w:color w:val="auto"/>
                <w:szCs w:val="21"/>
              </w:rPr>
              <w:t>NH</w:t>
            </w:r>
            <w:r>
              <w:rPr>
                <w:snapToGrid w:val="0"/>
                <w:color w:val="auto"/>
                <w:szCs w:val="21"/>
                <w:vertAlign w:val="subscript"/>
              </w:rPr>
              <w:t>3</w:t>
            </w:r>
          </w:p>
        </w:tc>
        <w:tc>
          <w:tcPr>
            <w:tcW w:w="1377" w:type="dxa"/>
            <w:vAlign w:val="center"/>
          </w:tcPr>
          <w:p>
            <w:pPr>
              <w:pStyle w:val="164"/>
              <w:rPr>
                <w:color w:val="auto"/>
              </w:rPr>
            </w:pPr>
            <w:r>
              <w:rPr>
                <w:color w:val="auto"/>
              </w:rPr>
              <w:t>0.0</w:t>
            </w:r>
            <w:r>
              <w:rPr>
                <w:rFonts w:hint="eastAsia"/>
                <w:color w:val="auto"/>
              </w:rPr>
              <w:t>952</w:t>
            </w:r>
          </w:p>
        </w:tc>
        <w:tc>
          <w:tcPr>
            <w:tcW w:w="1337" w:type="dxa"/>
            <w:vAlign w:val="center"/>
          </w:tcPr>
          <w:p>
            <w:pPr>
              <w:pStyle w:val="164"/>
              <w:rPr>
                <w:color w:val="auto"/>
              </w:rPr>
            </w:pPr>
            <w:r>
              <w:rPr>
                <w:rFonts w:hint="eastAsia"/>
                <w:color w:val="auto"/>
              </w:rPr>
              <w:t>0.0501</w:t>
            </w:r>
          </w:p>
        </w:tc>
        <w:tc>
          <w:tcPr>
            <w:tcW w:w="1388" w:type="dxa"/>
            <w:vAlign w:val="center"/>
          </w:tcPr>
          <w:p>
            <w:pPr>
              <w:pStyle w:val="164"/>
              <w:rPr>
                <w:rFonts w:hint="eastAsia" w:eastAsia="宋体"/>
                <w:color w:val="auto"/>
                <w:lang w:val="en-US" w:eastAsia="zh-CN"/>
              </w:rPr>
            </w:pPr>
            <w:r>
              <w:rPr>
                <w:color w:val="auto"/>
              </w:rPr>
              <w:t>0.070</w:t>
            </w:r>
            <w:r>
              <w:rPr>
                <w:rFonts w:hint="eastAsia"/>
                <w:color w:val="auto"/>
                <w:lang w:val="en-US" w:eastAsia="zh-CN"/>
              </w:rPr>
              <w:t>8</w:t>
            </w:r>
          </w:p>
        </w:tc>
        <w:tc>
          <w:tcPr>
            <w:tcW w:w="1470" w:type="dxa"/>
            <w:vAlign w:val="center"/>
          </w:tcPr>
          <w:p>
            <w:pPr>
              <w:pStyle w:val="164"/>
              <w:rPr>
                <w:color w:val="auto"/>
                <w:szCs w:val="21"/>
              </w:rPr>
            </w:pPr>
            <w:r>
              <w:rPr>
                <w:color w:val="auto"/>
                <w:szCs w:val="21"/>
              </w:rPr>
              <w:t>0.</w:t>
            </w:r>
            <w:r>
              <w:rPr>
                <w:rFonts w:hint="eastAsia"/>
                <w:color w:val="auto"/>
                <w:szCs w:val="21"/>
              </w:rPr>
              <w:t>116</w:t>
            </w:r>
          </w:p>
        </w:tc>
        <w:tc>
          <w:tcPr>
            <w:tcW w:w="1063" w:type="dxa"/>
            <w:vAlign w:val="center"/>
          </w:tcPr>
          <w:p>
            <w:pPr>
              <w:pStyle w:val="164"/>
              <w:rPr>
                <w:color w:val="auto"/>
                <w:szCs w:val="21"/>
              </w:rPr>
            </w:pPr>
            <w:r>
              <w:rPr>
                <w:color w:val="auto"/>
                <w:szCs w:val="21"/>
              </w:rPr>
              <w:t>+0</w:t>
            </w:r>
            <w:r>
              <w:rPr>
                <w:rFonts w:hint="eastAsia"/>
                <w:color w:val="auto"/>
                <w:szCs w:val="21"/>
              </w:rPr>
              <w:t>.0</w:t>
            </w:r>
            <w:r>
              <w:rPr>
                <w:color w:val="auto"/>
                <w:szCs w:val="21"/>
              </w:rPr>
              <w:t>208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snapToGrid w:val="0"/>
                <w:color w:val="auto"/>
                <w:szCs w:val="21"/>
              </w:rPr>
              <w:t>H</w:t>
            </w:r>
            <w:r>
              <w:rPr>
                <w:snapToGrid w:val="0"/>
                <w:color w:val="auto"/>
                <w:szCs w:val="21"/>
                <w:vertAlign w:val="subscript"/>
              </w:rPr>
              <w:t>2</w:t>
            </w:r>
            <w:r>
              <w:rPr>
                <w:snapToGrid w:val="0"/>
                <w:color w:val="auto"/>
                <w:szCs w:val="21"/>
              </w:rPr>
              <w:t>S</w:t>
            </w:r>
          </w:p>
        </w:tc>
        <w:tc>
          <w:tcPr>
            <w:tcW w:w="1377" w:type="dxa"/>
            <w:vAlign w:val="center"/>
          </w:tcPr>
          <w:p>
            <w:pPr>
              <w:pStyle w:val="164"/>
              <w:rPr>
                <w:color w:val="auto"/>
              </w:rPr>
            </w:pPr>
            <w:r>
              <w:rPr>
                <w:color w:val="auto"/>
              </w:rPr>
              <w:t>0.00</w:t>
            </w:r>
            <w:r>
              <w:rPr>
                <w:rFonts w:hint="eastAsia"/>
                <w:color w:val="auto"/>
              </w:rPr>
              <w:t>05</w:t>
            </w:r>
          </w:p>
        </w:tc>
        <w:tc>
          <w:tcPr>
            <w:tcW w:w="1337" w:type="dxa"/>
            <w:vAlign w:val="center"/>
          </w:tcPr>
          <w:p>
            <w:pPr>
              <w:pStyle w:val="164"/>
              <w:rPr>
                <w:color w:val="auto"/>
              </w:rPr>
            </w:pPr>
            <w:r>
              <w:rPr>
                <w:rFonts w:hint="eastAsia"/>
                <w:color w:val="auto"/>
              </w:rPr>
              <w:t>0.0003</w:t>
            </w:r>
          </w:p>
        </w:tc>
        <w:tc>
          <w:tcPr>
            <w:tcW w:w="1388" w:type="dxa"/>
            <w:vAlign w:val="center"/>
          </w:tcPr>
          <w:p>
            <w:pPr>
              <w:pStyle w:val="164"/>
              <w:rPr>
                <w:color w:val="auto"/>
              </w:rPr>
            </w:pPr>
            <w:r>
              <w:rPr>
                <w:color w:val="auto"/>
              </w:rPr>
              <w:t>0.0004</w:t>
            </w:r>
          </w:p>
        </w:tc>
        <w:tc>
          <w:tcPr>
            <w:tcW w:w="1470" w:type="dxa"/>
            <w:vAlign w:val="center"/>
          </w:tcPr>
          <w:p>
            <w:pPr>
              <w:pStyle w:val="164"/>
              <w:rPr>
                <w:color w:val="auto"/>
                <w:szCs w:val="21"/>
              </w:rPr>
            </w:pPr>
            <w:r>
              <w:rPr>
                <w:color w:val="auto"/>
                <w:szCs w:val="21"/>
              </w:rPr>
              <w:t>0.000</w:t>
            </w:r>
            <w:r>
              <w:rPr>
                <w:rFonts w:hint="eastAsia"/>
                <w:color w:val="auto"/>
                <w:szCs w:val="21"/>
              </w:rPr>
              <w:t>6</w:t>
            </w:r>
          </w:p>
        </w:tc>
        <w:tc>
          <w:tcPr>
            <w:tcW w:w="1063" w:type="dxa"/>
            <w:vAlign w:val="center"/>
          </w:tcPr>
          <w:p>
            <w:pPr>
              <w:pStyle w:val="164"/>
              <w:rPr>
                <w:color w:val="auto"/>
                <w:szCs w:val="21"/>
              </w:rPr>
            </w:pPr>
            <w:r>
              <w:rPr>
                <w:rFonts w:hint="eastAsia"/>
                <w:color w:val="auto"/>
                <w:szCs w:val="21"/>
              </w:rPr>
              <w:t>+</w:t>
            </w:r>
            <w:r>
              <w:rPr>
                <w:color w:val="auto"/>
                <w:szCs w:val="21"/>
              </w:rPr>
              <w:t>0.00</w:t>
            </w:r>
            <w:r>
              <w:rPr>
                <w:rFonts w:hint="eastAsia"/>
                <w:color w:val="auto"/>
                <w:szCs w:val="21"/>
              </w:rPr>
              <w:t>0</w:t>
            </w:r>
            <w:r>
              <w:rPr>
                <w:color w:val="auto"/>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restart"/>
            <w:vAlign w:val="center"/>
          </w:tcPr>
          <w:p>
            <w:pPr>
              <w:pStyle w:val="164"/>
              <w:rPr>
                <w:color w:val="auto"/>
              </w:rPr>
            </w:pPr>
            <w:r>
              <w:rPr>
                <w:color w:val="auto"/>
              </w:rPr>
              <w:t>废水</w:t>
            </w:r>
          </w:p>
        </w:tc>
        <w:tc>
          <w:tcPr>
            <w:tcW w:w="1943" w:type="dxa"/>
            <w:vAlign w:val="center"/>
          </w:tcPr>
          <w:p>
            <w:pPr>
              <w:pStyle w:val="164"/>
              <w:rPr>
                <w:color w:val="auto"/>
              </w:rPr>
            </w:pPr>
            <w:r>
              <w:rPr>
                <w:color w:val="auto"/>
              </w:rPr>
              <w:t>COD</w:t>
            </w:r>
          </w:p>
        </w:tc>
        <w:tc>
          <w:tcPr>
            <w:tcW w:w="1377" w:type="dxa"/>
            <w:vAlign w:val="center"/>
          </w:tcPr>
          <w:p>
            <w:pPr>
              <w:pStyle w:val="164"/>
              <w:rPr>
                <w:color w:val="auto"/>
              </w:rPr>
            </w:pPr>
            <w:r>
              <w:rPr>
                <w:color w:val="auto"/>
              </w:rPr>
              <w:t>0</w:t>
            </w:r>
          </w:p>
        </w:tc>
        <w:tc>
          <w:tcPr>
            <w:tcW w:w="1337" w:type="dxa"/>
            <w:vAlign w:val="center"/>
          </w:tcPr>
          <w:p>
            <w:pPr>
              <w:pStyle w:val="164"/>
              <w:rPr>
                <w:color w:val="auto"/>
              </w:rPr>
            </w:pPr>
            <w:r>
              <w:rPr>
                <w:color w:val="auto"/>
              </w:rPr>
              <w:t>0</w:t>
            </w:r>
          </w:p>
        </w:tc>
        <w:tc>
          <w:tcPr>
            <w:tcW w:w="1388" w:type="dxa"/>
            <w:vAlign w:val="center"/>
          </w:tcPr>
          <w:p>
            <w:pPr>
              <w:pStyle w:val="164"/>
              <w:rPr>
                <w:color w:val="auto"/>
              </w:rPr>
            </w:pPr>
            <w:r>
              <w:rPr>
                <w:color w:val="auto"/>
              </w:rPr>
              <w:t>0</w:t>
            </w:r>
          </w:p>
        </w:tc>
        <w:tc>
          <w:tcPr>
            <w:tcW w:w="1470" w:type="dxa"/>
            <w:vAlign w:val="center"/>
          </w:tcPr>
          <w:p>
            <w:pPr>
              <w:pStyle w:val="164"/>
              <w:rPr>
                <w:color w:val="auto"/>
              </w:rPr>
            </w:pPr>
            <w:r>
              <w:rPr>
                <w:color w:val="auto"/>
              </w:rPr>
              <w:t>0</w:t>
            </w:r>
          </w:p>
        </w:tc>
        <w:tc>
          <w:tcPr>
            <w:tcW w:w="1063" w:type="dxa"/>
            <w:vAlign w:val="center"/>
          </w:tcPr>
          <w:p>
            <w:pPr>
              <w:pStyle w:val="164"/>
              <w:rPr>
                <w:color w:val="auto"/>
              </w:rPr>
            </w:pPr>
            <w:r>
              <w:rPr>
                <w:color w:val="auto"/>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氨氮</w:t>
            </w:r>
          </w:p>
        </w:tc>
        <w:tc>
          <w:tcPr>
            <w:tcW w:w="1377" w:type="dxa"/>
            <w:vAlign w:val="center"/>
          </w:tcPr>
          <w:p>
            <w:pPr>
              <w:pStyle w:val="164"/>
              <w:rPr>
                <w:color w:val="auto"/>
              </w:rPr>
            </w:pPr>
            <w:r>
              <w:rPr>
                <w:color w:val="auto"/>
              </w:rPr>
              <w:t>0</w:t>
            </w:r>
          </w:p>
        </w:tc>
        <w:tc>
          <w:tcPr>
            <w:tcW w:w="1337" w:type="dxa"/>
            <w:vAlign w:val="center"/>
          </w:tcPr>
          <w:p>
            <w:pPr>
              <w:pStyle w:val="164"/>
              <w:rPr>
                <w:color w:val="auto"/>
              </w:rPr>
            </w:pPr>
            <w:r>
              <w:rPr>
                <w:color w:val="auto"/>
              </w:rPr>
              <w:t>0</w:t>
            </w:r>
          </w:p>
        </w:tc>
        <w:tc>
          <w:tcPr>
            <w:tcW w:w="1388" w:type="dxa"/>
            <w:vAlign w:val="center"/>
          </w:tcPr>
          <w:p>
            <w:pPr>
              <w:pStyle w:val="164"/>
              <w:rPr>
                <w:color w:val="auto"/>
              </w:rPr>
            </w:pPr>
            <w:r>
              <w:rPr>
                <w:color w:val="auto"/>
              </w:rPr>
              <w:t>0</w:t>
            </w:r>
          </w:p>
        </w:tc>
        <w:tc>
          <w:tcPr>
            <w:tcW w:w="1470" w:type="dxa"/>
            <w:vAlign w:val="center"/>
          </w:tcPr>
          <w:p>
            <w:pPr>
              <w:pStyle w:val="164"/>
              <w:rPr>
                <w:color w:val="auto"/>
              </w:rPr>
            </w:pPr>
            <w:r>
              <w:rPr>
                <w:color w:val="auto"/>
              </w:rPr>
              <w:t>0</w:t>
            </w:r>
          </w:p>
        </w:tc>
        <w:tc>
          <w:tcPr>
            <w:tcW w:w="1063" w:type="dxa"/>
            <w:vAlign w:val="center"/>
          </w:tcPr>
          <w:p>
            <w:pPr>
              <w:pStyle w:val="164"/>
              <w:rPr>
                <w:color w:val="auto"/>
              </w:rPr>
            </w:pPr>
            <w:r>
              <w:rPr>
                <w:color w:val="auto"/>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restart"/>
            <w:vAlign w:val="center"/>
          </w:tcPr>
          <w:p>
            <w:pPr>
              <w:pStyle w:val="164"/>
              <w:rPr>
                <w:color w:val="auto"/>
              </w:rPr>
            </w:pPr>
            <w:r>
              <w:rPr>
                <w:color w:val="auto"/>
              </w:rPr>
              <w:t>固体废物</w:t>
            </w:r>
          </w:p>
        </w:tc>
        <w:tc>
          <w:tcPr>
            <w:tcW w:w="1943" w:type="dxa"/>
            <w:vAlign w:val="center"/>
          </w:tcPr>
          <w:p>
            <w:pPr>
              <w:pStyle w:val="164"/>
              <w:rPr>
                <w:color w:val="auto"/>
              </w:rPr>
            </w:pPr>
            <w:r>
              <w:rPr>
                <w:color w:val="auto"/>
              </w:rPr>
              <w:t>生活垃圾</w:t>
            </w:r>
          </w:p>
        </w:tc>
        <w:tc>
          <w:tcPr>
            <w:tcW w:w="1377" w:type="dxa"/>
            <w:vAlign w:val="center"/>
          </w:tcPr>
          <w:p>
            <w:pPr>
              <w:pStyle w:val="164"/>
              <w:rPr>
                <w:color w:val="auto"/>
              </w:rPr>
            </w:pPr>
            <w:r>
              <w:rPr>
                <w:color w:val="auto"/>
              </w:rPr>
              <w:t>6.6</w:t>
            </w:r>
          </w:p>
        </w:tc>
        <w:tc>
          <w:tcPr>
            <w:tcW w:w="1337" w:type="dxa"/>
            <w:vAlign w:val="center"/>
          </w:tcPr>
          <w:p>
            <w:pPr>
              <w:pStyle w:val="164"/>
              <w:rPr>
                <w:color w:val="auto"/>
              </w:rPr>
            </w:pPr>
            <w:r>
              <w:rPr>
                <w:color w:val="auto"/>
              </w:rPr>
              <w:t>0</w:t>
            </w:r>
          </w:p>
        </w:tc>
        <w:tc>
          <w:tcPr>
            <w:tcW w:w="1388" w:type="dxa"/>
            <w:vAlign w:val="center"/>
          </w:tcPr>
          <w:p>
            <w:pPr>
              <w:pStyle w:val="164"/>
              <w:rPr>
                <w:color w:val="auto"/>
              </w:rPr>
            </w:pPr>
            <w:r>
              <w:rPr>
                <w:color w:val="auto"/>
              </w:rPr>
              <w:t>0</w:t>
            </w:r>
          </w:p>
        </w:tc>
        <w:tc>
          <w:tcPr>
            <w:tcW w:w="1470" w:type="dxa"/>
            <w:vAlign w:val="center"/>
          </w:tcPr>
          <w:p>
            <w:pPr>
              <w:pStyle w:val="164"/>
              <w:rPr>
                <w:color w:val="auto"/>
              </w:rPr>
            </w:pPr>
            <w:r>
              <w:rPr>
                <w:color w:val="auto"/>
              </w:rPr>
              <w:t>6.6</w:t>
            </w:r>
          </w:p>
        </w:tc>
        <w:tc>
          <w:tcPr>
            <w:tcW w:w="1063" w:type="dxa"/>
            <w:vAlign w:val="center"/>
          </w:tcPr>
          <w:p>
            <w:pPr>
              <w:pStyle w:val="164"/>
              <w:rPr>
                <w:color w:val="auto"/>
              </w:rPr>
            </w:pPr>
            <w:r>
              <w:rPr>
                <w:color w:val="auto"/>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报废周转箱</w:t>
            </w:r>
          </w:p>
        </w:tc>
        <w:tc>
          <w:tcPr>
            <w:tcW w:w="1377" w:type="dxa"/>
            <w:vAlign w:val="center"/>
          </w:tcPr>
          <w:p>
            <w:pPr>
              <w:pStyle w:val="164"/>
              <w:rPr>
                <w:color w:val="auto"/>
              </w:rPr>
            </w:pPr>
            <w:r>
              <w:rPr>
                <w:color w:val="auto"/>
              </w:rPr>
              <w:t>0.005</w:t>
            </w:r>
          </w:p>
        </w:tc>
        <w:tc>
          <w:tcPr>
            <w:tcW w:w="1337" w:type="dxa"/>
            <w:vAlign w:val="center"/>
          </w:tcPr>
          <w:p>
            <w:pPr>
              <w:pStyle w:val="164"/>
              <w:rPr>
                <w:color w:val="auto"/>
              </w:rPr>
            </w:pPr>
            <w:r>
              <w:rPr>
                <w:color w:val="auto"/>
              </w:rPr>
              <w:t>0</w:t>
            </w:r>
          </w:p>
        </w:tc>
        <w:tc>
          <w:tcPr>
            <w:tcW w:w="1388" w:type="dxa"/>
            <w:vAlign w:val="center"/>
          </w:tcPr>
          <w:p>
            <w:pPr>
              <w:pStyle w:val="164"/>
              <w:rPr>
                <w:color w:val="auto"/>
              </w:rPr>
            </w:pPr>
            <w:r>
              <w:rPr>
                <w:color w:val="auto"/>
              </w:rPr>
              <w:t>0.01</w:t>
            </w:r>
          </w:p>
        </w:tc>
        <w:tc>
          <w:tcPr>
            <w:tcW w:w="1470" w:type="dxa"/>
            <w:vAlign w:val="center"/>
          </w:tcPr>
          <w:p>
            <w:pPr>
              <w:pStyle w:val="164"/>
              <w:rPr>
                <w:color w:val="auto"/>
              </w:rPr>
            </w:pPr>
            <w:r>
              <w:rPr>
                <w:color w:val="auto"/>
              </w:rPr>
              <w:t>0.01</w:t>
            </w:r>
            <w:r>
              <w:rPr>
                <w:rFonts w:hint="eastAsia"/>
                <w:color w:val="auto"/>
              </w:rPr>
              <w:t>5</w:t>
            </w:r>
          </w:p>
        </w:tc>
        <w:tc>
          <w:tcPr>
            <w:tcW w:w="1063" w:type="dxa"/>
            <w:vAlign w:val="center"/>
          </w:tcPr>
          <w:p>
            <w:pPr>
              <w:pStyle w:val="164"/>
              <w:rPr>
                <w:color w:val="auto"/>
              </w:rPr>
            </w:pPr>
            <w:r>
              <w:rPr>
                <w:color w:val="auto"/>
              </w:rPr>
              <w:t>+0.0</w:t>
            </w:r>
            <w:r>
              <w:rPr>
                <w:rFonts w:hint="eastAsia"/>
                <w:color w:val="auto"/>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废树脂</w:t>
            </w:r>
          </w:p>
        </w:tc>
        <w:tc>
          <w:tcPr>
            <w:tcW w:w="1377" w:type="dxa"/>
            <w:vAlign w:val="center"/>
          </w:tcPr>
          <w:p>
            <w:pPr>
              <w:pStyle w:val="164"/>
              <w:rPr>
                <w:color w:val="auto"/>
              </w:rPr>
            </w:pPr>
            <w:r>
              <w:rPr>
                <w:color w:val="auto"/>
              </w:rPr>
              <w:t>0.0</w:t>
            </w:r>
            <w:r>
              <w:rPr>
                <w:rFonts w:hint="eastAsia"/>
                <w:color w:val="auto"/>
              </w:rPr>
              <w:t>3</w:t>
            </w:r>
          </w:p>
        </w:tc>
        <w:tc>
          <w:tcPr>
            <w:tcW w:w="1337" w:type="dxa"/>
            <w:vAlign w:val="center"/>
          </w:tcPr>
          <w:p>
            <w:pPr>
              <w:pStyle w:val="164"/>
              <w:rPr>
                <w:color w:val="auto"/>
              </w:rPr>
            </w:pPr>
            <w:r>
              <w:rPr>
                <w:rFonts w:hint="eastAsia"/>
                <w:color w:val="auto"/>
              </w:rPr>
              <w:t>0</w:t>
            </w:r>
          </w:p>
        </w:tc>
        <w:tc>
          <w:tcPr>
            <w:tcW w:w="1388" w:type="dxa"/>
            <w:vAlign w:val="center"/>
          </w:tcPr>
          <w:p>
            <w:pPr>
              <w:pStyle w:val="164"/>
              <w:rPr>
                <w:color w:val="auto"/>
              </w:rPr>
            </w:pPr>
            <w:r>
              <w:rPr>
                <w:color w:val="auto"/>
              </w:rPr>
              <w:t>0.05</w:t>
            </w:r>
          </w:p>
        </w:tc>
        <w:tc>
          <w:tcPr>
            <w:tcW w:w="1470" w:type="dxa"/>
            <w:vAlign w:val="center"/>
          </w:tcPr>
          <w:p>
            <w:pPr>
              <w:pStyle w:val="164"/>
              <w:rPr>
                <w:color w:val="auto"/>
              </w:rPr>
            </w:pPr>
            <w:r>
              <w:rPr>
                <w:color w:val="auto"/>
              </w:rPr>
              <w:t>0.0</w:t>
            </w:r>
            <w:r>
              <w:rPr>
                <w:rFonts w:hint="eastAsia"/>
                <w:color w:val="auto"/>
              </w:rPr>
              <w:t>8</w:t>
            </w:r>
          </w:p>
        </w:tc>
        <w:tc>
          <w:tcPr>
            <w:tcW w:w="1063" w:type="dxa"/>
            <w:vAlign w:val="center"/>
          </w:tcPr>
          <w:p>
            <w:pPr>
              <w:pStyle w:val="164"/>
              <w:rPr>
                <w:color w:val="auto"/>
              </w:rPr>
            </w:pPr>
            <w:r>
              <w:rPr>
                <w:rFonts w:hint="eastAsia"/>
                <w:color w:val="auto"/>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灭菌处理后的医疗废物</w:t>
            </w:r>
          </w:p>
        </w:tc>
        <w:tc>
          <w:tcPr>
            <w:tcW w:w="1377" w:type="dxa"/>
            <w:vAlign w:val="center"/>
          </w:tcPr>
          <w:p>
            <w:pPr>
              <w:pStyle w:val="164"/>
              <w:rPr>
                <w:color w:val="auto"/>
              </w:rPr>
            </w:pPr>
            <w:r>
              <w:rPr>
                <w:color w:val="auto"/>
              </w:rPr>
              <w:t>912.4</w:t>
            </w:r>
          </w:p>
        </w:tc>
        <w:tc>
          <w:tcPr>
            <w:tcW w:w="1337" w:type="dxa"/>
            <w:vAlign w:val="center"/>
          </w:tcPr>
          <w:p>
            <w:pPr>
              <w:pStyle w:val="164"/>
              <w:rPr>
                <w:color w:val="auto"/>
              </w:rPr>
            </w:pPr>
            <w:r>
              <w:rPr>
                <w:rFonts w:hint="eastAsia"/>
                <w:color w:val="auto"/>
              </w:rPr>
              <w:t>0</w:t>
            </w:r>
          </w:p>
        </w:tc>
        <w:tc>
          <w:tcPr>
            <w:tcW w:w="1388" w:type="dxa"/>
            <w:vAlign w:val="center"/>
          </w:tcPr>
          <w:p>
            <w:pPr>
              <w:pStyle w:val="164"/>
              <w:rPr>
                <w:color w:val="auto"/>
              </w:rPr>
            </w:pPr>
            <w:r>
              <w:rPr>
                <w:color w:val="auto"/>
              </w:rPr>
              <w:t>1520.74</w:t>
            </w:r>
          </w:p>
        </w:tc>
        <w:tc>
          <w:tcPr>
            <w:tcW w:w="1470" w:type="dxa"/>
            <w:vAlign w:val="center"/>
          </w:tcPr>
          <w:p>
            <w:pPr>
              <w:pStyle w:val="164"/>
              <w:rPr>
                <w:color w:val="auto"/>
              </w:rPr>
            </w:pPr>
            <w:r>
              <w:rPr>
                <w:rFonts w:hint="eastAsia"/>
                <w:color w:val="auto"/>
              </w:rPr>
              <w:t>2</w:t>
            </w:r>
            <w:r>
              <w:rPr>
                <w:color w:val="auto"/>
              </w:rPr>
              <w:t>433.14</w:t>
            </w:r>
          </w:p>
        </w:tc>
        <w:tc>
          <w:tcPr>
            <w:tcW w:w="1063" w:type="dxa"/>
            <w:vAlign w:val="center"/>
          </w:tcPr>
          <w:p>
            <w:pPr>
              <w:pStyle w:val="164"/>
              <w:rPr>
                <w:color w:val="auto"/>
              </w:rPr>
            </w:pPr>
            <w:r>
              <w:rPr>
                <w:color w:val="auto"/>
              </w:rPr>
              <w:t>+</w:t>
            </w:r>
            <w:r>
              <w:rPr>
                <w:rFonts w:hint="eastAsia"/>
                <w:color w:val="auto"/>
              </w:rPr>
              <w:t>1520.74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废活性炭</w:t>
            </w:r>
          </w:p>
        </w:tc>
        <w:tc>
          <w:tcPr>
            <w:tcW w:w="1377" w:type="dxa"/>
            <w:vAlign w:val="center"/>
          </w:tcPr>
          <w:p>
            <w:pPr>
              <w:pStyle w:val="164"/>
              <w:rPr>
                <w:rFonts w:hint="eastAsia" w:eastAsia="宋体"/>
                <w:color w:val="auto"/>
                <w:lang w:eastAsia="zh-CN"/>
              </w:rPr>
            </w:pPr>
            <w:r>
              <w:rPr>
                <w:rFonts w:hint="eastAsia"/>
                <w:color w:val="auto"/>
              </w:rPr>
              <w:t>0.0</w:t>
            </w:r>
            <w:r>
              <w:rPr>
                <w:rFonts w:hint="eastAsia"/>
                <w:color w:val="auto"/>
                <w:lang w:val="en-US" w:eastAsia="zh-CN"/>
              </w:rPr>
              <w:t>2</w:t>
            </w:r>
          </w:p>
        </w:tc>
        <w:tc>
          <w:tcPr>
            <w:tcW w:w="1337" w:type="dxa"/>
            <w:vAlign w:val="center"/>
          </w:tcPr>
          <w:p>
            <w:pPr>
              <w:pStyle w:val="164"/>
              <w:rPr>
                <w:rFonts w:hint="eastAsia" w:eastAsia="宋体"/>
                <w:color w:val="auto"/>
                <w:lang w:val="en-US" w:eastAsia="zh-CN"/>
              </w:rPr>
            </w:pPr>
            <w:r>
              <w:rPr>
                <w:rFonts w:hint="eastAsia"/>
                <w:color w:val="auto"/>
                <w:lang w:val="en-US" w:eastAsia="zh-CN"/>
              </w:rPr>
              <w:t>0</w:t>
            </w:r>
          </w:p>
        </w:tc>
        <w:tc>
          <w:tcPr>
            <w:tcW w:w="1388" w:type="dxa"/>
            <w:vAlign w:val="center"/>
          </w:tcPr>
          <w:p>
            <w:pPr>
              <w:pStyle w:val="164"/>
              <w:rPr>
                <w:color w:val="auto"/>
              </w:rPr>
            </w:pPr>
            <w:r>
              <w:rPr>
                <w:color w:val="auto"/>
              </w:rPr>
              <w:t>0.05</w:t>
            </w:r>
          </w:p>
        </w:tc>
        <w:tc>
          <w:tcPr>
            <w:tcW w:w="1470" w:type="dxa"/>
            <w:vAlign w:val="center"/>
          </w:tcPr>
          <w:p>
            <w:pPr>
              <w:pStyle w:val="164"/>
              <w:rPr>
                <w:rFonts w:hint="eastAsia" w:eastAsia="宋体"/>
                <w:color w:val="auto"/>
                <w:lang w:eastAsia="zh-CN"/>
              </w:rPr>
            </w:pPr>
            <w:r>
              <w:rPr>
                <w:color w:val="auto"/>
              </w:rPr>
              <w:t>0.0</w:t>
            </w:r>
            <w:r>
              <w:rPr>
                <w:rFonts w:hint="eastAsia"/>
                <w:color w:val="auto"/>
                <w:lang w:val="en-US" w:eastAsia="zh-CN"/>
              </w:rPr>
              <w:t>7</w:t>
            </w:r>
          </w:p>
        </w:tc>
        <w:tc>
          <w:tcPr>
            <w:tcW w:w="1063" w:type="dxa"/>
            <w:vAlign w:val="center"/>
          </w:tcPr>
          <w:p>
            <w:pPr>
              <w:pStyle w:val="164"/>
              <w:rPr>
                <w:rFonts w:hint="eastAsia" w:eastAsia="宋体"/>
                <w:color w:val="auto"/>
                <w:lang w:val="en-US" w:eastAsia="zh-CN"/>
              </w:rPr>
            </w:pPr>
            <w:r>
              <w:rPr>
                <w:rFonts w:hint="eastAsia"/>
                <w:color w:val="auto"/>
              </w:rPr>
              <w:t>+0.0</w:t>
            </w:r>
            <w:r>
              <w:rPr>
                <w:rFonts w:hint="eastAsia"/>
                <w:color w:val="auto"/>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废滤芯</w:t>
            </w:r>
          </w:p>
        </w:tc>
        <w:tc>
          <w:tcPr>
            <w:tcW w:w="1377" w:type="dxa"/>
            <w:vAlign w:val="center"/>
          </w:tcPr>
          <w:p>
            <w:pPr>
              <w:pStyle w:val="164"/>
              <w:rPr>
                <w:color w:val="auto"/>
              </w:rPr>
            </w:pPr>
            <w:r>
              <w:rPr>
                <w:color w:val="auto"/>
              </w:rPr>
              <w:t>0.</w:t>
            </w:r>
            <w:r>
              <w:rPr>
                <w:rFonts w:hint="eastAsia"/>
                <w:color w:val="auto"/>
              </w:rPr>
              <w:t>04</w:t>
            </w:r>
          </w:p>
        </w:tc>
        <w:tc>
          <w:tcPr>
            <w:tcW w:w="1337" w:type="dxa"/>
            <w:vAlign w:val="center"/>
          </w:tcPr>
          <w:p>
            <w:pPr>
              <w:pStyle w:val="164"/>
              <w:rPr>
                <w:color w:val="auto"/>
              </w:rPr>
            </w:pPr>
            <w:r>
              <w:rPr>
                <w:rFonts w:hint="eastAsia"/>
                <w:color w:val="auto"/>
              </w:rPr>
              <w:t>0</w:t>
            </w:r>
          </w:p>
        </w:tc>
        <w:tc>
          <w:tcPr>
            <w:tcW w:w="1388" w:type="dxa"/>
            <w:vAlign w:val="center"/>
          </w:tcPr>
          <w:p>
            <w:pPr>
              <w:pStyle w:val="164"/>
              <w:rPr>
                <w:color w:val="auto"/>
              </w:rPr>
            </w:pPr>
            <w:r>
              <w:rPr>
                <w:color w:val="auto"/>
              </w:rPr>
              <w:t>0.</w:t>
            </w:r>
            <w:r>
              <w:rPr>
                <w:rFonts w:hint="eastAsia"/>
                <w:color w:val="auto"/>
              </w:rPr>
              <w:t>048</w:t>
            </w:r>
          </w:p>
        </w:tc>
        <w:tc>
          <w:tcPr>
            <w:tcW w:w="1470" w:type="dxa"/>
            <w:vAlign w:val="center"/>
          </w:tcPr>
          <w:p>
            <w:pPr>
              <w:pStyle w:val="164"/>
              <w:rPr>
                <w:color w:val="auto"/>
              </w:rPr>
            </w:pPr>
            <w:r>
              <w:rPr>
                <w:color w:val="auto"/>
              </w:rPr>
              <w:t>0.</w:t>
            </w:r>
            <w:r>
              <w:rPr>
                <w:rFonts w:hint="eastAsia"/>
                <w:color w:val="auto"/>
              </w:rPr>
              <w:t>088</w:t>
            </w:r>
          </w:p>
        </w:tc>
        <w:tc>
          <w:tcPr>
            <w:tcW w:w="1063" w:type="dxa"/>
            <w:vAlign w:val="center"/>
          </w:tcPr>
          <w:p>
            <w:pPr>
              <w:pStyle w:val="164"/>
              <w:rPr>
                <w:color w:val="auto"/>
              </w:rPr>
            </w:pPr>
            <w:r>
              <w:rPr>
                <w:color w:val="auto"/>
              </w:rPr>
              <w:t>+0.0</w:t>
            </w:r>
            <w:r>
              <w:rPr>
                <w:rFonts w:hint="eastAsia"/>
                <w:color w:val="auto"/>
              </w:rPr>
              <w:t>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527" w:type="dxa"/>
            <w:vMerge w:val="continue"/>
            <w:vAlign w:val="center"/>
          </w:tcPr>
          <w:p>
            <w:pPr>
              <w:pStyle w:val="164"/>
              <w:rPr>
                <w:color w:val="auto"/>
              </w:rPr>
            </w:pPr>
          </w:p>
        </w:tc>
        <w:tc>
          <w:tcPr>
            <w:tcW w:w="1943" w:type="dxa"/>
            <w:vAlign w:val="center"/>
          </w:tcPr>
          <w:p>
            <w:pPr>
              <w:pStyle w:val="164"/>
              <w:rPr>
                <w:color w:val="auto"/>
              </w:rPr>
            </w:pPr>
            <w:r>
              <w:rPr>
                <w:color w:val="auto"/>
              </w:rPr>
              <w:t>污水处理站污泥</w:t>
            </w:r>
          </w:p>
        </w:tc>
        <w:tc>
          <w:tcPr>
            <w:tcW w:w="1377" w:type="dxa"/>
            <w:vAlign w:val="center"/>
          </w:tcPr>
          <w:p>
            <w:pPr>
              <w:pStyle w:val="164"/>
              <w:rPr>
                <w:color w:val="auto"/>
              </w:rPr>
            </w:pPr>
            <w:r>
              <w:rPr>
                <w:color w:val="auto"/>
              </w:rPr>
              <w:t>0</w:t>
            </w:r>
          </w:p>
        </w:tc>
        <w:tc>
          <w:tcPr>
            <w:tcW w:w="1337" w:type="dxa"/>
            <w:vAlign w:val="center"/>
          </w:tcPr>
          <w:p>
            <w:pPr>
              <w:pStyle w:val="164"/>
              <w:rPr>
                <w:color w:val="auto"/>
              </w:rPr>
            </w:pPr>
            <w:r>
              <w:rPr>
                <w:color w:val="auto"/>
              </w:rPr>
              <w:t>0</w:t>
            </w:r>
          </w:p>
        </w:tc>
        <w:tc>
          <w:tcPr>
            <w:tcW w:w="1388" w:type="dxa"/>
            <w:vAlign w:val="center"/>
          </w:tcPr>
          <w:p>
            <w:pPr>
              <w:pStyle w:val="164"/>
              <w:rPr>
                <w:rFonts w:hint="eastAsia" w:eastAsia="宋体"/>
                <w:color w:val="auto"/>
                <w:lang w:val="en-US" w:eastAsia="zh-CN"/>
              </w:rPr>
            </w:pPr>
            <w:r>
              <w:rPr>
                <w:color w:val="auto"/>
              </w:rPr>
              <w:t>0.</w:t>
            </w:r>
            <w:r>
              <w:rPr>
                <w:rFonts w:hint="eastAsia"/>
                <w:color w:val="auto"/>
                <w:lang w:val="en-US" w:eastAsia="zh-CN"/>
              </w:rPr>
              <w:t>5</w:t>
            </w:r>
          </w:p>
        </w:tc>
        <w:tc>
          <w:tcPr>
            <w:tcW w:w="1470" w:type="dxa"/>
            <w:vAlign w:val="center"/>
          </w:tcPr>
          <w:p>
            <w:pPr>
              <w:pStyle w:val="164"/>
              <w:rPr>
                <w:rFonts w:hint="eastAsia" w:eastAsia="宋体"/>
                <w:color w:val="auto"/>
                <w:lang w:val="en-US" w:eastAsia="zh-CN"/>
              </w:rPr>
            </w:pPr>
            <w:r>
              <w:rPr>
                <w:color w:val="auto"/>
              </w:rPr>
              <w:t>0.</w:t>
            </w:r>
            <w:r>
              <w:rPr>
                <w:rFonts w:hint="eastAsia"/>
                <w:color w:val="auto"/>
                <w:lang w:val="en-US" w:eastAsia="zh-CN"/>
              </w:rPr>
              <w:t>5</w:t>
            </w:r>
          </w:p>
        </w:tc>
        <w:tc>
          <w:tcPr>
            <w:tcW w:w="1063" w:type="dxa"/>
            <w:vAlign w:val="center"/>
          </w:tcPr>
          <w:p>
            <w:pPr>
              <w:pStyle w:val="164"/>
              <w:rPr>
                <w:rFonts w:hint="eastAsia" w:eastAsia="宋体"/>
                <w:color w:val="auto"/>
                <w:lang w:val="en-US" w:eastAsia="zh-CN"/>
              </w:rPr>
            </w:pPr>
            <w:r>
              <w:rPr>
                <w:color w:val="auto"/>
              </w:rPr>
              <w:t>+0.</w:t>
            </w:r>
            <w:r>
              <w:rPr>
                <w:rFonts w:hint="eastAsia"/>
                <w:color w:val="auto"/>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9105" w:type="dxa"/>
            <w:gridSpan w:val="7"/>
            <w:vAlign w:val="center"/>
          </w:tcPr>
          <w:p>
            <w:pPr>
              <w:pStyle w:val="164"/>
              <w:jc w:val="both"/>
              <w:rPr>
                <w:color w:val="auto"/>
              </w:rPr>
            </w:pPr>
            <w:r>
              <w:rPr>
                <w:color w:val="auto"/>
                <w:szCs w:val="21"/>
              </w:rPr>
              <w:t>注：废气统计中</w:t>
            </w:r>
            <w:r>
              <w:rPr>
                <w:rFonts w:hint="eastAsia"/>
                <w:color w:val="auto"/>
                <w:szCs w:val="21"/>
              </w:rPr>
              <w:t>不</w:t>
            </w:r>
            <w:r>
              <w:rPr>
                <w:color w:val="auto"/>
                <w:szCs w:val="21"/>
              </w:rPr>
              <w:t>包括无组织排放量</w:t>
            </w:r>
          </w:p>
        </w:tc>
      </w:tr>
    </w:tbl>
    <w:p>
      <w:pPr>
        <w:pStyle w:val="4"/>
        <w:numPr>
          <w:ilvl w:val="1"/>
          <w:numId w:val="0"/>
        </w:numPr>
        <w:spacing w:before="120"/>
        <w:rPr>
          <w:color w:val="auto"/>
        </w:rPr>
      </w:pPr>
      <w:bookmarkStart w:id="264" w:name="_Toc109398620"/>
      <w:bookmarkStart w:id="265" w:name="_Toc58849447"/>
      <w:r>
        <w:rPr>
          <w:color w:val="auto"/>
        </w:rPr>
        <w:t>4.10清洁生产</w:t>
      </w:r>
      <w:bookmarkEnd w:id="264"/>
      <w:bookmarkEnd w:id="265"/>
    </w:p>
    <w:p>
      <w:pPr>
        <w:pStyle w:val="130"/>
        <w:ind w:firstLine="480"/>
        <w:rPr>
          <w:color w:val="auto"/>
        </w:rPr>
      </w:pPr>
      <w:r>
        <w:rPr>
          <w:color w:val="auto"/>
        </w:rPr>
        <w:t>《中华人民共和国清洁生产促进法》第十八条要求“新建、改建和扩建项目应当进行环境影响评价，对原料使用、资源消耗、资源综合利用以及处置等进行分析论证，优先采用资源利用率高以及污染物产生量少的清洁生产技术、工艺和设备。本次评价根据该规定并结合国家产业政策和项目特点，分析本项目生产工艺和装备、资源能源利用、污染物治理、废物回收利用等方面是否符合清洁生产要求。</w:t>
      </w:r>
    </w:p>
    <w:p>
      <w:pPr>
        <w:pStyle w:val="5"/>
        <w:numPr>
          <w:ilvl w:val="2"/>
          <w:numId w:val="0"/>
        </w:numPr>
        <w:ind w:left="-720" w:leftChars="-343" w:firstLine="723" w:firstLineChars="300"/>
        <w:rPr>
          <w:color w:val="auto"/>
        </w:rPr>
      </w:pPr>
      <w:bookmarkStart w:id="266" w:name="_Toc58849448"/>
      <w:bookmarkStart w:id="267" w:name="_Toc109398621"/>
      <w:r>
        <w:rPr>
          <w:color w:val="auto"/>
        </w:rPr>
        <w:t>4.10.1清洁生产的目的和意义</w:t>
      </w:r>
      <w:bookmarkEnd w:id="266"/>
      <w:bookmarkEnd w:id="267"/>
    </w:p>
    <w:p>
      <w:pPr>
        <w:pStyle w:val="130"/>
        <w:ind w:firstLine="480"/>
        <w:rPr>
          <w:color w:val="auto"/>
        </w:rPr>
      </w:pPr>
      <w:r>
        <w:rPr>
          <w:color w:val="auto"/>
        </w:rPr>
        <w:t>在工业生产中，实行清洁生产意义在于：</w:t>
      </w:r>
    </w:p>
    <w:p>
      <w:pPr>
        <w:pStyle w:val="130"/>
        <w:ind w:firstLine="480"/>
        <w:rPr>
          <w:color w:val="auto"/>
        </w:rPr>
      </w:pPr>
      <w:r>
        <w:rPr>
          <w:color w:val="auto"/>
        </w:rPr>
        <w:t>1、环境与经济必须协调发展，走经济和环境可持续发展的道路。</w:t>
      </w:r>
    </w:p>
    <w:p>
      <w:pPr>
        <w:pStyle w:val="130"/>
        <w:ind w:firstLine="480"/>
        <w:rPr>
          <w:color w:val="auto"/>
        </w:rPr>
      </w:pPr>
      <w:r>
        <w:rPr>
          <w:color w:val="auto"/>
        </w:rPr>
        <w:t>2、工业环境管理模式必须随着社会主义市场经济的发展而改变，由末端治理转变为实行预防污染和工业生产全过程的控制。</w:t>
      </w:r>
    </w:p>
    <w:p>
      <w:pPr>
        <w:pStyle w:val="130"/>
        <w:ind w:firstLine="480"/>
        <w:rPr>
          <w:color w:val="auto"/>
        </w:rPr>
      </w:pPr>
      <w:r>
        <w:rPr>
          <w:color w:val="auto"/>
        </w:rPr>
        <w:t>3、推行清洁生产将会给社会和企业本身带来巨大的社会、经济、环境效益。</w:t>
      </w:r>
    </w:p>
    <w:p>
      <w:pPr>
        <w:pStyle w:val="5"/>
        <w:numPr>
          <w:ilvl w:val="2"/>
          <w:numId w:val="0"/>
        </w:numPr>
        <w:ind w:left="-720" w:leftChars="-343" w:firstLine="723" w:firstLineChars="300"/>
        <w:rPr>
          <w:color w:val="auto"/>
        </w:rPr>
      </w:pPr>
      <w:bookmarkStart w:id="268" w:name="_Toc58849449"/>
      <w:bookmarkStart w:id="269" w:name="_Toc109398622"/>
      <w:r>
        <w:rPr>
          <w:color w:val="auto"/>
        </w:rPr>
        <w:t>4.10.2清洁生产的原则</w:t>
      </w:r>
      <w:bookmarkEnd w:id="268"/>
      <w:bookmarkEnd w:id="269"/>
    </w:p>
    <w:p>
      <w:pPr>
        <w:pStyle w:val="130"/>
        <w:ind w:firstLine="480"/>
        <w:rPr>
          <w:color w:val="auto"/>
        </w:rPr>
      </w:pPr>
      <w:r>
        <w:rPr>
          <w:color w:val="auto"/>
        </w:rPr>
        <w:t>清洁生产是指企业在不断采取改进没计、使用清洁原辅料和燃料、采用先进工艺技术和设备、改善管理、提高综合利用等措施基础上，从源头削减污染、提高资源利用率，减少或避免生产、服务和产品使用过程中环境污染，促进经济和社会可持续发展。根据《中华人民共和国清洁生产促进法》，本项目在生产运营中采取以下清洁生产措施：</w:t>
      </w:r>
    </w:p>
    <w:p>
      <w:pPr>
        <w:pStyle w:val="5"/>
        <w:numPr>
          <w:ilvl w:val="2"/>
          <w:numId w:val="0"/>
        </w:numPr>
        <w:ind w:left="-720" w:leftChars="-343" w:firstLine="723" w:firstLineChars="300"/>
        <w:rPr>
          <w:color w:val="auto"/>
        </w:rPr>
      </w:pPr>
      <w:bookmarkStart w:id="270" w:name="_Toc58849450"/>
      <w:bookmarkStart w:id="271" w:name="_Toc109398623"/>
      <w:r>
        <w:rPr>
          <w:color w:val="auto"/>
        </w:rPr>
        <w:t>4.10.3生产工艺分析</w:t>
      </w:r>
      <w:bookmarkEnd w:id="270"/>
      <w:bookmarkEnd w:id="271"/>
    </w:p>
    <w:p>
      <w:pPr>
        <w:pStyle w:val="130"/>
        <w:ind w:firstLine="480"/>
        <w:rPr>
          <w:color w:val="auto"/>
        </w:rPr>
      </w:pPr>
      <w:r>
        <w:rPr>
          <w:color w:val="auto"/>
        </w:rPr>
        <w:t>根据《医疗废物高温蒸汽消毒集中处理工程技术规范》（HJ 276-2021）明确可以采用先蒸汽处理后破碎、先破碎后蒸汽处理或蒸汽处理与破碎同时进行等三种工艺形式，宜优先采用先蒸汽处理后破碎或蒸汽处理与破碎同时进行两种工艺形式，本项目采用（HJ 276-2021）中的先蒸汽处理后破碎的工艺。</w:t>
      </w:r>
    </w:p>
    <w:p>
      <w:pPr>
        <w:pStyle w:val="130"/>
        <w:ind w:firstLine="480"/>
        <w:rPr>
          <w:color w:val="auto"/>
        </w:rPr>
      </w:pPr>
      <w:r>
        <w:rPr>
          <w:color w:val="auto"/>
        </w:rPr>
        <w:t>本项目采用的高温蒸汽灭菌的处置工艺的技术特点：</w:t>
      </w:r>
    </w:p>
    <w:p>
      <w:pPr>
        <w:pStyle w:val="130"/>
        <w:ind w:firstLine="480"/>
        <w:rPr>
          <w:color w:val="auto"/>
        </w:rPr>
      </w:pPr>
      <w:r>
        <w:rPr>
          <w:color w:val="auto"/>
        </w:rPr>
        <w:t>1、清洁、干净</w:t>
      </w:r>
    </w:p>
    <w:p>
      <w:pPr>
        <w:pStyle w:val="130"/>
        <w:ind w:firstLine="480"/>
        <w:rPr>
          <w:color w:val="auto"/>
        </w:rPr>
      </w:pPr>
      <w:r>
        <w:rPr>
          <w:color w:val="auto"/>
        </w:rPr>
        <w:t>整个灭菌处理过程，不使用任何可能产生有毒垃圾的化学添加剂，运行介质主要为高温饱和蒸汽，处置过程无二噁英排放问题，是一种“干净的”处理方法。</w:t>
      </w:r>
    </w:p>
    <w:p>
      <w:pPr>
        <w:pStyle w:val="130"/>
        <w:ind w:firstLine="480"/>
        <w:rPr>
          <w:color w:val="auto"/>
        </w:rPr>
      </w:pPr>
      <w:r>
        <w:rPr>
          <w:color w:val="auto"/>
        </w:rPr>
        <w:t>2、灭菌效率保障</w:t>
      </w:r>
    </w:p>
    <w:p>
      <w:pPr>
        <w:pStyle w:val="130"/>
        <w:ind w:firstLine="480"/>
        <w:rPr>
          <w:color w:val="auto"/>
        </w:rPr>
      </w:pPr>
      <w:r>
        <w:rPr>
          <w:color w:val="auto"/>
        </w:rPr>
        <w:t>整个灭菌处理过程，运行介质主要为高温饱和蒸汽，通过腔内真空、饱和蒸汽的三次反复交替，可以保证内腔所有密闭区域均达到真空状态、保证高压蒸汽能够穿透物料、进入物料内部使医疗废物受热均匀，保证灭菌的效果。在设定的温度 134℃，0.22MPa的蒸汽压力下保持45min，灭菌后，细菌存活几率小于10</w:t>
      </w:r>
      <w:r>
        <w:rPr>
          <w:color w:val="auto"/>
          <w:vertAlign w:val="superscript"/>
        </w:rPr>
        <w:t>-6</w:t>
      </w:r>
      <w:r>
        <w:rPr>
          <w:color w:val="auto"/>
        </w:rPr>
        <w:t>的灭菌率评定标准。</w:t>
      </w:r>
    </w:p>
    <w:p>
      <w:pPr>
        <w:pStyle w:val="130"/>
        <w:ind w:firstLine="480"/>
        <w:rPr>
          <w:color w:val="auto"/>
        </w:rPr>
      </w:pPr>
      <w:r>
        <w:rPr>
          <w:color w:val="auto"/>
        </w:rPr>
        <w:t>3、运行成本低</w:t>
      </w:r>
    </w:p>
    <w:p>
      <w:pPr>
        <w:pStyle w:val="130"/>
        <w:ind w:firstLine="480"/>
        <w:rPr>
          <w:color w:val="auto"/>
        </w:rPr>
      </w:pPr>
      <w:r>
        <w:rPr>
          <w:color w:val="auto"/>
        </w:rPr>
        <w:t>系统运行消耗主要为水、电，能源利用效率较高，运行成本低。</w:t>
      </w:r>
    </w:p>
    <w:p>
      <w:pPr>
        <w:pStyle w:val="130"/>
        <w:ind w:firstLine="480"/>
        <w:rPr>
          <w:color w:val="auto"/>
        </w:rPr>
      </w:pPr>
      <w:r>
        <w:rPr>
          <w:color w:val="auto"/>
        </w:rPr>
        <w:t>对照《产业结构调整指导目录 2019年本》、《部分工业行业淘汰落后生产工艺装备和产品指导目录》（工信部[2010]122 号）中禁止和淘汰类设备可知，本项目拟采用的设备不在淘汰、禁止之列。</w:t>
      </w:r>
    </w:p>
    <w:p>
      <w:pPr>
        <w:pStyle w:val="5"/>
        <w:numPr>
          <w:ilvl w:val="2"/>
          <w:numId w:val="0"/>
        </w:numPr>
        <w:ind w:left="-720" w:leftChars="-343" w:firstLine="723" w:firstLineChars="300"/>
        <w:rPr>
          <w:color w:val="auto"/>
        </w:rPr>
      </w:pPr>
      <w:bookmarkStart w:id="272" w:name="_Toc109398624"/>
      <w:bookmarkStart w:id="273" w:name="_Toc58849451"/>
      <w:r>
        <w:rPr>
          <w:color w:val="auto"/>
        </w:rPr>
        <w:t>4.10.4污染物产生及废物回收利用</w:t>
      </w:r>
      <w:bookmarkEnd w:id="272"/>
      <w:bookmarkEnd w:id="273"/>
    </w:p>
    <w:p>
      <w:pPr>
        <w:pStyle w:val="130"/>
        <w:ind w:firstLine="480"/>
        <w:rPr>
          <w:color w:val="auto"/>
        </w:rPr>
      </w:pPr>
      <w:r>
        <w:rPr>
          <w:rFonts w:hint="eastAsia"/>
          <w:color w:val="auto"/>
        </w:rPr>
        <w:t>全厂</w:t>
      </w:r>
      <w:r>
        <w:rPr>
          <w:color w:val="auto"/>
        </w:rPr>
        <w:t>高温蒸汽灭菌设备产生的废气先通过设备自带的”生物过滤+活性炭吸”附进行预处理，预处理后汇同医疗废物贮存废气一起通过碱喷淋+等离子+活性炭进行处理，最终通过15m高排气筒排放，能够做到达标排放。产生的废水通过污水处理站（A²O+MBR+消毒工艺）处理后作为中卫市垃圾填埋场道路抑尘用水，不外排；生活垃圾、灭菌处理后的医疗废物、报废周转箱、废树脂送中卫市第二生活垃圾填埋场填埋，废活性炭、废滤芯、污水处理站污泥等危险废物收集后收集后委托宁夏德坤环保科技实业集团有限公司处置。</w:t>
      </w:r>
    </w:p>
    <w:p>
      <w:pPr>
        <w:pStyle w:val="130"/>
        <w:ind w:firstLine="480"/>
        <w:rPr>
          <w:color w:val="auto"/>
        </w:rPr>
      </w:pPr>
      <w:r>
        <w:rPr>
          <w:color w:val="auto"/>
        </w:rPr>
        <w:t>综上所述，本项目产生的三废均可得到有效的处置，清洁生产水平较高。</w:t>
      </w:r>
    </w:p>
    <w:p>
      <w:pPr>
        <w:pStyle w:val="5"/>
        <w:numPr>
          <w:ilvl w:val="2"/>
          <w:numId w:val="0"/>
        </w:numPr>
        <w:ind w:left="-720" w:leftChars="-343" w:firstLine="723" w:firstLineChars="300"/>
        <w:rPr>
          <w:color w:val="auto"/>
        </w:rPr>
      </w:pPr>
      <w:bookmarkStart w:id="274" w:name="_Toc58849452"/>
      <w:bookmarkStart w:id="275" w:name="_Toc109398625"/>
      <w:r>
        <w:rPr>
          <w:color w:val="auto"/>
        </w:rPr>
        <w:t>4.10.5生产管理</w:t>
      </w:r>
      <w:bookmarkEnd w:id="274"/>
      <w:bookmarkEnd w:id="275"/>
    </w:p>
    <w:p>
      <w:pPr>
        <w:pStyle w:val="130"/>
        <w:ind w:firstLine="480"/>
        <w:rPr>
          <w:color w:val="auto"/>
        </w:rPr>
      </w:pPr>
      <w:r>
        <w:rPr>
          <w:color w:val="auto"/>
        </w:rPr>
        <w:t>企业环境管理依据清洁生产与末端治理相结合的思路，从医疗废物进厂到处置完成出厂整个过程中对原料使用、能源利用、设备维护、污染物治理等方面认真做到严格管理，加强员工清洁生产意识，严格操作规程，杜绝生产过程中不必要的原料及能源的损耗。评价建议企业在以下方面加强环境管理：</w:t>
      </w:r>
    </w:p>
    <w:p>
      <w:pPr>
        <w:pStyle w:val="130"/>
        <w:ind w:firstLine="480"/>
        <w:rPr>
          <w:color w:val="auto"/>
        </w:rPr>
      </w:pPr>
      <w:r>
        <w:rPr>
          <w:color w:val="auto"/>
        </w:rPr>
        <w:t>1、建立生产和质量管理机构。各级机构和人员职责应明确，并配备一定数量的与化工生产相适应的具有专业知识、生产经验及组织能力的管理人员和技术人员；</w:t>
      </w:r>
    </w:p>
    <w:p>
      <w:pPr>
        <w:pStyle w:val="130"/>
        <w:ind w:firstLine="480"/>
        <w:rPr>
          <w:color w:val="auto"/>
        </w:rPr>
      </w:pPr>
      <w:r>
        <w:rPr>
          <w:color w:val="auto"/>
        </w:rPr>
        <w:t>2、制定有利于清洁生产的管理条例及岗位操作规程；</w:t>
      </w:r>
    </w:p>
    <w:p>
      <w:pPr>
        <w:pStyle w:val="130"/>
        <w:ind w:firstLine="480"/>
        <w:rPr>
          <w:color w:val="auto"/>
        </w:rPr>
      </w:pPr>
      <w:r>
        <w:rPr>
          <w:color w:val="auto"/>
        </w:rPr>
        <w:t>3、制定专门的管理制度及可持续清洁生产计划，推行ISO14001环境管理体系。</w:t>
      </w:r>
    </w:p>
    <w:p>
      <w:pPr>
        <w:pStyle w:val="5"/>
        <w:numPr>
          <w:ilvl w:val="2"/>
          <w:numId w:val="0"/>
        </w:numPr>
        <w:ind w:left="-720" w:leftChars="-343" w:firstLine="723" w:firstLineChars="300"/>
        <w:rPr>
          <w:color w:val="auto"/>
        </w:rPr>
      </w:pPr>
      <w:bookmarkStart w:id="276" w:name="_Toc58849453"/>
      <w:bookmarkStart w:id="277" w:name="_Toc109398626"/>
      <w:r>
        <w:rPr>
          <w:color w:val="auto"/>
        </w:rPr>
        <w:t>4.10.6清洁生产建议</w:t>
      </w:r>
      <w:bookmarkEnd w:id="276"/>
      <w:bookmarkEnd w:id="277"/>
    </w:p>
    <w:p>
      <w:pPr>
        <w:pStyle w:val="130"/>
        <w:ind w:firstLine="480"/>
        <w:rPr>
          <w:color w:val="auto"/>
        </w:rPr>
      </w:pPr>
      <w:r>
        <w:rPr>
          <w:color w:val="auto"/>
        </w:rPr>
        <w:t>建立完善的清洁生产制度按照分工负责原则，确定各自的职责和责任人员，形成厂-部门-班组三级清洁生产网络，要明确每位员工的工作职责，公司应制定《环境保护管理制度》，加强对员工清洁生产意识的教育，制定清洁生产的奖励及惩罚措施，提高，员工参与清洁生产的积极使公司的经济效益直接与其环保工作、清洁生产工作联系起来。</w:t>
      </w:r>
    </w:p>
    <w:p>
      <w:pPr>
        <w:pStyle w:val="130"/>
        <w:ind w:firstLine="480"/>
        <w:rPr>
          <w:color w:val="auto"/>
        </w:rPr>
      </w:pPr>
      <w:r>
        <w:rPr>
          <w:color w:val="auto"/>
        </w:rPr>
        <w:t>医疗废物进场后应在规定时间内尽快处理，减少存放时间，操作应该在暂存库内进行操作，避免恶臭产生。已安全处理的医疗废物如需在厂内暂存，宜采用容器盛装或包装袋包装后存放，容器或包装袋上应有“无危险”和“已检验”等标识，不得和未处理的医疗废物一起存放。</w:t>
      </w:r>
    </w:p>
    <w:p>
      <w:pPr>
        <w:pStyle w:val="130"/>
        <w:ind w:firstLine="480"/>
        <w:rPr>
          <w:color w:val="auto"/>
        </w:rPr>
      </w:pPr>
      <w:r>
        <w:rPr>
          <w:color w:val="auto"/>
        </w:rPr>
        <w:t>本项目选用高效节能的变压器，以节约能源，项目实施后，对水、电分别配置计量器具，对各耗能装置进行计量，以便于车间进行能源消耗经济考核工作，从而降低能耗。</w:t>
      </w:r>
    </w:p>
    <w:p>
      <w:pPr>
        <w:pStyle w:val="5"/>
        <w:numPr>
          <w:ilvl w:val="2"/>
          <w:numId w:val="0"/>
        </w:numPr>
        <w:ind w:left="-720" w:leftChars="-343" w:firstLine="723" w:firstLineChars="300"/>
        <w:rPr>
          <w:color w:val="auto"/>
        </w:rPr>
      </w:pPr>
      <w:bookmarkStart w:id="278" w:name="_Toc58849454"/>
      <w:bookmarkStart w:id="279" w:name="_Toc109398627"/>
      <w:r>
        <w:rPr>
          <w:color w:val="auto"/>
        </w:rPr>
        <w:t>4.10.7清洁生产小结</w:t>
      </w:r>
      <w:bookmarkEnd w:id="278"/>
      <w:bookmarkEnd w:id="279"/>
    </w:p>
    <w:p>
      <w:pPr>
        <w:pStyle w:val="130"/>
        <w:ind w:firstLine="480"/>
        <w:rPr>
          <w:color w:val="auto"/>
        </w:rPr>
      </w:pPr>
      <w:r>
        <w:rPr>
          <w:color w:val="auto"/>
        </w:rPr>
        <w:t>综上所述，本项目所采用的生产工艺和设备技术水平均较为先进，符合清洁生产对生产工艺及设备要求。项目生产过程中能够有效减少污染的产生，且各类污染物均能得到妥善的处理和处置。</w:t>
      </w:r>
    </w:p>
    <w:p>
      <w:pPr>
        <w:pStyle w:val="130"/>
        <w:ind w:firstLine="480"/>
        <w:rPr>
          <w:color w:val="auto"/>
        </w:rPr>
      </w:pPr>
      <w:r>
        <w:rPr>
          <w:color w:val="auto"/>
        </w:rPr>
        <w:t>总体上讲，本项目采用生产工艺及设备技术水平较为先进，生产过程控制严格，末端治理有效，符合国家清洁生产要求。</w:t>
      </w:r>
    </w:p>
    <w:p>
      <w:pPr>
        <w:pStyle w:val="4"/>
        <w:numPr>
          <w:ilvl w:val="1"/>
          <w:numId w:val="0"/>
        </w:numPr>
        <w:spacing w:before="120"/>
        <w:rPr>
          <w:color w:val="auto"/>
        </w:rPr>
      </w:pPr>
      <w:bookmarkStart w:id="280" w:name="_Toc109398628"/>
      <w:r>
        <w:rPr>
          <w:color w:val="auto"/>
        </w:rPr>
        <w:t>4.11本项目已建成部分存在的环境保护问题及整改措施</w:t>
      </w:r>
      <w:bookmarkEnd w:id="280"/>
    </w:p>
    <w:p>
      <w:pPr>
        <w:pStyle w:val="130"/>
        <w:ind w:firstLine="480"/>
        <w:rPr>
          <w:color w:val="auto"/>
        </w:rPr>
      </w:pPr>
      <w:r>
        <w:rPr>
          <w:color w:val="auto"/>
        </w:rPr>
        <w:t>根据现场勘查，本项目已建成部分存在的主要环境保护问题：</w:t>
      </w:r>
    </w:p>
    <w:p>
      <w:pPr>
        <w:pStyle w:val="130"/>
        <w:ind w:firstLine="480"/>
        <w:rPr>
          <w:color w:val="auto"/>
        </w:rPr>
      </w:pPr>
      <w:r>
        <w:rPr>
          <w:color w:val="auto"/>
        </w:rPr>
        <w:t>存在问题1、项目医疗废物暂存冷库废气无组织排放。</w:t>
      </w:r>
    </w:p>
    <w:p>
      <w:pPr>
        <w:pStyle w:val="130"/>
        <w:ind w:firstLine="480"/>
        <w:rPr>
          <w:color w:val="auto"/>
        </w:rPr>
      </w:pPr>
      <w:r>
        <w:rPr>
          <w:color w:val="auto"/>
        </w:rPr>
        <w:t>整改措施：根据《医疗废物处理处置污染控制标准》（GB 39707-2020）5.4.4感染性、损伤性、病理性废物贮存设施应设置微负压及通风装置、制冷系统和设备，排风口应设置废气净化装置。环评要求企业医疗废物暂存冷库设置微负压及通风装置，排风口产生的废气经换气设施收集后引至碱喷淋+等离子+活性炭进行处理，处理后通过15m高排气筒排放。</w:t>
      </w:r>
    </w:p>
    <w:p>
      <w:pPr>
        <w:pStyle w:val="130"/>
        <w:ind w:firstLine="480"/>
        <w:rPr>
          <w:color w:val="auto"/>
        </w:rPr>
      </w:pPr>
      <w:r>
        <w:rPr>
          <w:color w:val="auto"/>
        </w:rPr>
        <w:t>存在问题2、项目厂区污水站试运行期间BOD</w:t>
      </w:r>
      <w:r>
        <w:rPr>
          <w:color w:val="auto"/>
          <w:vertAlign w:val="subscript"/>
        </w:rPr>
        <w:t>5</w:t>
      </w:r>
      <w:r>
        <w:rPr>
          <w:color w:val="auto"/>
        </w:rPr>
        <w:t>略微超标。</w:t>
      </w:r>
    </w:p>
    <w:p>
      <w:pPr>
        <w:pStyle w:val="130"/>
        <w:ind w:firstLine="480"/>
        <w:rPr>
          <w:color w:val="auto"/>
        </w:rPr>
      </w:pPr>
      <w:r>
        <w:rPr>
          <w:color w:val="auto"/>
        </w:rPr>
        <w:t>整改措施：建设单位对厂区污水站进一步调试，做到废水处理达标后用于中卫市生活垃圾填埋场道路抑尘，不外排。</w:t>
      </w:r>
    </w:p>
    <w:bookmarkEnd w:id="202"/>
    <w:p>
      <w:pPr>
        <w:pStyle w:val="130"/>
        <w:ind w:firstLine="480"/>
        <w:rPr>
          <w:color w:val="auto"/>
        </w:rPr>
      </w:pPr>
    </w:p>
    <w:p>
      <w:pPr>
        <w:pStyle w:val="5"/>
        <w:ind w:left="826" w:hanging="826"/>
        <w:rPr>
          <w:color w:val="auto"/>
        </w:rPr>
        <w:sectPr>
          <w:pgSz w:w="11906" w:h="16838"/>
          <w:pgMar w:top="1701" w:right="1701" w:bottom="1701" w:left="1701" w:header="851" w:footer="851" w:gutter="0"/>
          <w:cols w:space="720" w:num="1"/>
          <w:docGrid w:linePitch="466" w:charSpace="0"/>
        </w:sectPr>
      </w:pPr>
    </w:p>
    <w:p>
      <w:pPr>
        <w:pStyle w:val="3"/>
        <w:numPr>
          <w:ilvl w:val="0"/>
          <w:numId w:val="0"/>
        </w:numPr>
        <w:spacing w:before="120" w:after="120"/>
        <w:jc w:val="center"/>
        <w:rPr>
          <w:rFonts w:ascii="Times New Roman" w:hAnsi="Times New Roman"/>
          <w:color w:val="auto"/>
        </w:rPr>
      </w:pPr>
      <w:bookmarkStart w:id="281" w:name="_Toc109398629"/>
      <w:bookmarkStart w:id="282" w:name="_Toc11595328"/>
      <w:bookmarkStart w:id="283" w:name="_Toc299368866"/>
      <w:bookmarkStart w:id="284" w:name="_Toc387745618"/>
      <w:bookmarkStart w:id="285" w:name="_Toc332203234"/>
      <w:bookmarkStart w:id="286" w:name="_Toc493853505"/>
      <w:r>
        <w:rPr>
          <w:rFonts w:ascii="Times New Roman" w:hAnsi="Times New Roman"/>
          <w:color w:val="auto"/>
        </w:rPr>
        <w:t>5区域环境概况</w:t>
      </w:r>
      <w:bookmarkEnd w:id="281"/>
      <w:bookmarkEnd w:id="282"/>
    </w:p>
    <w:bookmarkEnd w:id="283"/>
    <w:bookmarkEnd w:id="284"/>
    <w:bookmarkEnd w:id="285"/>
    <w:bookmarkEnd w:id="286"/>
    <w:p>
      <w:pPr>
        <w:pStyle w:val="4"/>
        <w:numPr>
          <w:ilvl w:val="1"/>
          <w:numId w:val="0"/>
        </w:numPr>
        <w:spacing w:before="120"/>
        <w:rPr>
          <w:color w:val="auto"/>
        </w:rPr>
      </w:pPr>
      <w:bookmarkStart w:id="287" w:name="_Toc332203235"/>
      <w:bookmarkStart w:id="288" w:name="_Toc388620031"/>
      <w:bookmarkStart w:id="289" w:name="_Toc11595330"/>
      <w:bookmarkStart w:id="290" w:name="_Toc484463469"/>
      <w:bookmarkStart w:id="291" w:name="_Toc299368867"/>
      <w:bookmarkStart w:id="292" w:name="_Toc2475"/>
      <w:bookmarkStart w:id="293" w:name="_Toc387745619"/>
      <w:bookmarkStart w:id="294" w:name="_Toc493853506"/>
      <w:bookmarkStart w:id="295" w:name="_Toc109398630"/>
      <w:bookmarkStart w:id="296" w:name="_Toc3024"/>
      <w:r>
        <w:rPr>
          <w:color w:val="auto"/>
        </w:rPr>
        <w:t>5.1地理位置</w:t>
      </w:r>
      <w:bookmarkEnd w:id="287"/>
      <w:bookmarkEnd w:id="288"/>
      <w:bookmarkEnd w:id="289"/>
      <w:bookmarkEnd w:id="290"/>
      <w:bookmarkEnd w:id="291"/>
      <w:bookmarkEnd w:id="292"/>
      <w:bookmarkEnd w:id="293"/>
      <w:bookmarkEnd w:id="294"/>
      <w:bookmarkEnd w:id="295"/>
      <w:bookmarkEnd w:id="296"/>
    </w:p>
    <w:p>
      <w:pPr>
        <w:spacing w:line="360" w:lineRule="auto"/>
        <w:ind w:firstLine="480" w:firstLineChars="200"/>
        <w:rPr>
          <w:color w:val="auto"/>
          <w:sz w:val="24"/>
        </w:rPr>
      </w:pPr>
      <w:bookmarkStart w:id="297" w:name="_Toc387745625"/>
      <w:bookmarkStart w:id="298" w:name="_Toc299368879"/>
      <w:bookmarkStart w:id="299" w:name="_Toc332203242"/>
      <w:r>
        <w:rPr>
          <w:color w:val="auto"/>
          <w:sz w:val="24"/>
        </w:rPr>
        <w:t>中卫市地处黄河前套之首，位于宁夏回族自治区中西部，宁、甘、蒙三省区交汇处，东与吴忠市接壤，南与固原市及甘肃省靖远县相连，西与甘肃省景泰县交界，北与内蒙古阿拉善左旗毗邻，地处东经104°17′～106°10′，北纬36°06′～37°50′，东西宽约130km，南北长约180km。</w:t>
      </w:r>
    </w:p>
    <w:p>
      <w:pPr>
        <w:pStyle w:val="130"/>
        <w:ind w:firstLine="480"/>
        <w:rPr>
          <w:color w:val="auto"/>
        </w:rPr>
      </w:pPr>
      <w:r>
        <w:rPr>
          <w:color w:val="auto"/>
        </w:rPr>
        <w:t>本项目建设地点位于中卫市永康镇阳沟村中卫市生活垃圾填埋场西侧，不新增用地，项目中心地理坐标东经105°15'26.87"，北纬37°26'32.17"。</w:t>
      </w:r>
    </w:p>
    <w:p>
      <w:pPr>
        <w:pStyle w:val="4"/>
        <w:numPr>
          <w:ilvl w:val="1"/>
          <w:numId w:val="0"/>
        </w:numPr>
        <w:spacing w:before="120"/>
        <w:rPr>
          <w:color w:val="auto"/>
        </w:rPr>
      </w:pPr>
      <w:bookmarkStart w:id="300" w:name="_Toc109398631"/>
      <w:r>
        <w:rPr>
          <w:color w:val="auto"/>
        </w:rPr>
        <w:t>5.2地形地貌</w:t>
      </w:r>
      <w:bookmarkEnd w:id="300"/>
    </w:p>
    <w:p>
      <w:pPr>
        <w:pStyle w:val="130"/>
        <w:ind w:firstLine="480"/>
        <w:rPr>
          <w:color w:val="auto"/>
        </w:rPr>
      </w:pPr>
      <w:r>
        <w:rPr>
          <w:color w:val="auto"/>
        </w:rPr>
        <w:t>中卫市地形由西向东、由南向北倾斜。境内海拔高度在1100m-2955m之间。地貌类型分为沙漠、黄河冲积平原、台地、山地和盆地五个较大的地貌单元。其中西北部腾格里沙漠。边缘卫宁北山面积12万公顷；中部卫宁黄河冲积平原10万公顷；位于山区与黄河南岸之间的台地6万公顷；南部陇中山地与黄土丘陵面积142.45万公顷。</w:t>
      </w:r>
    </w:p>
    <w:p>
      <w:pPr>
        <w:pStyle w:val="130"/>
        <w:ind w:firstLine="480"/>
        <w:rPr>
          <w:color w:val="auto"/>
        </w:rPr>
      </w:pPr>
      <w:r>
        <w:rPr>
          <w:color w:val="auto"/>
        </w:rPr>
        <w:t>中卫市地势西南高，东北低，是由南西向北东倾斜，境内最高海拔2954m，最低海拔高程为1160m，市区地势开阔平坦，地面无切割，均向黄河倾斜，地面坡度在0.5‰</w:t>
      </w:r>
      <w:r>
        <w:rPr>
          <w:rFonts w:hint="eastAsia"/>
          <w:color w:val="auto"/>
        </w:rPr>
        <w:t>-</w:t>
      </w:r>
      <w:r>
        <w:rPr>
          <w:color w:val="auto"/>
        </w:rPr>
        <w:t>2.5‰之间。西北部为腾格里沙漠边缘，中部为黄河冲积平原，黄河自西向东横贯全境，土地肥沃，地面平坦开阔，黄河南岸为南山台地，南部大部分地区为黄土丘陵地区，地形以梁峁为主，残垣次之，主要有香山、天景山、南华山、西华山、月亮山等众多山脉。受风蚀、水蚀、地震等自然灾害影响，水土流失严重。川区平原较为平坦，山区起伏较大，沙漠为链状沙。地貌可分为中山、低山丘陵、沙地、平原和黄土丘陵五种类型，其中平原又可分为洪积倾斜平原和冲积平原两个亚类，各地貌单元的地形地貌特征分述如下：</w:t>
      </w:r>
    </w:p>
    <w:p>
      <w:pPr>
        <w:pStyle w:val="130"/>
        <w:ind w:firstLine="480"/>
        <w:rPr>
          <w:color w:val="auto"/>
        </w:rPr>
      </w:pPr>
      <w:r>
        <w:rPr>
          <w:color w:val="auto"/>
        </w:rPr>
        <w:t>1、中山地貌</w:t>
      </w:r>
    </w:p>
    <w:p>
      <w:pPr>
        <w:pStyle w:val="130"/>
        <w:ind w:firstLine="480"/>
        <w:rPr>
          <w:color w:val="auto"/>
        </w:rPr>
      </w:pPr>
      <w:r>
        <w:rPr>
          <w:color w:val="auto"/>
        </w:rPr>
        <w:t>位于区域的中部，即香山山区。主要由寒武系、奥陶系长石石英砂岩夹板岩、灰岩及砾状灰岩等组成，顶部覆盖零星黄土，海拔高程1200-2400m。相对高差870m。其山脊多为鱼脊状，呈北西向或北西西向分布，与岩层走向一致。沟谷发育，多为“V”型谷，切割强烈，深度大于100m，山坡坡度＞30°。</w:t>
      </w:r>
    </w:p>
    <w:p>
      <w:pPr>
        <w:pStyle w:val="130"/>
        <w:ind w:firstLine="480"/>
        <w:rPr>
          <w:color w:val="auto"/>
        </w:rPr>
      </w:pPr>
      <w:r>
        <w:rPr>
          <w:color w:val="auto"/>
        </w:rPr>
        <w:t>2、低山丘陵</w:t>
      </w:r>
    </w:p>
    <w:p>
      <w:pPr>
        <w:pStyle w:val="130"/>
        <w:ind w:firstLine="480"/>
        <w:rPr>
          <w:color w:val="auto"/>
        </w:rPr>
      </w:pPr>
      <w:r>
        <w:rPr>
          <w:color w:val="auto"/>
        </w:rPr>
        <w:t>位于区域的东北部，分布于单梁山、面子山地区（卫宁北山）。主要由长石石英砂岩与页岩互层夹煤层、炭质页岩等组成，近代形成的风积沙于小部分区域覆盖，海拔高程在1300-1500m。相对高差在50-200m。该区大部分为近东西向分布的梁脊坳谷地形，山脊、沟谷近平行分布，风化差异显著，多由石英砂岩一抗风化能力较强，以单斜的形式覆盖在梁顶上，构成窄而直的尖楞状山脊。沟谷发育，多为宽浅的“U”型或者为箱型近衰退期沟谷，一些较大的沟谷切深30-80m，一般深度小于60m，自山区向黄河河谷展布。</w:t>
      </w:r>
    </w:p>
    <w:p>
      <w:pPr>
        <w:pStyle w:val="130"/>
        <w:ind w:firstLine="480"/>
        <w:rPr>
          <w:color w:val="auto"/>
        </w:rPr>
      </w:pPr>
      <w:r>
        <w:rPr>
          <w:color w:val="auto"/>
        </w:rPr>
        <w:t>3、风积沙地</w:t>
      </w:r>
    </w:p>
    <w:p>
      <w:pPr>
        <w:pStyle w:val="130"/>
        <w:ind w:firstLine="480"/>
        <w:rPr>
          <w:color w:val="auto"/>
        </w:rPr>
      </w:pPr>
      <w:r>
        <w:rPr>
          <w:color w:val="auto"/>
        </w:rPr>
        <w:t>主要位于区域的北部。在中山和低山丘陵地貌单元有零星分布，系西北季风搬运的粉细砂堆积而成。由于零星分布的风积沙丘对地质环境影响不大，故不单独分区，仅将西部腾格里沙漠边缘（迎水桥以西以北）和镇罗堡以北的平原后缘地段划分为风积沙地。风积沙地一般北高南低，海拔高程1250-1485m。地貌形态呈新月形沙丘、新月形沙丘链和草丛沙丘、沙地等。</w:t>
      </w:r>
    </w:p>
    <w:p>
      <w:pPr>
        <w:pStyle w:val="130"/>
        <w:ind w:firstLine="480"/>
        <w:rPr>
          <w:color w:val="auto"/>
        </w:rPr>
      </w:pPr>
      <w:r>
        <w:rPr>
          <w:color w:val="auto"/>
        </w:rPr>
        <w:t>4、平原</w:t>
      </w:r>
    </w:p>
    <w:p>
      <w:pPr>
        <w:pStyle w:val="130"/>
        <w:ind w:firstLine="480"/>
        <w:rPr>
          <w:color w:val="auto"/>
        </w:rPr>
      </w:pPr>
      <w:r>
        <w:rPr>
          <w:color w:val="auto"/>
        </w:rPr>
        <w:t>（1）洪积倾斜平原</w:t>
      </w:r>
    </w:p>
    <w:p>
      <w:pPr>
        <w:pStyle w:val="130"/>
        <w:ind w:firstLine="480"/>
        <w:rPr>
          <w:color w:val="auto"/>
        </w:rPr>
      </w:pPr>
      <w:r>
        <w:rPr>
          <w:color w:val="auto"/>
        </w:rPr>
        <w:t>位于区域的东部和西南部，分布于腰蚬子沟以东，南至香山脚下，北以南山台子大陡坎为界的大部分区域内。洪积倾斜平原区中、上部多被黄土及近代风积砂所覆盖，下伏中、下更新统冲洪积块石、碎石、砂及粘砂土。中、下更新统之下，为古近一新近系，埋深10-136m。洪积倾斜平原区北边界一南山台子，以20-100m高的陡坎与黄河冲积平原相交。洪积倾斜平原区地表微有起伏，冲沟发育，一般深10-40m，前缘切割较剧烈，深度可达100m，冲沟底宽10-150m，多呈箱型。</w:t>
      </w:r>
    </w:p>
    <w:p>
      <w:pPr>
        <w:pStyle w:val="130"/>
        <w:ind w:firstLine="480"/>
        <w:rPr>
          <w:color w:val="auto"/>
        </w:rPr>
      </w:pPr>
      <w:r>
        <w:rPr>
          <w:color w:val="auto"/>
        </w:rPr>
        <w:t>（2）冲积平原</w:t>
      </w:r>
    </w:p>
    <w:p>
      <w:pPr>
        <w:pStyle w:val="130"/>
        <w:ind w:firstLine="480"/>
        <w:rPr>
          <w:color w:val="auto"/>
        </w:rPr>
      </w:pPr>
      <w:r>
        <w:rPr>
          <w:color w:val="auto"/>
        </w:rPr>
        <w:t>冲积平原指卫宁平原。主要分布在黄河左岸迎水桥以东地带，东西长约48km，南北宽约4-14km。入口窄，以下渐宽，至出口处又缩为7km。总地势西高东低、南陡北缓，平坦开阔，纵坡降一般小于1%，横坡降在0.3%左右。海拔高程一般在800-1230m之间。</w:t>
      </w:r>
    </w:p>
    <w:p>
      <w:pPr>
        <w:pStyle w:val="130"/>
        <w:ind w:firstLine="480"/>
        <w:rPr>
          <w:color w:val="auto"/>
        </w:rPr>
      </w:pPr>
      <w:r>
        <w:rPr>
          <w:color w:val="auto"/>
        </w:rPr>
        <w:t>5、黄土丘陵</w:t>
      </w:r>
    </w:p>
    <w:p>
      <w:pPr>
        <w:pStyle w:val="130"/>
        <w:ind w:firstLine="480"/>
        <w:rPr>
          <w:color w:val="auto"/>
        </w:rPr>
      </w:pPr>
      <w:r>
        <w:rPr>
          <w:color w:val="auto"/>
        </w:rPr>
        <w:t>位于区域的南部，分布于调查区的南部兴仁蓄川一带。黄土丘陵区地形口切割强烈，地形支离破碎，其基底多为古近系-新近系泥质岩类。丘陵间沟（河）谷发育。海拔高程1720-2050m。</w:t>
      </w:r>
    </w:p>
    <w:p>
      <w:pPr>
        <w:pStyle w:val="130"/>
        <w:ind w:firstLine="480"/>
        <w:rPr>
          <w:color w:val="auto"/>
        </w:rPr>
      </w:pPr>
      <w:r>
        <w:rPr>
          <w:color w:val="auto"/>
        </w:rPr>
        <w:t>本项目所在地属于洪积倾斜平原。</w:t>
      </w:r>
    </w:p>
    <w:p>
      <w:pPr>
        <w:pStyle w:val="4"/>
        <w:numPr>
          <w:ilvl w:val="1"/>
          <w:numId w:val="0"/>
        </w:numPr>
        <w:spacing w:before="120"/>
        <w:rPr>
          <w:color w:val="auto"/>
        </w:rPr>
      </w:pPr>
      <w:bookmarkStart w:id="301" w:name="_Toc109398632"/>
      <w:r>
        <w:rPr>
          <w:color w:val="auto"/>
        </w:rPr>
        <w:t>5.3地层概况</w:t>
      </w:r>
      <w:bookmarkEnd w:id="301"/>
    </w:p>
    <w:p>
      <w:pPr>
        <w:pStyle w:val="130"/>
        <w:ind w:firstLine="480"/>
        <w:rPr>
          <w:color w:val="auto"/>
        </w:rPr>
      </w:pPr>
      <w:r>
        <w:rPr>
          <w:rFonts w:eastAsiaTheme="minorEastAsia"/>
          <w:color w:val="auto"/>
        </w:rPr>
        <w:t>综合地层分区划属祁连一北秦岭地层分区，出露的地层自老而新为奥陶系、泥盆系、石炭系、二叠系、三叠系、新近系及第四系。其中奥陶系、泥盆系、石</w:t>
      </w:r>
      <w:r>
        <w:rPr>
          <w:color w:val="auto"/>
        </w:rPr>
        <w:t>炭系、二叠系和三叠系主要分布于中部山区及北部低山丘陵区。第四系分布广泛，主要分布于研究区北部沙地、南部黄土地区、中部平原区、香山东西两麓的洪积倾斜平原区及山区沟谷中。兹将各时代地层特征简述如下：</w:t>
      </w:r>
    </w:p>
    <w:p>
      <w:pPr>
        <w:pStyle w:val="130"/>
        <w:ind w:firstLine="482"/>
        <w:rPr>
          <w:color w:val="auto"/>
        </w:rPr>
      </w:pPr>
      <w:r>
        <w:rPr>
          <w:b/>
          <w:color w:val="auto"/>
        </w:rPr>
        <w:t>1</w:t>
      </w:r>
      <w:r>
        <w:rPr>
          <w:color w:val="auto"/>
        </w:rPr>
        <w:t>、奥陶系</w:t>
      </w:r>
    </w:p>
    <w:p>
      <w:pPr>
        <w:pStyle w:val="130"/>
        <w:ind w:firstLine="480"/>
        <w:rPr>
          <w:color w:val="auto"/>
        </w:rPr>
      </w:pPr>
      <w:r>
        <w:rPr>
          <w:color w:val="auto"/>
        </w:rPr>
        <w:t>研究区奥陶系地层较发育，主要分布于香山北麓马营、崾岘子沟以南及天井山、米钵山等地。下—中统未命名，中—上统称为香山群。后者自下而上划分为徐家圈组、狼嘴子组和磨盘井组三个组级岩石地层单位，未见底，各组之间均呈整合接触。</w:t>
      </w:r>
    </w:p>
    <w:p>
      <w:pPr>
        <w:pStyle w:val="130"/>
        <w:ind w:firstLine="480"/>
        <w:rPr>
          <w:color w:val="auto"/>
        </w:rPr>
      </w:pPr>
      <w:r>
        <w:rPr>
          <w:color w:val="auto"/>
        </w:rPr>
        <w:t>（1）下—中奥陶统：未命名，出露于白墩子地区，岩性为浅灰绿、紫灰色变质长石石英砂岩夹灰绿色粉砂质板岩、泥质板岩及属色硅质岩、硅质灰岩、白云岩，未见底，前黑山组不整合覆于其上，厚度＞843.8m。</w:t>
      </w:r>
    </w:p>
    <w:p>
      <w:pPr>
        <w:pStyle w:val="130"/>
        <w:ind w:firstLine="480"/>
        <w:rPr>
          <w:color w:val="auto"/>
        </w:rPr>
      </w:pPr>
      <w:r>
        <w:rPr>
          <w:color w:val="auto"/>
        </w:rPr>
        <w:t>（2）徐家圈组：零星出露于甘塘南山及黄河以南中山区。未见底，晚泥盆世地层沙流水组不整合覆于其上。可见厚度约350m，大致可分为上、中、下三部分。上部，灰一灰黑色薄层灰岩、条带状硅质灰岩与薄层硅质灰岩互层，夹灰、灰黑、淡黄色钙质粉砂质板岩、泥板岩，偶夹紫红色粉砂质板岩。中部，灰白一灰黑色粉砂质板岩、泥板岩夹褐色硅质灰岩、灰白色钙质板岩透镜体。下部，岩性为灰绿色一淡黄色厚层长石石英轻交质砂岩夹黄绿色粉砂质板岩，未见底。</w:t>
      </w:r>
    </w:p>
    <w:p>
      <w:pPr>
        <w:pStyle w:val="130"/>
        <w:ind w:firstLine="480"/>
        <w:rPr>
          <w:color w:val="auto"/>
        </w:rPr>
      </w:pPr>
      <w:r>
        <w:rPr>
          <w:color w:val="auto"/>
        </w:rPr>
        <w:t>（3）狼嘴子组：零星出露于中部中山区。厚度约为580</w:t>
      </w:r>
      <w:r>
        <w:rPr>
          <w:rFonts w:hint="eastAsia"/>
          <w:color w:val="auto"/>
        </w:rPr>
        <w:t>-</w:t>
      </w:r>
      <w:r>
        <w:rPr>
          <w:color w:val="auto"/>
        </w:rPr>
        <w:t>680m未见底。亦可分为上、中、下三部分。上部，紫红、紫色钙质砂岩、硅灰岩（碧玉岩）、黑色硅质岩夹褐色硅质灰岩薄层或透镜体、灰绿色粉砂质板岩薄层。局部灰岩夹层增多变厚，厚度变化大。中部，灰一灰绿色薄一中层长石石英轻变质砂岩夹灰绿、紫红色粉砂质板岩、褐色钙质砂岩、灰一灰褐色灰岩条带或透镜体，夹硅质灰岩、结品灰岩透镜体。下部，岩性为灰绿色中一厚层长石石英轻变质砂岩，底部夹粉砂质板岩。</w:t>
      </w:r>
    </w:p>
    <w:p>
      <w:pPr>
        <w:pStyle w:val="130"/>
        <w:ind w:firstLine="480"/>
        <w:rPr>
          <w:color w:val="auto"/>
        </w:rPr>
      </w:pPr>
      <w:r>
        <w:rPr>
          <w:color w:val="auto"/>
        </w:rPr>
        <w:t>（4）磨盘井组：分布于黄河左岸的磨盘井组未见底，早石炭世地层前黑山组不整合覆于其上，岩性主要为灰绿色中厚层变质长石石英砂岩、变质石英砂岩、变质含长石英砂岩、灰绿色绢云母千枚岩，偶见夹钙质砂岩、灰色砂质灰岩，厚度大于2448.1m。</w:t>
      </w:r>
    </w:p>
    <w:p>
      <w:pPr>
        <w:pStyle w:val="130"/>
        <w:ind w:firstLine="480"/>
        <w:rPr>
          <w:color w:val="auto"/>
        </w:rPr>
      </w:pPr>
      <w:r>
        <w:rPr>
          <w:color w:val="auto"/>
        </w:rPr>
        <w:t>分布于黄河以南地区的磨盘井组亦未见底，晚泥盆世地层沙流水组不整合覆于其上，岩性主要为灰绿色变质长石石英细砂岩、变质石英中细粒砂岩、硅质含砾石英砂岩、灰绿色板岩、硅质岩，厚度大于3597.8m。</w:t>
      </w:r>
    </w:p>
    <w:p>
      <w:pPr>
        <w:pStyle w:val="130"/>
        <w:ind w:firstLine="480"/>
        <w:rPr>
          <w:color w:val="auto"/>
        </w:rPr>
      </w:pPr>
      <w:r>
        <w:rPr>
          <w:color w:val="auto"/>
        </w:rPr>
        <w:t>2、泥盆系</w:t>
      </w:r>
    </w:p>
    <w:p>
      <w:pPr>
        <w:pStyle w:val="130"/>
        <w:ind w:firstLine="480"/>
        <w:rPr>
          <w:color w:val="auto"/>
        </w:rPr>
      </w:pPr>
      <w:r>
        <w:rPr>
          <w:color w:val="auto"/>
        </w:rPr>
        <w:t>仅发育上统沙流水组，主要分布于甘塘南山等地，北部尖山子也有出露。与下伏香山群及上覆前黑山组均呈不整合接触。其岩性为灰紫、紫红色粉砂岩、砂岩、含砾砂岩、砾岩，偶夹灰岩透镜体，厚55-265m。</w:t>
      </w:r>
    </w:p>
    <w:p>
      <w:pPr>
        <w:pStyle w:val="130"/>
        <w:ind w:firstLine="480"/>
        <w:rPr>
          <w:color w:val="auto"/>
        </w:rPr>
      </w:pPr>
      <w:r>
        <w:rPr>
          <w:color w:val="auto"/>
        </w:rPr>
        <w:t>3、石炭系</w:t>
      </w:r>
    </w:p>
    <w:p>
      <w:pPr>
        <w:pStyle w:val="130"/>
        <w:ind w:firstLine="480"/>
        <w:rPr>
          <w:color w:val="auto"/>
        </w:rPr>
      </w:pPr>
      <w:r>
        <w:rPr>
          <w:color w:val="auto"/>
        </w:rPr>
        <w:t>发育良好，层位齐全。主要分布于研究区中部。自下而上分为前黑山组、臭牛沟组、土坡组和太原组四个岩石地层单位。</w:t>
      </w:r>
    </w:p>
    <w:p>
      <w:pPr>
        <w:pStyle w:val="130"/>
        <w:ind w:firstLine="480"/>
        <w:rPr>
          <w:color w:val="auto"/>
        </w:rPr>
      </w:pPr>
      <w:r>
        <w:rPr>
          <w:color w:val="auto"/>
        </w:rPr>
        <w:t>（1）前黑山组：或不整合于香山群之上，或不整合于沙流水组之上，与上覆臭牛沟组呈整合接触，为一套滨海一泻湖一浅海相的陆源碎屑岩、碳酸盐岩及膏岩沉积。依岩性可划分为下、中、上三部分。下部，厚0</w:t>
      </w:r>
      <w:r>
        <w:rPr>
          <w:rFonts w:hint="eastAsia"/>
          <w:color w:val="auto"/>
        </w:rPr>
        <w:t>-</w:t>
      </w:r>
      <w:r>
        <w:rPr>
          <w:color w:val="auto"/>
        </w:rPr>
        <w:t>37.5m，由褐灰、黄褐、桔黄、桔红、紫红色砾岩、石英粗砂岩、泥钙质粉砂岩、疙瘩状灰岩、白云质灰岩等组成。中部，厚25.36-34.24m，以灰岩为主，偶夹泥钙质页岩、白云质灰岩及钙质粉，局部发育膏岩沉积，并形成石膏矿床。上部，厚32.41-51.45m，由灰、褐灰色石英砂岩、钙质粉砂岩、粉砂质页岩及少量薄层灰岩组成，上部夹炭质页岩，含大量灰质结核、菱铁矿结核。</w:t>
      </w:r>
    </w:p>
    <w:p>
      <w:pPr>
        <w:pStyle w:val="130"/>
        <w:ind w:firstLine="480"/>
        <w:rPr>
          <w:rFonts w:eastAsia="宋体....."/>
          <w:color w:val="auto"/>
        </w:rPr>
      </w:pPr>
      <w:r>
        <w:rPr>
          <w:rFonts w:eastAsia="宋体....."/>
          <w:color w:val="auto"/>
        </w:rPr>
        <w:t>（2）臭牛沟组：与下伏前黑山组呈整合接触，与上覆土坡组呈平行不整合接触。厚度50.49-230.7m。下部为碎屑岩，由砾岩、砂岩、粉砂岩、页岩组成；上部主要为碳酸盐岩。横向岩性、岩相及厚度变化较大。</w:t>
      </w:r>
    </w:p>
    <w:p>
      <w:pPr>
        <w:pStyle w:val="130"/>
        <w:ind w:firstLine="480"/>
        <w:rPr>
          <w:rFonts w:eastAsia="宋体....."/>
          <w:color w:val="auto"/>
        </w:rPr>
      </w:pPr>
      <w:r>
        <w:rPr>
          <w:rFonts w:eastAsia="宋体....."/>
          <w:color w:val="auto"/>
        </w:rPr>
        <w:t>（3）土坡组：与下伏臭牛沟组呈平行不整合接触，与上覆太原组为整合接触。为海陆交互相沉积，可分为上、下两部分。上部，岩性主要为页岩夹砂岩及薄煤层，含泥灰岩透镜体及菱铁质结核，厚15-260m。下部，岩性为页岩夹粉砂岩、石英细砂岩、泥灰岩薄层，含少量菱铁质结核及灰岩透镜体，厚68-81m。</w:t>
      </w:r>
    </w:p>
    <w:p>
      <w:pPr>
        <w:pStyle w:val="130"/>
        <w:ind w:firstLine="480"/>
        <w:rPr>
          <w:color w:val="auto"/>
        </w:rPr>
      </w:pPr>
      <w:r>
        <w:rPr>
          <w:rFonts w:eastAsia="宋体....."/>
          <w:color w:val="auto"/>
        </w:rPr>
        <w:t>（4）太原组：与下伏土坡组呈整合接触，大黄沟组平行不整合覆于其上。为测区主要含煤地层，岩性主要为页岩、砂岩、灰岩，局部夹石英细砾岩，厚141-465m。</w:t>
      </w:r>
    </w:p>
    <w:p>
      <w:pPr>
        <w:pStyle w:val="130"/>
        <w:ind w:firstLine="480"/>
        <w:rPr>
          <w:rFonts w:eastAsia="宋体e眠副浡渀."/>
          <w:color w:val="auto"/>
        </w:rPr>
      </w:pPr>
      <w:r>
        <w:rPr>
          <w:color w:val="auto"/>
        </w:rPr>
        <w:t>4</w:t>
      </w:r>
      <w:r>
        <w:rPr>
          <w:rFonts w:eastAsia="宋体e眠副浡渀."/>
          <w:color w:val="auto"/>
        </w:rPr>
        <w:t>、二叠系</w:t>
      </w:r>
    </w:p>
    <w:p>
      <w:pPr>
        <w:pStyle w:val="130"/>
        <w:ind w:firstLine="480"/>
        <w:rPr>
          <w:color w:val="auto"/>
        </w:rPr>
      </w:pPr>
      <w:r>
        <w:rPr>
          <w:rFonts w:eastAsia="宋体e眠副浡渀."/>
          <w:color w:val="auto"/>
        </w:rPr>
        <w:t>集中分布于营盘水、前黑山等地。自下而上划分为大黄沟组和红泉组两个岩石地层单位，二者合称窑沟群。</w:t>
      </w:r>
    </w:p>
    <w:p>
      <w:pPr>
        <w:pStyle w:val="130"/>
        <w:ind w:firstLine="480"/>
        <w:rPr>
          <w:rFonts w:eastAsia="宋体....."/>
          <w:color w:val="auto"/>
        </w:rPr>
      </w:pPr>
      <w:r>
        <w:rPr>
          <w:rFonts w:eastAsia="宋体....."/>
          <w:color w:val="auto"/>
        </w:rPr>
        <w:t>（1）大黄沟组：与下伏太原组呈平行不整合接触，与上覆红泉组为整合接触。岩性为灰绿色含砾砂岩、长石砂岩、粉砂岩、泥岩，夹暗紫色、灰白色石英砂岩、粉砂岩、砾岩，厚132-149m。</w:t>
      </w:r>
    </w:p>
    <w:p>
      <w:pPr>
        <w:pStyle w:val="130"/>
        <w:ind w:firstLine="480"/>
        <w:rPr>
          <w:color w:val="auto"/>
        </w:rPr>
      </w:pPr>
      <w:r>
        <w:rPr>
          <w:rFonts w:eastAsia="宋体....."/>
          <w:color w:val="auto"/>
        </w:rPr>
        <w:t>（2）红泉组：与下伏大黄沟组和上覆五佛寺组均呈整合接触。岩性以暗紫色长石石英砂岩、石英砂岩、粉砂岩为主，夹灰绿色泥岩、灰白色砂岩、砂砾岩、砾岩，厚46-113m。</w:t>
      </w:r>
    </w:p>
    <w:p>
      <w:pPr>
        <w:pStyle w:val="130"/>
        <w:ind w:firstLine="480"/>
        <w:rPr>
          <w:rFonts w:eastAsiaTheme="minorEastAsia"/>
          <w:color w:val="auto"/>
        </w:rPr>
      </w:pPr>
      <w:r>
        <w:rPr>
          <w:color w:val="auto"/>
        </w:rPr>
        <w:t>5</w:t>
      </w:r>
      <w:r>
        <w:rPr>
          <w:rFonts w:eastAsia="宋体e眠副浡渀."/>
          <w:color w:val="auto"/>
        </w:rPr>
        <w:t>、三叠系</w:t>
      </w:r>
    </w:p>
    <w:p>
      <w:pPr>
        <w:pStyle w:val="130"/>
        <w:ind w:firstLine="480"/>
        <w:rPr>
          <w:rFonts w:eastAsiaTheme="minorEastAsia"/>
          <w:color w:val="auto"/>
        </w:rPr>
      </w:pPr>
      <w:r>
        <w:rPr>
          <w:rFonts w:eastAsiaTheme="minorEastAsia"/>
          <w:color w:val="auto"/>
        </w:rPr>
        <w:t>自下而上划分为下一中三叠统五佛寺组和上三叠统南营儿组，二者之间呈整合接触。</w:t>
      </w:r>
    </w:p>
    <w:p>
      <w:pPr>
        <w:pStyle w:val="130"/>
        <w:ind w:firstLine="480"/>
        <w:rPr>
          <w:rFonts w:eastAsiaTheme="minorEastAsia"/>
          <w:color w:val="auto"/>
        </w:rPr>
      </w:pPr>
      <w:r>
        <w:rPr>
          <w:rFonts w:eastAsiaTheme="minorEastAsia"/>
          <w:color w:val="auto"/>
        </w:rPr>
        <w:t>（1）五佛寺组：中上部为灰白色厚层含砾中粗粒长石石英砂岩夹紫红色砂岩、暗灰绿色含磁铁矿细粒长石石英砂岩薄层或透镜体，发育砂球构造；下部为灰一灰绿色中厚层长石石英砂岩、石英长石砂岩夹暗紫色细砂岩、粉砂岩及钙质结核；底部为杂色砾岩、砂砾岩夹砂岩，厚963m。</w:t>
      </w:r>
    </w:p>
    <w:p>
      <w:pPr>
        <w:pStyle w:val="130"/>
        <w:ind w:firstLine="480"/>
        <w:rPr>
          <w:rFonts w:eastAsiaTheme="minorEastAsia"/>
          <w:color w:val="auto"/>
        </w:rPr>
      </w:pPr>
      <w:r>
        <w:rPr>
          <w:rFonts w:eastAsiaTheme="minorEastAsia"/>
          <w:color w:val="auto"/>
        </w:rPr>
        <w:t>（2）南营儿组：与下伏五佛寺组为整合接触，中新统红柳沟组不整合覆于其上。厚547m，可分为上、下两部分。上部，岩性为灰绿色砂岩、粉砂岩、页岩夹钙质砂岩、含磁铁矿细粒长石石英砂岩透镜体及炭质泥岩，底部为砂砾岩。下部，为灰白、淡红色中粗粒砂岩夹灰绿、紫红色砂岩、粉砂岩、炭质泥岩、钙质泥岩及硅质岩透镜体，底部见含砾砂岩、砾岩。</w:t>
      </w:r>
    </w:p>
    <w:p>
      <w:pPr>
        <w:pStyle w:val="130"/>
        <w:ind w:firstLine="480"/>
        <w:rPr>
          <w:rFonts w:eastAsia="宋体e眠副浡渀."/>
          <w:color w:val="auto"/>
        </w:rPr>
      </w:pPr>
      <w:r>
        <w:rPr>
          <w:color w:val="auto"/>
        </w:rPr>
        <w:t>6</w:t>
      </w:r>
      <w:r>
        <w:rPr>
          <w:rFonts w:eastAsia="宋体e眠副浡渀."/>
          <w:color w:val="auto"/>
        </w:rPr>
        <w:t>、新近系</w:t>
      </w:r>
    </w:p>
    <w:p>
      <w:pPr>
        <w:pStyle w:val="130"/>
        <w:ind w:firstLine="480"/>
        <w:rPr>
          <w:rFonts w:eastAsia="宋体e眠副浡渀."/>
          <w:color w:val="auto"/>
        </w:rPr>
      </w:pPr>
      <w:r>
        <w:rPr>
          <w:rFonts w:eastAsia="宋体e眠副浡渀."/>
          <w:color w:val="auto"/>
        </w:rPr>
        <w:t>主要出露于测区中部小红山一红山北麓一带级寺口子等地。仅发育新近纪中新世地层红柳沟组，不整合覆于三叠纪或更老地层之上，岩性为桔黄一砖红色含砾砂岩、砂岩夹粘土岩，厚＞763.2m。</w:t>
      </w:r>
    </w:p>
    <w:p>
      <w:pPr>
        <w:pStyle w:val="130"/>
        <w:ind w:firstLine="480"/>
        <w:rPr>
          <w:rFonts w:eastAsia="宋体e眠副浡渀."/>
          <w:color w:val="auto"/>
        </w:rPr>
      </w:pPr>
      <w:r>
        <w:rPr>
          <w:rFonts w:eastAsia="宋体e眠副浡渀."/>
          <w:color w:val="auto"/>
        </w:rPr>
        <w:t>7、第四系</w:t>
      </w:r>
    </w:p>
    <w:p>
      <w:pPr>
        <w:pStyle w:val="130"/>
        <w:ind w:firstLine="480"/>
        <w:rPr>
          <w:rFonts w:eastAsia="宋体e眠副浡渀."/>
          <w:color w:val="auto"/>
        </w:rPr>
      </w:pPr>
      <w:r>
        <w:rPr>
          <w:rFonts w:eastAsia="宋体e眠副浡渀."/>
          <w:color w:val="auto"/>
        </w:rPr>
        <w:t>广泛分布于研究区北部及南部地区，按成因类型及层位相对新老关系划分为下更新统洪积层、中更新统冲洪积层、上更新统冲洪积层及风积层和全新统冲积层、冲洪积层、湖沼沉积、化学沉积及风积层等8个成因类型。</w:t>
      </w:r>
    </w:p>
    <w:p>
      <w:pPr>
        <w:pStyle w:val="130"/>
        <w:ind w:firstLine="480"/>
        <w:rPr>
          <w:rFonts w:eastAsia="宋体e眠副浡渀."/>
          <w:color w:val="auto"/>
        </w:rPr>
      </w:pPr>
      <w:r>
        <w:rPr>
          <w:rFonts w:eastAsia="宋体e眠副浡渀."/>
          <w:color w:val="auto"/>
        </w:rPr>
        <w:t>（1）下更新统冲积层：出露零星，不整合覆于红柳沟组或更老地层之上，岩性为褐红、紫红色厚层钙质砾岩，厚2-200m不等，属洪积相堆积。</w:t>
      </w:r>
    </w:p>
    <w:p>
      <w:pPr>
        <w:pStyle w:val="130"/>
        <w:ind w:firstLine="480"/>
        <w:rPr>
          <w:rFonts w:eastAsiaTheme="minorEastAsia"/>
          <w:color w:val="auto"/>
        </w:rPr>
      </w:pPr>
      <w:r>
        <w:rPr>
          <w:rFonts w:eastAsia="宋体e眠副浡渀."/>
          <w:color w:val="auto"/>
        </w:rPr>
        <w:t>（2）中更新统冲洪积层：出露零星，为红褐色、灰绿色砂砾石层，偶夹淡红</w:t>
      </w:r>
    </w:p>
    <w:p>
      <w:pPr>
        <w:pStyle w:val="130"/>
        <w:ind w:firstLine="480"/>
        <w:rPr>
          <w:rFonts w:eastAsia="宋体....."/>
          <w:color w:val="auto"/>
        </w:rPr>
      </w:pPr>
      <w:r>
        <w:rPr>
          <w:rFonts w:eastAsia="宋体....."/>
          <w:color w:val="auto"/>
        </w:rPr>
        <w:t>色砂、亚砂土透镜体，厚约10m，属冲积、洪积相堆积。</w:t>
      </w:r>
    </w:p>
    <w:p>
      <w:pPr>
        <w:pStyle w:val="130"/>
        <w:ind w:firstLine="480"/>
        <w:rPr>
          <w:rFonts w:eastAsia="宋体....."/>
          <w:color w:val="auto"/>
        </w:rPr>
      </w:pPr>
      <w:r>
        <w:rPr>
          <w:rFonts w:eastAsia="宋体....."/>
          <w:color w:val="auto"/>
        </w:rPr>
        <w:t>（3）上更新统冲洪积层：广泛分布于洪积倾斜平原及山区沟谷中，主要为黄褐色含砾亚砂土、砂、砂砾层，厚5-20m，属冲洪积产物。</w:t>
      </w:r>
    </w:p>
    <w:p>
      <w:pPr>
        <w:pStyle w:val="130"/>
        <w:ind w:firstLine="480"/>
        <w:rPr>
          <w:rFonts w:eastAsia="宋体....."/>
          <w:color w:val="auto"/>
        </w:rPr>
      </w:pPr>
      <w:r>
        <w:rPr>
          <w:rFonts w:eastAsia="宋体....."/>
          <w:color w:val="auto"/>
        </w:rPr>
        <w:t>（4）上更新统马兰黄土：在兴仁和蒿川一带的黄土丘陵区上部和河谷平原的三级阶地上部，广泛出露第四系上更新统马兰组黄土，黄土层具大孔隙，柱状节理发育，具湿陷性，易崩塌，丘陵区黄土厚5-150m，沟谷内厚10-50m。</w:t>
      </w:r>
    </w:p>
    <w:p>
      <w:pPr>
        <w:pStyle w:val="130"/>
        <w:ind w:firstLine="480"/>
        <w:rPr>
          <w:rFonts w:eastAsia="宋体....."/>
          <w:color w:val="auto"/>
        </w:rPr>
      </w:pPr>
      <w:r>
        <w:rPr>
          <w:rFonts w:eastAsia="宋体....."/>
          <w:color w:val="auto"/>
        </w:rPr>
        <w:t>（5）全新统冲积层、冲洪积层3m。</w:t>
      </w:r>
    </w:p>
    <w:p>
      <w:pPr>
        <w:pStyle w:val="130"/>
        <w:ind w:firstLine="480"/>
        <w:rPr>
          <w:rFonts w:eastAsia="宋体....."/>
          <w:color w:val="auto"/>
        </w:rPr>
      </w:pPr>
      <w:r>
        <w:rPr>
          <w:rFonts w:eastAsia="宋体....."/>
          <w:color w:val="auto"/>
        </w:rPr>
        <w:t>（6）全新统湖沼沉积、化学沉积：主要由黑色含盐硝砂质粘土、淤泥、卤水等组成，局部形成化学沉积芒硝、盐，厚度大于5m，属现代湖沼相沉积。</w:t>
      </w:r>
    </w:p>
    <w:p>
      <w:pPr>
        <w:pStyle w:val="130"/>
        <w:ind w:firstLine="480"/>
        <w:rPr>
          <w:rFonts w:eastAsiaTheme="minorEastAsia"/>
          <w:color w:val="auto"/>
        </w:rPr>
      </w:pPr>
      <w:r>
        <w:rPr>
          <w:rFonts w:eastAsia="宋体....."/>
          <w:color w:val="auto"/>
        </w:rPr>
        <w:t>（7）全新统风积层：在研究区北部以风积沙地连片分部，呈北西一南东向分布，属腾格里沙漠的一部分。主要由新月形沙丘组成，局部堆积成沙山。</w:t>
      </w:r>
    </w:p>
    <w:p>
      <w:pPr>
        <w:pStyle w:val="4"/>
        <w:numPr>
          <w:ilvl w:val="1"/>
          <w:numId w:val="0"/>
        </w:numPr>
        <w:spacing w:before="120"/>
        <w:rPr>
          <w:rFonts w:eastAsiaTheme="minorEastAsia"/>
          <w:color w:val="auto"/>
          <w:szCs w:val="24"/>
        </w:rPr>
      </w:pPr>
      <w:bookmarkStart w:id="302" w:name="_Toc109398633"/>
      <w:r>
        <w:rPr>
          <w:color w:val="auto"/>
        </w:rPr>
        <w:t>5.4区域构造</w:t>
      </w:r>
      <w:bookmarkEnd w:id="302"/>
    </w:p>
    <w:p>
      <w:pPr>
        <w:pStyle w:val="130"/>
        <w:ind w:firstLine="480"/>
        <w:rPr>
          <w:color w:val="auto"/>
        </w:rPr>
      </w:pPr>
      <w:r>
        <w:rPr>
          <w:color w:val="auto"/>
        </w:rPr>
        <w:t>沙坡头区地处昆仑秦岭地槽褶皱区走廊过渡带的东端，是一个多构造体系复合地区，主要有卫宁北山东西向构造带、北西向构造带、北北西向构造带等。</w:t>
      </w:r>
    </w:p>
    <w:p>
      <w:pPr>
        <w:pStyle w:val="130"/>
        <w:ind w:firstLine="480"/>
        <w:rPr>
          <w:color w:val="auto"/>
        </w:rPr>
      </w:pPr>
      <w:r>
        <w:rPr>
          <w:color w:val="auto"/>
        </w:rPr>
        <w:t>1、东西向构造带</w:t>
      </w:r>
    </w:p>
    <w:p>
      <w:pPr>
        <w:pStyle w:val="130"/>
        <w:ind w:firstLine="480"/>
        <w:rPr>
          <w:color w:val="auto"/>
        </w:rPr>
      </w:pPr>
      <w:r>
        <w:rPr>
          <w:color w:val="auto"/>
        </w:rPr>
        <w:t>分布于中卫市沙坡头区北部（卫宁北山），为走向近东西向的一组挤压面。东西向褶皱主要由晚古生代地层组成。其褶皱形态呈较紧闭的线状复式褶皱，两翼产状陡峻，地层倾角30°以上，部分可达60°-70°。</w:t>
      </w:r>
    </w:p>
    <w:p>
      <w:pPr>
        <w:pStyle w:val="130"/>
        <w:ind w:firstLine="480"/>
        <w:rPr>
          <w:color w:val="auto"/>
        </w:rPr>
      </w:pPr>
      <w:r>
        <w:rPr>
          <w:color w:val="auto"/>
        </w:rPr>
        <w:t>2、北西向构造带</w:t>
      </w:r>
    </w:p>
    <w:p>
      <w:pPr>
        <w:pStyle w:val="130"/>
        <w:ind w:firstLine="480"/>
        <w:rPr>
          <w:color w:val="auto"/>
        </w:rPr>
      </w:pPr>
      <w:r>
        <w:rPr>
          <w:color w:val="auto"/>
        </w:rPr>
        <w:t>中卫市沙坡头区境内表现最明显的是北西、北西西向的坳陷和隆起褶带。自西而东有香山隆起褶带、中卫一陈麻子井新生代沉降带。</w:t>
      </w:r>
    </w:p>
    <w:p>
      <w:pPr>
        <w:pStyle w:val="130"/>
        <w:ind w:firstLine="480"/>
        <w:rPr>
          <w:color w:val="auto"/>
        </w:rPr>
      </w:pPr>
      <w:r>
        <w:rPr>
          <w:color w:val="auto"/>
        </w:rPr>
        <w:t>⑴香山隆起褶带</w:t>
      </w:r>
    </w:p>
    <w:p>
      <w:pPr>
        <w:pStyle w:val="130"/>
        <w:ind w:firstLine="480"/>
        <w:rPr>
          <w:color w:val="auto"/>
        </w:rPr>
      </w:pPr>
      <w:r>
        <w:rPr>
          <w:color w:val="auto"/>
        </w:rPr>
        <w:t>该隆起褶皱带位于中卫市沙坡头区西南部，呈北西、北西西向展布并向北东方向突出的弧形构造。褶带由寒武系、奥陶系组成，北部边缘尚见晚古生代地层，外侧是新生代地层。褶带北缘发育一组与其平行的向北逆冲断裂，逆冲断裂不仅切割了古生代界，还延伸到新生界中。香山隆起带地形切割剧烈，比其北部新生界分布区的地形高出500-700m，显示了新构造运动的强烈影响。</w:t>
      </w:r>
    </w:p>
    <w:p>
      <w:pPr>
        <w:pStyle w:val="130"/>
        <w:ind w:firstLine="480"/>
        <w:rPr>
          <w:color w:val="auto"/>
        </w:rPr>
      </w:pPr>
      <w:r>
        <w:rPr>
          <w:color w:val="auto"/>
        </w:rPr>
        <w:t>⑵中卫一陈麻子井新生代沉积带</w:t>
      </w:r>
    </w:p>
    <w:p>
      <w:pPr>
        <w:pStyle w:val="130"/>
        <w:ind w:firstLine="480"/>
        <w:rPr>
          <w:color w:val="auto"/>
        </w:rPr>
      </w:pPr>
      <w:r>
        <w:rPr>
          <w:color w:val="auto"/>
        </w:rPr>
        <w:t>位于香山隆起带的东北侧，是一个北西向展布的北西宽，东南窄的中生代以后发展起来的坳陷盆地。盆地内除第四系薄层堆积外，主要是属冲洪积相、山麓相的中新世红色碎屑岩建造。南庄一永康一宣河以南呈台地形态，自西而东由高达百余米的陡坎逐渐降低变缓。</w:t>
      </w:r>
    </w:p>
    <w:p>
      <w:pPr>
        <w:pStyle w:val="130"/>
        <w:ind w:firstLine="480"/>
        <w:rPr>
          <w:color w:val="auto"/>
        </w:rPr>
      </w:pPr>
      <w:r>
        <w:rPr>
          <w:color w:val="auto"/>
        </w:rPr>
        <w:t>⑶北北西向构造带</w:t>
      </w:r>
    </w:p>
    <w:p>
      <w:pPr>
        <w:pStyle w:val="130"/>
        <w:ind w:firstLine="480"/>
        <w:rPr>
          <w:color w:val="auto"/>
        </w:rPr>
      </w:pPr>
      <w:r>
        <w:rPr>
          <w:color w:val="auto"/>
        </w:rPr>
        <w:t>这一构造见于香山北麓。主要是沿320°-340°方向展布的一组斜冲断层和褶皱。控制断裂有烟筒山一固原断裂、香山</w:t>
      </w:r>
      <w:r>
        <w:rPr>
          <w:rFonts w:eastAsia="宋体e眠副浡渀."/>
          <w:color w:val="auto"/>
        </w:rPr>
        <w:t>—</w:t>
      </w:r>
      <w:r>
        <w:rPr>
          <w:color w:val="auto"/>
        </w:rPr>
        <w:t>同心断裂、南西华山断裂带等。</w:t>
      </w:r>
    </w:p>
    <w:p>
      <w:pPr>
        <w:pStyle w:val="130"/>
        <w:ind w:firstLine="480"/>
        <w:rPr>
          <w:color w:val="auto"/>
        </w:rPr>
      </w:pPr>
      <w:r>
        <w:rPr>
          <w:color w:val="auto"/>
        </w:rPr>
        <w:t>①烟洞山一固原断裂</w:t>
      </w:r>
    </w:p>
    <w:p>
      <w:pPr>
        <w:pStyle w:val="130"/>
        <w:ind w:firstLine="480"/>
        <w:rPr>
          <w:color w:val="auto"/>
        </w:rPr>
      </w:pPr>
      <w:r>
        <w:rPr>
          <w:color w:val="auto"/>
        </w:rPr>
        <w:t>该断裂从工作区北部经过，在境内又称边岭子沟断层，发育于莫其子背斜的西南翼，走向与背斜轴一致，倾向南西，地表倾角85°，向深部有变缓的趋势，上盘为始新统寺口子组褐红色砾岩、砂岩，下盘为中石炭系羊虎沟群灰色砂岩及页岩。断层破碎带宽10m左右，其中充填断层角砾，偶见与断层面平行的砂岩透镜体，断层三角面清晰，断续出露20km左右。断层所通过处见有岩层陡立带。</w:t>
      </w:r>
    </w:p>
    <w:p>
      <w:pPr>
        <w:pStyle w:val="130"/>
        <w:ind w:firstLine="480"/>
        <w:rPr>
          <w:color w:val="auto"/>
        </w:rPr>
      </w:pPr>
      <w:r>
        <w:rPr>
          <w:color w:val="auto"/>
        </w:rPr>
        <w:t>②香山-同心断裂</w:t>
      </w:r>
    </w:p>
    <w:p>
      <w:pPr>
        <w:pStyle w:val="130"/>
        <w:ind w:firstLine="480"/>
        <w:rPr>
          <w:rFonts w:eastAsiaTheme="minorEastAsia"/>
          <w:color w:val="auto"/>
        </w:rPr>
      </w:pPr>
      <w:r>
        <w:rPr>
          <w:color w:val="auto"/>
        </w:rPr>
        <w:t>形成于加里东运动期，西起中卫市营盘水，东至同心县，是一条重要构造带，其下切深度约20km，属于基底断裂。整体呈向北东方向凸出的弧形，弧顶位于天景山北麓一带。该断裂西段从平塘至西梁头，走向近东西。中段从西梁头至双井子，走向北西西；北侧为中卫第四系盆地，两盘拔高相差1100m左右。东段从双井子至同心西，断裂走向由北西向逐渐转为北北西甚至近南北向。接触带特征，断面以南西倾为主，倾角60°</w:t>
      </w:r>
      <w:r>
        <w:rPr>
          <w:rFonts w:hint="eastAsia"/>
          <w:color w:val="auto"/>
        </w:rPr>
        <w:t>-</w:t>
      </w:r>
      <w:r>
        <w:rPr>
          <w:color w:val="auto"/>
        </w:rPr>
        <w:t>80°，人工地震反映于深部倾角变缓（30°</w:t>
      </w:r>
      <w:r>
        <w:rPr>
          <w:rFonts w:hint="eastAsia"/>
          <w:color w:val="auto"/>
        </w:rPr>
        <w:t>-</w:t>
      </w:r>
      <w:r>
        <w:rPr>
          <w:color w:val="auto"/>
        </w:rPr>
        <w:t>60°），断距＞3km，多表现为逆冲性质，于第四纪时，断裂多表现为走滑性质。</w:t>
      </w:r>
    </w:p>
    <w:p>
      <w:pPr>
        <w:pStyle w:val="4"/>
        <w:numPr>
          <w:ilvl w:val="1"/>
          <w:numId w:val="0"/>
        </w:numPr>
        <w:spacing w:before="120"/>
        <w:rPr>
          <w:rFonts w:eastAsiaTheme="minorEastAsia"/>
          <w:color w:val="auto"/>
        </w:rPr>
      </w:pPr>
      <w:bookmarkStart w:id="303" w:name="_Toc109398634"/>
      <w:r>
        <w:rPr>
          <w:color w:val="auto"/>
        </w:rPr>
        <w:t>5.5气象气候</w:t>
      </w:r>
      <w:bookmarkEnd w:id="303"/>
    </w:p>
    <w:p>
      <w:pPr>
        <w:pStyle w:val="130"/>
        <w:ind w:firstLine="480"/>
        <w:rPr>
          <w:color w:val="auto"/>
        </w:rPr>
      </w:pPr>
      <w:r>
        <w:rPr>
          <w:color w:val="auto"/>
        </w:rPr>
        <w:t>中卫市深居内陆，远离海洋，靠近沙漠，属半干旱气候，具有典型的大陆性季风气候和沙漠气候的特点。春暖迟、秋凉早、夏热短、冬寒长，风大沙多，干旱少雨。年平均气温在8.2-10</w:t>
      </w:r>
      <w:r>
        <w:rPr>
          <w:rFonts w:eastAsia="MS PGothic"/>
          <w:color w:val="auto"/>
        </w:rPr>
        <w:t>℃</w:t>
      </w:r>
      <w:r>
        <w:rPr>
          <w:color w:val="auto"/>
        </w:rPr>
        <w:t>之间，年均无霜期159-169天，年均降水量186.4毫米，年蒸发量1729.6-1852.2毫米，全年日照时数3796.1小时。</w:t>
      </w:r>
    </w:p>
    <w:p>
      <w:pPr>
        <w:pStyle w:val="130"/>
        <w:ind w:firstLine="480"/>
        <w:rPr>
          <w:color w:val="auto"/>
        </w:rPr>
      </w:pPr>
      <w:r>
        <w:rPr>
          <w:color w:val="auto"/>
        </w:rPr>
        <w:t>中卫城区年平均气温9.9</w:t>
      </w:r>
      <w:r>
        <w:rPr>
          <w:rFonts w:eastAsia="MS PGothic"/>
          <w:color w:val="auto"/>
        </w:rPr>
        <w:t>℃</w:t>
      </w:r>
      <w:r>
        <w:rPr>
          <w:color w:val="auto"/>
        </w:rPr>
        <w:t>，极端最高38.9</w:t>
      </w:r>
      <w:r>
        <w:rPr>
          <w:rFonts w:eastAsia="MS PGothic"/>
          <w:color w:val="auto"/>
        </w:rPr>
        <w:t>℃</w:t>
      </w:r>
      <w:r>
        <w:rPr>
          <w:color w:val="auto"/>
        </w:rPr>
        <w:t>气温，年降水量186.4毫米，年蒸发量为1729.6毫米，为降水量的12.53倍。降水量主要集中在6~8月，占全年降水量的60%。全年无霜期平均167天，全年日照时数3006小时。</w:t>
      </w:r>
    </w:p>
    <w:p>
      <w:pPr>
        <w:pStyle w:val="130"/>
        <w:ind w:firstLine="480"/>
        <w:rPr>
          <w:color w:val="auto"/>
        </w:rPr>
      </w:pPr>
      <w:r>
        <w:rPr>
          <w:color w:val="auto"/>
        </w:rPr>
        <w:t>中卫气象站近20年（1999-2018年）各气象要素的统计见表5.5-1。</w:t>
      </w:r>
    </w:p>
    <w:p>
      <w:pPr>
        <w:pStyle w:val="114"/>
        <w:spacing w:before="0" w:beforeLines="0"/>
        <w:rPr>
          <w:color w:val="auto"/>
        </w:rPr>
      </w:pPr>
      <w:r>
        <w:rPr>
          <w:color w:val="auto"/>
        </w:rPr>
        <w:t>表5.5-1   中卫气象站近20年气象要素特征表</w:t>
      </w:r>
    </w:p>
    <w:tbl>
      <w:tblPr>
        <w:tblStyle w:val="74"/>
        <w:tblW w:w="8720" w:type="dxa"/>
        <w:tblInd w:w="15"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16"/>
        <w:gridCol w:w="2412"/>
        <w:gridCol w:w="1164"/>
        <w:gridCol w:w="2165"/>
        <w:gridCol w:w="216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71" w:hRule="atLeast"/>
        </w:trPr>
        <w:tc>
          <w:tcPr>
            <w:tcW w:w="3228" w:type="dxa"/>
            <w:gridSpan w:val="2"/>
            <w:vAlign w:val="center"/>
          </w:tcPr>
          <w:p>
            <w:pPr>
              <w:pStyle w:val="161"/>
              <w:adjustRightInd w:val="0"/>
              <w:snapToGrid w:val="0"/>
              <w:jc w:val="center"/>
              <w:rPr>
                <w:color w:val="auto"/>
              </w:rPr>
            </w:pPr>
            <w:r>
              <w:rPr>
                <w:color w:val="auto"/>
              </w:rPr>
              <w:t>项目</w:t>
            </w:r>
          </w:p>
        </w:tc>
        <w:tc>
          <w:tcPr>
            <w:tcW w:w="1164" w:type="dxa"/>
            <w:vAlign w:val="center"/>
          </w:tcPr>
          <w:p>
            <w:pPr>
              <w:pStyle w:val="161"/>
              <w:adjustRightInd w:val="0"/>
              <w:snapToGrid w:val="0"/>
              <w:jc w:val="center"/>
              <w:rPr>
                <w:color w:val="auto"/>
              </w:rPr>
            </w:pPr>
            <w:r>
              <w:rPr>
                <w:color w:val="auto"/>
              </w:rPr>
              <w:t>统计值</w:t>
            </w:r>
          </w:p>
        </w:tc>
        <w:tc>
          <w:tcPr>
            <w:tcW w:w="2165" w:type="dxa"/>
            <w:vAlign w:val="center"/>
          </w:tcPr>
          <w:p>
            <w:pPr>
              <w:pStyle w:val="161"/>
              <w:adjustRightInd w:val="0"/>
              <w:snapToGrid w:val="0"/>
              <w:jc w:val="center"/>
              <w:rPr>
                <w:color w:val="auto"/>
              </w:rPr>
            </w:pPr>
            <w:r>
              <w:rPr>
                <w:color w:val="auto"/>
              </w:rPr>
              <w:t>极值出现时间</w:t>
            </w:r>
          </w:p>
        </w:tc>
        <w:tc>
          <w:tcPr>
            <w:tcW w:w="2163" w:type="dxa"/>
            <w:vAlign w:val="center"/>
          </w:tcPr>
          <w:p>
            <w:pPr>
              <w:pStyle w:val="161"/>
              <w:adjustRightInd w:val="0"/>
              <w:snapToGrid w:val="0"/>
              <w:jc w:val="center"/>
              <w:rPr>
                <w:color w:val="auto"/>
              </w:rPr>
            </w:pPr>
            <w:r>
              <w:rPr>
                <w:color w:val="auto"/>
              </w:rPr>
              <w:t>极值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9" w:hRule="atLeast"/>
        </w:trPr>
        <w:tc>
          <w:tcPr>
            <w:tcW w:w="3228" w:type="dxa"/>
            <w:gridSpan w:val="2"/>
            <w:vAlign w:val="center"/>
          </w:tcPr>
          <w:p>
            <w:pPr>
              <w:pStyle w:val="161"/>
              <w:adjustRightInd w:val="0"/>
              <w:snapToGrid w:val="0"/>
              <w:jc w:val="center"/>
              <w:rPr>
                <w:color w:val="auto"/>
              </w:rPr>
            </w:pPr>
            <w:r>
              <w:rPr>
                <w:color w:val="auto"/>
              </w:rPr>
              <w:t>多年平均气温（℃）</w:t>
            </w:r>
          </w:p>
        </w:tc>
        <w:tc>
          <w:tcPr>
            <w:tcW w:w="1164" w:type="dxa"/>
            <w:vAlign w:val="center"/>
          </w:tcPr>
          <w:p>
            <w:pPr>
              <w:pStyle w:val="161"/>
              <w:adjustRightInd w:val="0"/>
              <w:snapToGrid w:val="0"/>
              <w:jc w:val="center"/>
              <w:rPr>
                <w:color w:val="auto"/>
              </w:rPr>
            </w:pPr>
            <w:r>
              <w:rPr>
                <w:color w:val="auto"/>
              </w:rPr>
              <w:t>9.9</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3228" w:type="dxa"/>
            <w:gridSpan w:val="2"/>
            <w:vAlign w:val="center"/>
          </w:tcPr>
          <w:p>
            <w:pPr>
              <w:pStyle w:val="161"/>
              <w:adjustRightInd w:val="0"/>
              <w:snapToGrid w:val="0"/>
              <w:jc w:val="center"/>
              <w:rPr>
                <w:color w:val="auto"/>
              </w:rPr>
            </w:pPr>
            <w:r>
              <w:rPr>
                <w:color w:val="auto"/>
              </w:rPr>
              <w:t>累年极端最高气温（℃）</w:t>
            </w:r>
          </w:p>
        </w:tc>
        <w:tc>
          <w:tcPr>
            <w:tcW w:w="1164" w:type="dxa"/>
            <w:vAlign w:val="center"/>
          </w:tcPr>
          <w:p>
            <w:pPr>
              <w:pStyle w:val="161"/>
              <w:adjustRightInd w:val="0"/>
              <w:snapToGrid w:val="0"/>
              <w:jc w:val="center"/>
              <w:rPr>
                <w:color w:val="auto"/>
              </w:rPr>
            </w:pPr>
            <w:r>
              <w:rPr>
                <w:color w:val="auto"/>
              </w:rPr>
              <w:t>35.7</w:t>
            </w:r>
          </w:p>
        </w:tc>
        <w:tc>
          <w:tcPr>
            <w:tcW w:w="2165" w:type="dxa"/>
            <w:vAlign w:val="center"/>
          </w:tcPr>
          <w:p>
            <w:pPr>
              <w:pStyle w:val="161"/>
              <w:adjustRightInd w:val="0"/>
              <w:snapToGrid w:val="0"/>
              <w:jc w:val="center"/>
              <w:rPr>
                <w:color w:val="auto"/>
              </w:rPr>
            </w:pPr>
            <w:r>
              <w:rPr>
                <w:color w:val="auto"/>
              </w:rPr>
              <w:t>2017-07-11</w:t>
            </w:r>
          </w:p>
        </w:tc>
        <w:tc>
          <w:tcPr>
            <w:tcW w:w="2163" w:type="dxa"/>
            <w:vAlign w:val="center"/>
          </w:tcPr>
          <w:p>
            <w:pPr>
              <w:pStyle w:val="161"/>
              <w:adjustRightInd w:val="0"/>
              <w:snapToGrid w:val="0"/>
              <w:jc w:val="center"/>
              <w:rPr>
                <w:color w:val="auto"/>
              </w:rPr>
            </w:pPr>
            <w:r>
              <w:rPr>
                <w:color w:val="auto"/>
              </w:rPr>
              <w:t>38.9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9" w:hRule="atLeast"/>
        </w:trPr>
        <w:tc>
          <w:tcPr>
            <w:tcW w:w="3228" w:type="dxa"/>
            <w:gridSpan w:val="2"/>
            <w:vAlign w:val="center"/>
          </w:tcPr>
          <w:p>
            <w:pPr>
              <w:pStyle w:val="161"/>
              <w:adjustRightInd w:val="0"/>
              <w:snapToGrid w:val="0"/>
              <w:jc w:val="center"/>
              <w:rPr>
                <w:color w:val="auto"/>
              </w:rPr>
            </w:pPr>
            <w:r>
              <w:rPr>
                <w:color w:val="auto"/>
              </w:rPr>
              <w:t>累年极端最低气温（℃）</w:t>
            </w:r>
          </w:p>
        </w:tc>
        <w:tc>
          <w:tcPr>
            <w:tcW w:w="1164" w:type="dxa"/>
            <w:vAlign w:val="center"/>
          </w:tcPr>
          <w:p>
            <w:pPr>
              <w:pStyle w:val="161"/>
              <w:adjustRightInd w:val="0"/>
              <w:snapToGrid w:val="0"/>
              <w:jc w:val="center"/>
              <w:rPr>
                <w:color w:val="auto"/>
              </w:rPr>
            </w:pPr>
            <w:r>
              <w:rPr>
                <w:color w:val="auto"/>
              </w:rPr>
              <w:t>-20.5</w:t>
            </w:r>
          </w:p>
        </w:tc>
        <w:tc>
          <w:tcPr>
            <w:tcW w:w="2165" w:type="dxa"/>
            <w:vAlign w:val="center"/>
          </w:tcPr>
          <w:p>
            <w:pPr>
              <w:pStyle w:val="161"/>
              <w:adjustRightInd w:val="0"/>
              <w:snapToGrid w:val="0"/>
              <w:jc w:val="center"/>
              <w:rPr>
                <w:color w:val="auto"/>
              </w:rPr>
            </w:pPr>
            <w:r>
              <w:rPr>
                <w:color w:val="auto"/>
              </w:rPr>
              <w:t>2008-02-01</w:t>
            </w:r>
          </w:p>
        </w:tc>
        <w:tc>
          <w:tcPr>
            <w:tcW w:w="2163" w:type="dxa"/>
            <w:vAlign w:val="center"/>
          </w:tcPr>
          <w:p>
            <w:pPr>
              <w:pStyle w:val="161"/>
              <w:adjustRightInd w:val="0"/>
              <w:snapToGrid w:val="0"/>
              <w:jc w:val="center"/>
              <w:rPr>
                <w:color w:val="auto"/>
              </w:rPr>
            </w:pPr>
            <w:r>
              <w:rPr>
                <w:color w:val="auto"/>
              </w:rPr>
              <w:t>-27.1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3228" w:type="dxa"/>
            <w:gridSpan w:val="2"/>
            <w:vAlign w:val="center"/>
          </w:tcPr>
          <w:p>
            <w:pPr>
              <w:pStyle w:val="161"/>
              <w:adjustRightInd w:val="0"/>
              <w:snapToGrid w:val="0"/>
              <w:jc w:val="center"/>
              <w:rPr>
                <w:color w:val="auto"/>
              </w:rPr>
            </w:pPr>
            <w:r>
              <w:rPr>
                <w:color w:val="auto"/>
              </w:rPr>
              <w:t>多年平均气压（hPa）</w:t>
            </w:r>
          </w:p>
        </w:tc>
        <w:tc>
          <w:tcPr>
            <w:tcW w:w="1164" w:type="dxa"/>
            <w:vAlign w:val="center"/>
          </w:tcPr>
          <w:p>
            <w:pPr>
              <w:pStyle w:val="161"/>
              <w:adjustRightInd w:val="0"/>
              <w:snapToGrid w:val="0"/>
              <w:jc w:val="center"/>
              <w:rPr>
                <w:color w:val="auto"/>
              </w:rPr>
            </w:pPr>
            <w:r>
              <w:rPr>
                <w:color w:val="auto"/>
              </w:rPr>
              <w:t>878.3</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9" w:hRule="atLeast"/>
        </w:trPr>
        <w:tc>
          <w:tcPr>
            <w:tcW w:w="3228" w:type="dxa"/>
            <w:gridSpan w:val="2"/>
            <w:vAlign w:val="center"/>
          </w:tcPr>
          <w:p>
            <w:pPr>
              <w:pStyle w:val="161"/>
              <w:adjustRightInd w:val="0"/>
              <w:snapToGrid w:val="0"/>
              <w:jc w:val="center"/>
              <w:rPr>
                <w:color w:val="auto"/>
              </w:rPr>
            </w:pPr>
            <w:r>
              <w:rPr>
                <w:color w:val="auto"/>
              </w:rPr>
              <w:t>多年平均水汽压（hPa）</w:t>
            </w:r>
          </w:p>
        </w:tc>
        <w:tc>
          <w:tcPr>
            <w:tcW w:w="1164" w:type="dxa"/>
            <w:vAlign w:val="center"/>
          </w:tcPr>
          <w:p>
            <w:pPr>
              <w:pStyle w:val="161"/>
              <w:adjustRightInd w:val="0"/>
              <w:snapToGrid w:val="0"/>
              <w:jc w:val="center"/>
              <w:rPr>
                <w:color w:val="auto"/>
              </w:rPr>
            </w:pPr>
            <w:r>
              <w:rPr>
                <w:color w:val="auto"/>
              </w:rPr>
              <w:t>7.8</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3228" w:type="dxa"/>
            <w:gridSpan w:val="2"/>
            <w:vAlign w:val="center"/>
          </w:tcPr>
          <w:p>
            <w:pPr>
              <w:pStyle w:val="161"/>
              <w:adjustRightInd w:val="0"/>
              <w:snapToGrid w:val="0"/>
              <w:jc w:val="center"/>
              <w:rPr>
                <w:color w:val="auto"/>
              </w:rPr>
            </w:pPr>
            <w:r>
              <w:rPr>
                <w:color w:val="auto"/>
              </w:rPr>
              <w:t>多年平均相对湿度（%）</w:t>
            </w:r>
          </w:p>
        </w:tc>
        <w:tc>
          <w:tcPr>
            <w:tcW w:w="1164" w:type="dxa"/>
            <w:vAlign w:val="center"/>
          </w:tcPr>
          <w:p>
            <w:pPr>
              <w:pStyle w:val="161"/>
              <w:adjustRightInd w:val="0"/>
              <w:snapToGrid w:val="0"/>
              <w:jc w:val="center"/>
              <w:rPr>
                <w:color w:val="auto"/>
              </w:rPr>
            </w:pPr>
            <w:r>
              <w:rPr>
                <w:color w:val="auto"/>
              </w:rPr>
              <w:t>53.5</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3228" w:type="dxa"/>
            <w:gridSpan w:val="2"/>
            <w:vAlign w:val="center"/>
          </w:tcPr>
          <w:p>
            <w:pPr>
              <w:pStyle w:val="161"/>
              <w:adjustRightInd w:val="0"/>
              <w:snapToGrid w:val="0"/>
              <w:jc w:val="center"/>
              <w:rPr>
                <w:color w:val="auto"/>
              </w:rPr>
            </w:pPr>
            <w:r>
              <w:rPr>
                <w:color w:val="auto"/>
              </w:rPr>
              <w:t>多年平均降雨量（mm）</w:t>
            </w:r>
          </w:p>
        </w:tc>
        <w:tc>
          <w:tcPr>
            <w:tcW w:w="1164" w:type="dxa"/>
            <w:vAlign w:val="center"/>
          </w:tcPr>
          <w:p>
            <w:pPr>
              <w:pStyle w:val="161"/>
              <w:adjustRightInd w:val="0"/>
              <w:snapToGrid w:val="0"/>
              <w:jc w:val="center"/>
              <w:rPr>
                <w:color w:val="auto"/>
              </w:rPr>
            </w:pPr>
            <w:r>
              <w:rPr>
                <w:color w:val="auto"/>
              </w:rPr>
              <w:t>186.4</w:t>
            </w:r>
          </w:p>
        </w:tc>
        <w:tc>
          <w:tcPr>
            <w:tcW w:w="2165" w:type="dxa"/>
            <w:vAlign w:val="center"/>
          </w:tcPr>
          <w:p>
            <w:pPr>
              <w:pStyle w:val="161"/>
              <w:adjustRightInd w:val="0"/>
              <w:snapToGrid w:val="0"/>
              <w:jc w:val="center"/>
              <w:rPr>
                <w:color w:val="auto"/>
              </w:rPr>
            </w:pPr>
            <w:r>
              <w:rPr>
                <w:color w:val="auto"/>
              </w:rPr>
              <w:t>2003-06-29</w:t>
            </w:r>
          </w:p>
        </w:tc>
        <w:tc>
          <w:tcPr>
            <w:tcW w:w="2163" w:type="dxa"/>
            <w:vAlign w:val="center"/>
          </w:tcPr>
          <w:p>
            <w:pPr>
              <w:pStyle w:val="161"/>
              <w:adjustRightInd w:val="0"/>
              <w:snapToGrid w:val="0"/>
              <w:jc w:val="center"/>
              <w:rPr>
                <w:color w:val="auto"/>
              </w:rPr>
            </w:pPr>
            <w:r>
              <w:rPr>
                <w:color w:val="auto"/>
              </w:rPr>
              <w:t>54.8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816" w:type="dxa"/>
            <w:vMerge w:val="restart"/>
            <w:vAlign w:val="center"/>
          </w:tcPr>
          <w:p>
            <w:pPr>
              <w:pStyle w:val="161"/>
              <w:adjustRightInd w:val="0"/>
              <w:snapToGrid w:val="0"/>
              <w:jc w:val="center"/>
              <w:rPr>
                <w:color w:val="auto"/>
              </w:rPr>
            </w:pPr>
            <w:r>
              <w:rPr>
                <w:color w:val="auto"/>
              </w:rPr>
              <w:t>灾害天气统计</w:t>
            </w:r>
          </w:p>
        </w:tc>
        <w:tc>
          <w:tcPr>
            <w:tcW w:w="2412" w:type="dxa"/>
            <w:vAlign w:val="center"/>
          </w:tcPr>
          <w:p>
            <w:pPr>
              <w:pStyle w:val="161"/>
              <w:adjustRightInd w:val="0"/>
              <w:snapToGrid w:val="0"/>
              <w:jc w:val="center"/>
              <w:rPr>
                <w:color w:val="auto"/>
              </w:rPr>
            </w:pPr>
            <w:r>
              <w:rPr>
                <w:color w:val="auto"/>
              </w:rPr>
              <w:t>多年平均沙暴日数（d）</w:t>
            </w:r>
          </w:p>
        </w:tc>
        <w:tc>
          <w:tcPr>
            <w:tcW w:w="1164" w:type="dxa"/>
            <w:vAlign w:val="center"/>
          </w:tcPr>
          <w:p>
            <w:pPr>
              <w:pStyle w:val="161"/>
              <w:adjustRightInd w:val="0"/>
              <w:snapToGrid w:val="0"/>
              <w:jc w:val="center"/>
              <w:rPr>
                <w:color w:val="auto"/>
              </w:rPr>
            </w:pPr>
            <w:r>
              <w:rPr>
                <w:color w:val="auto"/>
              </w:rPr>
              <w:t>1.3</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9" w:hRule="atLeast"/>
        </w:trPr>
        <w:tc>
          <w:tcPr>
            <w:tcW w:w="816" w:type="dxa"/>
            <w:vMerge w:val="continue"/>
            <w:vAlign w:val="center"/>
          </w:tcPr>
          <w:p>
            <w:pPr>
              <w:adjustRightInd w:val="0"/>
              <w:snapToGrid w:val="0"/>
              <w:jc w:val="center"/>
              <w:rPr>
                <w:color w:val="auto"/>
                <w:sz w:val="2"/>
                <w:szCs w:val="2"/>
              </w:rPr>
            </w:pPr>
          </w:p>
        </w:tc>
        <w:tc>
          <w:tcPr>
            <w:tcW w:w="2412" w:type="dxa"/>
            <w:vAlign w:val="center"/>
          </w:tcPr>
          <w:p>
            <w:pPr>
              <w:pStyle w:val="161"/>
              <w:adjustRightInd w:val="0"/>
              <w:snapToGrid w:val="0"/>
              <w:jc w:val="center"/>
              <w:rPr>
                <w:color w:val="auto"/>
              </w:rPr>
            </w:pPr>
            <w:r>
              <w:rPr>
                <w:color w:val="auto"/>
              </w:rPr>
              <w:t>多年平均雷暴日数（d）</w:t>
            </w:r>
          </w:p>
        </w:tc>
        <w:tc>
          <w:tcPr>
            <w:tcW w:w="1164" w:type="dxa"/>
            <w:vAlign w:val="center"/>
          </w:tcPr>
          <w:p>
            <w:pPr>
              <w:pStyle w:val="161"/>
              <w:adjustRightInd w:val="0"/>
              <w:snapToGrid w:val="0"/>
              <w:jc w:val="center"/>
              <w:rPr>
                <w:color w:val="auto"/>
              </w:rPr>
            </w:pPr>
            <w:r>
              <w:rPr>
                <w:color w:val="auto"/>
              </w:rPr>
              <w:t>11.6</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816" w:type="dxa"/>
            <w:vMerge w:val="continue"/>
            <w:vAlign w:val="center"/>
          </w:tcPr>
          <w:p>
            <w:pPr>
              <w:adjustRightInd w:val="0"/>
              <w:snapToGrid w:val="0"/>
              <w:jc w:val="center"/>
              <w:rPr>
                <w:color w:val="auto"/>
                <w:sz w:val="2"/>
                <w:szCs w:val="2"/>
              </w:rPr>
            </w:pPr>
          </w:p>
        </w:tc>
        <w:tc>
          <w:tcPr>
            <w:tcW w:w="2412" w:type="dxa"/>
            <w:vAlign w:val="center"/>
          </w:tcPr>
          <w:p>
            <w:pPr>
              <w:pStyle w:val="161"/>
              <w:adjustRightInd w:val="0"/>
              <w:snapToGrid w:val="0"/>
              <w:jc w:val="center"/>
              <w:rPr>
                <w:color w:val="auto"/>
              </w:rPr>
            </w:pPr>
            <w:r>
              <w:rPr>
                <w:color w:val="auto"/>
              </w:rPr>
              <w:t>多年平均冰雹日数（d）</w:t>
            </w:r>
          </w:p>
        </w:tc>
        <w:tc>
          <w:tcPr>
            <w:tcW w:w="1164" w:type="dxa"/>
            <w:vAlign w:val="center"/>
          </w:tcPr>
          <w:p>
            <w:pPr>
              <w:pStyle w:val="161"/>
              <w:adjustRightInd w:val="0"/>
              <w:snapToGrid w:val="0"/>
              <w:jc w:val="center"/>
              <w:rPr>
                <w:color w:val="auto"/>
              </w:rPr>
            </w:pPr>
            <w:r>
              <w:rPr>
                <w:color w:val="auto"/>
              </w:rPr>
              <w:t>0.1</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816" w:type="dxa"/>
            <w:vMerge w:val="continue"/>
            <w:vAlign w:val="center"/>
          </w:tcPr>
          <w:p>
            <w:pPr>
              <w:adjustRightInd w:val="0"/>
              <w:snapToGrid w:val="0"/>
              <w:jc w:val="center"/>
              <w:rPr>
                <w:color w:val="auto"/>
                <w:sz w:val="2"/>
                <w:szCs w:val="2"/>
              </w:rPr>
            </w:pPr>
          </w:p>
        </w:tc>
        <w:tc>
          <w:tcPr>
            <w:tcW w:w="2412" w:type="dxa"/>
            <w:vAlign w:val="center"/>
          </w:tcPr>
          <w:p>
            <w:pPr>
              <w:pStyle w:val="161"/>
              <w:adjustRightInd w:val="0"/>
              <w:snapToGrid w:val="0"/>
              <w:jc w:val="center"/>
              <w:rPr>
                <w:color w:val="auto"/>
              </w:rPr>
            </w:pPr>
            <w:r>
              <w:rPr>
                <w:color w:val="auto"/>
              </w:rPr>
              <w:t>多年平均大风日数（d）</w:t>
            </w:r>
          </w:p>
        </w:tc>
        <w:tc>
          <w:tcPr>
            <w:tcW w:w="1164" w:type="dxa"/>
            <w:vAlign w:val="center"/>
          </w:tcPr>
          <w:p>
            <w:pPr>
              <w:pStyle w:val="161"/>
              <w:adjustRightInd w:val="0"/>
              <w:snapToGrid w:val="0"/>
              <w:jc w:val="center"/>
              <w:rPr>
                <w:color w:val="auto"/>
              </w:rPr>
            </w:pPr>
            <w:r>
              <w:rPr>
                <w:color w:val="auto"/>
              </w:rPr>
              <w:t>11.1</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3228" w:type="dxa"/>
            <w:gridSpan w:val="2"/>
            <w:vAlign w:val="center"/>
          </w:tcPr>
          <w:p>
            <w:pPr>
              <w:pStyle w:val="161"/>
              <w:adjustRightInd w:val="0"/>
              <w:snapToGrid w:val="0"/>
              <w:jc w:val="center"/>
              <w:rPr>
                <w:color w:val="auto"/>
              </w:rPr>
            </w:pPr>
            <w:r>
              <w:rPr>
                <w:color w:val="auto"/>
              </w:rPr>
              <w:t>多年平均风速（m/s）</w:t>
            </w:r>
          </w:p>
        </w:tc>
        <w:tc>
          <w:tcPr>
            <w:tcW w:w="1164" w:type="dxa"/>
            <w:vAlign w:val="center"/>
          </w:tcPr>
          <w:p>
            <w:pPr>
              <w:pStyle w:val="161"/>
              <w:adjustRightInd w:val="0"/>
              <w:snapToGrid w:val="0"/>
              <w:jc w:val="center"/>
              <w:rPr>
                <w:color w:val="auto"/>
              </w:rPr>
            </w:pPr>
            <w:r>
              <w:rPr>
                <w:color w:val="auto"/>
              </w:rPr>
              <w:t>2.6</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3228" w:type="dxa"/>
            <w:gridSpan w:val="2"/>
            <w:vAlign w:val="center"/>
          </w:tcPr>
          <w:p>
            <w:pPr>
              <w:pStyle w:val="161"/>
              <w:adjustRightInd w:val="0"/>
              <w:snapToGrid w:val="0"/>
              <w:jc w:val="center"/>
              <w:rPr>
                <w:color w:val="auto"/>
              </w:rPr>
            </w:pPr>
            <w:r>
              <w:rPr>
                <w:color w:val="auto"/>
              </w:rPr>
              <w:t>多年最大风速（m/s）、相应风向</w:t>
            </w:r>
          </w:p>
        </w:tc>
        <w:tc>
          <w:tcPr>
            <w:tcW w:w="1164" w:type="dxa"/>
            <w:vAlign w:val="center"/>
          </w:tcPr>
          <w:p>
            <w:pPr>
              <w:pStyle w:val="161"/>
              <w:adjustRightInd w:val="0"/>
              <w:snapToGrid w:val="0"/>
              <w:jc w:val="center"/>
              <w:rPr>
                <w:color w:val="auto"/>
              </w:rPr>
            </w:pPr>
            <w:r>
              <w:rPr>
                <w:color w:val="auto"/>
              </w:rPr>
              <w:t>22.4</w:t>
            </w:r>
          </w:p>
        </w:tc>
        <w:tc>
          <w:tcPr>
            <w:tcW w:w="2165" w:type="dxa"/>
            <w:vAlign w:val="center"/>
          </w:tcPr>
          <w:p>
            <w:pPr>
              <w:pStyle w:val="161"/>
              <w:adjustRightInd w:val="0"/>
              <w:snapToGrid w:val="0"/>
              <w:jc w:val="center"/>
              <w:rPr>
                <w:color w:val="auto"/>
              </w:rPr>
            </w:pPr>
            <w:r>
              <w:rPr>
                <w:color w:val="auto"/>
              </w:rPr>
              <w:t>1999-07-19</w:t>
            </w:r>
          </w:p>
        </w:tc>
        <w:tc>
          <w:tcPr>
            <w:tcW w:w="2163" w:type="dxa"/>
            <w:vAlign w:val="center"/>
          </w:tcPr>
          <w:p>
            <w:pPr>
              <w:pStyle w:val="161"/>
              <w:adjustRightInd w:val="0"/>
              <w:snapToGrid w:val="0"/>
              <w:jc w:val="center"/>
              <w:rPr>
                <w:color w:val="auto"/>
              </w:rPr>
            </w:pPr>
            <w:r>
              <w:rPr>
                <w:color w:val="auto"/>
              </w:rPr>
              <w:t>28.1 ESE</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9" w:hRule="atLeast"/>
        </w:trPr>
        <w:tc>
          <w:tcPr>
            <w:tcW w:w="3228" w:type="dxa"/>
            <w:gridSpan w:val="2"/>
            <w:vAlign w:val="center"/>
          </w:tcPr>
          <w:p>
            <w:pPr>
              <w:pStyle w:val="161"/>
              <w:adjustRightInd w:val="0"/>
              <w:snapToGrid w:val="0"/>
              <w:jc w:val="center"/>
              <w:rPr>
                <w:color w:val="auto"/>
              </w:rPr>
            </w:pPr>
            <w:r>
              <w:rPr>
                <w:color w:val="auto"/>
              </w:rPr>
              <w:t>全年主导风向、风向频率（%）</w:t>
            </w:r>
          </w:p>
        </w:tc>
        <w:tc>
          <w:tcPr>
            <w:tcW w:w="1164" w:type="dxa"/>
            <w:vAlign w:val="center"/>
          </w:tcPr>
          <w:p>
            <w:pPr>
              <w:pStyle w:val="161"/>
              <w:adjustRightInd w:val="0"/>
              <w:snapToGrid w:val="0"/>
              <w:jc w:val="center"/>
              <w:rPr>
                <w:color w:val="auto"/>
              </w:rPr>
            </w:pPr>
            <w:r>
              <w:rPr>
                <w:color w:val="auto"/>
              </w:rPr>
              <w:t>E、15.3</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8" w:hRule="atLeast"/>
        </w:trPr>
        <w:tc>
          <w:tcPr>
            <w:tcW w:w="3228" w:type="dxa"/>
            <w:gridSpan w:val="2"/>
            <w:vAlign w:val="center"/>
          </w:tcPr>
          <w:p>
            <w:pPr>
              <w:pStyle w:val="161"/>
              <w:adjustRightInd w:val="0"/>
              <w:snapToGrid w:val="0"/>
              <w:jc w:val="center"/>
              <w:rPr>
                <w:color w:val="auto"/>
              </w:rPr>
            </w:pPr>
            <w:r>
              <w:rPr>
                <w:color w:val="auto"/>
                <w:spacing w:val="-17"/>
              </w:rPr>
              <w:t>多年静风频率</w:t>
            </w:r>
            <w:r>
              <w:rPr>
                <w:color w:val="auto"/>
              </w:rPr>
              <w:t>（</w:t>
            </w:r>
            <w:r>
              <w:rPr>
                <w:color w:val="auto"/>
                <w:spacing w:val="-2"/>
              </w:rPr>
              <w:t>风速</w:t>
            </w:r>
            <w:r>
              <w:rPr>
                <w:color w:val="auto"/>
                <w:spacing w:val="-1"/>
              </w:rPr>
              <w:t>≤</w:t>
            </w:r>
            <w:r>
              <w:rPr>
                <w:color w:val="auto"/>
              </w:rPr>
              <w:t>0.2</w:t>
            </w:r>
            <w:r>
              <w:rPr>
                <w:color w:val="auto"/>
                <w:spacing w:val="-4"/>
              </w:rPr>
              <w:t>m</w:t>
            </w:r>
            <w:r>
              <w:rPr>
                <w:color w:val="auto"/>
                <w:spacing w:val="-2"/>
              </w:rPr>
              <w:t>/</w:t>
            </w:r>
            <w:r>
              <w:rPr>
                <w:color w:val="auto"/>
                <w:spacing w:val="-1"/>
              </w:rPr>
              <w:t>s</w:t>
            </w:r>
            <w:r>
              <w:rPr>
                <w:color w:val="auto"/>
                <w:spacing w:val="-173"/>
              </w:rPr>
              <w:t>）</w:t>
            </w:r>
            <w:r>
              <w:rPr>
                <w:color w:val="auto"/>
              </w:rPr>
              <w:t>（</w:t>
            </w:r>
            <w:r>
              <w:rPr>
                <w:color w:val="auto"/>
                <w:spacing w:val="-4"/>
              </w:rPr>
              <w:t>%</w:t>
            </w:r>
            <w:r>
              <w:rPr>
                <w:color w:val="auto"/>
              </w:rPr>
              <w:t>）</w:t>
            </w:r>
          </w:p>
        </w:tc>
        <w:tc>
          <w:tcPr>
            <w:tcW w:w="1164" w:type="dxa"/>
            <w:vAlign w:val="center"/>
          </w:tcPr>
          <w:p>
            <w:pPr>
              <w:pStyle w:val="161"/>
              <w:adjustRightInd w:val="0"/>
              <w:snapToGrid w:val="0"/>
              <w:jc w:val="center"/>
              <w:rPr>
                <w:color w:val="auto"/>
              </w:rPr>
            </w:pPr>
            <w:r>
              <w:rPr>
                <w:color w:val="auto"/>
              </w:rPr>
              <w:t>6.6</w:t>
            </w:r>
          </w:p>
        </w:tc>
        <w:tc>
          <w:tcPr>
            <w:tcW w:w="2165" w:type="dxa"/>
            <w:vAlign w:val="center"/>
          </w:tcPr>
          <w:p>
            <w:pPr>
              <w:pStyle w:val="161"/>
              <w:adjustRightInd w:val="0"/>
              <w:snapToGrid w:val="0"/>
              <w:jc w:val="center"/>
              <w:rPr>
                <w:color w:val="auto"/>
              </w:rPr>
            </w:pPr>
            <w:r>
              <w:rPr>
                <w:color w:val="auto"/>
              </w:rPr>
              <w:t>/</w:t>
            </w:r>
          </w:p>
        </w:tc>
        <w:tc>
          <w:tcPr>
            <w:tcW w:w="2163" w:type="dxa"/>
            <w:vAlign w:val="center"/>
          </w:tcPr>
          <w:p>
            <w:pPr>
              <w:pStyle w:val="161"/>
              <w:adjustRightInd w:val="0"/>
              <w:snapToGrid w:val="0"/>
              <w:jc w:val="center"/>
              <w:rPr>
                <w:color w:val="auto"/>
              </w:rPr>
            </w:pPr>
            <w:r>
              <w:rPr>
                <w:color w:val="auto"/>
              </w:rPr>
              <w:t>/</w:t>
            </w:r>
          </w:p>
        </w:tc>
      </w:tr>
    </w:tbl>
    <w:p>
      <w:pPr>
        <w:rPr>
          <w:color w:val="auto"/>
        </w:rPr>
      </w:pPr>
    </w:p>
    <w:p>
      <w:pPr>
        <w:pStyle w:val="4"/>
        <w:numPr>
          <w:ilvl w:val="1"/>
          <w:numId w:val="0"/>
        </w:numPr>
        <w:spacing w:before="120"/>
        <w:rPr>
          <w:color w:val="auto"/>
        </w:rPr>
      </w:pPr>
      <w:bookmarkStart w:id="304" w:name="_Toc11595332"/>
      <w:bookmarkStart w:id="305" w:name="_Toc484463471"/>
      <w:bookmarkStart w:id="306" w:name="_Toc109398635"/>
      <w:bookmarkStart w:id="307" w:name="_Toc8182"/>
      <w:bookmarkStart w:id="308" w:name="_Toc10688"/>
      <w:bookmarkStart w:id="309" w:name="_Toc493853508"/>
      <w:r>
        <w:rPr>
          <w:color w:val="auto"/>
        </w:rPr>
        <w:t>5.6地表水</w:t>
      </w:r>
      <w:bookmarkEnd w:id="304"/>
      <w:bookmarkEnd w:id="305"/>
      <w:bookmarkEnd w:id="306"/>
      <w:bookmarkEnd w:id="307"/>
      <w:bookmarkEnd w:id="308"/>
      <w:bookmarkEnd w:id="309"/>
    </w:p>
    <w:p>
      <w:pPr>
        <w:pStyle w:val="130"/>
        <w:ind w:firstLine="480"/>
        <w:rPr>
          <w:color w:val="auto"/>
        </w:rPr>
      </w:pPr>
      <w:r>
        <w:rPr>
          <w:color w:val="auto"/>
        </w:rPr>
        <w:t>本项目所在区域地表水为黄河，黄河宁夏段自中卫市南长滩的翠柳沟入境至石嘴山头道坎的麻黄沟出境，沿途流经中卫、吴忠、银川、石嘴山等四个地级市，在宁夏境内全长397km，属黄河上游，由峡谷段、库区段和平原段三部分组成。峡谷段总长86.1km，分黑山峡峡谷和石嘴山峡谷；库区段全长44.1km，起点为中宁县枣园，终点为青铜峡枢纽坝址；平原段总长266.8km。汛期为6～9月，大洪水多发生在7、9月份，一般洪水多发生在8月份。凌汛期为每年的1月～3月上旬，分为流凌、冰层封河、化冰开河三个阶段，一般在封河与开河时期，容易形成冰坝堵塞河道，抬高河流水位，造成灾害的发生。</w:t>
      </w:r>
    </w:p>
    <w:p>
      <w:pPr>
        <w:pStyle w:val="4"/>
        <w:numPr>
          <w:ilvl w:val="1"/>
          <w:numId w:val="0"/>
        </w:numPr>
        <w:spacing w:before="120"/>
        <w:rPr>
          <w:color w:val="auto"/>
        </w:rPr>
      </w:pPr>
      <w:bookmarkStart w:id="310" w:name="_Toc109398636"/>
      <w:r>
        <w:rPr>
          <w:color w:val="auto"/>
        </w:rPr>
        <w:t>5.7区域水文地质条件</w:t>
      </w:r>
      <w:bookmarkEnd w:id="310"/>
    </w:p>
    <w:p>
      <w:pPr>
        <w:pStyle w:val="130"/>
        <w:ind w:firstLine="480"/>
        <w:rPr>
          <w:color w:val="auto"/>
        </w:rPr>
      </w:pPr>
      <w:r>
        <w:rPr>
          <w:color w:val="auto"/>
        </w:rPr>
        <w:t>区内可划分为七个水文地质单元，分别为中山低山低山丘陵水文地质区、乱井—五颗水剥蚀准平原及蚀堆积洼地水文地质区、山前剥蚀波状平原水文地质区、南山台子山前冲洪积高台地水文地质区、腾格里沙漠边缘带水文地质区、中卫小湖冲洪积台地水文地质区、黄河冲积平原水文地质区，本项目涉及区域主要为黄河冲积平原水文地质区和南山台子山前冲洪积高台地水文地质区。</w:t>
      </w:r>
    </w:p>
    <w:p>
      <w:pPr>
        <w:pStyle w:val="5"/>
        <w:numPr>
          <w:ilvl w:val="2"/>
          <w:numId w:val="0"/>
        </w:numPr>
        <w:ind w:left="-720" w:leftChars="-343" w:firstLine="723" w:firstLineChars="300"/>
        <w:rPr>
          <w:color w:val="auto"/>
        </w:rPr>
      </w:pPr>
      <w:bookmarkStart w:id="311" w:name="_Toc109398637"/>
      <w:r>
        <w:rPr>
          <w:color w:val="auto"/>
        </w:rPr>
        <w:t>5.7.1黄河冲积平原水文地质区</w:t>
      </w:r>
      <w:bookmarkEnd w:id="311"/>
    </w:p>
    <w:p>
      <w:pPr>
        <w:pStyle w:val="130"/>
        <w:ind w:firstLine="480"/>
        <w:rPr>
          <w:rFonts w:eastAsia="宋体e眠副浡渀."/>
          <w:color w:val="auto"/>
        </w:rPr>
      </w:pPr>
      <w:r>
        <w:rPr>
          <w:color w:val="auto"/>
        </w:rPr>
        <w:t>1</w:t>
      </w:r>
      <w:r>
        <w:rPr>
          <w:rFonts w:eastAsia="宋体e眠副浡渀."/>
          <w:color w:val="auto"/>
        </w:rPr>
        <w:t>、潜水</w:t>
      </w:r>
    </w:p>
    <w:p>
      <w:pPr>
        <w:pStyle w:val="130"/>
        <w:ind w:firstLine="480"/>
        <w:rPr>
          <w:rFonts w:eastAsia="宋体e眠副浡渀."/>
          <w:color w:val="auto"/>
        </w:rPr>
      </w:pPr>
      <w:r>
        <w:rPr>
          <w:rFonts w:eastAsia="宋体e眠副浡渀."/>
          <w:color w:val="auto"/>
        </w:rPr>
        <w:t>由全新统早期及晚更新统早期堆积的砾卵石组成，在整个冲积平原普遍分布，仅在渠口一带的二级高阶地之上堆积为晚更新统早期的砾卵石，以上构成整个黄河冲积平原的上部潜水含水层。砾卵石厚度为6.08-50.11米以上。中卫及中宁盆地分别以中卫柔远和中宁一带堆积厚度为最大，向四周渐次变薄。此含水层是平原区最理想的开采目的层，具有含水层分布普遍和相对较稳定、地下水位埋藏浅、水质好、富水程度高的特点。含水层厚度一般为10.35-60.14米，局部地段含水层厚度仅有3.80米。地下水位埋深一般为0.11-4.99米，局部可达12.18米。水质好，仅在平原的周边地带，由于侧向高矿化水的加入，如南山台子前缘与平原接壤地带，使地下水水质变差，或由于地下水位浅理，地表形成上壤盐渍化，从而地下水的矿化度亦随之增高。</w:t>
      </w:r>
    </w:p>
    <w:p>
      <w:pPr>
        <w:pStyle w:val="130"/>
        <w:ind w:firstLine="480"/>
        <w:rPr>
          <w:rFonts w:eastAsia="宋体e眠副浡渀."/>
          <w:color w:val="auto"/>
        </w:rPr>
      </w:pPr>
      <w:r>
        <w:rPr>
          <w:rFonts w:eastAsia="宋体e眠副浡渀."/>
          <w:color w:val="auto"/>
        </w:rPr>
        <w:t>2、承压水</w:t>
      </w:r>
    </w:p>
    <w:p>
      <w:pPr>
        <w:pStyle w:val="130"/>
        <w:ind w:firstLine="480"/>
        <w:rPr>
          <w:rFonts w:eastAsia="宋体e眠副浡渀."/>
          <w:color w:val="auto"/>
        </w:rPr>
      </w:pPr>
      <w:r>
        <w:rPr>
          <w:rFonts w:eastAsia="宋体e眠副浡渀."/>
          <w:color w:val="auto"/>
        </w:rPr>
        <w:t>早更新世砂及砂砾石中的承压—承压自流水：在整个中卫盆地均有分布。中宁盆地仅分布于黄河以南部分。含水层以砂砾石为主，间夹粘砂土及砂粘士层。含水层顶板埋深17.83-60.00米，含水层厚度为18.85-67.38米。水位埋深2.43-9.06米。在黄河以北柔远以西及二农场以南大面积范围内，构成了承压自流水区。水质情况，中卫、中宁二盆地有很大差异。中卫盆地在上述范围内，仅在北、东、南三个方向的外围地段，水质变差，中宁盆地该含水层地下水水质普遍较差。</w:t>
      </w:r>
    </w:p>
    <w:p>
      <w:pPr>
        <w:pStyle w:val="130"/>
        <w:ind w:firstLine="480"/>
        <w:rPr>
          <w:rFonts w:eastAsia="宋体....."/>
          <w:color w:val="auto"/>
        </w:rPr>
      </w:pPr>
      <w:r>
        <w:rPr>
          <w:rFonts w:eastAsia="宋体e眠副浡渀."/>
          <w:color w:val="auto"/>
        </w:rPr>
        <w:t>上新统一中新统承压自流水：在中宁、中卫二盆地及背铜峡地段均普遍分布。在地质构造上为相互分隔的单斜和向斜盆地，含水层顶板埋深很不稳定，为10.90-163.91米。在平面上含水层分布也不稳定，厚度为14.60-62.10米。卫、宁两</w:t>
      </w:r>
      <w:r>
        <w:rPr>
          <w:rFonts w:eastAsia="宋体....."/>
          <w:color w:val="auto"/>
        </w:rPr>
        <w:t>盆地均系平缓褶皱型向斜储水构造。两处均具一定范围的自流水区。中卫盆地大致分布在二农场以南柔远以西及黄河以北，西至冲积平原边界含水层承压水头为0.06-2.57米。中宁盆地自流水区大致分布于中宁东华公社以东，南河子以北，黄河以南及渠口二级高阶地以东的广大范围内。中卫盆地在自流区范围内均系淡水，在自流区外围地段，水质变差。在中宁盆地，该层水水质变化较复杂，地下水矿化度一般为43~6.56克/升。</w:t>
      </w:r>
    </w:p>
    <w:p>
      <w:pPr>
        <w:pStyle w:val="5"/>
        <w:numPr>
          <w:ilvl w:val="2"/>
          <w:numId w:val="0"/>
        </w:numPr>
        <w:ind w:left="-720" w:leftChars="-343" w:firstLine="723" w:firstLineChars="300"/>
        <w:rPr>
          <w:color w:val="auto"/>
        </w:rPr>
      </w:pPr>
      <w:bookmarkStart w:id="312" w:name="_Toc109398638"/>
      <w:r>
        <w:rPr>
          <w:color w:val="auto"/>
        </w:rPr>
        <w:t>5.7.2南山台子山前冲洪积高台地水文地质区</w:t>
      </w:r>
      <w:bookmarkEnd w:id="312"/>
    </w:p>
    <w:p>
      <w:pPr>
        <w:pStyle w:val="130"/>
        <w:ind w:firstLine="480"/>
        <w:rPr>
          <w:rFonts w:eastAsia="宋体....."/>
          <w:color w:val="auto"/>
        </w:rPr>
      </w:pPr>
      <w:r>
        <w:rPr>
          <w:rFonts w:eastAsia="宋体....."/>
          <w:color w:val="auto"/>
        </w:rPr>
        <w:t>包括香山北麓、清水河以西、南山台子前缘陡坎以南地区。本区地下水的形成与分布，主要受构造因素控制，构造体系划分，属陇西旋卷构造体系的一级构造成分—中卫、陈麻井新生代沉降带，它控制了该区新生代地层的沉积。沉降带的沉积物除第四系松散沉积物外，下伏为第三系的红色碎屑岩建造，属洪积相和山麓堆积相沉积。在前缘地段的下部，属冲洪积交互相。自早更新世以来，堆积了厚达一百多米的松散堆积物，主要由砂、碎石、砾石组成，间夹黄土状粘砂土。在南山台子前缘台坎局部区段高出相邻平原区达104米，因此导致本区地下水普遍埋藏很深。由于埋深很大，难以开发利用，排泄方式主要为自然排泄，侧向流出。</w:t>
      </w:r>
    </w:p>
    <w:p>
      <w:pPr>
        <w:pStyle w:val="4"/>
        <w:numPr>
          <w:ilvl w:val="1"/>
          <w:numId w:val="0"/>
        </w:numPr>
        <w:spacing w:before="120"/>
        <w:rPr>
          <w:color w:val="auto"/>
        </w:rPr>
      </w:pPr>
      <w:bookmarkStart w:id="313" w:name="_Toc484463474"/>
      <w:bookmarkStart w:id="314" w:name="_Toc16644"/>
      <w:bookmarkStart w:id="315" w:name="_Toc11595336"/>
      <w:bookmarkStart w:id="316" w:name="_Toc493853511"/>
      <w:bookmarkStart w:id="317" w:name="_Toc32176"/>
      <w:bookmarkStart w:id="318" w:name="_Toc109398639"/>
      <w:r>
        <w:rPr>
          <w:color w:val="auto"/>
        </w:rPr>
        <w:t>5.8动植物</w:t>
      </w:r>
      <w:bookmarkEnd w:id="313"/>
      <w:bookmarkEnd w:id="314"/>
      <w:bookmarkEnd w:id="315"/>
      <w:bookmarkEnd w:id="316"/>
      <w:bookmarkEnd w:id="317"/>
      <w:r>
        <w:rPr>
          <w:color w:val="auto"/>
        </w:rPr>
        <w:t>及土壤</w:t>
      </w:r>
      <w:bookmarkEnd w:id="318"/>
    </w:p>
    <w:p>
      <w:pPr>
        <w:pStyle w:val="130"/>
        <w:ind w:firstLine="480"/>
        <w:rPr>
          <w:color w:val="auto"/>
        </w:rPr>
      </w:pPr>
      <w:r>
        <w:rPr>
          <w:color w:val="auto"/>
        </w:rPr>
        <w:t>中卫市的自然植被主要有南部山区南山台子高阶地的荒漠草原植被、北部沙漠地带的沙生植被、引黄灌区的草甸植被、低洼盐碱地生长的盐生植被和长期积水的沼泽植被等5个主要类型。以杨树为主的农田防护林、成片林、用材林及经济林，主要分布在引黄灌区。以沙枣、杨树、花棒、柠条为主的防风固沙林，主要分布在北干渠以北及北部沙漠边缘。天然次生林主要分布在香山地区。</w:t>
      </w:r>
    </w:p>
    <w:p>
      <w:pPr>
        <w:pStyle w:val="130"/>
        <w:ind w:firstLine="480"/>
        <w:rPr>
          <w:color w:val="auto"/>
        </w:rPr>
      </w:pPr>
      <w:r>
        <w:rPr>
          <w:color w:val="auto"/>
        </w:rPr>
        <w:t>项目所在区域动物类群主要为麻雀、乌鸦、喜鹊、鼠类等常见小型动物为主，</w:t>
      </w:r>
    </w:p>
    <w:p>
      <w:pPr>
        <w:pStyle w:val="130"/>
        <w:ind w:firstLine="0" w:firstLineChars="0"/>
        <w:rPr>
          <w:color w:val="auto"/>
        </w:rPr>
      </w:pPr>
      <w:r>
        <w:rPr>
          <w:color w:val="auto"/>
        </w:rPr>
        <w:t>未见珍稀濒危或国家及自治区级保护动物栖息地及繁殖地。</w:t>
      </w:r>
    </w:p>
    <w:p>
      <w:pPr>
        <w:pStyle w:val="130"/>
        <w:ind w:firstLine="480"/>
        <w:rPr>
          <w:color w:val="auto"/>
        </w:rPr>
      </w:pPr>
      <w:r>
        <w:rPr>
          <w:color w:val="auto"/>
        </w:rPr>
        <w:t>中卫是引黄灌溉区，主要土壤有灌淤土、风沙土，其次还有浅色草甸土、盐土、堆垫土。</w:t>
      </w:r>
    </w:p>
    <w:p>
      <w:pPr>
        <w:pStyle w:val="4"/>
        <w:numPr>
          <w:ilvl w:val="1"/>
          <w:numId w:val="0"/>
        </w:numPr>
        <w:spacing w:before="120"/>
        <w:rPr>
          <w:color w:val="auto"/>
        </w:rPr>
      </w:pPr>
      <w:bookmarkStart w:id="319" w:name="_Toc484463475"/>
      <w:bookmarkStart w:id="320" w:name="_Toc11595337"/>
      <w:bookmarkStart w:id="321" w:name="_Toc25980"/>
      <w:bookmarkStart w:id="322" w:name="_Toc109398640"/>
      <w:bookmarkStart w:id="323" w:name="_Toc20602"/>
      <w:bookmarkStart w:id="324" w:name="_Toc493853512"/>
      <w:r>
        <w:rPr>
          <w:color w:val="auto"/>
        </w:rPr>
        <w:t>5.9地震</w:t>
      </w:r>
      <w:bookmarkEnd w:id="319"/>
      <w:bookmarkEnd w:id="320"/>
      <w:bookmarkEnd w:id="321"/>
      <w:bookmarkEnd w:id="322"/>
      <w:bookmarkEnd w:id="323"/>
      <w:bookmarkEnd w:id="324"/>
    </w:p>
    <w:p>
      <w:pPr>
        <w:pStyle w:val="130"/>
        <w:ind w:firstLine="480"/>
        <w:rPr>
          <w:color w:val="auto"/>
        </w:rPr>
      </w:pPr>
      <w:r>
        <w:rPr>
          <w:color w:val="auto"/>
        </w:rPr>
        <w:t>根据《中国地震动反应谱特征周期区划图》（GB18306-2015B1）和《中国地震动峰值加速度区划图》（GB18306-2015A1）可知：本项目所在地区地震动反应谱特征周期为0.35s，地震动峰值加速度为0.20g。</w:t>
      </w:r>
    </w:p>
    <w:bookmarkEnd w:id="297"/>
    <w:bookmarkEnd w:id="298"/>
    <w:bookmarkEnd w:id="299"/>
    <w:p>
      <w:pPr>
        <w:rPr>
          <w:rFonts w:eastAsiaTheme="minorEastAsia"/>
          <w:color w:val="auto"/>
          <w:sz w:val="24"/>
          <w:szCs w:val="24"/>
        </w:rPr>
        <w:sectPr>
          <w:pgSz w:w="11906" w:h="16838"/>
          <w:pgMar w:top="1701" w:right="1701" w:bottom="1701" w:left="1701" w:header="851" w:footer="851" w:gutter="0"/>
          <w:cols w:space="720" w:num="1"/>
          <w:docGrid w:linePitch="466" w:charSpace="0"/>
        </w:sectPr>
      </w:pPr>
    </w:p>
    <w:p>
      <w:pPr>
        <w:pStyle w:val="3"/>
        <w:numPr>
          <w:ilvl w:val="0"/>
          <w:numId w:val="0"/>
        </w:numPr>
        <w:spacing w:before="120" w:after="120"/>
        <w:jc w:val="center"/>
        <w:rPr>
          <w:rFonts w:ascii="Times New Roman" w:hAnsi="Times New Roman"/>
          <w:color w:val="auto"/>
        </w:rPr>
      </w:pPr>
      <w:bookmarkStart w:id="325" w:name="_Toc11595339"/>
      <w:bookmarkStart w:id="326" w:name="_Toc109398641"/>
      <w:r>
        <w:rPr>
          <w:rFonts w:ascii="Times New Roman" w:hAnsi="Times New Roman"/>
          <w:color w:val="auto"/>
        </w:rPr>
        <w:t>6环境质量现状监测与评价</w:t>
      </w:r>
      <w:bookmarkEnd w:id="325"/>
      <w:bookmarkEnd w:id="326"/>
    </w:p>
    <w:p>
      <w:pPr>
        <w:pStyle w:val="4"/>
        <w:numPr>
          <w:ilvl w:val="1"/>
          <w:numId w:val="0"/>
        </w:numPr>
        <w:spacing w:before="120"/>
        <w:rPr>
          <w:color w:val="auto"/>
        </w:rPr>
      </w:pPr>
      <w:bookmarkStart w:id="327" w:name="_Toc11595340"/>
      <w:bookmarkStart w:id="328" w:name="_Toc109398642"/>
      <w:r>
        <w:rPr>
          <w:color w:val="auto"/>
        </w:rPr>
        <w:t>6.1环境空气质量现状监测与评价</w:t>
      </w:r>
      <w:bookmarkEnd w:id="327"/>
      <w:bookmarkEnd w:id="328"/>
    </w:p>
    <w:p>
      <w:pPr>
        <w:pStyle w:val="5"/>
        <w:numPr>
          <w:ilvl w:val="2"/>
          <w:numId w:val="0"/>
        </w:numPr>
        <w:ind w:left="-720" w:leftChars="-343" w:firstLine="723" w:firstLineChars="300"/>
        <w:rPr>
          <w:color w:val="auto"/>
        </w:rPr>
      </w:pPr>
      <w:bookmarkStart w:id="329" w:name="_Toc109398643"/>
      <w:r>
        <w:rPr>
          <w:color w:val="auto"/>
        </w:rPr>
        <w:t>6.1.1基本污染物现状</w:t>
      </w:r>
      <w:bookmarkEnd w:id="329"/>
    </w:p>
    <w:p>
      <w:pPr>
        <w:pStyle w:val="130"/>
        <w:ind w:firstLine="480"/>
        <w:rPr>
          <w:color w:val="auto"/>
          <w:lang w:val="sq-AL"/>
        </w:rPr>
      </w:pPr>
      <w:r>
        <w:rPr>
          <w:color w:val="auto"/>
          <w:lang w:val="sq-AL"/>
        </w:rPr>
        <w:t>本项目位于中卫市永康镇阳沟村中卫市生活垃圾</w:t>
      </w:r>
      <w:r>
        <w:rPr>
          <w:color w:val="auto"/>
        </w:rPr>
        <w:t>填埋场</w:t>
      </w:r>
      <w:r>
        <w:rPr>
          <w:color w:val="auto"/>
          <w:lang w:val="sq-AL"/>
        </w:rPr>
        <w:t>西侧，所在行政区划范围为中卫市，根据《环境影响评价技术导则 大气环境》（HJ2.2-2018）》中6.2.1.1规定“项目所在区域达标判定，优先采用国家或地方生态环境主管部门公开发布的评价基准年环境质量公告或环境质量报告中的数据或结论”，</w:t>
      </w:r>
      <w:r>
        <w:rPr>
          <w:color w:val="auto"/>
        </w:rPr>
        <w:t>故项目</w:t>
      </w:r>
      <w:r>
        <w:rPr>
          <w:color w:val="auto"/>
          <w:lang w:val="sq-AL"/>
        </w:rPr>
        <w:t>区域环境空气质量现状</w:t>
      </w:r>
      <w:r>
        <w:rPr>
          <w:color w:val="auto"/>
        </w:rPr>
        <w:t>优先采用宁夏回族自治区生态环境厅公布的</w:t>
      </w:r>
      <w:r>
        <w:rPr>
          <w:color w:val="auto"/>
          <w:lang w:val="sq-AL"/>
        </w:rPr>
        <w:t>《20</w:t>
      </w:r>
      <w:r>
        <w:rPr>
          <w:color w:val="auto"/>
        </w:rPr>
        <w:t>21</w:t>
      </w:r>
      <w:r>
        <w:rPr>
          <w:color w:val="auto"/>
          <w:lang w:val="sq-AL"/>
        </w:rPr>
        <w:t>年宁夏生态环境</w:t>
      </w:r>
      <w:r>
        <w:rPr>
          <w:color w:val="auto"/>
        </w:rPr>
        <w:t>质量状况公报</w:t>
      </w:r>
      <w:r>
        <w:rPr>
          <w:color w:val="auto"/>
          <w:lang w:val="sq-AL"/>
        </w:rPr>
        <w:t>》中</w:t>
      </w:r>
      <w:r>
        <w:rPr>
          <w:color w:val="auto"/>
        </w:rPr>
        <w:t>中卫市2021年</w:t>
      </w:r>
      <w:r>
        <w:rPr>
          <w:color w:val="auto"/>
          <w:lang w:val="sq-AL"/>
        </w:rPr>
        <w:t>环境空气监测数据和结论作为本次评价依据，对项目达标区进行判定，具体评价指标见6.1-1。</w:t>
      </w:r>
    </w:p>
    <w:p>
      <w:pPr>
        <w:pStyle w:val="114"/>
        <w:spacing w:before="0" w:beforeLines="0"/>
        <w:rPr>
          <w:color w:val="auto"/>
        </w:rPr>
      </w:pPr>
      <w:r>
        <w:rPr>
          <w:color w:val="auto"/>
        </w:rPr>
        <w:t>表6.1-1  2021年中卫市环境空气质量评价指标</w:t>
      </w:r>
    </w:p>
    <w:tbl>
      <w:tblPr>
        <w:tblStyle w:val="74"/>
        <w:tblW w:w="8693"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713"/>
        <w:gridCol w:w="3947"/>
        <w:gridCol w:w="1008"/>
        <w:gridCol w:w="1008"/>
        <w:gridCol w:w="1377"/>
        <w:gridCol w:w="64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94" w:hRule="atLeast"/>
          <w:jc w:val="center"/>
        </w:trPr>
        <w:tc>
          <w:tcPr>
            <w:tcW w:w="713" w:type="dxa"/>
            <w:vAlign w:val="center"/>
          </w:tcPr>
          <w:p>
            <w:pPr>
              <w:pStyle w:val="161"/>
              <w:adjustRightInd w:val="0"/>
              <w:jc w:val="center"/>
              <w:rPr>
                <w:color w:val="auto"/>
                <w:szCs w:val="21"/>
              </w:rPr>
            </w:pPr>
            <w:r>
              <w:rPr>
                <w:b/>
                <w:bCs/>
                <w:color w:val="auto"/>
                <w:spacing w:val="3"/>
                <w:szCs w:val="21"/>
              </w:rPr>
              <w:t>污染物</w:t>
            </w:r>
          </w:p>
        </w:tc>
        <w:tc>
          <w:tcPr>
            <w:tcW w:w="3947" w:type="dxa"/>
            <w:vAlign w:val="center"/>
          </w:tcPr>
          <w:p>
            <w:pPr>
              <w:pStyle w:val="161"/>
              <w:adjustRightInd w:val="0"/>
              <w:jc w:val="center"/>
              <w:rPr>
                <w:color w:val="auto"/>
                <w:szCs w:val="21"/>
              </w:rPr>
            </w:pPr>
            <w:r>
              <w:rPr>
                <w:b/>
                <w:bCs/>
                <w:color w:val="auto"/>
                <w:spacing w:val="3"/>
                <w:szCs w:val="21"/>
              </w:rPr>
              <w:t>年评价指标</w:t>
            </w:r>
          </w:p>
        </w:tc>
        <w:tc>
          <w:tcPr>
            <w:tcW w:w="1008" w:type="dxa"/>
            <w:vAlign w:val="center"/>
          </w:tcPr>
          <w:p>
            <w:pPr>
              <w:pStyle w:val="161"/>
              <w:adjustRightInd w:val="0"/>
              <w:jc w:val="center"/>
              <w:rPr>
                <w:color w:val="auto"/>
                <w:szCs w:val="21"/>
              </w:rPr>
            </w:pPr>
            <w:r>
              <w:rPr>
                <w:b/>
                <w:bCs/>
                <w:color w:val="auto"/>
                <w:spacing w:val="3"/>
                <w:szCs w:val="21"/>
              </w:rPr>
              <w:t>现状浓度</w:t>
            </w:r>
          </w:p>
          <w:p>
            <w:pPr>
              <w:pStyle w:val="161"/>
              <w:adjustRightInd w:val="0"/>
              <w:jc w:val="center"/>
              <w:rPr>
                <w:color w:val="auto"/>
                <w:szCs w:val="21"/>
              </w:rPr>
            </w:pPr>
            <w:r>
              <w:rPr>
                <w:b/>
                <w:bCs/>
                <w:color w:val="auto"/>
                <w:szCs w:val="21"/>
              </w:rPr>
              <w:t>（μg/m³）</w:t>
            </w:r>
          </w:p>
        </w:tc>
        <w:tc>
          <w:tcPr>
            <w:tcW w:w="1008" w:type="dxa"/>
            <w:vAlign w:val="center"/>
          </w:tcPr>
          <w:p>
            <w:pPr>
              <w:pStyle w:val="161"/>
              <w:adjustRightInd w:val="0"/>
              <w:jc w:val="center"/>
              <w:rPr>
                <w:color w:val="auto"/>
                <w:szCs w:val="21"/>
              </w:rPr>
            </w:pPr>
            <w:r>
              <w:rPr>
                <w:b/>
                <w:bCs/>
                <w:color w:val="auto"/>
                <w:spacing w:val="3"/>
                <w:szCs w:val="21"/>
              </w:rPr>
              <w:t>标准值</w:t>
            </w:r>
          </w:p>
          <w:p>
            <w:pPr>
              <w:pStyle w:val="161"/>
              <w:adjustRightInd w:val="0"/>
              <w:jc w:val="center"/>
              <w:rPr>
                <w:color w:val="auto"/>
                <w:szCs w:val="21"/>
              </w:rPr>
            </w:pPr>
            <w:r>
              <w:rPr>
                <w:b/>
                <w:bCs/>
                <w:color w:val="auto"/>
                <w:szCs w:val="21"/>
              </w:rPr>
              <w:t>（μg/m³）</w:t>
            </w:r>
          </w:p>
        </w:tc>
        <w:tc>
          <w:tcPr>
            <w:tcW w:w="1377" w:type="dxa"/>
            <w:vAlign w:val="center"/>
          </w:tcPr>
          <w:p>
            <w:pPr>
              <w:pStyle w:val="161"/>
              <w:adjustRightInd w:val="0"/>
              <w:jc w:val="center"/>
              <w:rPr>
                <w:color w:val="auto"/>
                <w:szCs w:val="21"/>
              </w:rPr>
            </w:pPr>
            <w:r>
              <w:rPr>
                <w:b/>
                <w:bCs/>
                <w:color w:val="auto"/>
                <w:spacing w:val="3"/>
                <w:szCs w:val="21"/>
              </w:rPr>
              <w:t>占标率</w:t>
            </w:r>
            <w:r>
              <w:rPr>
                <w:b/>
                <w:bCs/>
                <w:color w:val="auto"/>
                <w:spacing w:val="2"/>
                <w:szCs w:val="21"/>
              </w:rPr>
              <w:t>（%）</w:t>
            </w:r>
          </w:p>
        </w:tc>
        <w:tc>
          <w:tcPr>
            <w:tcW w:w="640" w:type="dxa"/>
            <w:vAlign w:val="center"/>
          </w:tcPr>
          <w:p>
            <w:pPr>
              <w:pStyle w:val="161"/>
              <w:adjustRightInd w:val="0"/>
              <w:jc w:val="center"/>
              <w:rPr>
                <w:b/>
                <w:bCs/>
                <w:color w:val="auto"/>
                <w:spacing w:val="3"/>
                <w:szCs w:val="21"/>
              </w:rPr>
            </w:pPr>
            <w:r>
              <w:rPr>
                <w:b/>
                <w:bCs/>
                <w:color w:val="auto"/>
                <w:spacing w:val="3"/>
                <w:szCs w:val="21"/>
              </w:rPr>
              <w:t>达标</w:t>
            </w:r>
          </w:p>
          <w:p>
            <w:pPr>
              <w:pStyle w:val="161"/>
              <w:adjustRightInd w:val="0"/>
              <w:jc w:val="center"/>
              <w:rPr>
                <w:color w:val="auto"/>
                <w:szCs w:val="21"/>
              </w:rPr>
            </w:pPr>
            <w:r>
              <w:rPr>
                <w:b/>
                <w:bCs/>
                <w:color w:val="auto"/>
                <w:spacing w:val="3"/>
                <w:szCs w:val="21"/>
              </w:rPr>
              <w:t>情况</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94" w:hRule="atLeast"/>
          <w:jc w:val="center"/>
        </w:trPr>
        <w:tc>
          <w:tcPr>
            <w:tcW w:w="713" w:type="dxa"/>
            <w:vAlign w:val="center"/>
          </w:tcPr>
          <w:p>
            <w:pPr>
              <w:pStyle w:val="161"/>
              <w:adjustRightInd w:val="0"/>
              <w:jc w:val="center"/>
              <w:rPr>
                <w:bCs/>
                <w:color w:val="auto"/>
                <w:szCs w:val="21"/>
              </w:rPr>
            </w:pPr>
            <w:r>
              <w:rPr>
                <w:bCs/>
                <w:color w:val="auto"/>
                <w:spacing w:val="3"/>
                <w:position w:val="1"/>
                <w:szCs w:val="21"/>
              </w:rPr>
              <w:t>PM</w:t>
            </w:r>
            <w:r>
              <w:rPr>
                <w:bCs/>
                <w:color w:val="auto"/>
                <w:spacing w:val="3"/>
                <w:szCs w:val="21"/>
                <w:vertAlign w:val="subscript"/>
              </w:rPr>
              <w:t>10</w:t>
            </w:r>
          </w:p>
        </w:tc>
        <w:tc>
          <w:tcPr>
            <w:tcW w:w="3947" w:type="dxa"/>
            <w:vAlign w:val="center"/>
          </w:tcPr>
          <w:p>
            <w:pPr>
              <w:pStyle w:val="161"/>
              <w:adjustRightInd w:val="0"/>
              <w:jc w:val="center"/>
              <w:rPr>
                <w:color w:val="auto"/>
                <w:szCs w:val="21"/>
              </w:rPr>
            </w:pPr>
            <w:r>
              <w:rPr>
                <w:color w:val="auto"/>
                <w:spacing w:val="2"/>
                <w:szCs w:val="21"/>
              </w:rPr>
              <w:t>年平均质量浓度</w:t>
            </w:r>
          </w:p>
        </w:tc>
        <w:tc>
          <w:tcPr>
            <w:tcW w:w="1008" w:type="dxa"/>
            <w:vAlign w:val="center"/>
          </w:tcPr>
          <w:p>
            <w:pPr>
              <w:pStyle w:val="161"/>
              <w:adjustRightInd w:val="0"/>
              <w:jc w:val="center"/>
              <w:rPr>
                <w:color w:val="auto"/>
                <w:szCs w:val="21"/>
              </w:rPr>
            </w:pPr>
            <w:r>
              <w:rPr>
                <w:rFonts w:hint="eastAsia"/>
                <w:color w:val="auto"/>
                <w:szCs w:val="21"/>
              </w:rPr>
              <w:t>6</w:t>
            </w:r>
            <w:r>
              <w:rPr>
                <w:color w:val="auto"/>
                <w:szCs w:val="21"/>
              </w:rPr>
              <w:t>5</w:t>
            </w:r>
          </w:p>
        </w:tc>
        <w:tc>
          <w:tcPr>
            <w:tcW w:w="1008" w:type="dxa"/>
            <w:vAlign w:val="center"/>
          </w:tcPr>
          <w:p>
            <w:pPr>
              <w:pStyle w:val="161"/>
              <w:adjustRightInd w:val="0"/>
              <w:jc w:val="center"/>
              <w:rPr>
                <w:color w:val="auto"/>
                <w:szCs w:val="21"/>
              </w:rPr>
            </w:pPr>
            <w:r>
              <w:rPr>
                <w:color w:val="auto"/>
                <w:szCs w:val="21"/>
              </w:rPr>
              <w:t>70</w:t>
            </w:r>
          </w:p>
        </w:tc>
        <w:tc>
          <w:tcPr>
            <w:tcW w:w="1377" w:type="dxa"/>
            <w:vAlign w:val="center"/>
          </w:tcPr>
          <w:p>
            <w:pPr>
              <w:pStyle w:val="161"/>
              <w:adjustRightInd w:val="0"/>
              <w:jc w:val="center"/>
              <w:rPr>
                <w:color w:val="auto"/>
                <w:szCs w:val="21"/>
              </w:rPr>
            </w:pPr>
            <w:r>
              <w:rPr>
                <w:color w:val="auto"/>
                <w:szCs w:val="21"/>
              </w:rPr>
              <w:t>92.9</w:t>
            </w:r>
          </w:p>
        </w:tc>
        <w:tc>
          <w:tcPr>
            <w:tcW w:w="640" w:type="dxa"/>
            <w:vAlign w:val="center"/>
          </w:tcPr>
          <w:p>
            <w:pPr>
              <w:pStyle w:val="161"/>
              <w:adjustRightInd w:val="0"/>
              <w:jc w:val="center"/>
              <w:rPr>
                <w:color w:val="auto"/>
                <w:szCs w:val="21"/>
              </w:rPr>
            </w:pPr>
            <w:r>
              <w:rPr>
                <w:rFonts w:hint="eastAsia"/>
                <w:color w:val="auto"/>
                <w:spacing w:val="1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94" w:hRule="atLeast"/>
          <w:jc w:val="center"/>
        </w:trPr>
        <w:tc>
          <w:tcPr>
            <w:tcW w:w="713" w:type="dxa"/>
            <w:vAlign w:val="center"/>
          </w:tcPr>
          <w:p>
            <w:pPr>
              <w:pStyle w:val="161"/>
              <w:adjustRightInd w:val="0"/>
              <w:jc w:val="center"/>
              <w:rPr>
                <w:bCs/>
                <w:color w:val="auto"/>
                <w:szCs w:val="21"/>
              </w:rPr>
            </w:pPr>
            <w:r>
              <w:rPr>
                <w:bCs/>
                <w:color w:val="auto"/>
                <w:position w:val="1"/>
                <w:szCs w:val="21"/>
              </w:rPr>
              <w:t>PM</w:t>
            </w:r>
            <w:r>
              <w:rPr>
                <w:bCs/>
                <w:color w:val="auto"/>
                <w:szCs w:val="21"/>
                <w:vertAlign w:val="subscript"/>
              </w:rPr>
              <w:t>2.5</w:t>
            </w:r>
          </w:p>
        </w:tc>
        <w:tc>
          <w:tcPr>
            <w:tcW w:w="3947" w:type="dxa"/>
            <w:vAlign w:val="center"/>
          </w:tcPr>
          <w:p>
            <w:pPr>
              <w:pStyle w:val="161"/>
              <w:adjustRightInd w:val="0"/>
              <w:jc w:val="center"/>
              <w:rPr>
                <w:color w:val="auto"/>
                <w:szCs w:val="21"/>
              </w:rPr>
            </w:pPr>
            <w:r>
              <w:rPr>
                <w:color w:val="auto"/>
                <w:spacing w:val="2"/>
                <w:szCs w:val="21"/>
              </w:rPr>
              <w:t>年平均质量浓度</w:t>
            </w:r>
          </w:p>
        </w:tc>
        <w:tc>
          <w:tcPr>
            <w:tcW w:w="1008" w:type="dxa"/>
            <w:vAlign w:val="center"/>
          </w:tcPr>
          <w:p>
            <w:pPr>
              <w:pStyle w:val="161"/>
              <w:adjustRightInd w:val="0"/>
              <w:jc w:val="center"/>
              <w:rPr>
                <w:color w:val="auto"/>
                <w:szCs w:val="21"/>
              </w:rPr>
            </w:pPr>
            <w:r>
              <w:rPr>
                <w:rFonts w:hint="eastAsia"/>
                <w:color w:val="auto"/>
                <w:szCs w:val="21"/>
              </w:rPr>
              <w:t>2</w:t>
            </w:r>
            <w:r>
              <w:rPr>
                <w:color w:val="auto"/>
                <w:szCs w:val="21"/>
              </w:rPr>
              <w:t>7</w:t>
            </w:r>
          </w:p>
        </w:tc>
        <w:tc>
          <w:tcPr>
            <w:tcW w:w="1008" w:type="dxa"/>
            <w:vAlign w:val="center"/>
          </w:tcPr>
          <w:p>
            <w:pPr>
              <w:pStyle w:val="161"/>
              <w:adjustRightInd w:val="0"/>
              <w:jc w:val="center"/>
              <w:rPr>
                <w:color w:val="auto"/>
                <w:szCs w:val="21"/>
              </w:rPr>
            </w:pPr>
            <w:r>
              <w:rPr>
                <w:color w:val="auto"/>
                <w:szCs w:val="21"/>
              </w:rPr>
              <w:t>35</w:t>
            </w:r>
          </w:p>
        </w:tc>
        <w:tc>
          <w:tcPr>
            <w:tcW w:w="1377" w:type="dxa"/>
            <w:vAlign w:val="center"/>
          </w:tcPr>
          <w:p>
            <w:pPr>
              <w:pStyle w:val="161"/>
              <w:adjustRightInd w:val="0"/>
              <w:jc w:val="center"/>
              <w:rPr>
                <w:color w:val="auto"/>
                <w:szCs w:val="21"/>
              </w:rPr>
            </w:pPr>
            <w:r>
              <w:rPr>
                <w:color w:val="auto"/>
                <w:szCs w:val="21"/>
              </w:rPr>
              <w:t>77.1</w:t>
            </w:r>
          </w:p>
        </w:tc>
        <w:tc>
          <w:tcPr>
            <w:tcW w:w="640" w:type="dxa"/>
            <w:vAlign w:val="center"/>
          </w:tcPr>
          <w:p>
            <w:pPr>
              <w:pStyle w:val="161"/>
              <w:adjustRightInd w:val="0"/>
              <w:jc w:val="center"/>
              <w:rPr>
                <w:color w:val="auto"/>
                <w:szCs w:val="21"/>
              </w:rPr>
            </w:pPr>
            <w:r>
              <w:rPr>
                <w:rFonts w:hint="eastAsia"/>
                <w:color w:val="auto"/>
                <w:spacing w:val="1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94" w:hRule="atLeast"/>
          <w:jc w:val="center"/>
        </w:trPr>
        <w:tc>
          <w:tcPr>
            <w:tcW w:w="713" w:type="dxa"/>
            <w:vAlign w:val="center"/>
          </w:tcPr>
          <w:p>
            <w:pPr>
              <w:pStyle w:val="161"/>
              <w:adjustRightInd w:val="0"/>
              <w:jc w:val="center"/>
              <w:rPr>
                <w:bCs/>
                <w:color w:val="auto"/>
                <w:szCs w:val="21"/>
              </w:rPr>
            </w:pPr>
            <w:r>
              <w:rPr>
                <w:bCs/>
                <w:color w:val="auto"/>
                <w:position w:val="1"/>
                <w:szCs w:val="21"/>
              </w:rPr>
              <w:t>SO</w:t>
            </w:r>
            <w:r>
              <w:rPr>
                <w:bCs/>
                <w:color w:val="auto"/>
                <w:szCs w:val="21"/>
                <w:vertAlign w:val="subscript"/>
              </w:rPr>
              <w:t>2</w:t>
            </w:r>
          </w:p>
        </w:tc>
        <w:tc>
          <w:tcPr>
            <w:tcW w:w="3947" w:type="dxa"/>
            <w:vAlign w:val="center"/>
          </w:tcPr>
          <w:p>
            <w:pPr>
              <w:pStyle w:val="161"/>
              <w:adjustRightInd w:val="0"/>
              <w:jc w:val="center"/>
              <w:rPr>
                <w:color w:val="auto"/>
                <w:szCs w:val="21"/>
              </w:rPr>
            </w:pPr>
            <w:r>
              <w:rPr>
                <w:color w:val="auto"/>
                <w:spacing w:val="2"/>
                <w:szCs w:val="21"/>
              </w:rPr>
              <w:t>年平均质量浓度</w:t>
            </w:r>
          </w:p>
        </w:tc>
        <w:tc>
          <w:tcPr>
            <w:tcW w:w="1008" w:type="dxa"/>
            <w:vAlign w:val="center"/>
          </w:tcPr>
          <w:p>
            <w:pPr>
              <w:pStyle w:val="161"/>
              <w:adjustRightInd w:val="0"/>
              <w:jc w:val="center"/>
              <w:rPr>
                <w:color w:val="auto"/>
                <w:szCs w:val="21"/>
              </w:rPr>
            </w:pPr>
            <w:r>
              <w:rPr>
                <w:color w:val="auto"/>
                <w:szCs w:val="21"/>
              </w:rPr>
              <w:t>11</w:t>
            </w:r>
          </w:p>
        </w:tc>
        <w:tc>
          <w:tcPr>
            <w:tcW w:w="1008" w:type="dxa"/>
            <w:vAlign w:val="center"/>
          </w:tcPr>
          <w:p>
            <w:pPr>
              <w:pStyle w:val="161"/>
              <w:adjustRightInd w:val="0"/>
              <w:jc w:val="center"/>
              <w:rPr>
                <w:color w:val="auto"/>
                <w:szCs w:val="21"/>
              </w:rPr>
            </w:pPr>
            <w:r>
              <w:rPr>
                <w:color w:val="auto"/>
                <w:szCs w:val="21"/>
              </w:rPr>
              <w:t>60</w:t>
            </w:r>
          </w:p>
        </w:tc>
        <w:tc>
          <w:tcPr>
            <w:tcW w:w="1377" w:type="dxa"/>
            <w:vAlign w:val="center"/>
          </w:tcPr>
          <w:p>
            <w:pPr>
              <w:pStyle w:val="161"/>
              <w:adjustRightInd w:val="0"/>
              <w:jc w:val="center"/>
              <w:rPr>
                <w:color w:val="auto"/>
                <w:szCs w:val="21"/>
              </w:rPr>
            </w:pPr>
            <w:r>
              <w:rPr>
                <w:color w:val="auto"/>
                <w:szCs w:val="21"/>
              </w:rPr>
              <w:t>18.3</w:t>
            </w:r>
          </w:p>
        </w:tc>
        <w:tc>
          <w:tcPr>
            <w:tcW w:w="640" w:type="dxa"/>
            <w:vAlign w:val="center"/>
          </w:tcPr>
          <w:p>
            <w:pPr>
              <w:pStyle w:val="161"/>
              <w:adjustRightInd w:val="0"/>
              <w:jc w:val="center"/>
              <w:rPr>
                <w:color w:val="auto"/>
                <w:szCs w:val="21"/>
              </w:rPr>
            </w:pPr>
            <w:r>
              <w:rPr>
                <w:color w:val="auto"/>
                <w:spacing w:val="1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94" w:hRule="atLeast"/>
          <w:jc w:val="center"/>
        </w:trPr>
        <w:tc>
          <w:tcPr>
            <w:tcW w:w="713" w:type="dxa"/>
            <w:vAlign w:val="center"/>
          </w:tcPr>
          <w:p>
            <w:pPr>
              <w:pStyle w:val="161"/>
              <w:adjustRightInd w:val="0"/>
              <w:jc w:val="center"/>
              <w:rPr>
                <w:bCs/>
                <w:color w:val="auto"/>
                <w:szCs w:val="21"/>
              </w:rPr>
            </w:pPr>
            <w:r>
              <w:rPr>
                <w:bCs/>
                <w:color w:val="auto"/>
                <w:position w:val="1"/>
                <w:szCs w:val="21"/>
              </w:rPr>
              <w:t>NO</w:t>
            </w:r>
            <w:r>
              <w:rPr>
                <w:bCs/>
                <w:color w:val="auto"/>
                <w:szCs w:val="21"/>
                <w:vertAlign w:val="subscript"/>
              </w:rPr>
              <w:t>2</w:t>
            </w:r>
          </w:p>
        </w:tc>
        <w:tc>
          <w:tcPr>
            <w:tcW w:w="3947" w:type="dxa"/>
            <w:vAlign w:val="center"/>
          </w:tcPr>
          <w:p>
            <w:pPr>
              <w:pStyle w:val="161"/>
              <w:adjustRightInd w:val="0"/>
              <w:jc w:val="center"/>
              <w:rPr>
                <w:color w:val="auto"/>
                <w:szCs w:val="21"/>
              </w:rPr>
            </w:pPr>
            <w:r>
              <w:rPr>
                <w:color w:val="auto"/>
                <w:spacing w:val="2"/>
                <w:szCs w:val="21"/>
              </w:rPr>
              <w:t>年平均质量浓度</w:t>
            </w:r>
          </w:p>
        </w:tc>
        <w:tc>
          <w:tcPr>
            <w:tcW w:w="1008" w:type="dxa"/>
            <w:vAlign w:val="center"/>
          </w:tcPr>
          <w:p>
            <w:pPr>
              <w:pStyle w:val="161"/>
              <w:adjustRightInd w:val="0"/>
              <w:jc w:val="center"/>
              <w:rPr>
                <w:color w:val="auto"/>
                <w:szCs w:val="21"/>
              </w:rPr>
            </w:pPr>
            <w:r>
              <w:rPr>
                <w:color w:val="auto"/>
                <w:szCs w:val="21"/>
              </w:rPr>
              <w:t>26</w:t>
            </w:r>
          </w:p>
        </w:tc>
        <w:tc>
          <w:tcPr>
            <w:tcW w:w="1008" w:type="dxa"/>
            <w:vAlign w:val="center"/>
          </w:tcPr>
          <w:p>
            <w:pPr>
              <w:pStyle w:val="161"/>
              <w:adjustRightInd w:val="0"/>
              <w:jc w:val="center"/>
              <w:rPr>
                <w:color w:val="auto"/>
                <w:szCs w:val="21"/>
              </w:rPr>
            </w:pPr>
            <w:r>
              <w:rPr>
                <w:color w:val="auto"/>
                <w:szCs w:val="21"/>
              </w:rPr>
              <w:t>40</w:t>
            </w:r>
          </w:p>
        </w:tc>
        <w:tc>
          <w:tcPr>
            <w:tcW w:w="1377" w:type="dxa"/>
            <w:vAlign w:val="center"/>
          </w:tcPr>
          <w:p>
            <w:pPr>
              <w:pStyle w:val="161"/>
              <w:adjustRightInd w:val="0"/>
              <w:jc w:val="center"/>
              <w:rPr>
                <w:color w:val="auto"/>
                <w:szCs w:val="21"/>
              </w:rPr>
            </w:pPr>
            <w:r>
              <w:rPr>
                <w:color w:val="auto"/>
                <w:szCs w:val="21"/>
              </w:rPr>
              <w:t>65.0</w:t>
            </w:r>
          </w:p>
        </w:tc>
        <w:tc>
          <w:tcPr>
            <w:tcW w:w="640" w:type="dxa"/>
            <w:vAlign w:val="center"/>
          </w:tcPr>
          <w:p>
            <w:pPr>
              <w:pStyle w:val="161"/>
              <w:adjustRightInd w:val="0"/>
              <w:jc w:val="center"/>
              <w:rPr>
                <w:color w:val="auto"/>
                <w:szCs w:val="21"/>
              </w:rPr>
            </w:pPr>
            <w:r>
              <w:rPr>
                <w:color w:val="auto"/>
                <w:spacing w:val="3"/>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94" w:hRule="atLeast"/>
          <w:jc w:val="center"/>
        </w:trPr>
        <w:tc>
          <w:tcPr>
            <w:tcW w:w="713" w:type="dxa"/>
            <w:vAlign w:val="center"/>
          </w:tcPr>
          <w:p>
            <w:pPr>
              <w:pStyle w:val="161"/>
              <w:adjustRightInd w:val="0"/>
              <w:jc w:val="center"/>
              <w:rPr>
                <w:bCs/>
                <w:color w:val="auto"/>
                <w:szCs w:val="21"/>
              </w:rPr>
            </w:pPr>
            <w:r>
              <w:rPr>
                <w:bCs/>
                <w:color w:val="auto"/>
                <w:szCs w:val="21"/>
              </w:rPr>
              <w:t>CO</w:t>
            </w:r>
          </w:p>
        </w:tc>
        <w:tc>
          <w:tcPr>
            <w:tcW w:w="3947" w:type="dxa"/>
            <w:vAlign w:val="center"/>
          </w:tcPr>
          <w:p>
            <w:pPr>
              <w:pStyle w:val="161"/>
              <w:adjustRightInd w:val="0"/>
              <w:jc w:val="center"/>
              <w:rPr>
                <w:color w:val="auto"/>
                <w:szCs w:val="21"/>
              </w:rPr>
            </w:pPr>
            <w:r>
              <w:rPr>
                <w:color w:val="auto"/>
                <w:szCs w:val="21"/>
              </w:rPr>
              <w:t>24</w:t>
            </w:r>
            <w:r>
              <w:rPr>
                <w:color w:val="auto"/>
                <w:spacing w:val="2"/>
                <w:szCs w:val="21"/>
              </w:rPr>
              <w:t>小时平均第</w:t>
            </w:r>
            <w:r>
              <w:rPr>
                <w:color w:val="auto"/>
                <w:szCs w:val="21"/>
              </w:rPr>
              <w:t>95百分位数</w:t>
            </w:r>
          </w:p>
        </w:tc>
        <w:tc>
          <w:tcPr>
            <w:tcW w:w="1008" w:type="dxa"/>
            <w:vAlign w:val="center"/>
          </w:tcPr>
          <w:p>
            <w:pPr>
              <w:pStyle w:val="161"/>
              <w:adjustRightInd w:val="0"/>
              <w:jc w:val="center"/>
              <w:rPr>
                <w:color w:val="auto"/>
                <w:szCs w:val="21"/>
              </w:rPr>
            </w:pPr>
            <w:r>
              <w:rPr>
                <w:color w:val="auto"/>
                <w:szCs w:val="21"/>
              </w:rPr>
              <w:t>0.6mg/m</w:t>
            </w:r>
            <w:r>
              <w:rPr>
                <w:color w:val="auto"/>
                <w:szCs w:val="21"/>
                <w:vertAlign w:val="superscript"/>
              </w:rPr>
              <w:t>3</w:t>
            </w:r>
          </w:p>
        </w:tc>
        <w:tc>
          <w:tcPr>
            <w:tcW w:w="1008" w:type="dxa"/>
            <w:vAlign w:val="center"/>
          </w:tcPr>
          <w:p>
            <w:pPr>
              <w:pStyle w:val="161"/>
              <w:adjustRightInd w:val="0"/>
              <w:jc w:val="center"/>
              <w:rPr>
                <w:color w:val="auto"/>
                <w:szCs w:val="21"/>
              </w:rPr>
            </w:pPr>
            <w:r>
              <w:rPr>
                <w:color w:val="auto"/>
                <w:szCs w:val="21"/>
              </w:rPr>
              <w:t>4mg/m</w:t>
            </w:r>
            <w:r>
              <w:rPr>
                <w:color w:val="auto"/>
                <w:szCs w:val="21"/>
                <w:vertAlign w:val="superscript"/>
              </w:rPr>
              <w:t>3</w:t>
            </w:r>
          </w:p>
        </w:tc>
        <w:tc>
          <w:tcPr>
            <w:tcW w:w="1377" w:type="dxa"/>
            <w:vAlign w:val="center"/>
          </w:tcPr>
          <w:p>
            <w:pPr>
              <w:pStyle w:val="161"/>
              <w:adjustRightInd w:val="0"/>
              <w:jc w:val="center"/>
              <w:rPr>
                <w:color w:val="auto"/>
                <w:szCs w:val="21"/>
              </w:rPr>
            </w:pPr>
            <w:r>
              <w:rPr>
                <w:color w:val="auto"/>
                <w:szCs w:val="21"/>
              </w:rPr>
              <w:t>15.0</w:t>
            </w:r>
          </w:p>
        </w:tc>
        <w:tc>
          <w:tcPr>
            <w:tcW w:w="640" w:type="dxa"/>
            <w:vAlign w:val="center"/>
          </w:tcPr>
          <w:p>
            <w:pPr>
              <w:pStyle w:val="161"/>
              <w:adjustRightInd w:val="0"/>
              <w:jc w:val="center"/>
              <w:rPr>
                <w:color w:val="auto"/>
                <w:szCs w:val="21"/>
              </w:rPr>
            </w:pPr>
            <w:r>
              <w:rPr>
                <w:color w:val="auto"/>
                <w:spacing w:val="11"/>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94" w:hRule="atLeast"/>
          <w:jc w:val="center"/>
        </w:trPr>
        <w:tc>
          <w:tcPr>
            <w:tcW w:w="713" w:type="dxa"/>
            <w:vAlign w:val="center"/>
          </w:tcPr>
          <w:p>
            <w:pPr>
              <w:pStyle w:val="161"/>
              <w:adjustRightInd w:val="0"/>
              <w:jc w:val="center"/>
              <w:rPr>
                <w:bCs/>
                <w:color w:val="auto"/>
                <w:szCs w:val="21"/>
              </w:rPr>
            </w:pPr>
            <w:r>
              <w:rPr>
                <w:bCs/>
                <w:color w:val="auto"/>
                <w:position w:val="1"/>
                <w:szCs w:val="21"/>
              </w:rPr>
              <w:t>O</w:t>
            </w:r>
            <w:r>
              <w:rPr>
                <w:bCs/>
                <w:color w:val="auto"/>
                <w:szCs w:val="21"/>
                <w:vertAlign w:val="subscript"/>
              </w:rPr>
              <w:t>3</w:t>
            </w:r>
          </w:p>
        </w:tc>
        <w:tc>
          <w:tcPr>
            <w:tcW w:w="3947" w:type="dxa"/>
            <w:vAlign w:val="center"/>
          </w:tcPr>
          <w:p>
            <w:pPr>
              <w:pStyle w:val="161"/>
              <w:adjustRightInd w:val="0"/>
              <w:jc w:val="center"/>
              <w:rPr>
                <w:color w:val="auto"/>
                <w:szCs w:val="21"/>
              </w:rPr>
            </w:pPr>
            <w:r>
              <w:rPr>
                <w:color w:val="auto"/>
                <w:szCs w:val="21"/>
              </w:rPr>
              <w:t>日最大8</w:t>
            </w:r>
            <w:r>
              <w:rPr>
                <w:color w:val="auto"/>
                <w:spacing w:val="2"/>
                <w:szCs w:val="21"/>
              </w:rPr>
              <w:t>小时滑动平均值第</w:t>
            </w:r>
            <w:r>
              <w:rPr>
                <w:color w:val="auto"/>
                <w:szCs w:val="21"/>
              </w:rPr>
              <w:t>90百</w:t>
            </w:r>
            <w:r>
              <w:rPr>
                <w:color w:val="auto"/>
                <w:spacing w:val="3"/>
                <w:szCs w:val="21"/>
              </w:rPr>
              <w:t>分位数</w:t>
            </w:r>
          </w:p>
        </w:tc>
        <w:tc>
          <w:tcPr>
            <w:tcW w:w="1008" w:type="dxa"/>
            <w:vAlign w:val="center"/>
          </w:tcPr>
          <w:p>
            <w:pPr>
              <w:pStyle w:val="161"/>
              <w:adjustRightInd w:val="0"/>
              <w:jc w:val="center"/>
              <w:rPr>
                <w:color w:val="auto"/>
                <w:szCs w:val="21"/>
              </w:rPr>
            </w:pPr>
            <w:r>
              <w:rPr>
                <w:color w:val="auto"/>
                <w:spacing w:val="11"/>
                <w:szCs w:val="21"/>
              </w:rPr>
              <w:t>138</w:t>
            </w:r>
          </w:p>
        </w:tc>
        <w:tc>
          <w:tcPr>
            <w:tcW w:w="1008" w:type="dxa"/>
            <w:vAlign w:val="center"/>
          </w:tcPr>
          <w:p>
            <w:pPr>
              <w:pStyle w:val="161"/>
              <w:adjustRightInd w:val="0"/>
              <w:jc w:val="center"/>
              <w:rPr>
                <w:color w:val="auto"/>
                <w:szCs w:val="21"/>
              </w:rPr>
            </w:pPr>
            <w:r>
              <w:rPr>
                <w:color w:val="auto"/>
                <w:spacing w:val="2"/>
                <w:szCs w:val="21"/>
              </w:rPr>
              <w:t>160</w:t>
            </w:r>
          </w:p>
        </w:tc>
        <w:tc>
          <w:tcPr>
            <w:tcW w:w="1377" w:type="dxa"/>
            <w:vAlign w:val="center"/>
          </w:tcPr>
          <w:p>
            <w:pPr>
              <w:pStyle w:val="161"/>
              <w:adjustRightInd w:val="0"/>
              <w:jc w:val="center"/>
              <w:rPr>
                <w:color w:val="auto"/>
                <w:szCs w:val="21"/>
              </w:rPr>
            </w:pPr>
            <w:r>
              <w:rPr>
                <w:color w:val="auto"/>
                <w:szCs w:val="21"/>
              </w:rPr>
              <w:t>86.3</w:t>
            </w:r>
          </w:p>
        </w:tc>
        <w:tc>
          <w:tcPr>
            <w:tcW w:w="640" w:type="dxa"/>
            <w:vAlign w:val="center"/>
          </w:tcPr>
          <w:p>
            <w:pPr>
              <w:pStyle w:val="161"/>
              <w:adjustRightInd w:val="0"/>
              <w:jc w:val="center"/>
              <w:rPr>
                <w:color w:val="auto"/>
                <w:szCs w:val="21"/>
              </w:rPr>
            </w:pPr>
            <w:r>
              <w:rPr>
                <w:color w:val="auto"/>
                <w:spacing w:val="3"/>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94" w:hRule="atLeast"/>
          <w:jc w:val="center"/>
        </w:trPr>
        <w:tc>
          <w:tcPr>
            <w:tcW w:w="8693" w:type="dxa"/>
            <w:gridSpan w:val="6"/>
            <w:vAlign w:val="center"/>
          </w:tcPr>
          <w:p>
            <w:pPr>
              <w:pStyle w:val="161"/>
              <w:adjustRightInd w:val="0"/>
              <w:rPr>
                <w:color w:val="auto"/>
                <w:spacing w:val="3"/>
                <w:szCs w:val="21"/>
              </w:rPr>
            </w:pPr>
            <w:r>
              <w:rPr>
                <w:color w:val="auto"/>
                <w:spacing w:val="3"/>
                <w:szCs w:val="21"/>
              </w:rPr>
              <w:t>注：表中统计数据均为扣除沙尘实况数据。</w:t>
            </w:r>
          </w:p>
        </w:tc>
      </w:tr>
    </w:tbl>
    <w:p>
      <w:pPr>
        <w:adjustRightInd w:val="0"/>
        <w:snapToGrid w:val="0"/>
        <w:spacing w:before="120" w:beforeLines="50" w:line="360" w:lineRule="auto"/>
        <w:ind w:firstLine="480" w:firstLineChars="200"/>
        <w:rPr>
          <w:bCs/>
          <w:color w:val="auto"/>
          <w:sz w:val="24"/>
          <w:szCs w:val="24"/>
        </w:rPr>
      </w:pPr>
      <w:r>
        <w:rPr>
          <w:color w:val="auto"/>
          <w:sz w:val="24"/>
          <w:szCs w:val="24"/>
          <w:lang w:val="sq-AL"/>
        </w:rPr>
        <w:t>根据《2021年宁夏生态环境质量状况公报》中</w:t>
      </w:r>
      <w:r>
        <w:rPr>
          <w:color w:val="auto"/>
          <w:sz w:val="24"/>
          <w:szCs w:val="24"/>
        </w:rPr>
        <w:t>中卫市</w:t>
      </w:r>
      <w:r>
        <w:rPr>
          <w:color w:val="auto"/>
          <w:sz w:val="24"/>
          <w:szCs w:val="24"/>
          <w:lang w:val="sq-AL"/>
        </w:rPr>
        <w:t>环境空气质量监测数据，</w:t>
      </w:r>
      <w:r>
        <w:rPr>
          <w:color w:val="auto"/>
          <w:sz w:val="24"/>
          <w:szCs w:val="24"/>
        </w:rPr>
        <w:t>中卫</w:t>
      </w:r>
      <w:r>
        <w:rPr>
          <w:color w:val="auto"/>
          <w:sz w:val="24"/>
          <w:szCs w:val="24"/>
          <w:lang w:val="sq-AL"/>
        </w:rPr>
        <w:t>市2021年度 PM</w:t>
      </w:r>
      <w:r>
        <w:rPr>
          <w:color w:val="auto"/>
          <w:sz w:val="24"/>
          <w:szCs w:val="24"/>
          <w:vertAlign w:val="subscript"/>
          <w:lang w:val="sq-AL"/>
        </w:rPr>
        <w:t>10</w:t>
      </w:r>
      <w:r>
        <w:rPr>
          <w:color w:val="auto"/>
          <w:sz w:val="24"/>
          <w:szCs w:val="24"/>
          <w:lang w:val="sq-AL"/>
        </w:rPr>
        <w:t>、PM</w:t>
      </w:r>
      <w:r>
        <w:rPr>
          <w:color w:val="auto"/>
          <w:sz w:val="24"/>
          <w:szCs w:val="24"/>
          <w:vertAlign w:val="subscript"/>
          <w:lang w:val="sq-AL"/>
        </w:rPr>
        <w:t>2.5</w:t>
      </w:r>
      <w:r>
        <w:rPr>
          <w:rFonts w:hint="eastAsia"/>
          <w:color w:val="auto"/>
          <w:sz w:val="24"/>
          <w:szCs w:val="24"/>
          <w:lang w:val="sq-AL"/>
        </w:rPr>
        <w:t>、</w:t>
      </w:r>
      <w:r>
        <w:rPr>
          <w:color w:val="auto"/>
          <w:sz w:val="24"/>
          <w:szCs w:val="24"/>
          <w:lang w:val="sq-AL"/>
        </w:rPr>
        <w:t>SO</w:t>
      </w:r>
      <w:r>
        <w:rPr>
          <w:color w:val="auto"/>
          <w:sz w:val="24"/>
          <w:szCs w:val="24"/>
          <w:vertAlign w:val="subscript"/>
          <w:lang w:val="sq-AL"/>
        </w:rPr>
        <w:t>2</w:t>
      </w:r>
      <w:r>
        <w:rPr>
          <w:color w:val="auto"/>
          <w:sz w:val="24"/>
          <w:szCs w:val="24"/>
          <w:lang w:val="sq-AL"/>
        </w:rPr>
        <w:t>、NO</w:t>
      </w:r>
      <w:r>
        <w:rPr>
          <w:color w:val="auto"/>
          <w:sz w:val="24"/>
          <w:szCs w:val="24"/>
          <w:vertAlign w:val="subscript"/>
          <w:lang w:val="sq-AL"/>
        </w:rPr>
        <w:t>2</w:t>
      </w:r>
      <w:r>
        <w:rPr>
          <w:color w:val="auto"/>
          <w:sz w:val="24"/>
          <w:szCs w:val="24"/>
          <w:lang w:val="sq-AL"/>
        </w:rPr>
        <w:t>、CO和</w:t>
      </w:r>
      <w:r>
        <w:rPr>
          <w:color w:val="auto"/>
          <w:sz w:val="24"/>
          <w:szCs w:val="24"/>
        </w:rPr>
        <w:t>O</w:t>
      </w:r>
      <w:r>
        <w:rPr>
          <w:color w:val="auto"/>
          <w:sz w:val="24"/>
          <w:szCs w:val="24"/>
          <w:vertAlign w:val="subscript"/>
          <w:lang w:val="sq-AL"/>
        </w:rPr>
        <w:t>3</w:t>
      </w:r>
      <w:r>
        <w:rPr>
          <w:color w:val="auto"/>
          <w:sz w:val="24"/>
          <w:szCs w:val="24"/>
          <w:lang w:val="sq-AL"/>
        </w:rPr>
        <w:t>年均浓度均达到《环境空气质量标准》（GB3095-2012）中二级标准。综上所述，</w:t>
      </w:r>
      <w:r>
        <w:rPr>
          <w:color w:val="auto"/>
          <w:sz w:val="24"/>
          <w:szCs w:val="24"/>
        </w:rPr>
        <w:t>项目所在区域</w:t>
      </w:r>
      <w:r>
        <w:rPr>
          <w:color w:val="auto"/>
          <w:sz w:val="24"/>
          <w:szCs w:val="24"/>
          <w:lang w:val="sq-AL"/>
        </w:rPr>
        <w:t>属于达标区。</w:t>
      </w:r>
    </w:p>
    <w:p>
      <w:pPr>
        <w:pStyle w:val="5"/>
        <w:numPr>
          <w:ilvl w:val="2"/>
          <w:numId w:val="0"/>
        </w:numPr>
        <w:ind w:left="-720" w:leftChars="-343" w:firstLine="723" w:firstLineChars="300"/>
        <w:rPr>
          <w:color w:val="auto"/>
        </w:rPr>
      </w:pPr>
      <w:bookmarkStart w:id="330" w:name="_Toc109398644"/>
      <w:r>
        <w:rPr>
          <w:color w:val="auto"/>
        </w:rPr>
        <w:t>6.1.2其他污染物现状</w:t>
      </w:r>
      <w:bookmarkEnd w:id="330"/>
    </w:p>
    <w:p>
      <w:pPr>
        <w:spacing w:line="360" w:lineRule="auto"/>
        <w:ind w:firstLine="480" w:firstLineChars="200"/>
        <w:rPr>
          <w:rFonts w:eastAsiaTheme="minorEastAsia"/>
          <w:color w:val="auto"/>
          <w:sz w:val="24"/>
          <w:szCs w:val="24"/>
        </w:rPr>
      </w:pPr>
      <w:r>
        <w:rPr>
          <w:rFonts w:eastAsiaTheme="minorEastAsia"/>
          <w:color w:val="auto"/>
          <w:sz w:val="24"/>
          <w:szCs w:val="24"/>
        </w:rPr>
        <w:t>本次评价其他污染物为硫化氢、氨、TVOC，根据《环境影响评价技术导则·大气环境》（HJ2.2-2018）中相关要求，设置2个监测点，连续监测7天，委托宁夏华鼎环保科技有限公司于2020年4月16日~4月22日对本项目环境质量现状进行监测（监测报告见附件9），监测点位图见图6.1-1。</w:t>
      </w:r>
    </w:p>
    <w:p>
      <w:pPr>
        <w:jc w:val="center"/>
        <w:rPr>
          <w:rFonts w:eastAsiaTheme="minorEastAsia"/>
          <w:color w:val="auto"/>
          <w:sz w:val="24"/>
          <w:szCs w:val="24"/>
        </w:rPr>
      </w:pPr>
      <w:r>
        <w:rPr>
          <w:color w:val="auto"/>
          <w:kern w:val="0"/>
          <w:sz w:val="24"/>
          <w:szCs w:val="24"/>
        </w:rPr>
        <w:drawing>
          <wp:anchor distT="0" distB="0" distL="114300" distR="114300" simplePos="0" relativeHeight="251666432" behindDoc="0" locked="0" layoutInCell="1" allowOverlap="1">
            <wp:simplePos x="0" y="0"/>
            <wp:positionH relativeFrom="column">
              <wp:posOffset>4363085</wp:posOffset>
            </wp:positionH>
            <wp:positionV relativeFrom="paragraph">
              <wp:posOffset>19685</wp:posOffset>
            </wp:positionV>
            <wp:extent cx="931545" cy="408305"/>
            <wp:effectExtent l="0" t="0" r="13335" b="3175"/>
            <wp:wrapNone/>
            <wp:docPr id="10" name="图片 10" descr="C:\Users\Administrator\Desktop\15969086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1596908689(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931545" cy="408305"/>
                    </a:xfrm>
                    <a:prstGeom prst="rect">
                      <a:avLst/>
                    </a:prstGeom>
                    <a:noFill/>
                    <a:ln>
                      <a:noFill/>
                    </a:ln>
                  </pic:spPr>
                </pic:pic>
              </a:graphicData>
            </a:graphic>
          </wp:anchor>
        </w:drawing>
      </w:r>
      <w:r>
        <w:rPr>
          <w:color w:val="auto"/>
        </w:rPr>
        <w:drawing>
          <wp:inline distT="0" distB="0" distL="0" distR="0">
            <wp:extent cx="5268595" cy="4229100"/>
            <wp:effectExtent l="0" t="0" r="825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9"/>
                    <a:stretch>
                      <a:fillRect/>
                    </a:stretch>
                  </pic:blipFill>
                  <pic:spPr>
                    <a:xfrm>
                      <a:off x="0" y="0"/>
                      <a:ext cx="5273165" cy="4232540"/>
                    </a:xfrm>
                    <a:prstGeom prst="rect">
                      <a:avLst/>
                    </a:prstGeom>
                  </pic:spPr>
                </pic:pic>
              </a:graphicData>
            </a:graphic>
          </wp:inline>
        </w:drawing>
      </w:r>
    </w:p>
    <w:p>
      <w:pPr>
        <w:pStyle w:val="114"/>
        <w:spacing w:before="0" w:beforeLines="0"/>
        <w:rPr>
          <w:color w:val="auto"/>
        </w:rPr>
      </w:pPr>
      <w:r>
        <w:rPr>
          <w:color w:val="auto"/>
        </w:rPr>
        <w:t>图6.1-1   环境空气及地下水监测点位图</w:t>
      </w:r>
    </w:p>
    <w:p>
      <w:pPr>
        <w:spacing w:before="120" w:beforeLines="50" w:line="360" w:lineRule="auto"/>
        <w:rPr>
          <w:b/>
          <w:bCs/>
          <w:color w:val="auto"/>
          <w:sz w:val="24"/>
          <w:szCs w:val="24"/>
        </w:rPr>
      </w:pPr>
      <w:bookmarkStart w:id="331" w:name="_Toc11595342"/>
      <w:r>
        <w:rPr>
          <w:b/>
          <w:bCs/>
          <w:color w:val="auto"/>
          <w:sz w:val="24"/>
          <w:szCs w:val="24"/>
        </w:rPr>
        <w:t>（1）监测点位</w:t>
      </w:r>
      <w:bookmarkEnd w:id="331"/>
      <w:r>
        <w:rPr>
          <w:b/>
          <w:bCs/>
          <w:color w:val="auto"/>
          <w:sz w:val="24"/>
          <w:szCs w:val="24"/>
        </w:rPr>
        <w:t>、因子及频次</w:t>
      </w:r>
    </w:p>
    <w:p>
      <w:pPr>
        <w:pStyle w:val="130"/>
        <w:ind w:firstLine="480"/>
        <w:rPr>
          <w:color w:val="auto"/>
        </w:rPr>
      </w:pPr>
      <w:r>
        <w:rPr>
          <w:color w:val="auto"/>
        </w:rPr>
        <w:t>环境空气检测点位、因子及频次见表6.1-2。</w:t>
      </w:r>
    </w:p>
    <w:p>
      <w:pPr>
        <w:pStyle w:val="114"/>
        <w:spacing w:before="0" w:beforeLines="0"/>
        <w:rPr>
          <w:color w:val="auto"/>
        </w:rPr>
      </w:pPr>
      <w:r>
        <w:rPr>
          <w:color w:val="auto"/>
        </w:rPr>
        <w:t>表6.1-2  环境空气检测点位、因子及频次一览表</w:t>
      </w:r>
    </w:p>
    <w:tbl>
      <w:tblPr>
        <w:tblStyle w:val="74"/>
        <w:tblW w:w="872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51"/>
        <w:gridCol w:w="1897"/>
        <w:gridCol w:w="1969"/>
        <w:gridCol w:w="1448"/>
        <w:gridCol w:w="225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9" w:hRule="atLeast"/>
          <w:jc w:val="center"/>
        </w:trPr>
        <w:tc>
          <w:tcPr>
            <w:tcW w:w="1151" w:type="dxa"/>
            <w:vAlign w:val="center"/>
          </w:tcPr>
          <w:p>
            <w:pPr>
              <w:pStyle w:val="164"/>
              <w:rPr>
                <w:color w:val="auto"/>
              </w:rPr>
            </w:pPr>
            <w:r>
              <w:rPr>
                <w:color w:val="auto"/>
              </w:rPr>
              <w:t>测点编号</w:t>
            </w:r>
          </w:p>
        </w:tc>
        <w:tc>
          <w:tcPr>
            <w:tcW w:w="1897" w:type="dxa"/>
            <w:vAlign w:val="center"/>
          </w:tcPr>
          <w:p>
            <w:pPr>
              <w:pStyle w:val="164"/>
              <w:rPr>
                <w:color w:val="auto"/>
              </w:rPr>
            </w:pPr>
            <w:r>
              <w:rPr>
                <w:color w:val="auto"/>
              </w:rPr>
              <w:t>点位名称</w:t>
            </w:r>
          </w:p>
        </w:tc>
        <w:tc>
          <w:tcPr>
            <w:tcW w:w="1969" w:type="dxa"/>
            <w:vAlign w:val="center"/>
          </w:tcPr>
          <w:p>
            <w:pPr>
              <w:pStyle w:val="164"/>
              <w:rPr>
                <w:color w:val="auto"/>
              </w:rPr>
            </w:pPr>
            <w:r>
              <w:rPr>
                <w:color w:val="auto"/>
              </w:rPr>
              <w:t>地理坐标</w:t>
            </w:r>
          </w:p>
        </w:tc>
        <w:tc>
          <w:tcPr>
            <w:tcW w:w="1448" w:type="dxa"/>
            <w:vAlign w:val="center"/>
          </w:tcPr>
          <w:p>
            <w:pPr>
              <w:pStyle w:val="164"/>
              <w:rPr>
                <w:color w:val="auto"/>
              </w:rPr>
            </w:pPr>
            <w:r>
              <w:rPr>
                <w:color w:val="auto"/>
              </w:rPr>
              <w:t>检测因子</w:t>
            </w:r>
          </w:p>
        </w:tc>
        <w:tc>
          <w:tcPr>
            <w:tcW w:w="2255" w:type="dxa"/>
            <w:vAlign w:val="center"/>
          </w:tcPr>
          <w:p>
            <w:pPr>
              <w:pStyle w:val="164"/>
              <w:rPr>
                <w:color w:val="auto"/>
              </w:rPr>
            </w:pPr>
            <w:r>
              <w:rPr>
                <w:color w:val="auto"/>
              </w:rPr>
              <w:t>检测频次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51" w:type="dxa"/>
            <w:vAlign w:val="center"/>
          </w:tcPr>
          <w:p>
            <w:pPr>
              <w:pStyle w:val="164"/>
              <w:rPr>
                <w:color w:val="auto"/>
              </w:rPr>
            </w:pPr>
            <w:r>
              <w:rPr>
                <w:color w:val="auto"/>
              </w:rPr>
              <w:t>1#</w:t>
            </w:r>
          </w:p>
        </w:tc>
        <w:tc>
          <w:tcPr>
            <w:tcW w:w="1897" w:type="dxa"/>
            <w:vAlign w:val="center"/>
          </w:tcPr>
          <w:p>
            <w:pPr>
              <w:pStyle w:val="164"/>
              <w:rPr>
                <w:color w:val="auto"/>
              </w:rPr>
            </w:pPr>
            <w:r>
              <w:rPr>
                <w:color w:val="auto"/>
              </w:rPr>
              <w:t>中卫市永康镇阳沟村希望小学</w:t>
            </w:r>
          </w:p>
        </w:tc>
        <w:tc>
          <w:tcPr>
            <w:tcW w:w="1969" w:type="dxa"/>
            <w:vAlign w:val="center"/>
          </w:tcPr>
          <w:p>
            <w:pPr>
              <w:pStyle w:val="164"/>
              <w:rPr>
                <w:color w:val="auto"/>
              </w:rPr>
            </w:pPr>
            <w:r>
              <w:rPr>
                <w:color w:val="auto"/>
              </w:rPr>
              <w:t>E：105°15'18.84"</w:t>
            </w:r>
          </w:p>
          <w:p>
            <w:pPr>
              <w:pStyle w:val="164"/>
              <w:rPr>
                <w:color w:val="auto"/>
              </w:rPr>
            </w:pPr>
            <w:r>
              <w:rPr>
                <w:color w:val="auto"/>
              </w:rPr>
              <w:t>N：37°26'29.62"</w:t>
            </w:r>
          </w:p>
        </w:tc>
        <w:tc>
          <w:tcPr>
            <w:tcW w:w="1448" w:type="dxa"/>
            <w:vMerge w:val="restart"/>
            <w:vAlign w:val="center"/>
          </w:tcPr>
          <w:p>
            <w:pPr>
              <w:pStyle w:val="164"/>
              <w:rPr>
                <w:color w:val="auto"/>
              </w:rPr>
            </w:pPr>
            <w:r>
              <w:rPr>
                <w:color w:val="auto"/>
              </w:rPr>
              <w:t>硫化氢、氨、TVOC</w:t>
            </w:r>
          </w:p>
        </w:tc>
        <w:tc>
          <w:tcPr>
            <w:tcW w:w="2255" w:type="dxa"/>
            <w:vMerge w:val="restart"/>
            <w:vAlign w:val="center"/>
          </w:tcPr>
          <w:p>
            <w:pPr>
              <w:pStyle w:val="164"/>
              <w:rPr>
                <w:color w:val="auto"/>
              </w:rPr>
            </w:pPr>
            <w:r>
              <w:rPr>
                <w:color w:val="auto"/>
              </w:rPr>
              <w:t>硫化氢、氨连续7天，每天采样4次；TVOC连续7天，每天检测8小时平均值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51" w:type="dxa"/>
            <w:vAlign w:val="center"/>
          </w:tcPr>
          <w:p>
            <w:pPr>
              <w:pStyle w:val="164"/>
              <w:rPr>
                <w:color w:val="auto"/>
              </w:rPr>
            </w:pPr>
            <w:r>
              <w:rPr>
                <w:color w:val="auto"/>
              </w:rPr>
              <w:t>2#</w:t>
            </w:r>
          </w:p>
        </w:tc>
        <w:tc>
          <w:tcPr>
            <w:tcW w:w="1897" w:type="dxa"/>
            <w:vAlign w:val="center"/>
          </w:tcPr>
          <w:p>
            <w:pPr>
              <w:pStyle w:val="164"/>
              <w:rPr>
                <w:color w:val="auto"/>
              </w:rPr>
            </w:pPr>
            <w:r>
              <w:rPr>
                <w:color w:val="auto"/>
              </w:rPr>
              <w:t>阳沟村一队</w:t>
            </w:r>
          </w:p>
        </w:tc>
        <w:tc>
          <w:tcPr>
            <w:tcW w:w="1969" w:type="dxa"/>
            <w:vAlign w:val="center"/>
          </w:tcPr>
          <w:p>
            <w:pPr>
              <w:pStyle w:val="164"/>
              <w:rPr>
                <w:color w:val="auto"/>
              </w:rPr>
            </w:pPr>
            <w:r>
              <w:rPr>
                <w:color w:val="auto"/>
              </w:rPr>
              <w:t>E：105°15'47.16"</w:t>
            </w:r>
          </w:p>
          <w:p>
            <w:pPr>
              <w:pStyle w:val="164"/>
              <w:rPr>
                <w:color w:val="auto"/>
              </w:rPr>
            </w:pPr>
            <w:r>
              <w:rPr>
                <w:color w:val="auto"/>
              </w:rPr>
              <w:t>N：37°26'21.01"</w:t>
            </w:r>
          </w:p>
        </w:tc>
        <w:tc>
          <w:tcPr>
            <w:tcW w:w="1448" w:type="dxa"/>
            <w:vMerge w:val="continue"/>
            <w:vAlign w:val="center"/>
          </w:tcPr>
          <w:p>
            <w:pPr>
              <w:pStyle w:val="164"/>
              <w:rPr>
                <w:color w:val="auto"/>
              </w:rPr>
            </w:pPr>
          </w:p>
        </w:tc>
        <w:tc>
          <w:tcPr>
            <w:tcW w:w="2255" w:type="dxa"/>
            <w:vMerge w:val="continue"/>
            <w:vAlign w:val="center"/>
          </w:tcPr>
          <w:p>
            <w:pPr>
              <w:pStyle w:val="164"/>
              <w:rPr>
                <w:color w:val="auto"/>
              </w:rPr>
            </w:pPr>
          </w:p>
        </w:tc>
      </w:tr>
    </w:tbl>
    <w:p>
      <w:pPr>
        <w:spacing w:before="120" w:beforeLines="50" w:line="360" w:lineRule="auto"/>
        <w:rPr>
          <w:b/>
          <w:bCs/>
          <w:color w:val="auto"/>
          <w:sz w:val="24"/>
          <w:szCs w:val="24"/>
        </w:rPr>
      </w:pPr>
      <w:bookmarkStart w:id="332" w:name="_Toc11595345"/>
      <w:r>
        <w:rPr>
          <w:b/>
          <w:bCs/>
          <w:color w:val="auto"/>
          <w:sz w:val="24"/>
          <w:szCs w:val="24"/>
        </w:rPr>
        <w:t>（2）监测分析方法</w:t>
      </w:r>
      <w:bookmarkEnd w:id="332"/>
    </w:p>
    <w:p>
      <w:pPr>
        <w:pStyle w:val="130"/>
        <w:ind w:firstLine="480"/>
        <w:rPr>
          <w:rFonts w:eastAsiaTheme="minorEastAsia"/>
          <w:color w:val="auto"/>
        </w:rPr>
      </w:pPr>
      <w:r>
        <w:rPr>
          <w:color w:val="auto"/>
        </w:rPr>
        <w:t>环境空气检测分析方法见表6.1-3。</w:t>
      </w:r>
    </w:p>
    <w:p>
      <w:pPr>
        <w:jc w:val="center"/>
        <w:rPr>
          <w:b/>
          <w:bCs/>
          <w:color w:val="auto"/>
          <w:sz w:val="24"/>
          <w:szCs w:val="24"/>
        </w:rPr>
      </w:pPr>
      <w:bookmarkStart w:id="333" w:name="_Toc11595346"/>
      <w:r>
        <w:rPr>
          <w:b/>
          <w:bCs/>
          <w:color w:val="auto"/>
          <w:sz w:val="24"/>
          <w:szCs w:val="24"/>
        </w:rPr>
        <w:t>表6.1-3  环境空气分析方法一览表</w:t>
      </w:r>
    </w:p>
    <w:tbl>
      <w:tblPr>
        <w:tblStyle w:val="74"/>
        <w:tblW w:w="867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85" w:type="dxa"/>
          <w:bottom w:w="0" w:type="dxa"/>
          <w:right w:w="85" w:type="dxa"/>
        </w:tblCellMar>
      </w:tblPr>
      <w:tblGrid>
        <w:gridCol w:w="1105"/>
        <w:gridCol w:w="3667"/>
        <w:gridCol w:w="2613"/>
        <w:gridCol w:w="128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85" w:type="dxa"/>
            <w:bottom w:w="0" w:type="dxa"/>
            <w:right w:w="85" w:type="dxa"/>
          </w:tblCellMar>
        </w:tblPrEx>
        <w:trPr>
          <w:trHeight w:val="433" w:hRule="atLeast"/>
          <w:jc w:val="center"/>
        </w:trPr>
        <w:tc>
          <w:tcPr>
            <w:tcW w:w="1105" w:type="dxa"/>
            <w:vAlign w:val="center"/>
          </w:tcPr>
          <w:p>
            <w:pPr>
              <w:pStyle w:val="164"/>
              <w:rPr>
                <w:color w:val="auto"/>
              </w:rPr>
            </w:pPr>
            <w:r>
              <w:rPr>
                <w:color w:val="auto"/>
              </w:rPr>
              <w:t>检测因子</w:t>
            </w:r>
          </w:p>
        </w:tc>
        <w:tc>
          <w:tcPr>
            <w:tcW w:w="3667" w:type="dxa"/>
            <w:vAlign w:val="center"/>
          </w:tcPr>
          <w:p>
            <w:pPr>
              <w:pStyle w:val="164"/>
              <w:rPr>
                <w:color w:val="auto"/>
              </w:rPr>
            </w:pPr>
            <w:r>
              <w:rPr>
                <w:color w:val="auto"/>
              </w:rPr>
              <w:t>方法名称</w:t>
            </w:r>
          </w:p>
        </w:tc>
        <w:tc>
          <w:tcPr>
            <w:tcW w:w="2613" w:type="dxa"/>
            <w:vAlign w:val="center"/>
          </w:tcPr>
          <w:p>
            <w:pPr>
              <w:pStyle w:val="164"/>
              <w:rPr>
                <w:color w:val="auto"/>
              </w:rPr>
            </w:pPr>
            <w:r>
              <w:rPr>
                <w:color w:val="auto"/>
              </w:rPr>
              <w:t>方法依据</w:t>
            </w:r>
          </w:p>
        </w:tc>
        <w:tc>
          <w:tcPr>
            <w:tcW w:w="1289" w:type="dxa"/>
            <w:vAlign w:val="center"/>
          </w:tcPr>
          <w:p>
            <w:pPr>
              <w:pStyle w:val="164"/>
              <w:rPr>
                <w:color w:val="auto"/>
              </w:rPr>
            </w:pPr>
            <w:r>
              <w:rPr>
                <w:color w:val="auto"/>
              </w:rPr>
              <w:t>检出限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85" w:type="dxa"/>
            <w:bottom w:w="0" w:type="dxa"/>
            <w:right w:w="85" w:type="dxa"/>
          </w:tblCellMar>
        </w:tblPrEx>
        <w:trPr>
          <w:trHeight w:val="340" w:hRule="atLeast"/>
          <w:jc w:val="center"/>
        </w:trPr>
        <w:tc>
          <w:tcPr>
            <w:tcW w:w="1105" w:type="dxa"/>
            <w:vAlign w:val="center"/>
          </w:tcPr>
          <w:p>
            <w:pPr>
              <w:pStyle w:val="164"/>
              <w:rPr>
                <w:color w:val="auto"/>
              </w:rPr>
            </w:pPr>
            <w:r>
              <w:rPr>
                <w:color w:val="auto"/>
              </w:rPr>
              <w:t>硫化氢</w:t>
            </w:r>
          </w:p>
        </w:tc>
        <w:tc>
          <w:tcPr>
            <w:tcW w:w="3667" w:type="dxa"/>
            <w:vAlign w:val="center"/>
          </w:tcPr>
          <w:p>
            <w:pPr>
              <w:pStyle w:val="164"/>
              <w:rPr>
                <w:color w:val="auto"/>
              </w:rPr>
            </w:pPr>
            <w:r>
              <w:rPr>
                <w:color w:val="auto"/>
              </w:rPr>
              <w:t>《环境空气 硫化氢直接显色分光光度法》</w:t>
            </w:r>
          </w:p>
        </w:tc>
        <w:tc>
          <w:tcPr>
            <w:tcW w:w="2613" w:type="dxa"/>
            <w:vAlign w:val="center"/>
          </w:tcPr>
          <w:p>
            <w:pPr>
              <w:pStyle w:val="164"/>
              <w:rPr>
                <w:color w:val="auto"/>
              </w:rPr>
            </w:pPr>
            <w:r>
              <w:rPr>
                <w:color w:val="auto"/>
              </w:rPr>
              <w:t>《空气和废气监测分析方法》（第四版）国家环境保护总局（2003年）</w:t>
            </w:r>
          </w:p>
        </w:tc>
        <w:tc>
          <w:tcPr>
            <w:tcW w:w="1289" w:type="dxa"/>
            <w:vAlign w:val="center"/>
          </w:tcPr>
          <w:p>
            <w:pPr>
              <w:pStyle w:val="164"/>
              <w:rPr>
                <w:color w:val="auto"/>
              </w:rPr>
            </w:pPr>
            <w:r>
              <w:rPr>
                <w:color w:val="auto"/>
              </w:rPr>
              <w:t>1μg/m</w:t>
            </w:r>
            <w:r>
              <w:rPr>
                <w:color w:val="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85" w:type="dxa"/>
            <w:bottom w:w="0" w:type="dxa"/>
            <w:right w:w="85" w:type="dxa"/>
          </w:tblCellMar>
        </w:tblPrEx>
        <w:trPr>
          <w:trHeight w:val="340" w:hRule="atLeast"/>
          <w:jc w:val="center"/>
        </w:trPr>
        <w:tc>
          <w:tcPr>
            <w:tcW w:w="1105" w:type="dxa"/>
            <w:vAlign w:val="center"/>
          </w:tcPr>
          <w:p>
            <w:pPr>
              <w:pStyle w:val="164"/>
              <w:rPr>
                <w:color w:val="auto"/>
              </w:rPr>
            </w:pPr>
            <w:r>
              <w:rPr>
                <w:color w:val="auto"/>
              </w:rPr>
              <w:t>氨</w:t>
            </w:r>
          </w:p>
        </w:tc>
        <w:tc>
          <w:tcPr>
            <w:tcW w:w="3667" w:type="dxa"/>
            <w:vAlign w:val="center"/>
          </w:tcPr>
          <w:p>
            <w:pPr>
              <w:pStyle w:val="164"/>
              <w:rPr>
                <w:color w:val="auto"/>
              </w:rPr>
            </w:pPr>
            <w:r>
              <w:rPr>
                <w:color w:val="auto"/>
              </w:rPr>
              <w:t>《环境空气和废气 氨的测定 纳氏试剂分光光度法》</w:t>
            </w:r>
          </w:p>
        </w:tc>
        <w:tc>
          <w:tcPr>
            <w:tcW w:w="2613" w:type="dxa"/>
            <w:vAlign w:val="center"/>
          </w:tcPr>
          <w:p>
            <w:pPr>
              <w:pStyle w:val="164"/>
              <w:rPr>
                <w:color w:val="auto"/>
              </w:rPr>
            </w:pPr>
            <w:r>
              <w:rPr>
                <w:color w:val="auto"/>
              </w:rPr>
              <w:t>HJ 533-2009</w:t>
            </w:r>
          </w:p>
        </w:tc>
        <w:tc>
          <w:tcPr>
            <w:tcW w:w="1289" w:type="dxa"/>
            <w:vAlign w:val="center"/>
          </w:tcPr>
          <w:p>
            <w:pPr>
              <w:pStyle w:val="164"/>
              <w:rPr>
                <w:color w:val="auto"/>
              </w:rPr>
            </w:pPr>
            <w:r>
              <w:rPr>
                <w:color w:val="auto"/>
              </w:rPr>
              <w:t>10μg/m</w:t>
            </w:r>
            <w:r>
              <w:rPr>
                <w:color w:val="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85" w:type="dxa"/>
            <w:bottom w:w="0" w:type="dxa"/>
            <w:right w:w="85" w:type="dxa"/>
          </w:tblCellMar>
        </w:tblPrEx>
        <w:trPr>
          <w:trHeight w:val="340" w:hRule="atLeast"/>
          <w:jc w:val="center"/>
        </w:trPr>
        <w:tc>
          <w:tcPr>
            <w:tcW w:w="1105" w:type="dxa"/>
            <w:vAlign w:val="center"/>
          </w:tcPr>
          <w:p>
            <w:pPr>
              <w:pStyle w:val="164"/>
              <w:rPr>
                <w:color w:val="auto"/>
              </w:rPr>
            </w:pPr>
            <w:r>
              <w:rPr>
                <w:color w:val="auto"/>
              </w:rPr>
              <w:t>TVOC</w:t>
            </w:r>
          </w:p>
        </w:tc>
        <w:tc>
          <w:tcPr>
            <w:tcW w:w="3667" w:type="dxa"/>
            <w:vAlign w:val="center"/>
          </w:tcPr>
          <w:p>
            <w:pPr>
              <w:pStyle w:val="164"/>
              <w:rPr>
                <w:color w:val="auto"/>
              </w:rPr>
            </w:pPr>
            <w:r>
              <w:rPr>
                <w:color w:val="auto"/>
              </w:rPr>
              <w:t>《环境空气 挥发性有机物的测定 吸附管采样-热脱附/气相色谱-质谱法》</w:t>
            </w:r>
          </w:p>
        </w:tc>
        <w:tc>
          <w:tcPr>
            <w:tcW w:w="2613" w:type="dxa"/>
            <w:vAlign w:val="center"/>
          </w:tcPr>
          <w:p>
            <w:pPr>
              <w:pStyle w:val="164"/>
              <w:rPr>
                <w:color w:val="auto"/>
              </w:rPr>
            </w:pPr>
            <w:r>
              <w:rPr>
                <w:color w:val="auto"/>
              </w:rPr>
              <w:t>HJ 644-2013</w:t>
            </w:r>
          </w:p>
        </w:tc>
        <w:tc>
          <w:tcPr>
            <w:tcW w:w="1289" w:type="dxa"/>
            <w:vAlign w:val="center"/>
          </w:tcPr>
          <w:p>
            <w:pPr>
              <w:pStyle w:val="164"/>
              <w:rPr>
                <w:color w:val="auto"/>
              </w:rPr>
            </w:pPr>
            <w:r>
              <w:rPr>
                <w:color w:val="auto"/>
              </w:rPr>
              <w:t>0.3μg/m</w:t>
            </w:r>
            <w:r>
              <w:rPr>
                <w:color w:val="auto"/>
                <w:vertAlign w:val="superscript"/>
              </w:rPr>
              <w:t>3</w:t>
            </w:r>
          </w:p>
        </w:tc>
      </w:tr>
    </w:tbl>
    <w:p>
      <w:pPr>
        <w:spacing w:before="120" w:beforeLines="50" w:line="360" w:lineRule="auto"/>
        <w:rPr>
          <w:b/>
          <w:bCs/>
          <w:color w:val="auto"/>
          <w:sz w:val="24"/>
          <w:szCs w:val="24"/>
        </w:rPr>
      </w:pPr>
      <w:r>
        <w:rPr>
          <w:b/>
          <w:bCs/>
          <w:color w:val="auto"/>
          <w:sz w:val="24"/>
          <w:szCs w:val="24"/>
        </w:rPr>
        <w:t>（3）评价标准</w:t>
      </w:r>
    </w:p>
    <w:p>
      <w:pPr>
        <w:adjustRightInd w:val="0"/>
        <w:snapToGrid w:val="0"/>
        <w:spacing w:line="360" w:lineRule="auto"/>
        <w:ind w:firstLine="480" w:firstLineChars="200"/>
        <w:rPr>
          <w:bCs/>
          <w:color w:val="auto"/>
          <w:sz w:val="24"/>
          <w:szCs w:val="24"/>
        </w:rPr>
      </w:pPr>
      <w:r>
        <w:rPr>
          <w:bCs/>
          <w:color w:val="auto"/>
          <w:sz w:val="24"/>
          <w:szCs w:val="24"/>
        </w:rPr>
        <w:t>根据本项目所处的地理位置及环境功能区划，本次环境空气质量评价执行</w:t>
      </w:r>
      <w:r>
        <w:rPr>
          <w:color w:val="auto"/>
          <w:sz w:val="24"/>
          <w:szCs w:val="24"/>
        </w:rPr>
        <w:t>《环境空气质量标准》（GB3095-2012）中</w:t>
      </w:r>
      <w:r>
        <w:rPr>
          <w:bCs/>
          <w:color w:val="auto"/>
          <w:sz w:val="24"/>
          <w:szCs w:val="24"/>
        </w:rPr>
        <w:t>的二级标准和</w:t>
      </w:r>
      <w:r>
        <w:rPr>
          <w:color w:val="auto"/>
          <w:sz w:val="24"/>
          <w:szCs w:val="24"/>
        </w:rPr>
        <w:t>《环境影响评价技术导则大气环境》（HJ2.2-2018）附录D中“其他污染物空气质量浓度参考限值”</w:t>
      </w:r>
      <w:r>
        <w:rPr>
          <w:bCs/>
          <w:color w:val="auto"/>
          <w:sz w:val="24"/>
          <w:szCs w:val="24"/>
        </w:rPr>
        <w:t>，见表6.1-4。</w:t>
      </w:r>
    </w:p>
    <w:p>
      <w:pPr>
        <w:pStyle w:val="114"/>
        <w:spacing w:before="0" w:beforeLines="0"/>
        <w:rPr>
          <w:color w:val="auto"/>
        </w:rPr>
      </w:pPr>
      <w:r>
        <w:rPr>
          <w:color w:val="auto"/>
        </w:rPr>
        <w:t>表6.1-4   环境空气质量评价标准一览表</w:t>
      </w:r>
    </w:p>
    <w:tbl>
      <w:tblPr>
        <w:tblStyle w:val="74"/>
        <w:tblW w:w="850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1634"/>
        <w:gridCol w:w="1667"/>
        <w:gridCol w:w="1236"/>
        <w:gridCol w:w="39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Ex>
        <w:trPr>
          <w:trHeight w:val="340" w:hRule="atLeast"/>
          <w:jc w:val="center"/>
        </w:trPr>
        <w:tc>
          <w:tcPr>
            <w:tcW w:w="1634" w:type="dxa"/>
            <w:shd w:val="clear" w:color="auto" w:fill="auto"/>
            <w:vAlign w:val="center"/>
          </w:tcPr>
          <w:p>
            <w:pPr>
              <w:pStyle w:val="164"/>
              <w:spacing w:line="240" w:lineRule="auto"/>
              <w:rPr>
                <w:color w:val="auto"/>
              </w:rPr>
            </w:pPr>
            <w:r>
              <w:rPr>
                <w:color w:val="auto"/>
              </w:rPr>
              <w:t>污染物名称</w:t>
            </w:r>
          </w:p>
        </w:tc>
        <w:tc>
          <w:tcPr>
            <w:tcW w:w="1667" w:type="dxa"/>
            <w:shd w:val="clear" w:color="auto" w:fill="auto"/>
            <w:vAlign w:val="center"/>
          </w:tcPr>
          <w:p>
            <w:pPr>
              <w:pStyle w:val="164"/>
              <w:spacing w:line="240" w:lineRule="auto"/>
              <w:rPr>
                <w:color w:val="auto"/>
              </w:rPr>
            </w:pPr>
            <w:r>
              <w:rPr>
                <w:color w:val="auto"/>
              </w:rPr>
              <w:t>取值时间</w:t>
            </w:r>
          </w:p>
        </w:tc>
        <w:tc>
          <w:tcPr>
            <w:tcW w:w="1236" w:type="dxa"/>
            <w:shd w:val="clear" w:color="auto" w:fill="auto"/>
            <w:vAlign w:val="center"/>
          </w:tcPr>
          <w:p>
            <w:pPr>
              <w:pStyle w:val="164"/>
              <w:spacing w:line="240" w:lineRule="auto"/>
              <w:rPr>
                <w:color w:val="auto"/>
              </w:rPr>
            </w:pPr>
            <w:r>
              <w:rPr>
                <w:color w:val="auto"/>
              </w:rPr>
              <w:t>标准限值</w:t>
            </w:r>
          </w:p>
        </w:tc>
        <w:tc>
          <w:tcPr>
            <w:tcW w:w="3963" w:type="dxa"/>
            <w:shd w:val="clear" w:color="auto" w:fill="auto"/>
            <w:vAlign w:val="center"/>
          </w:tcPr>
          <w:p>
            <w:pPr>
              <w:pStyle w:val="164"/>
              <w:rPr>
                <w:color w:val="auto"/>
              </w:rPr>
            </w:pPr>
            <w:r>
              <w:rPr>
                <w:color w:val="auto"/>
              </w:rPr>
              <w:t>标准出处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Ex>
        <w:trPr>
          <w:trHeight w:val="340" w:hRule="atLeast"/>
          <w:jc w:val="center"/>
        </w:trPr>
        <w:tc>
          <w:tcPr>
            <w:tcW w:w="1634" w:type="dxa"/>
            <w:shd w:val="clear" w:color="auto" w:fill="auto"/>
            <w:vAlign w:val="center"/>
          </w:tcPr>
          <w:p>
            <w:pPr>
              <w:pStyle w:val="164"/>
              <w:spacing w:line="240" w:lineRule="auto"/>
              <w:rPr>
                <w:color w:val="auto"/>
              </w:rPr>
            </w:pPr>
            <w:r>
              <w:rPr>
                <w:color w:val="auto"/>
              </w:rPr>
              <w:t>氨气（ug/m</w:t>
            </w:r>
            <w:r>
              <w:rPr>
                <w:color w:val="auto"/>
                <w:vertAlign w:val="superscript"/>
              </w:rPr>
              <w:t>3</w:t>
            </w:r>
            <w:r>
              <w:rPr>
                <w:color w:val="auto"/>
              </w:rPr>
              <w:t>）</w:t>
            </w:r>
          </w:p>
        </w:tc>
        <w:tc>
          <w:tcPr>
            <w:tcW w:w="1667" w:type="dxa"/>
            <w:shd w:val="clear" w:color="auto" w:fill="auto"/>
            <w:vAlign w:val="center"/>
          </w:tcPr>
          <w:p>
            <w:pPr>
              <w:pStyle w:val="164"/>
              <w:spacing w:line="240" w:lineRule="auto"/>
              <w:rPr>
                <w:color w:val="auto"/>
              </w:rPr>
            </w:pPr>
            <w:r>
              <w:rPr>
                <w:color w:val="auto"/>
              </w:rPr>
              <w:t>1小时平均</w:t>
            </w:r>
          </w:p>
        </w:tc>
        <w:tc>
          <w:tcPr>
            <w:tcW w:w="1236" w:type="dxa"/>
            <w:shd w:val="clear" w:color="auto" w:fill="auto"/>
            <w:vAlign w:val="center"/>
          </w:tcPr>
          <w:p>
            <w:pPr>
              <w:pStyle w:val="164"/>
              <w:spacing w:line="240" w:lineRule="auto"/>
              <w:rPr>
                <w:color w:val="auto"/>
              </w:rPr>
            </w:pPr>
            <w:r>
              <w:rPr>
                <w:color w:val="auto"/>
              </w:rPr>
              <w:t>200</w:t>
            </w:r>
          </w:p>
        </w:tc>
        <w:tc>
          <w:tcPr>
            <w:tcW w:w="3963" w:type="dxa"/>
            <w:vMerge w:val="restart"/>
            <w:shd w:val="clear" w:color="auto" w:fill="auto"/>
            <w:vAlign w:val="center"/>
          </w:tcPr>
          <w:p>
            <w:pPr>
              <w:pStyle w:val="164"/>
              <w:rPr>
                <w:color w:val="auto"/>
              </w:rPr>
            </w:pPr>
            <w:r>
              <w:rPr>
                <w:color w:val="auto"/>
              </w:rPr>
              <w:t>参照《环境影响评价技术导则 大气环境》（HJ2.2-2018）附录D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Ex>
        <w:trPr>
          <w:trHeight w:val="340" w:hRule="atLeast"/>
          <w:jc w:val="center"/>
        </w:trPr>
        <w:tc>
          <w:tcPr>
            <w:tcW w:w="1634" w:type="dxa"/>
            <w:shd w:val="clear" w:color="auto" w:fill="auto"/>
            <w:vAlign w:val="center"/>
          </w:tcPr>
          <w:p>
            <w:pPr>
              <w:pStyle w:val="164"/>
              <w:spacing w:line="240" w:lineRule="auto"/>
              <w:rPr>
                <w:color w:val="auto"/>
              </w:rPr>
            </w:pPr>
            <w:r>
              <w:rPr>
                <w:color w:val="auto"/>
              </w:rPr>
              <w:t>H</w:t>
            </w:r>
            <w:r>
              <w:rPr>
                <w:color w:val="auto"/>
                <w:vertAlign w:val="subscript"/>
              </w:rPr>
              <w:t>2</w:t>
            </w:r>
            <w:r>
              <w:rPr>
                <w:color w:val="auto"/>
              </w:rPr>
              <w:t>S（ug/m</w:t>
            </w:r>
            <w:r>
              <w:rPr>
                <w:color w:val="auto"/>
                <w:vertAlign w:val="superscript"/>
              </w:rPr>
              <w:t>3</w:t>
            </w:r>
            <w:r>
              <w:rPr>
                <w:color w:val="auto"/>
              </w:rPr>
              <w:t>）</w:t>
            </w:r>
          </w:p>
        </w:tc>
        <w:tc>
          <w:tcPr>
            <w:tcW w:w="1667" w:type="dxa"/>
            <w:shd w:val="clear" w:color="auto" w:fill="auto"/>
            <w:vAlign w:val="center"/>
          </w:tcPr>
          <w:p>
            <w:pPr>
              <w:pStyle w:val="164"/>
              <w:spacing w:line="240" w:lineRule="auto"/>
              <w:rPr>
                <w:color w:val="auto"/>
              </w:rPr>
            </w:pPr>
            <w:r>
              <w:rPr>
                <w:color w:val="auto"/>
              </w:rPr>
              <w:t>1小时平均</w:t>
            </w:r>
          </w:p>
        </w:tc>
        <w:tc>
          <w:tcPr>
            <w:tcW w:w="1236" w:type="dxa"/>
            <w:shd w:val="clear" w:color="auto" w:fill="auto"/>
            <w:vAlign w:val="center"/>
          </w:tcPr>
          <w:p>
            <w:pPr>
              <w:pStyle w:val="164"/>
              <w:spacing w:line="240" w:lineRule="auto"/>
              <w:rPr>
                <w:color w:val="auto"/>
              </w:rPr>
            </w:pPr>
            <w:r>
              <w:rPr>
                <w:color w:val="auto"/>
              </w:rPr>
              <w:t>10</w:t>
            </w:r>
          </w:p>
        </w:tc>
        <w:tc>
          <w:tcPr>
            <w:tcW w:w="3963" w:type="dxa"/>
            <w:vMerge w:val="continue"/>
            <w:shd w:val="clear" w:color="auto" w:fill="auto"/>
            <w:vAlign w:val="center"/>
          </w:tcPr>
          <w:p>
            <w:pPr>
              <w:pStyle w:val="164"/>
              <w:rPr>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Ex>
        <w:trPr>
          <w:trHeight w:val="340" w:hRule="atLeast"/>
          <w:jc w:val="center"/>
        </w:trPr>
        <w:tc>
          <w:tcPr>
            <w:tcW w:w="1634" w:type="dxa"/>
            <w:shd w:val="clear" w:color="auto" w:fill="auto"/>
            <w:vAlign w:val="center"/>
          </w:tcPr>
          <w:p>
            <w:pPr>
              <w:pStyle w:val="164"/>
              <w:spacing w:line="240" w:lineRule="auto"/>
              <w:rPr>
                <w:color w:val="auto"/>
              </w:rPr>
            </w:pPr>
            <w:r>
              <w:rPr>
                <w:color w:val="auto"/>
              </w:rPr>
              <w:t>TVOC（ug/m</w:t>
            </w:r>
            <w:r>
              <w:rPr>
                <w:color w:val="auto"/>
                <w:vertAlign w:val="superscript"/>
              </w:rPr>
              <w:t>3</w:t>
            </w:r>
            <w:r>
              <w:rPr>
                <w:color w:val="auto"/>
              </w:rPr>
              <w:t>）</w:t>
            </w:r>
          </w:p>
        </w:tc>
        <w:tc>
          <w:tcPr>
            <w:tcW w:w="1667" w:type="dxa"/>
            <w:shd w:val="clear" w:color="auto" w:fill="auto"/>
            <w:vAlign w:val="center"/>
          </w:tcPr>
          <w:p>
            <w:pPr>
              <w:pStyle w:val="164"/>
              <w:spacing w:line="240" w:lineRule="auto"/>
              <w:rPr>
                <w:color w:val="auto"/>
              </w:rPr>
            </w:pPr>
            <w:r>
              <w:rPr>
                <w:color w:val="auto"/>
              </w:rPr>
              <w:t>8小时平均</w:t>
            </w:r>
          </w:p>
        </w:tc>
        <w:tc>
          <w:tcPr>
            <w:tcW w:w="1236" w:type="dxa"/>
            <w:shd w:val="clear" w:color="auto" w:fill="auto"/>
            <w:vAlign w:val="center"/>
          </w:tcPr>
          <w:p>
            <w:pPr>
              <w:pStyle w:val="164"/>
              <w:spacing w:line="240" w:lineRule="auto"/>
              <w:rPr>
                <w:color w:val="auto"/>
              </w:rPr>
            </w:pPr>
            <w:r>
              <w:rPr>
                <w:color w:val="auto"/>
              </w:rPr>
              <w:t>600</w:t>
            </w:r>
          </w:p>
        </w:tc>
        <w:tc>
          <w:tcPr>
            <w:tcW w:w="3963" w:type="dxa"/>
            <w:vMerge w:val="continue"/>
            <w:shd w:val="clear" w:color="auto" w:fill="auto"/>
            <w:vAlign w:val="center"/>
          </w:tcPr>
          <w:p>
            <w:pPr>
              <w:pStyle w:val="164"/>
              <w:rPr>
                <w:color w:val="auto"/>
              </w:rPr>
            </w:pPr>
          </w:p>
        </w:tc>
      </w:tr>
    </w:tbl>
    <w:p>
      <w:pPr>
        <w:spacing w:before="120" w:beforeLines="50" w:line="360" w:lineRule="auto"/>
        <w:rPr>
          <w:b/>
          <w:bCs/>
          <w:color w:val="auto"/>
          <w:sz w:val="24"/>
          <w:szCs w:val="24"/>
        </w:rPr>
      </w:pPr>
      <w:r>
        <w:rPr>
          <w:b/>
          <w:bCs/>
          <w:color w:val="auto"/>
          <w:sz w:val="24"/>
          <w:szCs w:val="24"/>
        </w:rPr>
        <w:t>（4）监测结果统计</w:t>
      </w:r>
      <w:bookmarkEnd w:id="333"/>
    </w:p>
    <w:p>
      <w:pPr>
        <w:pStyle w:val="130"/>
        <w:ind w:firstLine="480"/>
        <w:rPr>
          <w:color w:val="auto"/>
        </w:rPr>
      </w:pPr>
      <w:bookmarkStart w:id="334" w:name="_Toc11595347"/>
      <w:r>
        <w:rPr>
          <w:color w:val="auto"/>
        </w:rPr>
        <w:t>检测期间气象参数见表6.1-5，环境空气检测结果见表6.1-6、环境质量现状监测结果见表6.1-7。</w:t>
      </w:r>
    </w:p>
    <w:p>
      <w:pPr>
        <w:pStyle w:val="114"/>
        <w:spacing w:before="0" w:beforeLines="0"/>
        <w:rPr>
          <w:color w:val="auto"/>
        </w:rPr>
      </w:pPr>
      <w:r>
        <w:rPr>
          <w:color w:val="auto"/>
        </w:rPr>
        <w:t>表6.1-5  检测期间气象条件一览表</w:t>
      </w:r>
    </w:p>
    <w:tbl>
      <w:tblPr>
        <w:tblStyle w:val="74"/>
        <w:tblW w:w="8756"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85" w:type="dxa"/>
          <w:bottom w:w="0" w:type="dxa"/>
          <w:right w:w="85" w:type="dxa"/>
        </w:tblCellMar>
      </w:tblPr>
      <w:tblGrid>
        <w:gridCol w:w="2167"/>
        <w:gridCol w:w="1614"/>
        <w:gridCol w:w="1938"/>
        <w:gridCol w:w="1884"/>
        <w:gridCol w:w="115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85" w:type="dxa"/>
            <w:bottom w:w="0" w:type="dxa"/>
            <w:right w:w="85" w:type="dxa"/>
          </w:tblCellMar>
        </w:tblPrEx>
        <w:trPr>
          <w:trHeight w:val="383" w:hRule="atLeast"/>
          <w:jc w:val="center"/>
        </w:trPr>
        <w:tc>
          <w:tcPr>
            <w:tcW w:w="2167" w:type="dxa"/>
            <w:vAlign w:val="center"/>
          </w:tcPr>
          <w:p>
            <w:pPr>
              <w:pStyle w:val="164"/>
              <w:rPr>
                <w:color w:val="auto"/>
              </w:rPr>
            </w:pPr>
            <w:r>
              <w:rPr>
                <w:color w:val="auto"/>
              </w:rPr>
              <w:t>日期</w:t>
            </w:r>
          </w:p>
        </w:tc>
        <w:tc>
          <w:tcPr>
            <w:tcW w:w="1614" w:type="dxa"/>
            <w:vAlign w:val="center"/>
          </w:tcPr>
          <w:p>
            <w:pPr>
              <w:pStyle w:val="164"/>
              <w:rPr>
                <w:color w:val="auto"/>
              </w:rPr>
            </w:pPr>
            <w:r>
              <w:rPr>
                <w:color w:val="auto"/>
              </w:rPr>
              <w:t>气温（℃）</w:t>
            </w:r>
          </w:p>
        </w:tc>
        <w:tc>
          <w:tcPr>
            <w:tcW w:w="1938" w:type="dxa"/>
            <w:vAlign w:val="center"/>
          </w:tcPr>
          <w:p>
            <w:pPr>
              <w:pStyle w:val="164"/>
              <w:rPr>
                <w:color w:val="auto"/>
              </w:rPr>
            </w:pPr>
            <w:r>
              <w:rPr>
                <w:color w:val="auto"/>
              </w:rPr>
              <w:t>平均气压（KPa）</w:t>
            </w:r>
          </w:p>
        </w:tc>
        <w:tc>
          <w:tcPr>
            <w:tcW w:w="1884" w:type="dxa"/>
            <w:vAlign w:val="center"/>
          </w:tcPr>
          <w:p>
            <w:pPr>
              <w:pStyle w:val="164"/>
              <w:rPr>
                <w:color w:val="auto"/>
              </w:rPr>
            </w:pPr>
            <w:r>
              <w:rPr>
                <w:color w:val="auto"/>
              </w:rPr>
              <w:t>平均风速（m/s）</w:t>
            </w:r>
          </w:p>
        </w:tc>
        <w:tc>
          <w:tcPr>
            <w:tcW w:w="1153" w:type="dxa"/>
            <w:vAlign w:val="center"/>
          </w:tcPr>
          <w:p>
            <w:pPr>
              <w:pStyle w:val="164"/>
              <w:rPr>
                <w:color w:val="auto"/>
              </w:rPr>
            </w:pPr>
            <w:r>
              <w:rPr>
                <w:color w:val="auto"/>
              </w:rPr>
              <w:t>风向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85" w:type="dxa"/>
            <w:bottom w:w="0" w:type="dxa"/>
            <w:right w:w="85" w:type="dxa"/>
          </w:tblCellMar>
        </w:tblPrEx>
        <w:trPr>
          <w:trHeight w:val="341" w:hRule="atLeast"/>
          <w:jc w:val="center"/>
        </w:trPr>
        <w:tc>
          <w:tcPr>
            <w:tcW w:w="2167" w:type="dxa"/>
            <w:vAlign w:val="center"/>
          </w:tcPr>
          <w:p>
            <w:pPr>
              <w:pStyle w:val="164"/>
              <w:spacing w:line="240" w:lineRule="auto"/>
              <w:rPr>
                <w:color w:val="auto"/>
              </w:rPr>
            </w:pPr>
            <w:r>
              <w:rPr>
                <w:color w:val="auto"/>
              </w:rPr>
              <w:t>2020年4月16日</w:t>
            </w:r>
          </w:p>
        </w:tc>
        <w:tc>
          <w:tcPr>
            <w:tcW w:w="1614" w:type="dxa"/>
            <w:vAlign w:val="center"/>
          </w:tcPr>
          <w:p>
            <w:pPr>
              <w:pStyle w:val="164"/>
              <w:spacing w:line="240" w:lineRule="auto"/>
              <w:rPr>
                <w:color w:val="auto"/>
              </w:rPr>
            </w:pPr>
            <w:r>
              <w:rPr>
                <w:color w:val="auto"/>
              </w:rPr>
              <w:t>5-15</w:t>
            </w:r>
          </w:p>
        </w:tc>
        <w:tc>
          <w:tcPr>
            <w:tcW w:w="1938" w:type="dxa"/>
            <w:vAlign w:val="center"/>
          </w:tcPr>
          <w:p>
            <w:pPr>
              <w:pStyle w:val="164"/>
              <w:spacing w:line="240" w:lineRule="auto"/>
              <w:rPr>
                <w:color w:val="auto"/>
              </w:rPr>
            </w:pPr>
            <w:r>
              <w:rPr>
                <w:color w:val="auto"/>
              </w:rPr>
              <w:t>87.12</w:t>
            </w:r>
          </w:p>
        </w:tc>
        <w:tc>
          <w:tcPr>
            <w:tcW w:w="1884" w:type="dxa"/>
            <w:vAlign w:val="center"/>
          </w:tcPr>
          <w:p>
            <w:pPr>
              <w:pStyle w:val="164"/>
              <w:spacing w:line="240" w:lineRule="auto"/>
              <w:rPr>
                <w:color w:val="auto"/>
              </w:rPr>
            </w:pPr>
            <w:r>
              <w:rPr>
                <w:color w:val="auto"/>
              </w:rPr>
              <w:t>2.1</w:t>
            </w:r>
          </w:p>
        </w:tc>
        <w:tc>
          <w:tcPr>
            <w:tcW w:w="1153" w:type="dxa"/>
            <w:vAlign w:val="center"/>
          </w:tcPr>
          <w:p>
            <w:pPr>
              <w:pStyle w:val="164"/>
              <w:spacing w:line="240" w:lineRule="auto"/>
              <w:rPr>
                <w:color w:val="auto"/>
              </w:rPr>
            </w:pPr>
            <w:r>
              <w:rPr>
                <w:color w:val="auto"/>
              </w:rPr>
              <w:t>北风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85" w:type="dxa"/>
            <w:bottom w:w="0" w:type="dxa"/>
            <w:right w:w="85" w:type="dxa"/>
          </w:tblCellMar>
        </w:tblPrEx>
        <w:trPr>
          <w:trHeight w:val="341" w:hRule="atLeast"/>
          <w:jc w:val="center"/>
        </w:trPr>
        <w:tc>
          <w:tcPr>
            <w:tcW w:w="2167" w:type="dxa"/>
            <w:vAlign w:val="center"/>
          </w:tcPr>
          <w:p>
            <w:pPr>
              <w:pStyle w:val="164"/>
              <w:spacing w:line="240" w:lineRule="auto"/>
              <w:rPr>
                <w:color w:val="auto"/>
              </w:rPr>
            </w:pPr>
            <w:r>
              <w:rPr>
                <w:color w:val="auto"/>
              </w:rPr>
              <w:t>2020年4月17日</w:t>
            </w:r>
          </w:p>
        </w:tc>
        <w:tc>
          <w:tcPr>
            <w:tcW w:w="1614" w:type="dxa"/>
            <w:vAlign w:val="center"/>
          </w:tcPr>
          <w:p>
            <w:pPr>
              <w:pStyle w:val="164"/>
              <w:spacing w:line="240" w:lineRule="auto"/>
              <w:rPr>
                <w:color w:val="auto"/>
              </w:rPr>
            </w:pPr>
            <w:r>
              <w:rPr>
                <w:color w:val="auto"/>
              </w:rPr>
              <w:t>2-14</w:t>
            </w:r>
          </w:p>
        </w:tc>
        <w:tc>
          <w:tcPr>
            <w:tcW w:w="1938" w:type="dxa"/>
            <w:vAlign w:val="center"/>
          </w:tcPr>
          <w:p>
            <w:pPr>
              <w:pStyle w:val="164"/>
              <w:spacing w:line="240" w:lineRule="auto"/>
              <w:rPr>
                <w:color w:val="auto"/>
              </w:rPr>
            </w:pPr>
            <w:r>
              <w:rPr>
                <w:color w:val="auto"/>
              </w:rPr>
              <w:t>87.12</w:t>
            </w:r>
          </w:p>
        </w:tc>
        <w:tc>
          <w:tcPr>
            <w:tcW w:w="1884" w:type="dxa"/>
            <w:vAlign w:val="center"/>
          </w:tcPr>
          <w:p>
            <w:pPr>
              <w:pStyle w:val="164"/>
              <w:spacing w:line="240" w:lineRule="auto"/>
              <w:rPr>
                <w:color w:val="auto"/>
              </w:rPr>
            </w:pPr>
            <w:r>
              <w:rPr>
                <w:color w:val="auto"/>
              </w:rPr>
              <w:t>1.8</w:t>
            </w:r>
          </w:p>
        </w:tc>
        <w:tc>
          <w:tcPr>
            <w:tcW w:w="1153" w:type="dxa"/>
            <w:vAlign w:val="center"/>
          </w:tcPr>
          <w:p>
            <w:pPr>
              <w:pStyle w:val="164"/>
              <w:spacing w:line="240" w:lineRule="auto"/>
              <w:rPr>
                <w:color w:val="auto"/>
              </w:rPr>
            </w:pPr>
            <w:r>
              <w:rPr>
                <w:color w:val="auto"/>
              </w:rPr>
              <w:t>南风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85" w:type="dxa"/>
            <w:bottom w:w="0" w:type="dxa"/>
            <w:right w:w="85" w:type="dxa"/>
          </w:tblCellMar>
        </w:tblPrEx>
        <w:trPr>
          <w:trHeight w:val="341" w:hRule="atLeast"/>
          <w:jc w:val="center"/>
        </w:trPr>
        <w:tc>
          <w:tcPr>
            <w:tcW w:w="2167" w:type="dxa"/>
            <w:vAlign w:val="center"/>
          </w:tcPr>
          <w:p>
            <w:pPr>
              <w:pStyle w:val="164"/>
              <w:spacing w:line="240" w:lineRule="auto"/>
              <w:rPr>
                <w:color w:val="auto"/>
              </w:rPr>
            </w:pPr>
            <w:r>
              <w:rPr>
                <w:color w:val="auto"/>
              </w:rPr>
              <w:t>2020年4月18日</w:t>
            </w:r>
          </w:p>
        </w:tc>
        <w:tc>
          <w:tcPr>
            <w:tcW w:w="1614" w:type="dxa"/>
            <w:vAlign w:val="center"/>
          </w:tcPr>
          <w:p>
            <w:pPr>
              <w:pStyle w:val="164"/>
              <w:spacing w:line="240" w:lineRule="auto"/>
              <w:rPr>
                <w:color w:val="auto"/>
              </w:rPr>
            </w:pPr>
            <w:r>
              <w:rPr>
                <w:color w:val="auto"/>
              </w:rPr>
              <w:t>2-15</w:t>
            </w:r>
          </w:p>
        </w:tc>
        <w:tc>
          <w:tcPr>
            <w:tcW w:w="1938" w:type="dxa"/>
            <w:vAlign w:val="center"/>
          </w:tcPr>
          <w:p>
            <w:pPr>
              <w:pStyle w:val="164"/>
              <w:spacing w:line="240" w:lineRule="auto"/>
              <w:rPr>
                <w:color w:val="auto"/>
              </w:rPr>
            </w:pPr>
            <w:r>
              <w:rPr>
                <w:color w:val="auto"/>
              </w:rPr>
              <w:t>87.12</w:t>
            </w:r>
          </w:p>
        </w:tc>
        <w:tc>
          <w:tcPr>
            <w:tcW w:w="1884" w:type="dxa"/>
            <w:vAlign w:val="center"/>
          </w:tcPr>
          <w:p>
            <w:pPr>
              <w:pStyle w:val="164"/>
              <w:spacing w:line="240" w:lineRule="auto"/>
              <w:rPr>
                <w:color w:val="auto"/>
              </w:rPr>
            </w:pPr>
            <w:r>
              <w:rPr>
                <w:color w:val="auto"/>
              </w:rPr>
              <w:t>2.1</w:t>
            </w:r>
          </w:p>
        </w:tc>
        <w:tc>
          <w:tcPr>
            <w:tcW w:w="1153" w:type="dxa"/>
            <w:vAlign w:val="center"/>
          </w:tcPr>
          <w:p>
            <w:pPr>
              <w:pStyle w:val="164"/>
              <w:spacing w:line="240" w:lineRule="auto"/>
              <w:rPr>
                <w:color w:val="auto"/>
              </w:rPr>
            </w:pPr>
            <w:r>
              <w:rPr>
                <w:color w:val="auto"/>
              </w:rPr>
              <w:t>南风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85" w:type="dxa"/>
            <w:bottom w:w="0" w:type="dxa"/>
            <w:right w:w="85" w:type="dxa"/>
          </w:tblCellMar>
        </w:tblPrEx>
        <w:trPr>
          <w:trHeight w:val="341" w:hRule="atLeast"/>
          <w:jc w:val="center"/>
        </w:trPr>
        <w:tc>
          <w:tcPr>
            <w:tcW w:w="2167" w:type="dxa"/>
            <w:vAlign w:val="center"/>
          </w:tcPr>
          <w:p>
            <w:pPr>
              <w:pStyle w:val="164"/>
              <w:spacing w:line="240" w:lineRule="auto"/>
              <w:rPr>
                <w:color w:val="auto"/>
              </w:rPr>
            </w:pPr>
            <w:r>
              <w:rPr>
                <w:color w:val="auto"/>
              </w:rPr>
              <w:t>2020年4月19日</w:t>
            </w:r>
          </w:p>
        </w:tc>
        <w:tc>
          <w:tcPr>
            <w:tcW w:w="1614" w:type="dxa"/>
            <w:vAlign w:val="center"/>
          </w:tcPr>
          <w:p>
            <w:pPr>
              <w:pStyle w:val="164"/>
              <w:spacing w:line="240" w:lineRule="auto"/>
              <w:rPr>
                <w:color w:val="auto"/>
              </w:rPr>
            </w:pPr>
            <w:r>
              <w:rPr>
                <w:color w:val="auto"/>
              </w:rPr>
              <w:t>3-16</w:t>
            </w:r>
          </w:p>
        </w:tc>
        <w:tc>
          <w:tcPr>
            <w:tcW w:w="1938" w:type="dxa"/>
            <w:vAlign w:val="center"/>
          </w:tcPr>
          <w:p>
            <w:pPr>
              <w:pStyle w:val="164"/>
              <w:spacing w:line="240" w:lineRule="auto"/>
              <w:rPr>
                <w:color w:val="auto"/>
              </w:rPr>
            </w:pPr>
            <w:r>
              <w:rPr>
                <w:color w:val="auto"/>
              </w:rPr>
              <w:t>87.14</w:t>
            </w:r>
          </w:p>
        </w:tc>
        <w:tc>
          <w:tcPr>
            <w:tcW w:w="1884" w:type="dxa"/>
            <w:vAlign w:val="center"/>
          </w:tcPr>
          <w:p>
            <w:pPr>
              <w:pStyle w:val="164"/>
              <w:spacing w:line="240" w:lineRule="auto"/>
              <w:rPr>
                <w:color w:val="auto"/>
              </w:rPr>
            </w:pPr>
            <w:r>
              <w:rPr>
                <w:color w:val="auto"/>
              </w:rPr>
              <w:t>2.2</w:t>
            </w:r>
          </w:p>
        </w:tc>
        <w:tc>
          <w:tcPr>
            <w:tcW w:w="1153" w:type="dxa"/>
            <w:vAlign w:val="center"/>
          </w:tcPr>
          <w:p>
            <w:pPr>
              <w:pStyle w:val="164"/>
              <w:spacing w:line="240" w:lineRule="auto"/>
              <w:rPr>
                <w:color w:val="auto"/>
              </w:rPr>
            </w:pPr>
            <w:r>
              <w:rPr>
                <w:color w:val="auto"/>
              </w:rPr>
              <w:t>北风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85" w:type="dxa"/>
            <w:bottom w:w="0" w:type="dxa"/>
            <w:right w:w="85" w:type="dxa"/>
          </w:tblCellMar>
        </w:tblPrEx>
        <w:trPr>
          <w:trHeight w:val="341" w:hRule="atLeast"/>
          <w:jc w:val="center"/>
        </w:trPr>
        <w:tc>
          <w:tcPr>
            <w:tcW w:w="2167" w:type="dxa"/>
            <w:vAlign w:val="center"/>
          </w:tcPr>
          <w:p>
            <w:pPr>
              <w:pStyle w:val="164"/>
              <w:spacing w:line="240" w:lineRule="auto"/>
              <w:rPr>
                <w:color w:val="auto"/>
              </w:rPr>
            </w:pPr>
            <w:r>
              <w:rPr>
                <w:color w:val="auto"/>
              </w:rPr>
              <w:t>2020年4月20日</w:t>
            </w:r>
          </w:p>
        </w:tc>
        <w:tc>
          <w:tcPr>
            <w:tcW w:w="1614" w:type="dxa"/>
            <w:vAlign w:val="center"/>
          </w:tcPr>
          <w:p>
            <w:pPr>
              <w:pStyle w:val="164"/>
              <w:spacing w:line="240" w:lineRule="auto"/>
              <w:rPr>
                <w:color w:val="auto"/>
              </w:rPr>
            </w:pPr>
            <w:r>
              <w:rPr>
                <w:color w:val="auto"/>
              </w:rPr>
              <w:t>3-17</w:t>
            </w:r>
          </w:p>
        </w:tc>
        <w:tc>
          <w:tcPr>
            <w:tcW w:w="1938" w:type="dxa"/>
            <w:vAlign w:val="center"/>
          </w:tcPr>
          <w:p>
            <w:pPr>
              <w:pStyle w:val="164"/>
              <w:spacing w:line="240" w:lineRule="auto"/>
              <w:rPr>
                <w:color w:val="auto"/>
              </w:rPr>
            </w:pPr>
            <w:r>
              <w:rPr>
                <w:color w:val="auto"/>
              </w:rPr>
              <w:t>87.12</w:t>
            </w:r>
          </w:p>
        </w:tc>
        <w:tc>
          <w:tcPr>
            <w:tcW w:w="1884" w:type="dxa"/>
            <w:vAlign w:val="center"/>
          </w:tcPr>
          <w:p>
            <w:pPr>
              <w:pStyle w:val="164"/>
              <w:spacing w:line="240" w:lineRule="auto"/>
              <w:rPr>
                <w:color w:val="auto"/>
              </w:rPr>
            </w:pPr>
            <w:r>
              <w:rPr>
                <w:color w:val="auto"/>
              </w:rPr>
              <w:t>2.0</w:t>
            </w:r>
          </w:p>
        </w:tc>
        <w:tc>
          <w:tcPr>
            <w:tcW w:w="1153" w:type="dxa"/>
            <w:vAlign w:val="center"/>
          </w:tcPr>
          <w:p>
            <w:pPr>
              <w:pStyle w:val="164"/>
              <w:spacing w:line="240" w:lineRule="auto"/>
              <w:rPr>
                <w:color w:val="auto"/>
              </w:rPr>
            </w:pPr>
            <w:r>
              <w:rPr>
                <w:color w:val="auto"/>
              </w:rPr>
              <w:t>北风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85" w:type="dxa"/>
            <w:bottom w:w="0" w:type="dxa"/>
            <w:right w:w="85" w:type="dxa"/>
          </w:tblCellMar>
        </w:tblPrEx>
        <w:trPr>
          <w:trHeight w:val="341" w:hRule="atLeast"/>
          <w:jc w:val="center"/>
        </w:trPr>
        <w:tc>
          <w:tcPr>
            <w:tcW w:w="2167" w:type="dxa"/>
            <w:vAlign w:val="center"/>
          </w:tcPr>
          <w:p>
            <w:pPr>
              <w:pStyle w:val="164"/>
              <w:spacing w:line="240" w:lineRule="auto"/>
              <w:rPr>
                <w:color w:val="auto"/>
              </w:rPr>
            </w:pPr>
            <w:r>
              <w:rPr>
                <w:color w:val="auto"/>
              </w:rPr>
              <w:t>2020年4月21日</w:t>
            </w:r>
          </w:p>
        </w:tc>
        <w:tc>
          <w:tcPr>
            <w:tcW w:w="1614" w:type="dxa"/>
            <w:vAlign w:val="center"/>
          </w:tcPr>
          <w:p>
            <w:pPr>
              <w:pStyle w:val="164"/>
              <w:spacing w:line="240" w:lineRule="auto"/>
              <w:rPr>
                <w:color w:val="auto"/>
              </w:rPr>
            </w:pPr>
            <w:r>
              <w:rPr>
                <w:color w:val="auto"/>
              </w:rPr>
              <w:t>3-16</w:t>
            </w:r>
          </w:p>
        </w:tc>
        <w:tc>
          <w:tcPr>
            <w:tcW w:w="1938" w:type="dxa"/>
            <w:vAlign w:val="center"/>
          </w:tcPr>
          <w:p>
            <w:pPr>
              <w:pStyle w:val="164"/>
              <w:spacing w:line="240" w:lineRule="auto"/>
              <w:rPr>
                <w:color w:val="auto"/>
              </w:rPr>
            </w:pPr>
            <w:r>
              <w:rPr>
                <w:color w:val="auto"/>
              </w:rPr>
              <w:t>87.11</w:t>
            </w:r>
          </w:p>
        </w:tc>
        <w:tc>
          <w:tcPr>
            <w:tcW w:w="1884" w:type="dxa"/>
            <w:vAlign w:val="center"/>
          </w:tcPr>
          <w:p>
            <w:pPr>
              <w:pStyle w:val="164"/>
              <w:spacing w:line="240" w:lineRule="auto"/>
              <w:rPr>
                <w:color w:val="auto"/>
              </w:rPr>
            </w:pPr>
            <w:r>
              <w:rPr>
                <w:color w:val="auto"/>
              </w:rPr>
              <w:t>1.9</w:t>
            </w:r>
          </w:p>
        </w:tc>
        <w:tc>
          <w:tcPr>
            <w:tcW w:w="1153" w:type="dxa"/>
            <w:vAlign w:val="center"/>
          </w:tcPr>
          <w:p>
            <w:pPr>
              <w:pStyle w:val="164"/>
              <w:spacing w:line="240" w:lineRule="auto"/>
              <w:rPr>
                <w:color w:val="auto"/>
              </w:rPr>
            </w:pPr>
            <w:r>
              <w:rPr>
                <w:color w:val="auto"/>
              </w:rPr>
              <w:t>东北</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85" w:type="dxa"/>
            <w:bottom w:w="0" w:type="dxa"/>
            <w:right w:w="85" w:type="dxa"/>
          </w:tblCellMar>
        </w:tblPrEx>
        <w:trPr>
          <w:trHeight w:val="404" w:hRule="atLeast"/>
          <w:jc w:val="center"/>
        </w:trPr>
        <w:tc>
          <w:tcPr>
            <w:tcW w:w="2167" w:type="dxa"/>
            <w:vAlign w:val="center"/>
          </w:tcPr>
          <w:p>
            <w:pPr>
              <w:pStyle w:val="164"/>
              <w:spacing w:line="240" w:lineRule="auto"/>
              <w:rPr>
                <w:color w:val="auto"/>
              </w:rPr>
            </w:pPr>
            <w:r>
              <w:rPr>
                <w:color w:val="auto"/>
              </w:rPr>
              <w:t>2020年4月22日</w:t>
            </w:r>
          </w:p>
        </w:tc>
        <w:tc>
          <w:tcPr>
            <w:tcW w:w="1614" w:type="dxa"/>
            <w:vAlign w:val="center"/>
          </w:tcPr>
          <w:p>
            <w:pPr>
              <w:pStyle w:val="164"/>
              <w:spacing w:line="240" w:lineRule="auto"/>
              <w:rPr>
                <w:color w:val="auto"/>
              </w:rPr>
            </w:pPr>
            <w:r>
              <w:rPr>
                <w:color w:val="auto"/>
              </w:rPr>
              <w:t>2-16</w:t>
            </w:r>
          </w:p>
        </w:tc>
        <w:tc>
          <w:tcPr>
            <w:tcW w:w="1938" w:type="dxa"/>
            <w:vAlign w:val="center"/>
          </w:tcPr>
          <w:p>
            <w:pPr>
              <w:pStyle w:val="164"/>
              <w:spacing w:line="240" w:lineRule="auto"/>
              <w:rPr>
                <w:color w:val="auto"/>
              </w:rPr>
            </w:pPr>
            <w:r>
              <w:rPr>
                <w:color w:val="auto"/>
              </w:rPr>
              <w:t>87.13</w:t>
            </w:r>
          </w:p>
        </w:tc>
        <w:tc>
          <w:tcPr>
            <w:tcW w:w="1884" w:type="dxa"/>
            <w:vAlign w:val="center"/>
          </w:tcPr>
          <w:p>
            <w:pPr>
              <w:pStyle w:val="164"/>
              <w:spacing w:line="240" w:lineRule="auto"/>
              <w:rPr>
                <w:color w:val="auto"/>
              </w:rPr>
            </w:pPr>
            <w:r>
              <w:rPr>
                <w:color w:val="auto"/>
              </w:rPr>
              <w:t>2.1</w:t>
            </w:r>
          </w:p>
        </w:tc>
        <w:tc>
          <w:tcPr>
            <w:tcW w:w="1153" w:type="dxa"/>
            <w:vAlign w:val="center"/>
          </w:tcPr>
          <w:p>
            <w:pPr>
              <w:pStyle w:val="164"/>
              <w:spacing w:line="240" w:lineRule="auto"/>
              <w:rPr>
                <w:color w:val="auto"/>
              </w:rPr>
            </w:pPr>
            <w:r>
              <w:rPr>
                <w:color w:val="auto"/>
              </w:rPr>
              <w:t>北风</w:t>
            </w:r>
          </w:p>
        </w:tc>
      </w:tr>
    </w:tbl>
    <w:p>
      <w:pPr>
        <w:spacing w:line="500" w:lineRule="exact"/>
        <w:jc w:val="center"/>
        <w:rPr>
          <w:b/>
          <w:bCs/>
          <w:color w:val="auto"/>
          <w:sz w:val="24"/>
          <w:szCs w:val="24"/>
        </w:rPr>
      </w:pPr>
      <w:r>
        <w:rPr>
          <w:b/>
          <w:bCs/>
          <w:color w:val="auto"/>
          <w:sz w:val="24"/>
          <w:szCs w:val="24"/>
        </w:rPr>
        <w:t>表6.1-6  环境空气检测结果一览表  单位：mg/m</w:t>
      </w:r>
      <w:r>
        <w:rPr>
          <w:b/>
          <w:bCs/>
          <w:color w:val="auto"/>
          <w:sz w:val="24"/>
          <w:szCs w:val="24"/>
          <w:vertAlign w:val="superscript"/>
        </w:rPr>
        <w:t xml:space="preserve">3 </w:t>
      </w:r>
    </w:p>
    <w:tbl>
      <w:tblPr>
        <w:tblStyle w:val="75"/>
        <w:tblW w:w="863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46"/>
        <w:gridCol w:w="815"/>
        <w:gridCol w:w="1556"/>
        <w:gridCol w:w="613"/>
        <w:gridCol w:w="614"/>
        <w:gridCol w:w="614"/>
        <w:gridCol w:w="614"/>
        <w:gridCol w:w="614"/>
        <w:gridCol w:w="614"/>
        <w:gridCol w:w="613"/>
        <w:gridCol w:w="546"/>
        <w:gridCol w:w="8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restart"/>
            <w:vAlign w:val="center"/>
          </w:tcPr>
          <w:p>
            <w:pPr>
              <w:pStyle w:val="164"/>
              <w:ind w:left="-105" w:leftChars="-50" w:right="-105" w:rightChars="-50"/>
              <w:rPr>
                <w:color w:val="auto"/>
              </w:rPr>
            </w:pPr>
            <w:r>
              <w:rPr>
                <w:color w:val="auto"/>
              </w:rPr>
              <w:t>测点</w:t>
            </w:r>
          </w:p>
          <w:p>
            <w:pPr>
              <w:pStyle w:val="164"/>
              <w:ind w:left="-105" w:leftChars="-50" w:right="-105" w:rightChars="-50"/>
              <w:rPr>
                <w:color w:val="auto"/>
              </w:rPr>
            </w:pPr>
            <w:r>
              <w:rPr>
                <w:color w:val="auto"/>
              </w:rPr>
              <w:t>编号</w:t>
            </w:r>
          </w:p>
        </w:tc>
        <w:tc>
          <w:tcPr>
            <w:tcW w:w="815" w:type="dxa"/>
            <w:vMerge w:val="restart"/>
            <w:vAlign w:val="center"/>
          </w:tcPr>
          <w:p>
            <w:pPr>
              <w:pStyle w:val="164"/>
              <w:ind w:left="-105" w:leftChars="-50" w:right="-105" w:rightChars="-50"/>
              <w:rPr>
                <w:color w:val="auto"/>
              </w:rPr>
            </w:pPr>
            <w:r>
              <w:rPr>
                <w:color w:val="auto"/>
              </w:rPr>
              <w:t>检测</w:t>
            </w:r>
          </w:p>
          <w:p>
            <w:pPr>
              <w:pStyle w:val="164"/>
              <w:ind w:left="-105" w:leftChars="-50" w:right="-105" w:rightChars="-50"/>
              <w:rPr>
                <w:color w:val="auto"/>
              </w:rPr>
            </w:pPr>
            <w:r>
              <w:rPr>
                <w:color w:val="auto"/>
              </w:rPr>
              <w:t>因子</w:t>
            </w:r>
          </w:p>
        </w:tc>
        <w:tc>
          <w:tcPr>
            <w:tcW w:w="1556" w:type="dxa"/>
            <w:vMerge w:val="restart"/>
            <w:vAlign w:val="center"/>
          </w:tcPr>
          <w:p>
            <w:pPr>
              <w:pStyle w:val="164"/>
              <w:ind w:left="-105" w:leftChars="-50" w:right="-105" w:rightChars="-50"/>
              <w:rPr>
                <w:color w:val="auto"/>
              </w:rPr>
            </w:pPr>
            <w:r>
              <w:rPr>
                <w:color w:val="auto"/>
              </w:rPr>
              <w:t>频次</w:t>
            </w:r>
          </w:p>
        </w:tc>
        <w:tc>
          <w:tcPr>
            <w:tcW w:w="4296" w:type="dxa"/>
            <w:gridSpan w:val="7"/>
            <w:vAlign w:val="center"/>
          </w:tcPr>
          <w:p>
            <w:pPr>
              <w:pStyle w:val="164"/>
              <w:ind w:left="-105" w:leftChars="-50" w:right="-105" w:rightChars="-50"/>
              <w:rPr>
                <w:color w:val="auto"/>
              </w:rPr>
            </w:pPr>
            <w:r>
              <w:rPr>
                <w:color w:val="auto"/>
              </w:rPr>
              <w:t>2020年4月</w:t>
            </w:r>
          </w:p>
        </w:tc>
        <w:tc>
          <w:tcPr>
            <w:tcW w:w="546" w:type="dxa"/>
            <w:vMerge w:val="restart"/>
            <w:vAlign w:val="center"/>
          </w:tcPr>
          <w:p>
            <w:pPr>
              <w:pStyle w:val="164"/>
              <w:ind w:left="-105" w:leftChars="-50" w:right="-105" w:rightChars="-50"/>
              <w:rPr>
                <w:color w:val="auto"/>
              </w:rPr>
            </w:pPr>
            <w:r>
              <w:rPr>
                <w:color w:val="auto"/>
              </w:rPr>
              <w:t>标准</w:t>
            </w:r>
          </w:p>
          <w:p>
            <w:pPr>
              <w:pStyle w:val="164"/>
              <w:ind w:left="-105" w:leftChars="-50" w:right="-105" w:rightChars="-50"/>
              <w:rPr>
                <w:color w:val="auto"/>
              </w:rPr>
            </w:pPr>
            <w:r>
              <w:rPr>
                <w:color w:val="auto"/>
              </w:rPr>
              <w:t>限值</w:t>
            </w:r>
          </w:p>
        </w:tc>
        <w:tc>
          <w:tcPr>
            <w:tcW w:w="873" w:type="dxa"/>
            <w:vMerge w:val="restart"/>
            <w:vAlign w:val="center"/>
          </w:tcPr>
          <w:p>
            <w:pPr>
              <w:pStyle w:val="164"/>
              <w:ind w:left="-105" w:leftChars="-50" w:right="-105" w:rightChars="-50"/>
              <w:rPr>
                <w:color w:val="auto"/>
              </w:rPr>
            </w:pPr>
            <w:r>
              <w:rPr>
                <w:color w:val="auto"/>
              </w:rPr>
              <w:t>达标</w:t>
            </w:r>
          </w:p>
          <w:p>
            <w:pPr>
              <w:pStyle w:val="164"/>
              <w:ind w:left="-105" w:leftChars="-50" w:right="-105" w:rightChars="-50"/>
              <w:rPr>
                <w:color w:val="auto"/>
              </w:rPr>
            </w:pPr>
            <w:r>
              <w:rPr>
                <w:color w:val="auto"/>
              </w:rPr>
              <w:t>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Merge w:val="continue"/>
            <w:vAlign w:val="center"/>
          </w:tcPr>
          <w:p>
            <w:pPr>
              <w:pStyle w:val="164"/>
              <w:ind w:left="-105" w:leftChars="-50" w:right="-105" w:rightChars="-50"/>
              <w:rPr>
                <w:color w:val="auto"/>
              </w:rPr>
            </w:pPr>
          </w:p>
        </w:tc>
        <w:tc>
          <w:tcPr>
            <w:tcW w:w="613" w:type="dxa"/>
            <w:vAlign w:val="center"/>
          </w:tcPr>
          <w:p>
            <w:pPr>
              <w:pStyle w:val="164"/>
              <w:ind w:left="-105" w:leftChars="-50" w:right="-105" w:rightChars="-50"/>
              <w:rPr>
                <w:color w:val="auto"/>
              </w:rPr>
            </w:pPr>
            <w:r>
              <w:rPr>
                <w:color w:val="auto"/>
              </w:rPr>
              <w:t>16日</w:t>
            </w:r>
          </w:p>
        </w:tc>
        <w:tc>
          <w:tcPr>
            <w:tcW w:w="614" w:type="dxa"/>
            <w:vAlign w:val="center"/>
          </w:tcPr>
          <w:p>
            <w:pPr>
              <w:pStyle w:val="164"/>
              <w:ind w:left="-105" w:leftChars="-50" w:right="-105" w:rightChars="-50"/>
              <w:rPr>
                <w:color w:val="auto"/>
              </w:rPr>
            </w:pPr>
            <w:r>
              <w:rPr>
                <w:color w:val="auto"/>
              </w:rPr>
              <w:t>17日</w:t>
            </w:r>
          </w:p>
        </w:tc>
        <w:tc>
          <w:tcPr>
            <w:tcW w:w="614" w:type="dxa"/>
            <w:vAlign w:val="center"/>
          </w:tcPr>
          <w:p>
            <w:pPr>
              <w:pStyle w:val="164"/>
              <w:ind w:left="-105" w:leftChars="-50" w:right="-105" w:rightChars="-50"/>
              <w:rPr>
                <w:color w:val="auto"/>
              </w:rPr>
            </w:pPr>
            <w:r>
              <w:rPr>
                <w:color w:val="auto"/>
              </w:rPr>
              <w:t>18日</w:t>
            </w:r>
          </w:p>
        </w:tc>
        <w:tc>
          <w:tcPr>
            <w:tcW w:w="614" w:type="dxa"/>
            <w:vAlign w:val="center"/>
          </w:tcPr>
          <w:p>
            <w:pPr>
              <w:pStyle w:val="164"/>
              <w:ind w:left="-105" w:leftChars="-50" w:right="-105" w:rightChars="-50"/>
              <w:rPr>
                <w:color w:val="auto"/>
              </w:rPr>
            </w:pPr>
            <w:r>
              <w:rPr>
                <w:color w:val="auto"/>
              </w:rPr>
              <w:t>19日</w:t>
            </w:r>
          </w:p>
        </w:tc>
        <w:tc>
          <w:tcPr>
            <w:tcW w:w="614" w:type="dxa"/>
            <w:vAlign w:val="center"/>
          </w:tcPr>
          <w:p>
            <w:pPr>
              <w:pStyle w:val="164"/>
              <w:ind w:left="-105" w:leftChars="-50" w:right="-105" w:rightChars="-50"/>
              <w:rPr>
                <w:color w:val="auto"/>
              </w:rPr>
            </w:pPr>
            <w:r>
              <w:rPr>
                <w:color w:val="auto"/>
              </w:rPr>
              <w:t>20日</w:t>
            </w:r>
          </w:p>
        </w:tc>
        <w:tc>
          <w:tcPr>
            <w:tcW w:w="614" w:type="dxa"/>
            <w:vAlign w:val="center"/>
          </w:tcPr>
          <w:p>
            <w:pPr>
              <w:pStyle w:val="164"/>
              <w:ind w:left="-105" w:leftChars="-50" w:right="-105" w:rightChars="-50"/>
              <w:rPr>
                <w:color w:val="auto"/>
              </w:rPr>
            </w:pPr>
            <w:r>
              <w:rPr>
                <w:color w:val="auto"/>
              </w:rPr>
              <w:t>21日</w:t>
            </w:r>
          </w:p>
        </w:tc>
        <w:tc>
          <w:tcPr>
            <w:tcW w:w="613" w:type="dxa"/>
            <w:vAlign w:val="center"/>
          </w:tcPr>
          <w:p>
            <w:pPr>
              <w:pStyle w:val="164"/>
              <w:ind w:left="-105" w:leftChars="-50" w:right="-105" w:rightChars="-50"/>
              <w:rPr>
                <w:color w:val="auto"/>
              </w:rPr>
            </w:pPr>
            <w:r>
              <w:rPr>
                <w:color w:val="auto"/>
              </w:rPr>
              <w:t>22日</w:t>
            </w:r>
          </w:p>
        </w:tc>
        <w:tc>
          <w:tcPr>
            <w:tcW w:w="546" w:type="dxa"/>
            <w:vMerge w:val="continue"/>
            <w:vAlign w:val="center"/>
          </w:tcPr>
          <w:p>
            <w:pPr>
              <w:pStyle w:val="164"/>
              <w:ind w:left="-105" w:leftChars="-50" w:right="-105" w:rightChars="-50"/>
              <w:rPr>
                <w:color w:val="auto"/>
              </w:rPr>
            </w:pPr>
          </w:p>
        </w:tc>
        <w:tc>
          <w:tcPr>
            <w:tcW w:w="873" w:type="dxa"/>
            <w:vMerge w:val="continue"/>
            <w:vAlign w:val="center"/>
          </w:tcPr>
          <w:p>
            <w:pPr>
              <w:pStyle w:val="164"/>
              <w:ind w:left="-105" w:leftChars="-50" w:right="-105" w:rightChars="-50"/>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restart"/>
            <w:vAlign w:val="center"/>
          </w:tcPr>
          <w:p>
            <w:pPr>
              <w:pStyle w:val="164"/>
              <w:ind w:left="-105" w:leftChars="-50" w:right="-105" w:rightChars="-50"/>
              <w:rPr>
                <w:color w:val="auto"/>
              </w:rPr>
            </w:pPr>
            <w:r>
              <w:rPr>
                <w:color w:val="auto"/>
              </w:rPr>
              <w:t>1#</w:t>
            </w:r>
          </w:p>
        </w:tc>
        <w:tc>
          <w:tcPr>
            <w:tcW w:w="815" w:type="dxa"/>
            <w:vMerge w:val="restart"/>
            <w:vAlign w:val="center"/>
          </w:tcPr>
          <w:p>
            <w:pPr>
              <w:pStyle w:val="164"/>
              <w:ind w:left="-105" w:leftChars="-50" w:right="-105" w:rightChars="-50"/>
              <w:rPr>
                <w:color w:val="auto"/>
              </w:rPr>
            </w:pPr>
            <w:r>
              <w:rPr>
                <w:color w:val="auto"/>
              </w:rPr>
              <w:t>硫化氢</w:t>
            </w:r>
          </w:p>
        </w:tc>
        <w:tc>
          <w:tcPr>
            <w:tcW w:w="1556" w:type="dxa"/>
            <w:vAlign w:val="center"/>
          </w:tcPr>
          <w:p>
            <w:pPr>
              <w:pStyle w:val="164"/>
              <w:ind w:left="-105" w:leftChars="-50" w:right="-105" w:rightChars="-50"/>
              <w:rPr>
                <w:color w:val="auto"/>
              </w:rPr>
            </w:pPr>
            <w:r>
              <w:rPr>
                <w:color w:val="auto"/>
              </w:rPr>
              <w:t>第1次</w:t>
            </w:r>
          </w:p>
        </w:tc>
        <w:tc>
          <w:tcPr>
            <w:tcW w:w="613"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0.006</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0.007</w:t>
            </w:r>
          </w:p>
        </w:tc>
        <w:tc>
          <w:tcPr>
            <w:tcW w:w="613" w:type="dxa"/>
            <w:vAlign w:val="center"/>
          </w:tcPr>
          <w:p>
            <w:pPr>
              <w:pStyle w:val="164"/>
              <w:ind w:left="-105" w:leftChars="-50" w:right="-105" w:rightChars="-50"/>
              <w:rPr>
                <w:color w:val="auto"/>
              </w:rPr>
            </w:pPr>
            <w:r>
              <w:rPr>
                <w:color w:val="auto"/>
              </w:rPr>
              <w:t>0.009</w:t>
            </w:r>
          </w:p>
        </w:tc>
        <w:tc>
          <w:tcPr>
            <w:tcW w:w="546" w:type="dxa"/>
            <w:vAlign w:val="center"/>
          </w:tcPr>
          <w:p>
            <w:pPr>
              <w:pStyle w:val="164"/>
              <w:ind w:left="-105" w:leftChars="-50" w:right="-105" w:rightChars="-50"/>
              <w:rPr>
                <w:color w:val="auto"/>
              </w:rPr>
            </w:pPr>
            <w:r>
              <w:rPr>
                <w:color w:val="auto"/>
              </w:rPr>
              <w:t>0.01</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第2次</w:t>
            </w:r>
          </w:p>
        </w:tc>
        <w:tc>
          <w:tcPr>
            <w:tcW w:w="613" w:type="dxa"/>
            <w:vAlign w:val="center"/>
          </w:tcPr>
          <w:p>
            <w:pPr>
              <w:pStyle w:val="164"/>
              <w:ind w:left="-105" w:leftChars="-50" w:right="-105" w:rightChars="-50"/>
              <w:rPr>
                <w:color w:val="auto"/>
              </w:rPr>
            </w:pPr>
            <w:r>
              <w:rPr>
                <w:color w:val="auto"/>
              </w:rPr>
              <w:t>0.006</w:t>
            </w:r>
          </w:p>
        </w:tc>
        <w:tc>
          <w:tcPr>
            <w:tcW w:w="614" w:type="dxa"/>
            <w:vAlign w:val="center"/>
          </w:tcPr>
          <w:p>
            <w:pPr>
              <w:pStyle w:val="164"/>
              <w:ind w:left="-105" w:leftChars="-50" w:right="-105" w:rightChars="-50"/>
              <w:rPr>
                <w:color w:val="auto"/>
              </w:rPr>
            </w:pPr>
            <w:r>
              <w:rPr>
                <w:color w:val="auto"/>
              </w:rPr>
              <w:t>0.006</w:t>
            </w:r>
          </w:p>
        </w:tc>
        <w:tc>
          <w:tcPr>
            <w:tcW w:w="614" w:type="dxa"/>
            <w:vAlign w:val="center"/>
          </w:tcPr>
          <w:p>
            <w:pPr>
              <w:pStyle w:val="164"/>
              <w:ind w:left="-105" w:leftChars="-50" w:right="-105" w:rightChars="-50"/>
              <w:rPr>
                <w:color w:val="auto"/>
              </w:rPr>
            </w:pPr>
            <w:r>
              <w:rPr>
                <w:color w:val="auto"/>
              </w:rPr>
              <w:t>0.006</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0.008</w:t>
            </w:r>
          </w:p>
        </w:tc>
        <w:tc>
          <w:tcPr>
            <w:tcW w:w="614" w:type="dxa"/>
            <w:vAlign w:val="center"/>
          </w:tcPr>
          <w:p>
            <w:pPr>
              <w:pStyle w:val="164"/>
              <w:ind w:left="-105" w:leftChars="-50" w:right="-105" w:rightChars="-50"/>
              <w:rPr>
                <w:color w:val="auto"/>
              </w:rPr>
            </w:pPr>
            <w:r>
              <w:rPr>
                <w:color w:val="auto"/>
              </w:rPr>
              <w:t>0.008</w:t>
            </w:r>
          </w:p>
        </w:tc>
        <w:tc>
          <w:tcPr>
            <w:tcW w:w="613" w:type="dxa"/>
            <w:vAlign w:val="center"/>
          </w:tcPr>
          <w:p>
            <w:pPr>
              <w:pStyle w:val="164"/>
              <w:ind w:left="-105" w:leftChars="-50" w:right="-105" w:rightChars="-50"/>
              <w:rPr>
                <w:color w:val="auto"/>
              </w:rPr>
            </w:pPr>
            <w:r>
              <w:rPr>
                <w:color w:val="auto"/>
              </w:rPr>
              <w:t>0.009</w:t>
            </w:r>
          </w:p>
        </w:tc>
        <w:tc>
          <w:tcPr>
            <w:tcW w:w="546" w:type="dxa"/>
            <w:vAlign w:val="center"/>
          </w:tcPr>
          <w:p>
            <w:pPr>
              <w:pStyle w:val="164"/>
              <w:ind w:left="-105" w:leftChars="-50" w:right="-105" w:rightChars="-50"/>
              <w:rPr>
                <w:color w:val="auto"/>
              </w:rPr>
            </w:pPr>
            <w:r>
              <w:rPr>
                <w:color w:val="auto"/>
              </w:rPr>
              <w:t>0.01</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第3次</w:t>
            </w:r>
          </w:p>
        </w:tc>
        <w:tc>
          <w:tcPr>
            <w:tcW w:w="613" w:type="dxa"/>
            <w:vAlign w:val="center"/>
          </w:tcPr>
          <w:p>
            <w:pPr>
              <w:pStyle w:val="164"/>
              <w:ind w:left="-105" w:leftChars="-50" w:right="-105" w:rightChars="-50"/>
              <w:rPr>
                <w:color w:val="auto"/>
              </w:rPr>
            </w:pPr>
            <w:r>
              <w:rPr>
                <w:color w:val="auto"/>
              </w:rPr>
              <w:t>0.008</w:t>
            </w:r>
          </w:p>
        </w:tc>
        <w:tc>
          <w:tcPr>
            <w:tcW w:w="614" w:type="dxa"/>
            <w:vAlign w:val="center"/>
          </w:tcPr>
          <w:p>
            <w:pPr>
              <w:pStyle w:val="164"/>
              <w:ind w:left="-105" w:leftChars="-50" w:right="-105" w:rightChars="-50"/>
              <w:rPr>
                <w:color w:val="auto"/>
              </w:rPr>
            </w:pPr>
            <w:r>
              <w:rPr>
                <w:color w:val="auto"/>
              </w:rPr>
              <w:t>0.006</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0.006</w:t>
            </w:r>
          </w:p>
        </w:tc>
        <w:tc>
          <w:tcPr>
            <w:tcW w:w="614" w:type="dxa"/>
            <w:vAlign w:val="center"/>
          </w:tcPr>
          <w:p>
            <w:pPr>
              <w:pStyle w:val="164"/>
              <w:ind w:left="-105" w:leftChars="-50" w:right="-105" w:rightChars="-50"/>
              <w:rPr>
                <w:color w:val="auto"/>
              </w:rPr>
            </w:pPr>
            <w:r>
              <w:rPr>
                <w:color w:val="auto"/>
              </w:rPr>
              <w:t>0.006</w:t>
            </w:r>
          </w:p>
        </w:tc>
        <w:tc>
          <w:tcPr>
            <w:tcW w:w="614" w:type="dxa"/>
            <w:vAlign w:val="center"/>
          </w:tcPr>
          <w:p>
            <w:pPr>
              <w:pStyle w:val="164"/>
              <w:ind w:left="-105" w:leftChars="-50" w:right="-105" w:rightChars="-50"/>
              <w:rPr>
                <w:color w:val="auto"/>
              </w:rPr>
            </w:pPr>
            <w:r>
              <w:rPr>
                <w:color w:val="auto"/>
              </w:rPr>
              <w:t>0.008</w:t>
            </w:r>
          </w:p>
        </w:tc>
        <w:tc>
          <w:tcPr>
            <w:tcW w:w="613" w:type="dxa"/>
            <w:vAlign w:val="center"/>
          </w:tcPr>
          <w:p>
            <w:pPr>
              <w:pStyle w:val="164"/>
              <w:ind w:left="-105" w:leftChars="-50" w:right="-105" w:rightChars="-50"/>
              <w:rPr>
                <w:color w:val="auto"/>
              </w:rPr>
            </w:pPr>
            <w:r>
              <w:rPr>
                <w:color w:val="auto"/>
              </w:rPr>
              <w:t>0.009</w:t>
            </w:r>
          </w:p>
        </w:tc>
        <w:tc>
          <w:tcPr>
            <w:tcW w:w="546" w:type="dxa"/>
            <w:vAlign w:val="center"/>
          </w:tcPr>
          <w:p>
            <w:pPr>
              <w:pStyle w:val="164"/>
              <w:ind w:left="-105" w:leftChars="-50" w:right="-105" w:rightChars="-50"/>
              <w:rPr>
                <w:color w:val="auto"/>
              </w:rPr>
            </w:pPr>
            <w:r>
              <w:rPr>
                <w:color w:val="auto"/>
              </w:rPr>
              <w:t>0.01</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第4次</w:t>
            </w:r>
          </w:p>
        </w:tc>
        <w:tc>
          <w:tcPr>
            <w:tcW w:w="613" w:type="dxa"/>
            <w:vAlign w:val="center"/>
          </w:tcPr>
          <w:p>
            <w:pPr>
              <w:pStyle w:val="164"/>
              <w:ind w:left="-105" w:leftChars="-50" w:right="-105" w:rightChars="-50"/>
              <w:rPr>
                <w:color w:val="auto"/>
              </w:rPr>
            </w:pPr>
            <w:r>
              <w:rPr>
                <w:color w:val="auto"/>
              </w:rPr>
              <w:t>0.008</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0.008</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0.008</w:t>
            </w:r>
          </w:p>
        </w:tc>
        <w:tc>
          <w:tcPr>
            <w:tcW w:w="613" w:type="dxa"/>
            <w:vAlign w:val="center"/>
          </w:tcPr>
          <w:p>
            <w:pPr>
              <w:pStyle w:val="164"/>
              <w:ind w:left="-105" w:leftChars="-50" w:right="-105" w:rightChars="-50"/>
              <w:rPr>
                <w:color w:val="auto"/>
              </w:rPr>
            </w:pPr>
            <w:r>
              <w:rPr>
                <w:color w:val="auto"/>
              </w:rPr>
              <w:t>0.009</w:t>
            </w:r>
          </w:p>
        </w:tc>
        <w:tc>
          <w:tcPr>
            <w:tcW w:w="546" w:type="dxa"/>
            <w:vAlign w:val="center"/>
          </w:tcPr>
          <w:p>
            <w:pPr>
              <w:pStyle w:val="164"/>
              <w:ind w:left="-105" w:leftChars="-50" w:right="-105" w:rightChars="-50"/>
              <w:rPr>
                <w:color w:val="auto"/>
              </w:rPr>
            </w:pPr>
            <w:r>
              <w:rPr>
                <w:color w:val="auto"/>
              </w:rPr>
              <w:t>0.01</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restart"/>
            <w:vAlign w:val="center"/>
          </w:tcPr>
          <w:p>
            <w:pPr>
              <w:pStyle w:val="164"/>
              <w:ind w:left="-105" w:leftChars="-50" w:right="-105" w:rightChars="-50"/>
              <w:rPr>
                <w:color w:val="auto"/>
              </w:rPr>
            </w:pPr>
            <w:r>
              <w:rPr>
                <w:color w:val="auto"/>
              </w:rPr>
              <w:t>2#</w:t>
            </w: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第1次</w:t>
            </w:r>
          </w:p>
        </w:tc>
        <w:tc>
          <w:tcPr>
            <w:tcW w:w="613" w:type="dxa"/>
            <w:vAlign w:val="center"/>
          </w:tcPr>
          <w:p>
            <w:pPr>
              <w:pStyle w:val="164"/>
              <w:ind w:left="-105" w:leftChars="-50" w:right="-105" w:rightChars="-50"/>
              <w:rPr>
                <w:color w:val="auto"/>
              </w:rPr>
            </w:pPr>
            <w:r>
              <w:rPr>
                <w:color w:val="auto"/>
              </w:rPr>
              <w:t>0.008</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0.006</w:t>
            </w:r>
          </w:p>
        </w:tc>
        <w:tc>
          <w:tcPr>
            <w:tcW w:w="613" w:type="dxa"/>
            <w:vAlign w:val="center"/>
          </w:tcPr>
          <w:p>
            <w:pPr>
              <w:pStyle w:val="164"/>
              <w:ind w:left="-105" w:leftChars="-50" w:right="-105" w:rightChars="-50"/>
              <w:rPr>
                <w:color w:val="auto"/>
              </w:rPr>
            </w:pPr>
            <w:r>
              <w:rPr>
                <w:color w:val="auto"/>
              </w:rPr>
              <w:t>0.009</w:t>
            </w:r>
          </w:p>
        </w:tc>
        <w:tc>
          <w:tcPr>
            <w:tcW w:w="546" w:type="dxa"/>
            <w:vAlign w:val="center"/>
          </w:tcPr>
          <w:p>
            <w:pPr>
              <w:pStyle w:val="164"/>
              <w:ind w:left="-105" w:leftChars="-50" w:right="-105" w:rightChars="-50"/>
              <w:rPr>
                <w:color w:val="auto"/>
              </w:rPr>
            </w:pPr>
            <w:r>
              <w:rPr>
                <w:color w:val="auto"/>
              </w:rPr>
              <w:t>0.01</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第2次</w:t>
            </w:r>
          </w:p>
        </w:tc>
        <w:tc>
          <w:tcPr>
            <w:tcW w:w="613"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0.008</w:t>
            </w:r>
          </w:p>
        </w:tc>
        <w:tc>
          <w:tcPr>
            <w:tcW w:w="614" w:type="dxa"/>
            <w:vAlign w:val="center"/>
          </w:tcPr>
          <w:p>
            <w:pPr>
              <w:pStyle w:val="164"/>
              <w:ind w:left="-105" w:leftChars="-50" w:right="-105" w:rightChars="-50"/>
              <w:rPr>
                <w:color w:val="auto"/>
              </w:rPr>
            </w:pPr>
            <w:r>
              <w:rPr>
                <w:color w:val="auto"/>
              </w:rPr>
              <w:t>0.006</w:t>
            </w:r>
          </w:p>
        </w:tc>
        <w:tc>
          <w:tcPr>
            <w:tcW w:w="614" w:type="dxa"/>
            <w:vAlign w:val="center"/>
          </w:tcPr>
          <w:p>
            <w:pPr>
              <w:pStyle w:val="164"/>
              <w:ind w:left="-105" w:leftChars="-50" w:right="-105" w:rightChars="-50"/>
              <w:rPr>
                <w:color w:val="auto"/>
              </w:rPr>
            </w:pPr>
            <w:r>
              <w:rPr>
                <w:color w:val="auto"/>
              </w:rPr>
              <w:t>0.009</w:t>
            </w:r>
          </w:p>
        </w:tc>
        <w:tc>
          <w:tcPr>
            <w:tcW w:w="613" w:type="dxa"/>
            <w:vAlign w:val="center"/>
          </w:tcPr>
          <w:p>
            <w:pPr>
              <w:pStyle w:val="164"/>
              <w:ind w:left="-105" w:leftChars="-50" w:right="-105" w:rightChars="-50"/>
              <w:rPr>
                <w:color w:val="auto"/>
              </w:rPr>
            </w:pPr>
            <w:r>
              <w:rPr>
                <w:color w:val="auto"/>
              </w:rPr>
              <w:t>0.009</w:t>
            </w:r>
          </w:p>
        </w:tc>
        <w:tc>
          <w:tcPr>
            <w:tcW w:w="546" w:type="dxa"/>
            <w:vAlign w:val="center"/>
          </w:tcPr>
          <w:p>
            <w:pPr>
              <w:pStyle w:val="164"/>
              <w:ind w:left="-105" w:leftChars="-50" w:right="-105" w:rightChars="-50"/>
              <w:rPr>
                <w:color w:val="auto"/>
              </w:rPr>
            </w:pPr>
            <w:r>
              <w:rPr>
                <w:color w:val="auto"/>
              </w:rPr>
              <w:t>0.01</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第3次</w:t>
            </w:r>
          </w:p>
        </w:tc>
        <w:tc>
          <w:tcPr>
            <w:tcW w:w="613" w:type="dxa"/>
            <w:vAlign w:val="center"/>
          </w:tcPr>
          <w:p>
            <w:pPr>
              <w:pStyle w:val="164"/>
              <w:ind w:left="-105" w:leftChars="-50" w:right="-105" w:rightChars="-50"/>
              <w:rPr>
                <w:color w:val="auto"/>
              </w:rPr>
            </w:pPr>
            <w:r>
              <w:rPr>
                <w:color w:val="auto"/>
              </w:rPr>
              <w:t>0.008</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0.008</w:t>
            </w:r>
          </w:p>
        </w:tc>
        <w:tc>
          <w:tcPr>
            <w:tcW w:w="613" w:type="dxa"/>
            <w:vAlign w:val="center"/>
          </w:tcPr>
          <w:p>
            <w:pPr>
              <w:pStyle w:val="164"/>
              <w:ind w:left="-105" w:leftChars="-50" w:right="-105" w:rightChars="-50"/>
              <w:rPr>
                <w:color w:val="auto"/>
              </w:rPr>
            </w:pPr>
            <w:r>
              <w:rPr>
                <w:color w:val="auto"/>
              </w:rPr>
              <w:t>0.006</w:t>
            </w:r>
          </w:p>
        </w:tc>
        <w:tc>
          <w:tcPr>
            <w:tcW w:w="546" w:type="dxa"/>
            <w:vAlign w:val="center"/>
          </w:tcPr>
          <w:p>
            <w:pPr>
              <w:pStyle w:val="164"/>
              <w:ind w:left="-105" w:leftChars="-50" w:right="-105" w:rightChars="-50"/>
              <w:rPr>
                <w:color w:val="auto"/>
              </w:rPr>
            </w:pPr>
            <w:r>
              <w:rPr>
                <w:color w:val="auto"/>
              </w:rPr>
              <w:t>0.01</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第4次</w:t>
            </w:r>
          </w:p>
        </w:tc>
        <w:tc>
          <w:tcPr>
            <w:tcW w:w="613"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0.008</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0.008</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0.008</w:t>
            </w:r>
          </w:p>
        </w:tc>
        <w:tc>
          <w:tcPr>
            <w:tcW w:w="613" w:type="dxa"/>
            <w:vAlign w:val="center"/>
          </w:tcPr>
          <w:p>
            <w:pPr>
              <w:pStyle w:val="164"/>
              <w:ind w:left="-105" w:leftChars="-50" w:right="-105" w:rightChars="-50"/>
              <w:rPr>
                <w:color w:val="auto"/>
              </w:rPr>
            </w:pPr>
            <w:r>
              <w:rPr>
                <w:color w:val="auto"/>
              </w:rPr>
              <w:t>0.009</w:t>
            </w:r>
          </w:p>
        </w:tc>
        <w:tc>
          <w:tcPr>
            <w:tcW w:w="546" w:type="dxa"/>
            <w:vAlign w:val="center"/>
          </w:tcPr>
          <w:p>
            <w:pPr>
              <w:pStyle w:val="164"/>
              <w:ind w:left="-105" w:leftChars="-50" w:right="-105" w:rightChars="-50"/>
              <w:rPr>
                <w:color w:val="auto"/>
              </w:rPr>
            </w:pPr>
            <w:r>
              <w:rPr>
                <w:color w:val="auto"/>
              </w:rPr>
              <w:t>0.01</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restart"/>
            <w:vAlign w:val="center"/>
          </w:tcPr>
          <w:p>
            <w:pPr>
              <w:pStyle w:val="164"/>
              <w:ind w:left="-105" w:leftChars="-50" w:right="-105" w:rightChars="-50"/>
              <w:rPr>
                <w:color w:val="auto"/>
              </w:rPr>
            </w:pPr>
            <w:r>
              <w:rPr>
                <w:color w:val="auto"/>
              </w:rPr>
              <w:t>1#</w:t>
            </w:r>
          </w:p>
        </w:tc>
        <w:tc>
          <w:tcPr>
            <w:tcW w:w="815" w:type="dxa"/>
            <w:vMerge w:val="restart"/>
            <w:vAlign w:val="center"/>
          </w:tcPr>
          <w:p>
            <w:pPr>
              <w:pStyle w:val="164"/>
              <w:ind w:left="-105" w:leftChars="-50" w:right="-105" w:rightChars="-50"/>
              <w:rPr>
                <w:color w:val="auto"/>
              </w:rPr>
            </w:pPr>
            <w:r>
              <w:rPr>
                <w:color w:val="auto"/>
              </w:rPr>
              <w:t>氨</w:t>
            </w:r>
          </w:p>
        </w:tc>
        <w:tc>
          <w:tcPr>
            <w:tcW w:w="1556" w:type="dxa"/>
            <w:vAlign w:val="center"/>
          </w:tcPr>
          <w:p>
            <w:pPr>
              <w:pStyle w:val="164"/>
              <w:ind w:left="-105" w:leftChars="-50" w:right="-105" w:rightChars="-50"/>
              <w:rPr>
                <w:color w:val="auto"/>
              </w:rPr>
            </w:pPr>
            <w:r>
              <w:rPr>
                <w:color w:val="auto"/>
              </w:rPr>
              <w:t>第1次</w:t>
            </w:r>
          </w:p>
        </w:tc>
        <w:tc>
          <w:tcPr>
            <w:tcW w:w="613" w:type="dxa"/>
            <w:vAlign w:val="center"/>
          </w:tcPr>
          <w:p>
            <w:pPr>
              <w:pStyle w:val="164"/>
              <w:ind w:left="-105" w:leftChars="-50" w:right="-105" w:rightChars="-50"/>
              <w:rPr>
                <w:color w:val="auto"/>
              </w:rPr>
            </w:pPr>
            <w:r>
              <w:rPr>
                <w:color w:val="auto"/>
              </w:rPr>
              <w:t>0.022</w:t>
            </w:r>
          </w:p>
        </w:tc>
        <w:tc>
          <w:tcPr>
            <w:tcW w:w="614" w:type="dxa"/>
            <w:vAlign w:val="center"/>
          </w:tcPr>
          <w:p>
            <w:pPr>
              <w:pStyle w:val="164"/>
              <w:ind w:left="-105" w:leftChars="-50" w:right="-105" w:rightChars="-50"/>
              <w:rPr>
                <w:color w:val="auto"/>
              </w:rPr>
            </w:pPr>
            <w:r>
              <w:rPr>
                <w:color w:val="auto"/>
              </w:rPr>
              <w:t>0.013</w:t>
            </w:r>
          </w:p>
        </w:tc>
        <w:tc>
          <w:tcPr>
            <w:tcW w:w="614" w:type="dxa"/>
            <w:vAlign w:val="center"/>
          </w:tcPr>
          <w:p>
            <w:pPr>
              <w:pStyle w:val="164"/>
              <w:ind w:left="-105" w:leftChars="-50" w:right="-105" w:rightChars="-50"/>
              <w:rPr>
                <w:color w:val="auto"/>
              </w:rPr>
            </w:pPr>
            <w:r>
              <w:rPr>
                <w:color w:val="auto"/>
              </w:rPr>
              <w:t>0.020</w:t>
            </w:r>
          </w:p>
        </w:tc>
        <w:tc>
          <w:tcPr>
            <w:tcW w:w="614" w:type="dxa"/>
            <w:vAlign w:val="center"/>
          </w:tcPr>
          <w:p>
            <w:pPr>
              <w:pStyle w:val="164"/>
              <w:ind w:left="-105" w:leftChars="-50" w:right="-105" w:rightChars="-50"/>
              <w:rPr>
                <w:color w:val="auto"/>
              </w:rPr>
            </w:pPr>
            <w:r>
              <w:rPr>
                <w:color w:val="auto"/>
              </w:rPr>
              <w:t>0.017</w:t>
            </w:r>
          </w:p>
        </w:tc>
        <w:tc>
          <w:tcPr>
            <w:tcW w:w="614" w:type="dxa"/>
            <w:vAlign w:val="center"/>
          </w:tcPr>
          <w:p>
            <w:pPr>
              <w:pStyle w:val="164"/>
              <w:ind w:left="-105" w:leftChars="-50" w:right="-105" w:rightChars="-50"/>
              <w:rPr>
                <w:color w:val="auto"/>
              </w:rPr>
            </w:pPr>
            <w:r>
              <w:rPr>
                <w:color w:val="auto"/>
              </w:rPr>
              <w:t>0.016</w:t>
            </w:r>
          </w:p>
        </w:tc>
        <w:tc>
          <w:tcPr>
            <w:tcW w:w="614" w:type="dxa"/>
            <w:vAlign w:val="center"/>
          </w:tcPr>
          <w:p>
            <w:pPr>
              <w:pStyle w:val="164"/>
              <w:ind w:left="-105" w:leftChars="-50" w:right="-105" w:rightChars="-50"/>
              <w:rPr>
                <w:color w:val="auto"/>
              </w:rPr>
            </w:pPr>
            <w:r>
              <w:rPr>
                <w:color w:val="auto"/>
              </w:rPr>
              <w:t>0.023</w:t>
            </w:r>
          </w:p>
        </w:tc>
        <w:tc>
          <w:tcPr>
            <w:tcW w:w="613" w:type="dxa"/>
            <w:vAlign w:val="center"/>
          </w:tcPr>
          <w:p>
            <w:pPr>
              <w:pStyle w:val="164"/>
              <w:ind w:left="-105" w:leftChars="-50" w:right="-105" w:rightChars="-50"/>
              <w:rPr>
                <w:color w:val="auto"/>
              </w:rPr>
            </w:pPr>
            <w:r>
              <w:rPr>
                <w:color w:val="auto"/>
              </w:rPr>
              <w:t>0.012</w:t>
            </w:r>
          </w:p>
        </w:tc>
        <w:tc>
          <w:tcPr>
            <w:tcW w:w="546" w:type="dxa"/>
            <w:vAlign w:val="center"/>
          </w:tcPr>
          <w:p>
            <w:pPr>
              <w:pStyle w:val="164"/>
              <w:ind w:left="-105" w:leftChars="-50" w:right="-105" w:rightChars="-50"/>
              <w:rPr>
                <w:color w:val="auto"/>
              </w:rPr>
            </w:pPr>
            <w:r>
              <w:rPr>
                <w:color w:val="auto"/>
              </w:rPr>
              <w:t>0.20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第2次</w:t>
            </w:r>
          </w:p>
        </w:tc>
        <w:tc>
          <w:tcPr>
            <w:tcW w:w="613" w:type="dxa"/>
            <w:vAlign w:val="center"/>
          </w:tcPr>
          <w:p>
            <w:pPr>
              <w:pStyle w:val="164"/>
              <w:ind w:left="-105" w:leftChars="-50" w:right="-105" w:rightChars="-50"/>
              <w:rPr>
                <w:color w:val="auto"/>
              </w:rPr>
            </w:pPr>
            <w:r>
              <w:rPr>
                <w:color w:val="auto"/>
              </w:rPr>
              <w:t>0.016</w:t>
            </w:r>
          </w:p>
        </w:tc>
        <w:tc>
          <w:tcPr>
            <w:tcW w:w="614" w:type="dxa"/>
            <w:vAlign w:val="center"/>
          </w:tcPr>
          <w:p>
            <w:pPr>
              <w:pStyle w:val="164"/>
              <w:ind w:left="-105" w:leftChars="-50" w:right="-105" w:rightChars="-50"/>
              <w:rPr>
                <w:color w:val="auto"/>
              </w:rPr>
            </w:pPr>
            <w:r>
              <w:rPr>
                <w:color w:val="auto"/>
              </w:rPr>
              <w:t>0.030</w:t>
            </w:r>
          </w:p>
        </w:tc>
        <w:tc>
          <w:tcPr>
            <w:tcW w:w="614" w:type="dxa"/>
            <w:vAlign w:val="center"/>
          </w:tcPr>
          <w:p>
            <w:pPr>
              <w:pStyle w:val="164"/>
              <w:ind w:left="-105" w:leftChars="-50" w:right="-105" w:rightChars="-50"/>
              <w:rPr>
                <w:color w:val="auto"/>
              </w:rPr>
            </w:pPr>
            <w:r>
              <w:rPr>
                <w:color w:val="auto"/>
              </w:rPr>
              <w:t>0.023</w:t>
            </w:r>
          </w:p>
        </w:tc>
        <w:tc>
          <w:tcPr>
            <w:tcW w:w="614" w:type="dxa"/>
            <w:vAlign w:val="center"/>
          </w:tcPr>
          <w:p>
            <w:pPr>
              <w:pStyle w:val="164"/>
              <w:ind w:left="-105" w:leftChars="-50" w:right="-105" w:rightChars="-50"/>
              <w:rPr>
                <w:color w:val="auto"/>
              </w:rPr>
            </w:pPr>
            <w:r>
              <w:rPr>
                <w:color w:val="auto"/>
              </w:rPr>
              <w:t>0.026</w:t>
            </w:r>
          </w:p>
        </w:tc>
        <w:tc>
          <w:tcPr>
            <w:tcW w:w="614" w:type="dxa"/>
            <w:vAlign w:val="center"/>
          </w:tcPr>
          <w:p>
            <w:pPr>
              <w:pStyle w:val="164"/>
              <w:ind w:left="-105" w:leftChars="-50" w:right="-105" w:rightChars="-50"/>
              <w:rPr>
                <w:color w:val="auto"/>
              </w:rPr>
            </w:pPr>
            <w:r>
              <w:rPr>
                <w:color w:val="auto"/>
              </w:rPr>
              <w:t>0.018</w:t>
            </w:r>
          </w:p>
        </w:tc>
        <w:tc>
          <w:tcPr>
            <w:tcW w:w="614" w:type="dxa"/>
            <w:vAlign w:val="center"/>
          </w:tcPr>
          <w:p>
            <w:pPr>
              <w:pStyle w:val="164"/>
              <w:ind w:left="-105" w:leftChars="-50" w:right="-105" w:rightChars="-50"/>
              <w:rPr>
                <w:color w:val="auto"/>
              </w:rPr>
            </w:pPr>
            <w:r>
              <w:rPr>
                <w:color w:val="auto"/>
              </w:rPr>
              <w:t>0.013</w:t>
            </w:r>
          </w:p>
        </w:tc>
        <w:tc>
          <w:tcPr>
            <w:tcW w:w="613" w:type="dxa"/>
            <w:vAlign w:val="center"/>
          </w:tcPr>
          <w:p>
            <w:pPr>
              <w:pStyle w:val="164"/>
              <w:ind w:left="-105" w:leftChars="-50" w:right="-105" w:rightChars="-50"/>
              <w:rPr>
                <w:color w:val="auto"/>
              </w:rPr>
            </w:pPr>
            <w:r>
              <w:rPr>
                <w:color w:val="auto"/>
              </w:rPr>
              <w:t>0.026</w:t>
            </w:r>
          </w:p>
        </w:tc>
        <w:tc>
          <w:tcPr>
            <w:tcW w:w="546" w:type="dxa"/>
            <w:vAlign w:val="center"/>
          </w:tcPr>
          <w:p>
            <w:pPr>
              <w:pStyle w:val="164"/>
              <w:ind w:left="-105" w:leftChars="-50" w:right="-105" w:rightChars="-50"/>
              <w:rPr>
                <w:color w:val="auto"/>
              </w:rPr>
            </w:pPr>
            <w:r>
              <w:rPr>
                <w:color w:val="auto"/>
              </w:rPr>
              <w:t>0.20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第3次</w:t>
            </w:r>
          </w:p>
        </w:tc>
        <w:tc>
          <w:tcPr>
            <w:tcW w:w="613"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0.009</w:t>
            </w:r>
          </w:p>
        </w:tc>
        <w:tc>
          <w:tcPr>
            <w:tcW w:w="614" w:type="dxa"/>
            <w:vAlign w:val="center"/>
          </w:tcPr>
          <w:p>
            <w:pPr>
              <w:pStyle w:val="164"/>
              <w:ind w:left="-105" w:leftChars="-50" w:right="-105" w:rightChars="-50"/>
              <w:rPr>
                <w:color w:val="auto"/>
              </w:rPr>
            </w:pPr>
            <w:r>
              <w:rPr>
                <w:color w:val="auto"/>
              </w:rPr>
              <w:t>0.007</w:t>
            </w:r>
          </w:p>
        </w:tc>
        <w:tc>
          <w:tcPr>
            <w:tcW w:w="614" w:type="dxa"/>
            <w:vAlign w:val="center"/>
          </w:tcPr>
          <w:p>
            <w:pPr>
              <w:pStyle w:val="164"/>
              <w:ind w:left="-105" w:leftChars="-50" w:right="-105" w:rightChars="-50"/>
              <w:rPr>
                <w:color w:val="auto"/>
              </w:rPr>
            </w:pPr>
            <w:r>
              <w:rPr>
                <w:color w:val="auto"/>
              </w:rPr>
              <w:t>0.011</w:t>
            </w:r>
          </w:p>
        </w:tc>
        <w:tc>
          <w:tcPr>
            <w:tcW w:w="614" w:type="dxa"/>
            <w:vAlign w:val="center"/>
          </w:tcPr>
          <w:p>
            <w:pPr>
              <w:pStyle w:val="164"/>
              <w:ind w:left="-105" w:leftChars="-50" w:right="-105" w:rightChars="-50"/>
              <w:rPr>
                <w:color w:val="auto"/>
              </w:rPr>
            </w:pPr>
            <w:r>
              <w:rPr>
                <w:color w:val="auto"/>
              </w:rPr>
              <w:t>0.010</w:t>
            </w:r>
          </w:p>
        </w:tc>
        <w:tc>
          <w:tcPr>
            <w:tcW w:w="614" w:type="dxa"/>
            <w:vAlign w:val="center"/>
          </w:tcPr>
          <w:p>
            <w:pPr>
              <w:pStyle w:val="164"/>
              <w:ind w:left="-105" w:leftChars="-50" w:right="-105" w:rightChars="-50"/>
              <w:rPr>
                <w:color w:val="auto"/>
              </w:rPr>
            </w:pPr>
            <w:r>
              <w:rPr>
                <w:color w:val="auto"/>
              </w:rPr>
              <w:t>0.007</w:t>
            </w:r>
          </w:p>
        </w:tc>
        <w:tc>
          <w:tcPr>
            <w:tcW w:w="613" w:type="dxa"/>
            <w:vAlign w:val="center"/>
          </w:tcPr>
          <w:p>
            <w:pPr>
              <w:pStyle w:val="164"/>
              <w:ind w:left="-105" w:leftChars="-50" w:right="-105" w:rightChars="-50"/>
              <w:rPr>
                <w:color w:val="auto"/>
              </w:rPr>
            </w:pPr>
            <w:r>
              <w:rPr>
                <w:color w:val="auto"/>
              </w:rPr>
              <w:t>0.007</w:t>
            </w:r>
          </w:p>
        </w:tc>
        <w:tc>
          <w:tcPr>
            <w:tcW w:w="546" w:type="dxa"/>
            <w:vAlign w:val="center"/>
          </w:tcPr>
          <w:p>
            <w:pPr>
              <w:pStyle w:val="164"/>
              <w:ind w:left="-105" w:leftChars="-50" w:right="-105" w:rightChars="-50"/>
              <w:rPr>
                <w:color w:val="auto"/>
              </w:rPr>
            </w:pPr>
            <w:r>
              <w:rPr>
                <w:color w:val="auto"/>
              </w:rPr>
              <w:t>0.20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第4次</w:t>
            </w:r>
          </w:p>
        </w:tc>
        <w:tc>
          <w:tcPr>
            <w:tcW w:w="613" w:type="dxa"/>
            <w:vAlign w:val="center"/>
          </w:tcPr>
          <w:p>
            <w:pPr>
              <w:pStyle w:val="164"/>
              <w:ind w:left="-105" w:leftChars="-50" w:right="-105" w:rightChars="-50"/>
              <w:rPr>
                <w:color w:val="auto"/>
              </w:rPr>
            </w:pPr>
            <w:r>
              <w:rPr>
                <w:color w:val="auto"/>
              </w:rPr>
              <w:t>0.029</w:t>
            </w:r>
          </w:p>
        </w:tc>
        <w:tc>
          <w:tcPr>
            <w:tcW w:w="614" w:type="dxa"/>
            <w:vAlign w:val="center"/>
          </w:tcPr>
          <w:p>
            <w:pPr>
              <w:pStyle w:val="164"/>
              <w:ind w:left="-105" w:leftChars="-50" w:right="-105" w:rightChars="-50"/>
              <w:rPr>
                <w:color w:val="auto"/>
              </w:rPr>
            </w:pPr>
            <w:r>
              <w:rPr>
                <w:color w:val="auto"/>
              </w:rPr>
              <w:t>0.025</w:t>
            </w:r>
          </w:p>
        </w:tc>
        <w:tc>
          <w:tcPr>
            <w:tcW w:w="614" w:type="dxa"/>
            <w:vAlign w:val="center"/>
          </w:tcPr>
          <w:p>
            <w:pPr>
              <w:pStyle w:val="164"/>
              <w:ind w:left="-105" w:leftChars="-50" w:right="-105" w:rightChars="-50"/>
              <w:rPr>
                <w:color w:val="auto"/>
              </w:rPr>
            </w:pPr>
            <w:r>
              <w:rPr>
                <w:color w:val="auto"/>
              </w:rPr>
              <w:t>0.016</w:t>
            </w:r>
          </w:p>
        </w:tc>
        <w:tc>
          <w:tcPr>
            <w:tcW w:w="614" w:type="dxa"/>
            <w:vAlign w:val="center"/>
          </w:tcPr>
          <w:p>
            <w:pPr>
              <w:pStyle w:val="164"/>
              <w:ind w:left="-105" w:leftChars="-50" w:right="-105" w:rightChars="-50"/>
              <w:rPr>
                <w:color w:val="auto"/>
              </w:rPr>
            </w:pPr>
            <w:r>
              <w:rPr>
                <w:color w:val="auto"/>
              </w:rPr>
              <w:t>0.027</w:t>
            </w:r>
          </w:p>
        </w:tc>
        <w:tc>
          <w:tcPr>
            <w:tcW w:w="614" w:type="dxa"/>
            <w:vAlign w:val="center"/>
          </w:tcPr>
          <w:p>
            <w:pPr>
              <w:pStyle w:val="164"/>
              <w:ind w:left="-105" w:leftChars="-50" w:right="-105" w:rightChars="-50"/>
              <w:rPr>
                <w:color w:val="auto"/>
              </w:rPr>
            </w:pPr>
            <w:r>
              <w:rPr>
                <w:color w:val="auto"/>
              </w:rPr>
              <w:t>0.020</w:t>
            </w:r>
          </w:p>
        </w:tc>
        <w:tc>
          <w:tcPr>
            <w:tcW w:w="614" w:type="dxa"/>
            <w:vAlign w:val="center"/>
          </w:tcPr>
          <w:p>
            <w:pPr>
              <w:pStyle w:val="164"/>
              <w:ind w:left="-105" w:leftChars="-50" w:right="-105" w:rightChars="-50"/>
              <w:rPr>
                <w:color w:val="auto"/>
              </w:rPr>
            </w:pPr>
            <w:r>
              <w:rPr>
                <w:color w:val="auto"/>
              </w:rPr>
              <w:t>0.033</w:t>
            </w:r>
          </w:p>
        </w:tc>
        <w:tc>
          <w:tcPr>
            <w:tcW w:w="613" w:type="dxa"/>
            <w:vAlign w:val="center"/>
          </w:tcPr>
          <w:p>
            <w:pPr>
              <w:pStyle w:val="164"/>
              <w:ind w:left="-105" w:leftChars="-50" w:right="-105" w:rightChars="-50"/>
              <w:rPr>
                <w:color w:val="auto"/>
              </w:rPr>
            </w:pPr>
            <w:r>
              <w:rPr>
                <w:color w:val="auto"/>
              </w:rPr>
              <w:t>0.016</w:t>
            </w:r>
          </w:p>
        </w:tc>
        <w:tc>
          <w:tcPr>
            <w:tcW w:w="546" w:type="dxa"/>
            <w:vAlign w:val="center"/>
          </w:tcPr>
          <w:p>
            <w:pPr>
              <w:pStyle w:val="164"/>
              <w:ind w:left="-105" w:leftChars="-50" w:right="-105" w:rightChars="-50"/>
              <w:rPr>
                <w:color w:val="auto"/>
              </w:rPr>
            </w:pPr>
            <w:r>
              <w:rPr>
                <w:color w:val="auto"/>
              </w:rPr>
              <w:t>0.20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restart"/>
            <w:vAlign w:val="center"/>
          </w:tcPr>
          <w:p>
            <w:pPr>
              <w:pStyle w:val="164"/>
              <w:ind w:left="-105" w:leftChars="-50" w:right="-105" w:rightChars="-50"/>
              <w:rPr>
                <w:color w:val="auto"/>
              </w:rPr>
            </w:pPr>
            <w:r>
              <w:rPr>
                <w:color w:val="auto"/>
              </w:rPr>
              <w:t>2#</w:t>
            </w: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第1次</w:t>
            </w:r>
          </w:p>
        </w:tc>
        <w:tc>
          <w:tcPr>
            <w:tcW w:w="613" w:type="dxa"/>
            <w:vAlign w:val="center"/>
          </w:tcPr>
          <w:p>
            <w:pPr>
              <w:pStyle w:val="164"/>
              <w:ind w:left="-105" w:leftChars="-50" w:right="-105" w:rightChars="-50"/>
              <w:rPr>
                <w:color w:val="auto"/>
              </w:rPr>
            </w:pPr>
            <w:r>
              <w:rPr>
                <w:color w:val="auto"/>
              </w:rPr>
              <w:t>0.029</w:t>
            </w:r>
          </w:p>
        </w:tc>
        <w:tc>
          <w:tcPr>
            <w:tcW w:w="614" w:type="dxa"/>
            <w:vAlign w:val="center"/>
          </w:tcPr>
          <w:p>
            <w:pPr>
              <w:pStyle w:val="164"/>
              <w:ind w:left="-105" w:leftChars="-50" w:right="-105" w:rightChars="-50"/>
              <w:rPr>
                <w:color w:val="auto"/>
              </w:rPr>
            </w:pPr>
            <w:r>
              <w:rPr>
                <w:color w:val="auto"/>
              </w:rPr>
              <w:t>0.028</w:t>
            </w:r>
          </w:p>
        </w:tc>
        <w:tc>
          <w:tcPr>
            <w:tcW w:w="614" w:type="dxa"/>
            <w:vAlign w:val="center"/>
          </w:tcPr>
          <w:p>
            <w:pPr>
              <w:pStyle w:val="164"/>
              <w:ind w:left="-105" w:leftChars="-50" w:right="-105" w:rightChars="-50"/>
              <w:rPr>
                <w:color w:val="auto"/>
              </w:rPr>
            </w:pPr>
            <w:r>
              <w:rPr>
                <w:color w:val="auto"/>
              </w:rPr>
              <w:t>0.019</w:t>
            </w:r>
          </w:p>
        </w:tc>
        <w:tc>
          <w:tcPr>
            <w:tcW w:w="614" w:type="dxa"/>
            <w:vAlign w:val="center"/>
          </w:tcPr>
          <w:p>
            <w:pPr>
              <w:pStyle w:val="164"/>
              <w:ind w:left="-105" w:leftChars="-50" w:right="-105" w:rightChars="-50"/>
              <w:rPr>
                <w:color w:val="auto"/>
              </w:rPr>
            </w:pPr>
            <w:r>
              <w:rPr>
                <w:color w:val="auto"/>
              </w:rPr>
              <w:t>0.030</w:t>
            </w:r>
          </w:p>
        </w:tc>
        <w:tc>
          <w:tcPr>
            <w:tcW w:w="614" w:type="dxa"/>
            <w:vAlign w:val="center"/>
          </w:tcPr>
          <w:p>
            <w:pPr>
              <w:pStyle w:val="164"/>
              <w:ind w:left="-105" w:leftChars="-50" w:right="-105" w:rightChars="-50"/>
              <w:rPr>
                <w:color w:val="auto"/>
              </w:rPr>
            </w:pPr>
            <w:r>
              <w:rPr>
                <w:color w:val="auto"/>
              </w:rPr>
              <w:t>0.036</w:t>
            </w:r>
          </w:p>
        </w:tc>
        <w:tc>
          <w:tcPr>
            <w:tcW w:w="614" w:type="dxa"/>
            <w:vAlign w:val="center"/>
          </w:tcPr>
          <w:p>
            <w:pPr>
              <w:pStyle w:val="164"/>
              <w:ind w:left="-105" w:leftChars="-50" w:right="-105" w:rightChars="-50"/>
              <w:rPr>
                <w:color w:val="auto"/>
              </w:rPr>
            </w:pPr>
            <w:r>
              <w:rPr>
                <w:color w:val="auto"/>
              </w:rPr>
              <w:t>0.023</w:t>
            </w:r>
          </w:p>
        </w:tc>
        <w:tc>
          <w:tcPr>
            <w:tcW w:w="613" w:type="dxa"/>
            <w:vAlign w:val="center"/>
          </w:tcPr>
          <w:p>
            <w:pPr>
              <w:pStyle w:val="164"/>
              <w:ind w:left="-105" w:leftChars="-50" w:right="-105" w:rightChars="-50"/>
              <w:rPr>
                <w:color w:val="auto"/>
              </w:rPr>
            </w:pPr>
            <w:r>
              <w:rPr>
                <w:color w:val="auto"/>
              </w:rPr>
              <w:t>0.035</w:t>
            </w:r>
          </w:p>
        </w:tc>
        <w:tc>
          <w:tcPr>
            <w:tcW w:w="546" w:type="dxa"/>
            <w:vAlign w:val="center"/>
          </w:tcPr>
          <w:p>
            <w:pPr>
              <w:pStyle w:val="164"/>
              <w:ind w:left="-105" w:leftChars="-50" w:right="-105" w:rightChars="-50"/>
              <w:rPr>
                <w:color w:val="auto"/>
              </w:rPr>
            </w:pPr>
            <w:r>
              <w:rPr>
                <w:color w:val="auto"/>
              </w:rPr>
              <w:t>0.20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第2次</w:t>
            </w:r>
          </w:p>
        </w:tc>
        <w:tc>
          <w:tcPr>
            <w:tcW w:w="613" w:type="dxa"/>
            <w:vAlign w:val="center"/>
          </w:tcPr>
          <w:p>
            <w:pPr>
              <w:pStyle w:val="164"/>
              <w:ind w:left="-105" w:leftChars="-50" w:right="-105" w:rightChars="-50"/>
              <w:rPr>
                <w:color w:val="auto"/>
              </w:rPr>
            </w:pPr>
            <w:r>
              <w:rPr>
                <w:color w:val="auto"/>
              </w:rPr>
              <w:t>0.017</w:t>
            </w:r>
          </w:p>
        </w:tc>
        <w:tc>
          <w:tcPr>
            <w:tcW w:w="614" w:type="dxa"/>
            <w:vAlign w:val="center"/>
          </w:tcPr>
          <w:p>
            <w:pPr>
              <w:pStyle w:val="164"/>
              <w:ind w:left="-105" w:leftChars="-50" w:right="-105" w:rightChars="-50"/>
              <w:rPr>
                <w:color w:val="auto"/>
              </w:rPr>
            </w:pPr>
            <w:r>
              <w:rPr>
                <w:color w:val="auto"/>
              </w:rPr>
              <w:t>0.019</w:t>
            </w:r>
          </w:p>
        </w:tc>
        <w:tc>
          <w:tcPr>
            <w:tcW w:w="614" w:type="dxa"/>
            <w:vAlign w:val="center"/>
          </w:tcPr>
          <w:p>
            <w:pPr>
              <w:pStyle w:val="164"/>
              <w:ind w:left="-105" w:leftChars="-50" w:right="-105" w:rightChars="-50"/>
              <w:rPr>
                <w:color w:val="auto"/>
              </w:rPr>
            </w:pPr>
            <w:r>
              <w:rPr>
                <w:color w:val="auto"/>
              </w:rPr>
              <w:t>0.017</w:t>
            </w:r>
          </w:p>
        </w:tc>
        <w:tc>
          <w:tcPr>
            <w:tcW w:w="614" w:type="dxa"/>
            <w:vAlign w:val="center"/>
          </w:tcPr>
          <w:p>
            <w:pPr>
              <w:pStyle w:val="164"/>
              <w:ind w:left="-105" w:leftChars="-50" w:right="-105" w:rightChars="-50"/>
              <w:rPr>
                <w:color w:val="auto"/>
              </w:rPr>
            </w:pPr>
            <w:r>
              <w:rPr>
                <w:color w:val="auto"/>
              </w:rPr>
              <w:t>0.018</w:t>
            </w:r>
          </w:p>
        </w:tc>
        <w:tc>
          <w:tcPr>
            <w:tcW w:w="614" w:type="dxa"/>
            <w:vAlign w:val="center"/>
          </w:tcPr>
          <w:p>
            <w:pPr>
              <w:pStyle w:val="164"/>
              <w:ind w:left="-105" w:leftChars="-50" w:right="-105" w:rightChars="-50"/>
              <w:rPr>
                <w:color w:val="auto"/>
              </w:rPr>
            </w:pPr>
            <w:r>
              <w:rPr>
                <w:color w:val="auto"/>
              </w:rPr>
              <w:t>0.031</w:t>
            </w:r>
          </w:p>
        </w:tc>
        <w:tc>
          <w:tcPr>
            <w:tcW w:w="614" w:type="dxa"/>
            <w:vAlign w:val="center"/>
          </w:tcPr>
          <w:p>
            <w:pPr>
              <w:pStyle w:val="164"/>
              <w:ind w:left="-105" w:leftChars="-50" w:right="-105" w:rightChars="-50"/>
              <w:rPr>
                <w:color w:val="auto"/>
              </w:rPr>
            </w:pPr>
            <w:r>
              <w:rPr>
                <w:color w:val="auto"/>
              </w:rPr>
              <w:t>0.026</w:t>
            </w:r>
          </w:p>
        </w:tc>
        <w:tc>
          <w:tcPr>
            <w:tcW w:w="613" w:type="dxa"/>
            <w:vAlign w:val="center"/>
          </w:tcPr>
          <w:p>
            <w:pPr>
              <w:pStyle w:val="164"/>
              <w:ind w:left="-105" w:leftChars="-50" w:right="-105" w:rightChars="-50"/>
              <w:rPr>
                <w:color w:val="auto"/>
              </w:rPr>
            </w:pPr>
            <w:r>
              <w:rPr>
                <w:color w:val="auto"/>
              </w:rPr>
              <w:t>0.031</w:t>
            </w:r>
          </w:p>
        </w:tc>
        <w:tc>
          <w:tcPr>
            <w:tcW w:w="546" w:type="dxa"/>
            <w:vAlign w:val="center"/>
          </w:tcPr>
          <w:p>
            <w:pPr>
              <w:pStyle w:val="164"/>
              <w:ind w:left="-105" w:leftChars="-50" w:right="-105" w:rightChars="-50"/>
              <w:rPr>
                <w:color w:val="auto"/>
              </w:rPr>
            </w:pPr>
            <w:r>
              <w:rPr>
                <w:color w:val="auto"/>
              </w:rPr>
              <w:t>0.20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第3次</w:t>
            </w:r>
          </w:p>
        </w:tc>
        <w:tc>
          <w:tcPr>
            <w:tcW w:w="613" w:type="dxa"/>
            <w:vAlign w:val="center"/>
          </w:tcPr>
          <w:p>
            <w:pPr>
              <w:pStyle w:val="164"/>
              <w:ind w:left="-105" w:leftChars="-50" w:right="-105" w:rightChars="-50"/>
              <w:rPr>
                <w:color w:val="auto"/>
              </w:rPr>
            </w:pPr>
            <w:r>
              <w:rPr>
                <w:color w:val="auto"/>
              </w:rPr>
              <w:t>0.006</w:t>
            </w:r>
          </w:p>
        </w:tc>
        <w:tc>
          <w:tcPr>
            <w:tcW w:w="614" w:type="dxa"/>
            <w:vAlign w:val="center"/>
          </w:tcPr>
          <w:p>
            <w:pPr>
              <w:pStyle w:val="164"/>
              <w:ind w:left="-105" w:leftChars="-50" w:right="-105" w:rightChars="-50"/>
              <w:rPr>
                <w:color w:val="auto"/>
              </w:rPr>
            </w:pPr>
            <w:r>
              <w:rPr>
                <w:color w:val="auto"/>
              </w:rPr>
              <w:t>0.011</w:t>
            </w:r>
          </w:p>
        </w:tc>
        <w:tc>
          <w:tcPr>
            <w:tcW w:w="614" w:type="dxa"/>
            <w:vAlign w:val="center"/>
          </w:tcPr>
          <w:p>
            <w:pPr>
              <w:pStyle w:val="164"/>
              <w:ind w:left="-105" w:leftChars="-50" w:right="-105" w:rightChars="-50"/>
              <w:rPr>
                <w:color w:val="auto"/>
              </w:rPr>
            </w:pPr>
            <w:r>
              <w:rPr>
                <w:color w:val="auto"/>
              </w:rPr>
              <w:t>0.012</w:t>
            </w:r>
          </w:p>
        </w:tc>
        <w:tc>
          <w:tcPr>
            <w:tcW w:w="614" w:type="dxa"/>
            <w:vAlign w:val="center"/>
          </w:tcPr>
          <w:p>
            <w:pPr>
              <w:pStyle w:val="164"/>
              <w:ind w:left="-105" w:leftChars="-50" w:right="-105" w:rightChars="-50"/>
              <w:rPr>
                <w:color w:val="auto"/>
              </w:rPr>
            </w:pPr>
            <w:r>
              <w:rPr>
                <w:color w:val="auto"/>
              </w:rPr>
              <w:t>0.014</w:t>
            </w:r>
          </w:p>
        </w:tc>
        <w:tc>
          <w:tcPr>
            <w:tcW w:w="614" w:type="dxa"/>
            <w:vAlign w:val="center"/>
          </w:tcPr>
          <w:p>
            <w:pPr>
              <w:pStyle w:val="164"/>
              <w:ind w:left="-105" w:leftChars="-50" w:right="-105" w:rightChars="-50"/>
              <w:rPr>
                <w:color w:val="auto"/>
              </w:rPr>
            </w:pPr>
            <w:r>
              <w:rPr>
                <w:color w:val="auto"/>
              </w:rPr>
              <w:t>0.018</w:t>
            </w:r>
          </w:p>
        </w:tc>
        <w:tc>
          <w:tcPr>
            <w:tcW w:w="614" w:type="dxa"/>
            <w:vAlign w:val="center"/>
          </w:tcPr>
          <w:p>
            <w:pPr>
              <w:pStyle w:val="164"/>
              <w:ind w:left="-105" w:leftChars="-50" w:right="-105" w:rightChars="-50"/>
              <w:rPr>
                <w:color w:val="auto"/>
              </w:rPr>
            </w:pPr>
            <w:r>
              <w:rPr>
                <w:color w:val="auto"/>
              </w:rPr>
              <w:t>0.014</w:t>
            </w:r>
          </w:p>
        </w:tc>
        <w:tc>
          <w:tcPr>
            <w:tcW w:w="613" w:type="dxa"/>
            <w:vAlign w:val="center"/>
          </w:tcPr>
          <w:p>
            <w:pPr>
              <w:pStyle w:val="164"/>
              <w:ind w:left="-105" w:leftChars="-50" w:right="-105" w:rightChars="-50"/>
              <w:rPr>
                <w:color w:val="auto"/>
              </w:rPr>
            </w:pPr>
            <w:r>
              <w:rPr>
                <w:color w:val="auto"/>
              </w:rPr>
              <w:t>0.015</w:t>
            </w:r>
          </w:p>
        </w:tc>
        <w:tc>
          <w:tcPr>
            <w:tcW w:w="546" w:type="dxa"/>
            <w:vAlign w:val="center"/>
          </w:tcPr>
          <w:p>
            <w:pPr>
              <w:pStyle w:val="164"/>
              <w:ind w:left="-105" w:leftChars="-50" w:right="-105" w:rightChars="-50"/>
              <w:rPr>
                <w:color w:val="auto"/>
              </w:rPr>
            </w:pPr>
            <w:r>
              <w:rPr>
                <w:color w:val="auto"/>
              </w:rPr>
              <w:t>0.20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Merge w:val="continue"/>
            <w:vAlign w:val="center"/>
          </w:tcPr>
          <w:p>
            <w:pPr>
              <w:pStyle w:val="164"/>
              <w:ind w:left="-105" w:leftChars="-50" w:right="-105" w:rightChars="-50"/>
              <w:rPr>
                <w:color w:val="auto"/>
              </w:rPr>
            </w:pPr>
          </w:p>
        </w:tc>
        <w:tc>
          <w:tcPr>
            <w:tcW w:w="815" w:type="dxa"/>
            <w:vMerge w:val="continue"/>
            <w:vAlign w:val="center"/>
          </w:tcPr>
          <w:p>
            <w:pPr>
              <w:pStyle w:val="164"/>
              <w:ind w:left="-105" w:leftChars="-50" w:right="-105" w:rightChars="-50"/>
              <w:rPr>
                <w:color w:val="auto"/>
              </w:rPr>
            </w:pPr>
          </w:p>
        </w:tc>
        <w:tc>
          <w:tcPr>
            <w:tcW w:w="1556" w:type="dxa"/>
            <w:vAlign w:val="center"/>
          </w:tcPr>
          <w:p>
            <w:pPr>
              <w:pStyle w:val="164"/>
              <w:ind w:left="-105" w:leftChars="-50" w:right="-105" w:rightChars="-50"/>
              <w:rPr>
                <w:color w:val="auto"/>
              </w:rPr>
            </w:pPr>
            <w:r>
              <w:rPr>
                <w:color w:val="auto"/>
              </w:rPr>
              <w:t>第4次</w:t>
            </w:r>
          </w:p>
        </w:tc>
        <w:tc>
          <w:tcPr>
            <w:tcW w:w="613" w:type="dxa"/>
            <w:vAlign w:val="center"/>
          </w:tcPr>
          <w:p>
            <w:pPr>
              <w:pStyle w:val="164"/>
              <w:ind w:left="-105" w:leftChars="-50" w:right="-105" w:rightChars="-50"/>
              <w:rPr>
                <w:color w:val="auto"/>
              </w:rPr>
            </w:pPr>
            <w:r>
              <w:rPr>
                <w:color w:val="auto"/>
              </w:rPr>
              <w:t>0.024</w:t>
            </w:r>
          </w:p>
        </w:tc>
        <w:tc>
          <w:tcPr>
            <w:tcW w:w="614" w:type="dxa"/>
            <w:vAlign w:val="center"/>
          </w:tcPr>
          <w:p>
            <w:pPr>
              <w:pStyle w:val="164"/>
              <w:ind w:left="-105" w:leftChars="-50" w:right="-105" w:rightChars="-50"/>
              <w:rPr>
                <w:color w:val="auto"/>
              </w:rPr>
            </w:pPr>
            <w:r>
              <w:rPr>
                <w:color w:val="auto"/>
              </w:rPr>
              <w:t>0.030</w:t>
            </w:r>
          </w:p>
        </w:tc>
        <w:tc>
          <w:tcPr>
            <w:tcW w:w="614" w:type="dxa"/>
            <w:vAlign w:val="center"/>
          </w:tcPr>
          <w:p>
            <w:pPr>
              <w:pStyle w:val="164"/>
              <w:ind w:left="-105" w:leftChars="-50" w:right="-105" w:rightChars="-50"/>
              <w:rPr>
                <w:color w:val="auto"/>
              </w:rPr>
            </w:pPr>
            <w:r>
              <w:rPr>
                <w:color w:val="auto"/>
              </w:rPr>
              <w:t>0.028</w:t>
            </w:r>
          </w:p>
        </w:tc>
        <w:tc>
          <w:tcPr>
            <w:tcW w:w="614" w:type="dxa"/>
            <w:vAlign w:val="center"/>
          </w:tcPr>
          <w:p>
            <w:pPr>
              <w:pStyle w:val="164"/>
              <w:ind w:left="-105" w:leftChars="-50" w:right="-105" w:rightChars="-50"/>
              <w:rPr>
                <w:color w:val="auto"/>
              </w:rPr>
            </w:pPr>
            <w:r>
              <w:rPr>
                <w:color w:val="auto"/>
              </w:rPr>
              <w:t>0.024</w:t>
            </w:r>
          </w:p>
        </w:tc>
        <w:tc>
          <w:tcPr>
            <w:tcW w:w="614" w:type="dxa"/>
            <w:vAlign w:val="center"/>
          </w:tcPr>
          <w:p>
            <w:pPr>
              <w:pStyle w:val="164"/>
              <w:ind w:left="-105" w:leftChars="-50" w:right="-105" w:rightChars="-50"/>
              <w:rPr>
                <w:color w:val="auto"/>
              </w:rPr>
            </w:pPr>
            <w:r>
              <w:rPr>
                <w:color w:val="auto"/>
              </w:rPr>
              <w:t>0.016</w:t>
            </w:r>
          </w:p>
        </w:tc>
        <w:tc>
          <w:tcPr>
            <w:tcW w:w="614" w:type="dxa"/>
            <w:vAlign w:val="center"/>
          </w:tcPr>
          <w:p>
            <w:pPr>
              <w:pStyle w:val="164"/>
              <w:ind w:left="-105" w:leftChars="-50" w:right="-105" w:rightChars="-50"/>
              <w:rPr>
                <w:color w:val="auto"/>
              </w:rPr>
            </w:pPr>
            <w:r>
              <w:rPr>
                <w:color w:val="auto"/>
              </w:rPr>
              <w:t>0.027</w:t>
            </w:r>
          </w:p>
        </w:tc>
        <w:tc>
          <w:tcPr>
            <w:tcW w:w="613" w:type="dxa"/>
            <w:vAlign w:val="center"/>
          </w:tcPr>
          <w:p>
            <w:pPr>
              <w:pStyle w:val="164"/>
              <w:ind w:left="-105" w:leftChars="-50" w:right="-105" w:rightChars="-50"/>
              <w:rPr>
                <w:color w:val="auto"/>
              </w:rPr>
            </w:pPr>
            <w:r>
              <w:rPr>
                <w:color w:val="auto"/>
              </w:rPr>
              <w:t>0.029</w:t>
            </w:r>
          </w:p>
        </w:tc>
        <w:tc>
          <w:tcPr>
            <w:tcW w:w="546" w:type="dxa"/>
            <w:vAlign w:val="center"/>
          </w:tcPr>
          <w:p>
            <w:pPr>
              <w:pStyle w:val="164"/>
              <w:ind w:left="-105" w:leftChars="-50" w:right="-105" w:rightChars="-50"/>
              <w:rPr>
                <w:color w:val="auto"/>
              </w:rPr>
            </w:pPr>
            <w:r>
              <w:rPr>
                <w:color w:val="auto"/>
              </w:rPr>
              <w:t>0.20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Align w:val="center"/>
          </w:tcPr>
          <w:p>
            <w:pPr>
              <w:pStyle w:val="164"/>
              <w:ind w:left="-105" w:leftChars="-50" w:right="-105" w:rightChars="-50"/>
              <w:rPr>
                <w:color w:val="auto"/>
              </w:rPr>
            </w:pPr>
            <w:r>
              <w:rPr>
                <w:color w:val="auto"/>
              </w:rPr>
              <w:t>1#</w:t>
            </w:r>
          </w:p>
        </w:tc>
        <w:tc>
          <w:tcPr>
            <w:tcW w:w="815" w:type="dxa"/>
            <w:vMerge w:val="restart"/>
            <w:vAlign w:val="center"/>
          </w:tcPr>
          <w:p>
            <w:pPr>
              <w:pStyle w:val="164"/>
              <w:ind w:left="-105" w:leftChars="-50" w:right="-105" w:rightChars="-50"/>
              <w:rPr>
                <w:color w:val="auto"/>
              </w:rPr>
            </w:pPr>
            <w:r>
              <w:rPr>
                <w:color w:val="auto"/>
              </w:rPr>
              <w:t>TVOC</w:t>
            </w:r>
          </w:p>
          <w:p>
            <w:pPr>
              <w:pStyle w:val="164"/>
              <w:ind w:left="-105" w:leftChars="-50" w:right="-105" w:rightChars="-50"/>
              <w:rPr>
                <w:color w:val="auto"/>
              </w:rPr>
            </w:pPr>
            <w:r>
              <w:rPr>
                <w:color w:val="auto"/>
              </w:rPr>
              <w:t>μg/m</w:t>
            </w:r>
            <w:r>
              <w:rPr>
                <w:color w:val="auto"/>
                <w:vertAlign w:val="superscript"/>
              </w:rPr>
              <w:t>3</w:t>
            </w:r>
          </w:p>
        </w:tc>
        <w:tc>
          <w:tcPr>
            <w:tcW w:w="1556" w:type="dxa"/>
            <w:vMerge w:val="restart"/>
            <w:vAlign w:val="center"/>
          </w:tcPr>
          <w:p>
            <w:pPr>
              <w:pStyle w:val="164"/>
              <w:ind w:left="-105" w:leftChars="-50" w:right="-105" w:rightChars="-50"/>
              <w:rPr>
                <w:color w:val="auto"/>
              </w:rPr>
            </w:pPr>
            <w:r>
              <w:rPr>
                <w:color w:val="auto"/>
              </w:rPr>
              <w:t>8小时平均值</w:t>
            </w:r>
          </w:p>
        </w:tc>
        <w:tc>
          <w:tcPr>
            <w:tcW w:w="613" w:type="dxa"/>
            <w:vAlign w:val="center"/>
          </w:tcPr>
          <w:p>
            <w:pPr>
              <w:pStyle w:val="164"/>
              <w:ind w:left="-105" w:leftChars="-50" w:right="-105" w:rightChars="-50"/>
              <w:rPr>
                <w:color w:val="auto"/>
              </w:rPr>
            </w:pPr>
            <w:r>
              <w:rPr>
                <w:color w:val="auto"/>
              </w:rPr>
              <w:t>15.8</w:t>
            </w:r>
          </w:p>
        </w:tc>
        <w:tc>
          <w:tcPr>
            <w:tcW w:w="614" w:type="dxa"/>
            <w:vAlign w:val="center"/>
          </w:tcPr>
          <w:p>
            <w:pPr>
              <w:pStyle w:val="164"/>
              <w:ind w:left="-105" w:leftChars="-50" w:right="-105" w:rightChars="-50"/>
              <w:rPr>
                <w:color w:val="auto"/>
              </w:rPr>
            </w:pPr>
            <w:r>
              <w:rPr>
                <w:color w:val="auto"/>
              </w:rPr>
              <w:t>15.5</w:t>
            </w:r>
          </w:p>
        </w:tc>
        <w:tc>
          <w:tcPr>
            <w:tcW w:w="614" w:type="dxa"/>
            <w:vAlign w:val="center"/>
          </w:tcPr>
          <w:p>
            <w:pPr>
              <w:pStyle w:val="164"/>
              <w:ind w:left="-105" w:leftChars="-50" w:right="-105" w:rightChars="-50"/>
              <w:rPr>
                <w:color w:val="auto"/>
              </w:rPr>
            </w:pPr>
            <w:r>
              <w:rPr>
                <w:color w:val="auto"/>
              </w:rPr>
              <w:t>25.2</w:t>
            </w:r>
          </w:p>
        </w:tc>
        <w:tc>
          <w:tcPr>
            <w:tcW w:w="614" w:type="dxa"/>
            <w:vAlign w:val="center"/>
          </w:tcPr>
          <w:p>
            <w:pPr>
              <w:pStyle w:val="164"/>
              <w:ind w:left="-105" w:leftChars="-50" w:right="-105" w:rightChars="-50"/>
              <w:rPr>
                <w:color w:val="auto"/>
              </w:rPr>
            </w:pPr>
            <w:r>
              <w:rPr>
                <w:color w:val="auto"/>
              </w:rPr>
              <w:t>25.0</w:t>
            </w:r>
          </w:p>
        </w:tc>
        <w:tc>
          <w:tcPr>
            <w:tcW w:w="614" w:type="dxa"/>
            <w:vAlign w:val="center"/>
          </w:tcPr>
          <w:p>
            <w:pPr>
              <w:pStyle w:val="164"/>
              <w:ind w:left="-105" w:leftChars="-50" w:right="-105" w:rightChars="-50"/>
              <w:rPr>
                <w:color w:val="auto"/>
              </w:rPr>
            </w:pPr>
            <w:r>
              <w:rPr>
                <w:color w:val="auto"/>
              </w:rPr>
              <w:t>20.8</w:t>
            </w:r>
          </w:p>
        </w:tc>
        <w:tc>
          <w:tcPr>
            <w:tcW w:w="614" w:type="dxa"/>
            <w:vAlign w:val="center"/>
          </w:tcPr>
          <w:p>
            <w:pPr>
              <w:pStyle w:val="164"/>
              <w:ind w:left="-105" w:leftChars="-50" w:right="-105" w:rightChars="-50"/>
              <w:rPr>
                <w:color w:val="auto"/>
              </w:rPr>
            </w:pPr>
            <w:r>
              <w:rPr>
                <w:color w:val="auto"/>
              </w:rPr>
              <w:t>29.7</w:t>
            </w:r>
          </w:p>
        </w:tc>
        <w:tc>
          <w:tcPr>
            <w:tcW w:w="613" w:type="dxa"/>
            <w:vAlign w:val="center"/>
          </w:tcPr>
          <w:p>
            <w:pPr>
              <w:pStyle w:val="164"/>
              <w:ind w:left="-105" w:leftChars="-50" w:right="-105" w:rightChars="-50"/>
              <w:rPr>
                <w:color w:val="auto"/>
              </w:rPr>
            </w:pPr>
            <w:r>
              <w:rPr>
                <w:color w:val="auto"/>
              </w:rPr>
              <w:t>25.4</w:t>
            </w:r>
          </w:p>
        </w:tc>
        <w:tc>
          <w:tcPr>
            <w:tcW w:w="546" w:type="dxa"/>
            <w:vAlign w:val="center"/>
          </w:tcPr>
          <w:p>
            <w:pPr>
              <w:pStyle w:val="164"/>
              <w:ind w:left="-105" w:leftChars="-50" w:right="-105" w:rightChars="-50"/>
              <w:rPr>
                <w:color w:val="auto"/>
              </w:rPr>
            </w:pPr>
            <w:r>
              <w:rPr>
                <w:color w:val="auto"/>
              </w:rPr>
              <w:t>600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46" w:type="dxa"/>
            <w:vAlign w:val="center"/>
          </w:tcPr>
          <w:p>
            <w:pPr>
              <w:pStyle w:val="164"/>
              <w:ind w:left="-105" w:leftChars="-50" w:right="-105" w:rightChars="-50"/>
              <w:rPr>
                <w:color w:val="auto"/>
              </w:rPr>
            </w:pPr>
            <w:r>
              <w:rPr>
                <w:color w:val="auto"/>
              </w:rPr>
              <w:t>2#</w:t>
            </w:r>
          </w:p>
        </w:tc>
        <w:tc>
          <w:tcPr>
            <w:tcW w:w="815" w:type="dxa"/>
            <w:vMerge w:val="continue"/>
            <w:vAlign w:val="center"/>
          </w:tcPr>
          <w:p>
            <w:pPr>
              <w:pStyle w:val="164"/>
              <w:ind w:left="-105" w:leftChars="-50" w:right="-105" w:rightChars="-50"/>
              <w:rPr>
                <w:color w:val="auto"/>
              </w:rPr>
            </w:pPr>
          </w:p>
        </w:tc>
        <w:tc>
          <w:tcPr>
            <w:tcW w:w="1556" w:type="dxa"/>
            <w:vMerge w:val="continue"/>
            <w:vAlign w:val="center"/>
          </w:tcPr>
          <w:p>
            <w:pPr>
              <w:pStyle w:val="164"/>
              <w:ind w:left="-105" w:leftChars="-50" w:right="-105" w:rightChars="-50"/>
              <w:rPr>
                <w:color w:val="auto"/>
              </w:rPr>
            </w:pPr>
          </w:p>
        </w:tc>
        <w:tc>
          <w:tcPr>
            <w:tcW w:w="613" w:type="dxa"/>
            <w:vAlign w:val="center"/>
          </w:tcPr>
          <w:p>
            <w:pPr>
              <w:pStyle w:val="164"/>
              <w:ind w:left="-105" w:leftChars="-50" w:right="-105" w:rightChars="-50"/>
              <w:rPr>
                <w:color w:val="auto"/>
              </w:rPr>
            </w:pPr>
            <w:r>
              <w:rPr>
                <w:color w:val="auto"/>
              </w:rPr>
              <w:t>10.0</w:t>
            </w:r>
          </w:p>
        </w:tc>
        <w:tc>
          <w:tcPr>
            <w:tcW w:w="614" w:type="dxa"/>
            <w:vAlign w:val="center"/>
          </w:tcPr>
          <w:p>
            <w:pPr>
              <w:pStyle w:val="164"/>
              <w:ind w:left="-105" w:leftChars="-50" w:right="-105" w:rightChars="-50"/>
              <w:rPr>
                <w:color w:val="auto"/>
              </w:rPr>
            </w:pPr>
            <w:r>
              <w:rPr>
                <w:color w:val="auto"/>
              </w:rPr>
              <w:t>9.6</w:t>
            </w:r>
          </w:p>
        </w:tc>
        <w:tc>
          <w:tcPr>
            <w:tcW w:w="614" w:type="dxa"/>
            <w:vAlign w:val="center"/>
          </w:tcPr>
          <w:p>
            <w:pPr>
              <w:pStyle w:val="164"/>
              <w:ind w:left="-105" w:leftChars="-50" w:right="-105" w:rightChars="-50"/>
              <w:rPr>
                <w:color w:val="auto"/>
              </w:rPr>
            </w:pPr>
            <w:r>
              <w:rPr>
                <w:color w:val="auto"/>
              </w:rPr>
              <w:t>13.7</w:t>
            </w:r>
          </w:p>
        </w:tc>
        <w:tc>
          <w:tcPr>
            <w:tcW w:w="614" w:type="dxa"/>
            <w:vAlign w:val="center"/>
          </w:tcPr>
          <w:p>
            <w:pPr>
              <w:pStyle w:val="164"/>
              <w:ind w:left="-105" w:leftChars="-50" w:right="-105" w:rightChars="-50"/>
              <w:rPr>
                <w:color w:val="auto"/>
              </w:rPr>
            </w:pPr>
            <w:r>
              <w:rPr>
                <w:color w:val="auto"/>
              </w:rPr>
              <w:t>11.4</w:t>
            </w:r>
          </w:p>
        </w:tc>
        <w:tc>
          <w:tcPr>
            <w:tcW w:w="614" w:type="dxa"/>
            <w:vAlign w:val="center"/>
          </w:tcPr>
          <w:p>
            <w:pPr>
              <w:pStyle w:val="164"/>
              <w:ind w:left="-105" w:leftChars="-50" w:right="-105" w:rightChars="-50"/>
              <w:rPr>
                <w:color w:val="auto"/>
              </w:rPr>
            </w:pPr>
            <w:r>
              <w:rPr>
                <w:color w:val="auto"/>
              </w:rPr>
              <w:t>14.5</w:t>
            </w:r>
          </w:p>
        </w:tc>
        <w:tc>
          <w:tcPr>
            <w:tcW w:w="614" w:type="dxa"/>
            <w:vAlign w:val="center"/>
          </w:tcPr>
          <w:p>
            <w:pPr>
              <w:pStyle w:val="164"/>
              <w:ind w:left="-105" w:leftChars="-50" w:right="-105" w:rightChars="-50"/>
              <w:rPr>
                <w:color w:val="auto"/>
              </w:rPr>
            </w:pPr>
            <w:r>
              <w:rPr>
                <w:color w:val="auto"/>
              </w:rPr>
              <w:t>11.6</w:t>
            </w:r>
          </w:p>
        </w:tc>
        <w:tc>
          <w:tcPr>
            <w:tcW w:w="613" w:type="dxa"/>
            <w:vAlign w:val="center"/>
          </w:tcPr>
          <w:p>
            <w:pPr>
              <w:pStyle w:val="164"/>
              <w:ind w:left="-105" w:leftChars="-50" w:right="-105" w:rightChars="-50"/>
              <w:rPr>
                <w:color w:val="auto"/>
              </w:rPr>
            </w:pPr>
            <w:r>
              <w:rPr>
                <w:color w:val="auto"/>
              </w:rPr>
              <w:t>12.3</w:t>
            </w:r>
          </w:p>
        </w:tc>
        <w:tc>
          <w:tcPr>
            <w:tcW w:w="546" w:type="dxa"/>
            <w:vAlign w:val="center"/>
          </w:tcPr>
          <w:p>
            <w:pPr>
              <w:pStyle w:val="164"/>
              <w:ind w:left="-105" w:leftChars="-50" w:right="-105" w:rightChars="-50"/>
              <w:rPr>
                <w:color w:val="auto"/>
              </w:rPr>
            </w:pPr>
            <w:r>
              <w:rPr>
                <w:color w:val="auto"/>
              </w:rPr>
              <w:t>600</w:t>
            </w:r>
          </w:p>
        </w:tc>
        <w:tc>
          <w:tcPr>
            <w:tcW w:w="873" w:type="dxa"/>
            <w:vAlign w:val="center"/>
          </w:tcPr>
          <w:p>
            <w:pPr>
              <w:pStyle w:val="164"/>
              <w:ind w:left="-105" w:leftChars="-50" w:right="-105" w:rightChars="-50"/>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8632" w:type="dxa"/>
            <w:gridSpan w:val="12"/>
            <w:vAlign w:val="center"/>
          </w:tcPr>
          <w:p>
            <w:pPr>
              <w:pStyle w:val="164"/>
              <w:ind w:left="-105" w:leftChars="-50" w:right="-105" w:rightChars="-50"/>
              <w:rPr>
                <w:color w:val="auto"/>
              </w:rPr>
            </w:pPr>
            <w:r>
              <w:rPr>
                <w:color w:val="auto"/>
              </w:rPr>
              <w:t>备注：检出限见表3-2，环境空气检测因子参照执行《环境影响评价技术导则 大气环境》（HJ 2.2-2018）附录D标准，标准由委托单位提供。</w:t>
            </w:r>
          </w:p>
        </w:tc>
      </w:tr>
    </w:tbl>
    <w:p>
      <w:pPr>
        <w:pStyle w:val="114"/>
        <w:spacing w:before="120"/>
        <w:rPr>
          <w:color w:val="auto"/>
        </w:rPr>
      </w:pPr>
      <w:r>
        <w:rPr>
          <w:rFonts w:hint="eastAsia"/>
          <w:color w:val="auto"/>
        </w:rPr>
        <w:t>表</w:t>
      </w:r>
      <w:r>
        <w:rPr>
          <w:color w:val="auto"/>
        </w:rPr>
        <w:t>6.1-7  环境质量现状监测结果一览表</w:t>
      </w:r>
    </w:p>
    <w:tbl>
      <w:tblPr>
        <w:tblStyle w:val="75"/>
        <w:tblW w:w="853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23"/>
        <w:gridCol w:w="1065"/>
        <w:gridCol w:w="1019"/>
        <w:gridCol w:w="1147"/>
        <w:gridCol w:w="1147"/>
        <w:gridCol w:w="1075"/>
        <w:gridCol w:w="1075"/>
        <w:gridCol w:w="9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trPr>
        <w:tc>
          <w:tcPr>
            <w:tcW w:w="1023" w:type="dxa"/>
            <w:vAlign w:val="center"/>
          </w:tcPr>
          <w:p>
            <w:pPr>
              <w:pStyle w:val="164"/>
              <w:rPr>
                <w:color w:val="auto"/>
              </w:rPr>
            </w:pPr>
            <w:r>
              <w:rPr>
                <w:color w:val="auto"/>
              </w:rPr>
              <w:t>检测点位</w:t>
            </w:r>
          </w:p>
        </w:tc>
        <w:tc>
          <w:tcPr>
            <w:tcW w:w="1065" w:type="dxa"/>
            <w:vAlign w:val="center"/>
          </w:tcPr>
          <w:p>
            <w:pPr>
              <w:pStyle w:val="164"/>
              <w:rPr>
                <w:color w:val="auto"/>
              </w:rPr>
            </w:pPr>
            <w:r>
              <w:rPr>
                <w:color w:val="auto"/>
              </w:rPr>
              <w:t>污染物</w:t>
            </w:r>
          </w:p>
        </w:tc>
        <w:tc>
          <w:tcPr>
            <w:tcW w:w="1019" w:type="dxa"/>
            <w:vAlign w:val="center"/>
          </w:tcPr>
          <w:p>
            <w:pPr>
              <w:pStyle w:val="164"/>
              <w:rPr>
                <w:color w:val="auto"/>
              </w:rPr>
            </w:pPr>
            <w:r>
              <w:rPr>
                <w:color w:val="auto"/>
              </w:rPr>
              <w:t>平均时间</w:t>
            </w:r>
          </w:p>
        </w:tc>
        <w:tc>
          <w:tcPr>
            <w:tcW w:w="1147" w:type="dxa"/>
            <w:vAlign w:val="center"/>
          </w:tcPr>
          <w:p>
            <w:pPr>
              <w:pStyle w:val="164"/>
              <w:rPr>
                <w:color w:val="auto"/>
              </w:rPr>
            </w:pPr>
            <w:r>
              <w:rPr>
                <w:color w:val="auto"/>
              </w:rPr>
              <w:t>评价标准</w:t>
            </w:r>
          </w:p>
          <w:p>
            <w:pPr>
              <w:pStyle w:val="164"/>
              <w:rPr>
                <w:color w:val="auto"/>
              </w:rPr>
            </w:pPr>
            <w:r>
              <w:rPr>
                <w:color w:val="auto"/>
              </w:rPr>
              <w:t>（</w:t>
            </w:r>
            <w:r>
              <w:rPr>
                <w:rFonts w:eastAsia="CIDFont+F2"/>
                <w:color w:val="auto"/>
                <w:kern w:val="0"/>
                <w:szCs w:val="21"/>
              </w:rPr>
              <w:t>μg/m³</w:t>
            </w:r>
            <w:r>
              <w:rPr>
                <w:color w:val="auto"/>
              </w:rPr>
              <w:t>）</w:t>
            </w:r>
          </w:p>
        </w:tc>
        <w:tc>
          <w:tcPr>
            <w:tcW w:w="1147" w:type="dxa"/>
            <w:vAlign w:val="center"/>
          </w:tcPr>
          <w:p>
            <w:pPr>
              <w:pStyle w:val="164"/>
              <w:rPr>
                <w:color w:val="auto"/>
              </w:rPr>
            </w:pPr>
            <w:r>
              <w:rPr>
                <w:color w:val="auto"/>
              </w:rPr>
              <w:t>浓度范围</w:t>
            </w:r>
          </w:p>
          <w:p>
            <w:pPr>
              <w:pStyle w:val="164"/>
              <w:rPr>
                <w:color w:val="auto"/>
              </w:rPr>
            </w:pPr>
            <w:r>
              <w:rPr>
                <w:color w:val="auto"/>
              </w:rPr>
              <w:t>（</w:t>
            </w:r>
            <w:r>
              <w:rPr>
                <w:rFonts w:eastAsia="CIDFont+F2"/>
                <w:color w:val="auto"/>
                <w:kern w:val="0"/>
                <w:szCs w:val="21"/>
              </w:rPr>
              <w:t>μg/m³</w:t>
            </w:r>
            <w:r>
              <w:rPr>
                <w:color w:val="auto"/>
              </w:rPr>
              <w:t>）</w:t>
            </w:r>
          </w:p>
        </w:tc>
        <w:tc>
          <w:tcPr>
            <w:tcW w:w="1075" w:type="dxa"/>
            <w:vAlign w:val="center"/>
          </w:tcPr>
          <w:p>
            <w:pPr>
              <w:pStyle w:val="164"/>
              <w:rPr>
                <w:color w:val="auto"/>
              </w:rPr>
            </w:pPr>
            <w:r>
              <w:rPr>
                <w:color w:val="auto"/>
              </w:rPr>
              <w:t>最大浓度占标率</w:t>
            </w:r>
          </w:p>
          <w:p>
            <w:pPr>
              <w:pStyle w:val="164"/>
              <w:rPr>
                <w:color w:val="auto"/>
              </w:rPr>
            </w:pPr>
            <w:r>
              <w:rPr>
                <w:color w:val="auto"/>
              </w:rPr>
              <w:t>（%）</w:t>
            </w:r>
          </w:p>
        </w:tc>
        <w:tc>
          <w:tcPr>
            <w:tcW w:w="1075" w:type="dxa"/>
            <w:vAlign w:val="center"/>
          </w:tcPr>
          <w:p>
            <w:pPr>
              <w:pStyle w:val="164"/>
              <w:rPr>
                <w:color w:val="auto"/>
              </w:rPr>
            </w:pPr>
            <w:r>
              <w:rPr>
                <w:color w:val="auto"/>
              </w:rPr>
              <w:t>超标率</w:t>
            </w:r>
          </w:p>
          <w:p>
            <w:pPr>
              <w:pStyle w:val="164"/>
              <w:rPr>
                <w:color w:val="auto"/>
              </w:rPr>
            </w:pPr>
            <w:r>
              <w:rPr>
                <w:color w:val="auto"/>
              </w:rPr>
              <w:t>（%）</w:t>
            </w:r>
          </w:p>
        </w:tc>
        <w:tc>
          <w:tcPr>
            <w:tcW w:w="980" w:type="dxa"/>
            <w:vAlign w:val="center"/>
          </w:tcPr>
          <w:p>
            <w:pPr>
              <w:pStyle w:val="164"/>
              <w:rPr>
                <w:color w:val="auto"/>
              </w:rPr>
            </w:pPr>
            <w:r>
              <w:rPr>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trPr>
        <w:tc>
          <w:tcPr>
            <w:tcW w:w="1023" w:type="dxa"/>
            <w:vMerge w:val="restart"/>
            <w:vAlign w:val="center"/>
          </w:tcPr>
          <w:p>
            <w:pPr>
              <w:pStyle w:val="164"/>
              <w:rPr>
                <w:color w:val="auto"/>
              </w:rPr>
            </w:pPr>
            <w:r>
              <w:rPr>
                <w:color w:val="auto"/>
              </w:rPr>
              <w:t>1#</w:t>
            </w:r>
          </w:p>
        </w:tc>
        <w:tc>
          <w:tcPr>
            <w:tcW w:w="1065" w:type="dxa"/>
            <w:vAlign w:val="center"/>
          </w:tcPr>
          <w:p>
            <w:pPr>
              <w:pStyle w:val="164"/>
              <w:rPr>
                <w:color w:val="auto"/>
              </w:rPr>
            </w:pPr>
            <w:r>
              <w:rPr>
                <w:color w:val="auto"/>
              </w:rPr>
              <w:t>NH</w:t>
            </w:r>
            <w:r>
              <w:rPr>
                <w:color w:val="auto"/>
                <w:vertAlign w:val="subscript"/>
              </w:rPr>
              <w:t>3</w:t>
            </w:r>
          </w:p>
        </w:tc>
        <w:tc>
          <w:tcPr>
            <w:tcW w:w="1019" w:type="dxa"/>
            <w:vAlign w:val="center"/>
          </w:tcPr>
          <w:p>
            <w:pPr>
              <w:pStyle w:val="164"/>
              <w:rPr>
                <w:color w:val="auto"/>
              </w:rPr>
            </w:pPr>
            <w:r>
              <w:rPr>
                <w:color w:val="auto"/>
              </w:rPr>
              <w:t>1h平均</w:t>
            </w:r>
          </w:p>
        </w:tc>
        <w:tc>
          <w:tcPr>
            <w:tcW w:w="1147" w:type="dxa"/>
            <w:vAlign w:val="center"/>
          </w:tcPr>
          <w:p>
            <w:pPr>
              <w:pStyle w:val="164"/>
              <w:rPr>
                <w:color w:val="auto"/>
              </w:rPr>
            </w:pPr>
            <w:r>
              <w:rPr>
                <w:color w:val="auto"/>
              </w:rPr>
              <w:t>200</w:t>
            </w:r>
          </w:p>
        </w:tc>
        <w:tc>
          <w:tcPr>
            <w:tcW w:w="1147" w:type="dxa"/>
            <w:vAlign w:val="center"/>
          </w:tcPr>
          <w:p>
            <w:pPr>
              <w:pStyle w:val="164"/>
              <w:rPr>
                <w:color w:val="auto"/>
              </w:rPr>
            </w:pPr>
            <w:r>
              <w:rPr>
                <w:color w:val="auto"/>
              </w:rPr>
              <w:t>7~33</w:t>
            </w:r>
          </w:p>
        </w:tc>
        <w:tc>
          <w:tcPr>
            <w:tcW w:w="1075" w:type="dxa"/>
            <w:vAlign w:val="center"/>
          </w:tcPr>
          <w:p>
            <w:pPr>
              <w:pStyle w:val="164"/>
              <w:rPr>
                <w:color w:val="auto"/>
              </w:rPr>
            </w:pPr>
            <w:r>
              <w:rPr>
                <w:color w:val="auto"/>
              </w:rPr>
              <w:t>16.5%</w:t>
            </w:r>
          </w:p>
        </w:tc>
        <w:tc>
          <w:tcPr>
            <w:tcW w:w="1075" w:type="dxa"/>
            <w:vAlign w:val="center"/>
          </w:tcPr>
          <w:p>
            <w:pPr>
              <w:pStyle w:val="164"/>
              <w:rPr>
                <w:color w:val="auto"/>
              </w:rPr>
            </w:pPr>
            <w:r>
              <w:rPr>
                <w:color w:val="auto"/>
              </w:rPr>
              <w:t>0</w:t>
            </w:r>
          </w:p>
        </w:tc>
        <w:tc>
          <w:tcPr>
            <w:tcW w:w="980"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trPr>
        <w:tc>
          <w:tcPr>
            <w:tcW w:w="1023" w:type="dxa"/>
            <w:vMerge w:val="continue"/>
            <w:vAlign w:val="center"/>
          </w:tcPr>
          <w:p>
            <w:pPr>
              <w:pStyle w:val="164"/>
              <w:rPr>
                <w:color w:val="auto"/>
              </w:rPr>
            </w:pPr>
          </w:p>
        </w:tc>
        <w:tc>
          <w:tcPr>
            <w:tcW w:w="1065" w:type="dxa"/>
            <w:vAlign w:val="center"/>
          </w:tcPr>
          <w:p>
            <w:pPr>
              <w:pStyle w:val="164"/>
              <w:rPr>
                <w:color w:val="auto"/>
              </w:rPr>
            </w:pPr>
            <w:r>
              <w:rPr>
                <w:color w:val="auto"/>
              </w:rPr>
              <w:t>H</w:t>
            </w:r>
            <w:r>
              <w:rPr>
                <w:color w:val="auto"/>
                <w:vertAlign w:val="subscript"/>
              </w:rPr>
              <w:t>2</w:t>
            </w:r>
            <w:r>
              <w:rPr>
                <w:color w:val="auto"/>
              </w:rPr>
              <w:t>S</w:t>
            </w:r>
          </w:p>
        </w:tc>
        <w:tc>
          <w:tcPr>
            <w:tcW w:w="1019" w:type="dxa"/>
            <w:vAlign w:val="center"/>
          </w:tcPr>
          <w:p>
            <w:pPr>
              <w:pStyle w:val="164"/>
              <w:rPr>
                <w:color w:val="auto"/>
              </w:rPr>
            </w:pPr>
            <w:r>
              <w:rPr>
                <w:color w:val="auto"/>
              </w:rPr>
              <w:t>1h平均</w:t>
            </w:r>
          </w:p>
        </w:tc>
        <w:tc>
          <w:tcPr>
            <w:tcW w:w="1147" w:type="dxa"/>
            <w:vAlign w:val="center"/>
          </w:tcPr>
          <w:p>
            <w:pPr>
              <w:pStyle w:val="164"/>
              <w:rPr>
                <w:color w:val="auto"/>
              </w:rPr>
            </w:pPr>
            <w:r>
              <w:rPr>
                <w:color w:val="auto"/>
              </w:rPr>
              <w:t>10</w:t>
            </w:r>
          </w:p>
        </w:tc>
        <w:tc>
          <w:tcPr>
            <w:tcW w:w="1147" w:type="dxa"/>
            <w:vAlign w:val="center"/>
          </w:tcPr>
          <w:p>
            <w:pPr>
              <w:pStyle w:val="164"/>
              <w:rPr>
                <w:color w:val="auto"/>
              </w:rPr>
            </w:pPr>
            <w:r>
              <w:rPr>
                <w:color w:val="auto"/>
              </w:rPr>
              <w:t>6~9</w:t>
            </w:r>
          </w:p>
        </w:tc>
        <w:tc>
          <w:tcPr>
            <w:tcW w:w="1075" w:type="dxa"/>
            <w:vAlign w:val="center"/>
          </w:tcPr>
          <w:p>
            <w:pPr>
              <w:pStyle w:val="164"/>
              <w:rPr>
                <w:color w:val="auto"/>
              </w:rPr>
            </w:pPr>
            <w:r>
              <w:rPr>
                <w:color w:val="auto"/>
              </w:rPr>
              <w:t>90%</w:t>
            </w:r>
          </w:p>
        </w:tc>
        <w:tc>
          <w:tcPr>
            <w:tcW w:w="1075" w:type="dxa"/>
            <w:vAlign w:val="center"/>
          </w:tcPr>
          <w:p>
            <w:pPr>
              <w:pStyle w:val="164"/>
              <w:rPr>
                <w:color w:val="auto"/>
              </w:rPr>
            </w:pPr>
            <w:r>
              <w:rPr>
                <w:color w:val="auto"/>
              </w:rPr>
              <w:t>0</w:t>
            </w:r>
          </w:p>
        </w:tc>
        <w:tc>
          <w:tcPr>
            <w:tcW w:w="980"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trPr>
        <w:tc>
          <w:tcPr>
            <w:tcW w:w="1023" w:type="dxa"/>
            <w:vMerge w:val="continue"/>
            <w:vAlign w:val="center"/>
          </w:tcPr>
          <w:p>
            <w:pPr>
              <w:pStyle w:val="164"/>
              <w:rPr>
                <w:color w:val="auto"/>
              </w:rPr>
            </w:pPr>
          </w:p>
        </w:tc>
        <w:tc>
          <w:tcPr>
            <w:tcW w:w="1065" w:type="dxa"/>
            <w:vAlign w:val="center"/>
          </w:tcPr>
          <w:p>
            <w:pPr>
              <w:pStyle w:val="164"/>
              <w:rPr>
                <w:color w:val="auto"/>
              </w:rPr>
            </w:pPr>
            <w:r>
              <w:rPr>
                <w:color w:val="auto"/>
              </w:rPr>
              <w:t>TVOC</w:t>
            </w:r>
          </w:p>
        </w:tc>
        <w:tc>
          <w:tcPr>
            <w:tcW w:w="1019" w:type="dxa"/>
            <w:vAlign w:val="center"/>
          </w:tcPr>
          <w:p>
            <w:pPr>
              <w:pStyle w:val="164"/>
              <w:rPr>
                <w:color w:val="auto"/>
              </w:rPr>
            </w:pPr>
            <w:r>
              <w:rPr>
                <w:color w:val="auto"/>
              </w:rPr>
              <w:t>8h平均</w:t>
            </w:r>
          </w:p>
        </w:tc>
        <w:tc>
          <w:tcPr>
            <w:tcW w:w="1147" w:type="dxa"/>
            <w:vAlign w:val="center"/>
          </w:tcPr>
          <w:p>
            <w:pPr>
              <w:pStyle w:val="164"/>
              <w:rPr>
                <w:color w:val="auto"/>
              </w:rPr>
            </w:pPr>
            <w:r>
              <w:rPr>
                <w:color w:val="auto"/>
              </w:rPr>
              <w:t>600</w:t>
            </w:r>
          </w:p>
        </w:tc>
        <w:tc>
          <w:tcPr>
            <w:tcW w:w="1147" w:type="dxa"/>
            <w:vAlign w:val="center"/>
          </w:tcPr>
          <w:p>
            <w:pPr>
              <w:pStyle w:val="164"/>
              <w:rPr>
                <w:color w:val="auto"/>
              </w:rPr>
            </w:pPr>
            <w:r>
              <w:rPr>
                <w:color w:val="auto"/>
              </w:rPr>
              <w:t>15.5~29.7</w:t>
            </w:r>
          </w:p>
        </w:tc>
        <w:tc>
          <w:tcPr>
            <w:tcW w:w="1075" w:type="dxa"/>
            <w:vAlign w:val="center"/>
          </w:tcPr>
          <w:p>
            <w:pPr>
              <w:pStyle w:val="164"/>
              <w:rPr>
                <w:color w:val="auto"/>
              </w:rPr>
            </w:pPr>
            <w:r>
              <w:rPr>
                <w:color w:val="auto"/>
              </w:rPr>
              <w:t>4.95%</w:t>
            </w:r>
          </w:p>
        </w:tc>
        <w:tc>
          <w:tcPr>
            <w:tcW w:w="1075" w:type="dxa"/>
            <w:vAlign w:val="center"/>
          </w:tcPr>
          <w:p>
            <w:pPr>
              <w:pStyle w:val="164"/>
              <w:rPr>
                <w:color w:val="auto"/>
              </w:rPr>
            </w:pPr>
            <w:r>
              <w:rPr>
                <w:color w:val="auto"/>
              </w:rPr>
              <w:t>0</w:t>
            </w:r>
          </w:p>
        </w:tc>
        <w:tc>
          <w:tcPr>
            <w:tcW w:w="980"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trPr>
        <w:tc>
          <w:tcPr>
            <w:tcW w:w="1023" w:type="dxa"/>
            <w:vMerge w:val="restart"/>
            <w:vAlign w:val="center"/>
          </w:tcPr>
          <w:p>
            <w:pPr>
              <w:pStyle w:val="164"/>
              <w:rPr>
                <w:color w:val="auto"/>
              </w:rPr>
            </w:pPr>
            <w:r>
              <w:rPr>
                <w:color w:val="auto"/>
              </w:rPr>
              <w:t>2#</w:t>
            </w:r>
          </w:p>
        </w:tc>
        <w:tc>
          <w:tcPr>
            <w:tcW w:w="1065" w:type="dxa"/>
            <w:vAlign w:val="center"/>
          </w:tcPr>
          <w:p>
            <w:pPr>
              <w:pStyle w:val="164"/>
              <w:rPr>
                <w:color w:val="auto"/>
              </w:rPr>
            </w:pPr>
            <w:r>
              <w:rPr>
                <w:color w:val="auto"/>
              </w:rPr>
              <w:t>NH</w:t>
            </w:r>
            <w:r>
              <w:rPr>
                <w:color w:val="auto"/>
                <w:vertAlign w:val="subscript"/>
              </w:rPr>
              <w:t>3</w:t>
            </w:r>
          </w:p>
        </w:tc>
        <w:tc>
          <w:tcPr>
            <w:tcW w:w="1019" w:type="dxa"/>
            <w:vAlign w:val="center"/>
          </w:tcPr>
          <w:p>
            <w:pPr>
              <w:pStyle w:val="164"/>
              <w:rPr>
                <w:color w:val="auto"/>
              </w:rPr>
            </w:pPr>
            <w:r>
              <w:rPr>
                <w:color w:val="auto"/>
              </w:rPr>
              <w:t>1h平均</w:t>
            </w:r>
          </w:p>
        </w:tc>
        <w:tc>
          <w:tcPr>
            <w:tcW w:w="1147" w:type="dxa"/>
            <w:vAlign w:val="center"/>
          </w:tcPr>
          <w:p>
            <w:pPr>
              <w:pStyle w:val="164"/>
              <w:rPr>
                <w:color w:val="auto"/>
              </w:rPr>
            </w:pPr>
            <w:r>
              <w:rPr>
                <w:color w:val="auto"/>
              </w:rPr>
              <w:t>200</w:t>
            </w:r>
          </w:p>
        </w:tc>
        <w:tc>
          <w:tcPr>
            <w:tcW w:w="1147" w:type="dxa"/>
            <w:vAlign w:val="center"/>
          </w:tcPr>
          <w:p>
            <w:pPr>
              <w:pStyle w:val="164"/>
              <w:rPr>
                <w:color w:val="auto"/>
              </w:rPr>
            </w:pPr>
            <w:r>
              <w:rPr>
                <w:color w:val="auto"/>
              </w:rPr>
              <w:t>6~36</w:t>
            </w:r>
          </w:p>
        </w:tc>
        <w:tc>
          <w:tcPr>
            <w:tcW w:w="1075" w:type="dxa"/>
            <w:vAlign w:val="center"/>
          </w:tcPr>
          <w:p>
            <w:pPr>
              <w:pStyle w:val="164"/>
              <w:rPr>
                <w:color w:val="auto"/>
              </w:rPr>
            </w:pPr>
            <w:r>
              <w:rPr>
                <w:color w:val="auto"/>
              </w:rPr>
              <w:t>18%</w:t>
            </w:r>
          </w:p>
        </w:tc>
        <w:tc>
          <w:tcPr>
            <w:tcW w:w="1075" w:type="dxa"/>
            <w:vAlign w:val="center"/>
          </w:tcPr>
          <w:p>
            <w:pPr>
              <w:pStyle w:val="164"/>
              <w:rPr>
                <w:color w:val="auto"/>
              </w:rPr>
            </w:pPr>
            <w:r>
              <w:rPr>
                <w:color w:val="auto"/>
              </w:rPr>
              <w:t>0</w:t>
            </w:r>
          </w:p>
        </w:tc>
        <w:tc>
          <w:tcPr>
            <w:tcW w:w="980"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trPr>
        <w:tc>
          <w:tcPr>
            <w:tcW w:w="1023" w:type="dxa"/>
            <w:vMerge w:val="continue"/>
            <w:vAlign w:val="center"/>
          </w:tcPr>
          <w:p>
            <w:pPr>
              <w:pStyle w:val="164"/>
              <w:rPr>
                <w:color w:val="auto"/>
              </w:rPr>
            </w:pPr>
          </w:p>
        </w:tc>
        <w:tc>
          <w:tcPr>
            <w:tcW w:w="1065" w:type="dxa"/>
            <w:vAlign w:val="center"/>
          </w:tcPr>
          <w:p>
            <w:pPr>
              <w:pStyle w:val="164"/>
              <w:rPr>
                <w:color w:val="auto"/>
              </w:rPr>
            </w:pPr>
            <w:r>
              <w:rPr>
                <w:color w:val="auto"/>
              </w:rPr>
              <w:t>H</w:t>
            </w:r>
            <w:r>
              <w:rPr>
                <w:color w:val="auto"/>
                <w:vertAlign w:val="subscript"/>
              </w:rPr>
              <w:t>2</w:t>
            </w:r>
            <w:r>
              <w:rPr>
                <w:color w:val="auto"/>
              </w:rPr>
              <w:t>S</w:t>
            </w:r>
          </w:p>
        </w:tc>
        <w:tc>
          <w:tcPr>
            <w:tcW w:w="1019" w:type="dxa"/>
            <w:vAlign w:val="center"/>
          </w:tcPr>
          <w:p>
            <w:pPr>
              <w:pStyle w:val="164"/>
              <w:rPr>
                <w:color w:val="auto"/>
              </w:rPr>
            </w:pPr>
            <w:r>
              <w:rPr>
                <w:color w:val="auto"/>
              </w:rPr>
              <w:t>1h平均</w:t>
            </w:r>
          </w:p>
        </w:tc>
        <w:tc>
          <w:tcPr>
            <w:tcW w:w="1147" w:type="dxa"/>
            <w:vAlign w:val="center"/>
          </w:tcPr>
          <w:p>
            <w:pPr>
              <w:pStyle w:val="164"/>
              <w:rPr>
                <w:color w:val="auto"/>
              </w:rPr>
            </w:pPr>
            <w:r>
              <w:rPr>
                <w:color w:val="auto"/>
              </w:rPr>
              <w:t>10</w:t>
            </w:r>
          </w:p>
        </w:tc>
        <w:tc>
          <w:tcPr>
            <w:tcW w:w="1147" w:type="dxa"/>
            <w:vAlign w:val="center"/>
          </w:tcPr>
          <w:p>
            <w:pPr>
              <w:pStyle w:val="164"/>
              <w:rPr>
                <w:color w:val="auto"/>
              </w:rPr>
            </w:pPr>
            <w:r>
              <w:rPr>
                <w:color w:val="auto"/>
              </w:rPr>
              <w:t>6~9</w:t>
            </w:r>
          </w:p>
        </w:tc>
        <w:tc>
          <w:tcPr>
            <w:tcW w:w="1075" w:type="dxa"/>
            <w:vAlign w:val="center"/>
          </w:tcPr>
          <w:p>
            <w:pPr>
              <w:pStyle w:val="164"/>
              <w:rPr>
                <w:color w:val="auto"/>
              </w:rPr>
            </w:pPr>
            <w:r>
              <w:rPr>
                <w:color w:val="auto"/>
              </w:rPr>
              <w:t>90%</w:t>
            </w:r>
          </w:p>
        </w:tc>
        <w:tc>
          <w:tcPr>
            <w:tcW w:w="1075" w:type="dxa"/>
            <w:vAlign w:val="center"/>
          </w:tcPr>
          <w:p>
            <w:pPr>
              <w:pStyle w:val="164"/>
              <w:rPr>
                <w:color w:val="auto"/>
              </w:rPr>
            </w:pPr>
            <w:r>
              <w:rPr>
                <w:color w:val="auto"/>
              </w:rPr>
              <w:t>0</w:t>
            </w:r>
          </w:p>
        </w:tc>
        <w:tc>
          <w:tcPr>
            <w:tcW w:w="980"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trPr>
        <w:tc>
          <w:tcPr>
            <w:tcW w:w="1023" w:type="dxa"/>
            <w:vMerge w:val="continue"/>
            <w:vAlign w:val="center"/>
          </w:tcPr>
          <w:p>
            <w:pPr>
              <w:pStyle w:val="164"/>
              <w:rPr>
                <w:color w:val="auto"/>
              </w:rPr>
            </w:pPr>
          </w:p>
        </w:tc>
        <w:tc>
          <w:tcPr>
            <w:tcW w:w="1065" w:type="dxa"/>
            <w:vAlign w:val="center"/>
          </w:tcPr>
          <w:p>
            <w:pPr>
              <w:pStyle w:val="164"/>
              <w:rPr>
                <w:color w:val="auto"/>
              </w:rPr>
            </w:pPr>
            <w:r>
              <w:rPr>
                <w:color w:val="auto"/>
              </w:rPr>
              <w:t>TVOC</w:t>
            </w:r>
          </w:p>
        </w:tc>
        <w:tc>
          <w:tcPr>
            <w:tcW w:w="1019" w:type="dxa"/>
            <w:vAlign w:val="center"/>
          </w:tcPr>
          <w:p>
            <w:pPr>
              <w:pStyle w:val="164"/>
              <w:rPr>
                <w:color w:val="auto"/>
              </w:rPr>
            </w:pPr>
            <w:r>
              <w:rPr>
                <w:color w:val="auto"/>
              </w:rPr>
              <w:t>8h平均</w:t>
            </w:r>
          </w:p>
        </w:tc>
        <w:tc>
          <w:tcPr>
            <w:tcW w:w="1147" w:type="dxa"/>
            <w:vAlign w:val="center"/>
          </w:tcPr>
          <w:p>
            <w:pPr>
              <w:pStyle w:val="164"/>
              <w:rPr>
                <w:color w:val="auto"/>
              </w:rPr>
            </w:pPr>
            <w:r>
              <w:rPr>
                <w:color w:val="auto"/>
              </w:rPr>
              <w:t>600</w:t>
            </w:r>
          </w:p>
        </w:tc>
        <w:tc>
          <w:tcPr>
            <w:tcW w:w="1147" w:type="dxa"/>
            <w:vAlign w:val="center"/>
          </w:tcPr>
          <w:p>
            <w:pPr>
              <w:pStyle w:val="164"/>
              <w:rPr>
                <w:color w:val="auto"/>
              </w:rPr>
            </w:pPr>
            <w:r>
              <w:rPr>
                <w:color w:val="auto"/>
              </w:rPr>
              <w:t>9.6~14.5</w:t>
            </w:r>
          </w:p>
        </w:tc>
        <w:tc>
          <w:tcPr>
            <w:tcW w:w="1075" w:type="dxa"/>
            <w:vAlign w:val="center"/>
          </w:tcPr>
          <w:p>
            <w:pPr>
              <w:pStyle w:val="164"/>
              <w:rPr>
                <w:color w:val="auto"/>
              </w:rPr>
            </w:pPr>
            <w:r>
              <w:rPr>
                <w:color w:val="auto"/>
              </w:rPr>
              <w:t>2.42%</w:t>
            </w:r>
          </w:p>
        </w:tc>
        <w:tc>
          <w:tcPr>
            <w:tcW w:w="1075" w:type="dxa"/>
            <w:vAlign w:val="center"/>
          </w:tcPr>
          <w:p>
            <w:pPr>
              <w:pStyle w:val="164"/>
              <w:rPr>
                <w:color w:val="auto"/>
              </w:rPr>
            </w:pPr>
            <w:r>
              <w:rPr>
                <w:color w:val="auto"/>
              </w:rPr>
              <w:t>0</w:t>
            </w:r>
          </w:p>
        </w:tc>
        <w:tc>
          <w:tcPr>
            <w:tcW w:w="980" w:type="dxa"/>
            <w:vAlign w:val="center"/>
          </w:tcPr>
          <w:p>
            <w:pPr>
              <w:pStyle w:val="164"/>
              <w:rPr>
                <w:color w:val="auto"/>
              </w:rPr>
            </w:pPr>
            <w:r>
              <w:rPr>
                <w:color w:val="auto"/>
              </w:rPr>
              <w:t>达标</w:t>
            </w:r>
          </w:p>
        </w:tc>
      </w:tr>
    </w:tbl>
    <w:p>
      <w:pPr>
        <w:adjustRightInd w:val="0"/>
        <w:snapToGrid w:val="0"/>
        <w:spacing w:before="120" w:beforeLines="50" w:line="360" w:lineRule="auto"/>
        <w:ind w:firstLine="480" w:firstLineChars="200"/>
        <w:rPr>
          <w:color w:val="auto"/>
          <w:kern w:val="0"/>
          <w:sz w:val="24"/>
          <w:szCs w:val="24"/>
        </w:rPr>
      </w:pPr>
      <w:r>
        <w:rPr>
          <w:color w:val="auto"/>
          <w:kern w:val="0"/>
          <w:sz w:val="24"/>
          <w:szCs w:val="24"/>
        </w:rPr>
        <w:t>由上表可知： H</w:t>
      </w:r>
      <w:r>
        <w:rPr>
          <w:color w:val="auto"/>
          <w:kern w:val="0"/>
          <w:sz w:val="24"/>
          <w:szCs w:val="24"/>
          <w:vertAlign w:val="subscript"/>
        </w:rPr>
        <w:t>2</w:t>
      </w:r>
      <w:r>
        <w:rPr>
          <w:color w:val="auto"/>
          <w:kern w:val="0"/>
          <w:sz w:val="24"/>
          <w:szCs w:val="24"/>
        </w:rPr>
        <w:t>S、NH</w:t>
      </w:r>
      <w:r>
        <w:rPr>
          <w:color w:val="auto"/>
          <w:kern w:val="0"/>
          <w:sz w:val="24"/>
          <w:szCs w:val="24"/>
          <w:vertAlign w:val="subscript"/>
        </w:rPr>
        <w:t>3</w:t>
      </w:r>
      <w:r>
        <w:rPr>
          <w:color w:val="auto"/>
          <w:kern w:val="0"/>
          <w:sz w:val="24"/>
          <w:szCs w:val="24"/>
        </w:rPr>
        <w:t>1小时平均浓度及TVOC8小时平均浓度监测结果符合《环境影响评价技术导则 大气环境》（HJ2.2-2018）附录D中“其他污染物空气质量浓度参考限值”。但</w:t>
      </w:r>
      <w:r>
        <w:rPr>
          <w:color w:val="auto"/>
          <w:sz w:val="24"/>
          <w:szCs w:val="24"/>
        </w:rPr>
        <w:t>H</w:t>
      </w:r>
      <w:r>
        <w:rPr>
          <w:color w:val="auto"/>
          <w:sz w:val="24"/>
          <w:szCs w:val="24"/>
          <w:vertAlign w:val="subscript"/>
        </w:rPr>
        <w:t>2</w:t>
      </w:r>
      <w:r>
        <w:rPr>
          <w:color w:val="auto"/>
          <w:sz w:val="24"/>
          <w:szCs w:val="24"/>
        </w:rPr>
        <w:t>S占标率较高，主要由于周边区域内建设有中卫市生活垃圾填埋场。</w:t>
      </w:r>
    </w:p>
    <w:p>
      <w:pPr>
        <w:spacing w:line="360" w:lineRule="auto"/>
        <w:rPr>
          <w:b/>
          <w:bCs/>
          <w:color w:val="auto"/>
          <w:sz w:val="24"/>
          <w:szCs w:val="24"/>
        </w:rPr>
      </w:pPr>
      <w:r>
        <w:rPr>
          <w:b/>
          <w:bCs/>
          <w:color w:val="auto"/>
          <w:sz w:val="24"/>
          <w:szCs w:val="24"/>
        </w:rPr>
        <w:t>（5）环境空气质量现状小结</w:t>
      </w:r>
    </w:p>
    <w:p>
      <w:pPr>
        <w:pStyle w:val="130"/>
        <w:ind w:firstLine="480"/>
        <w:rPr>
          <w:color w:val="auto"/>
        </w:rPr>
      </w:pPr>
      <w:r>
        <w:rPr>
          <w:color w:val="auto"/>
          <w:lang w:val="sq-AL"/>
        </w:rPr>
        <w:t>根据《2021年宁夏生态环境质量状况公报》中中卫市环境空气质量监测数据，</w:t>
      </w:r>
      <w:r>
        <w:rPr>
          <w:color w:val="auto"/>
        </w:rPr>
        <w:t>本项目所在区域为达标区。根据实际监测结果，H</w:t>
      </w:r>
      <w:r>
        <w:rPr>
          <w:color w:val="auto"/>
          <w:vertAlign w:val="subscript"/>
        </w:rPr>
        <w:t>2</w:t>
      </w:r>
      <w:r>
        <w:rPr>
          <w:color w:val="auto"/>
        </w:rPr>
        <w:t>S、NH</w:t>
      </w:r>
      <w:r>
        <w:rPr>
          <w:color w:val="auto"/>
          <w:vertAlign w:val="subscript"/>
        </w:rPr>
        <w:t>3</w:t>
      </w:r>
      <w:r>
        <w:rPr>
          <w:color w:val="auto"/>
        </w:rPr>
        <w:t>1小时平均浓度及TVOC8小时平均浓度符合《环境影响评价技术导则 大气环境》（HJ2.2-2018）附录D中“其他污染物空气质量浓度参考限值”，区域环境空气质量较好。</w:t>
      </w:r>
    </w:p>
    <w:bookmarkEnd w:id="334"/>
    <w:p>
      <w:pPr>
        <w:pStyle w:val="4"/>
        <w:numPr>
          <w:ilvl w:val="1"/>
          <w:numId w:val="0"/>
        </w:numPr>
        <w:spacing w:before="120"/>
        <w:rPr>
          <w:color w:val="auto"/>
        </w:rPr>
      </w:pPr>
      <w:bookmarkStart w:id="335" w:name="_Toc109398645"/>
      <w:bookmarkStart w:id="336" w:name="_Toc11595353"/>
      <w:bookmarkStart w:id="337" w:name="_Toc493853518"/>
      <w:r>
        <w:rPr>
          <w:color w:val="auto"/>
        </w:rPr>
        <w:t>6.2地表水质量现状监测与评价</w:t>
      </w:r>
      <w:bookmarkEnd w:id="335"/>
      <w:bookmarkEnd w:id="336"/>
      <w:bookmarkEnd w:id="337"/>
    </w:p>
    <w:p>
      <w:pPr>
        <w:pStyle w:val="130"/>
        <w:ind w:firstLine="480"/>
        <w:rPr>
          <w:color w:val="auto"/>
        </w:rPr>
      </w:pPr>
      <w:r>
        <w:rPr>
          <w:color w:val="auto"/>
        </w:rPr>
        <w:t>本项目所在区域内主要地表水体为黄河，位于项目北侧4.4km处。本次评价地表水环境质量现状数据引用宁夏回族自治区生态环境厅发布的《2021年宁夏生态环境质量状况公报》中黄河干流中卫下河沿断面水质状况数据进行评价，断面水质见表6.2-1。</w:t>
      </w:r>
    </w:p>
    <w:p>
      <w:pPr>
        <w:jc w:val="center"/>
        <w:rPr>
          <w:b/>
          <w:color w:val="auto"/>
          <w:sz w:val="24"/>
          <w:szCs w:val="24"/>
        </w:rPr>
      </w:pPr>
      <w:r>
        <w:rPr>
          <w:b/>
          <w:color w:val="auto"/>
          <w:sz w:val="24"/>
          <w:szCs w:val="24"/>
        </w:rPr>
        <w:t>表6.2-1  黄河干流中卫下河沿断面水质状况一览表</w:t>
      </w:r>
    </w:p>
    <w:tbl>
      <w:tblPr>
        <w:tblStyle w:val="74"/>
        <w:tblW w:w="8080" w:type="dxa"/>
        <w:jc w:val="center"/>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3166"/>
        <w:gridCol w:w="491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86" w:hRule="atLeast"/>
          <w:jc w:val="center"/>
        </w:trPr>
        <w:tc>
          <w:tcPr>
            <w:tcW w:w="3166" w:type="dxa"/>
            <w:vMerge w:val="restart"/>
            <w:tcBorders>
              <w:bottom w:val="single" w:color="000000" w:sz="6" w:space="0"/>
              <w:right w:val="single" w:color="000000" w:sz="6" w:space="0"/>
            </w:tcBorders>
            <w:vAlign w:val="center"/>
          </w:tcPr>
          <w:p>
            <w:pPr>
              <w:widowControl/>
              <w:jc w:val="center"/>
              <w:textAlignment w:val="center"/>
              <w:rPr>
                <w:b/>
                <w:bCs/>
                <w:color w:val="auto"/>
                <w:szCs w:val="21"/>
              </w:rPr>
            </w:pPr>
            <w:r>
              <w:rPr>
                <w:b/>
                <w:bCs/>
                <w:color w:val="auto"/>
                <w:szCs w:val="21"/>
              </w:rPr>
              <w:t>日期</w:t>
            </w:r>
          </w:p>
        </w:tc>
        <w:tc>
          <w:tcPr>
            <w:tcW w:w="4914" w:type="dxa"/>
            <w:tcBorders>
              <w:left w:val="single" w:color="000000" w:sz="6" w:space="0"/>
              <w:bottom w:val="single" w:color="000000" w:sz="6" w:space="0"/>
            </w:tcBorders>
            <w:vAlign w:val="center"/>
          </w:tcPr>
          <w:p>
            <w:pPr>
              <w:widowControl/>
              <w:jc w:val="center"/>
              <w:textAlignment w:val="center"/>
              <w:rPr>
                <w:b/>
                <w:bCs/>
                <w:color w:val="auto"/>
                <w:szCs w:val="21"/>
              </w:rPr>
            </w:pPr>
            <w:r>
              <w:rPr>
                <w:b/>
                <w:bCs/>
                <w:color w:val="auto"/>
                <w:szCs w:val="21"/>
              </w:rPr>
              <w:t>水质类别</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vMerge w:val="continue"/>
            <w:tcBorders>
              <w:top w:val="nil"/>
              <w:bottom w:val="single" w:color="000000" w:sz="6" w:space="0"/>
              <w:right w:val="single" w:color="000000" w:sz="6" w:space="0"/>
            </w:tcBorders>
            <w:vAlign w:val="center"/>
          </w:tcPr>
          <w:p>
            <w:pPr>
              <w:widowControl/>
              <w:jc w:val="center"/>
              <w:textAlignment w:val="center"/>
              <w:rPr>
                <w:b/>
                <w:bCs/>
                <w:color w:val="auto"/>
                <w:szCs w:val="21"/>
              </w:rPr>
            </w:pP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b/>
                <w:bCs/>
                <w:color w:val="auto"/>
                <w:szCs w:val="21"/>
              </w:rPr>
            </w:pPr>
            <w:r>
              <w:rPr>
                <w:b/>
                <w:bCs/>
                <w:color w:val="auto"/>
                <w:szCs w:val="21"/>
              </w:rPr>
              <w:t>黄河干流（中卫下河沿断面）</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2021年1月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2021年2月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2021年3月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1 \* ROMAN \* MERGEFORMAT </w:instrText>
            </w:r>
            <w:r>
              <w:rPr>
                <w:color w:val="auto"/>
                <w:szCs w:val="21"/>
              </w:rPr>
              <w:fldChar w:fldCharType="separate"/>
            </w:r>
            <w:r>
              <w:rPr>
                <w:color w:val="auto"/>
                <w:szCs w:val="21"/>
              </w:rPr>
              <w:t>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2021年4月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3 \* ROMAN \* MERGEFORMAT </w:instrText>
            </w:r>
            <w:r>
              <w:rPr>
                <w:color w:val="auto"/>
                <w:szCs w:val="21"/>
              </w:rPr>
              <w:fldChar w:fldCharType="separate"/>
            </w:r>
            <w:r>
              <w:rPr>
                <w:color w:val="auto"/>
                <w:szCs w:val="21"/>
              </w:rPr>
              <w:t>III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2021年5月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2021年6月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2021年7月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3 \* ROMAN \* MERGEFORMAT </w:instrText>
            </w:r>
            <w:r>
              <w:rPr>
                <w:color w:val="auto"/>
                <w:szCs w:val="21"/>
              </w:rPr>
              <w:fldChar w:fldCharType="separate"/>
            </w:r>
            <w:r>
              <w:rPr>
                <w:color w:val="auto"/>
                <w:szCs w:val="21"/>
              </w:rPr>
              <w:t>III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2021年8月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2021年9月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3 \* ROMAN \* MERGEFORMAT </w:instrText>
            </w:r>
            <w:r>
              <w:rPr>
                <w:color w:val="auto"/>
                <w:szCs w:val="21"/>
              </w:rPr>
              <w:fldChar w:fldCharType="separate"/>
            </w:r>
            <w:r>
              <w:rPr>
                <w:color w:val="auto"/>
                <w:szCs w:val="21"/>
              </w:rPr>
              <w:t>III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2021年10月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53"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2021年11月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22"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2021年12月</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22"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bCs/>
                <w:color w:val="auto"/>
                <w:szCs w:val="21"/>
              </w:rPr>
              <w:t>2021年</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22" w:hRule="atLeast"/>
          <w:jc w:val="center"/>
        </w:trPr>
        <w:tc>
          <w:tcPr>
            <w:tcW w:w="3166" w:type="dxa"/>
            <w:tcBorders>
              <w:top w:val="single" w:color="000000" w:sz="6" w:space="0"/>
              <w:bottom w:val="single" w:color="000000" w:sz="6" w:space="0"/>
              <w:right w:val="single" w:color="000000" w:sz="6" w:space="0"/>
            </w:tcBorders>
            <w:vAlign w:val="center"/>
          </w:tcPr>
          <w:p>
            <w:pPr>
              <w:widowControl/>
              <w:jc w:val="center"/>
              <w:textAlignment w:val="center"/>
              <w:rPr>
                <w:bCs/>
                <w:color w:val="auto"/>
                <w:szCs w:val="21"/>
              </w:rPr>
            </w:pPr>
            <w:r>
              <w:rPr>
                <w:rFonts w:hint="eastAsia"/>
                <w:bCs/>
                <w:color w:val="auto"/>
                <w:szCs w:val="21"/>
              </w:rPr>
              <w:t>2</w:t>
            </w:r>
            <w:r>
              <w:rPr>
                <w:bCs/>
                <w:color w:val="auto"/>
                <w:szCs w:val="21"/>
              </w:rPr>
              <w:t>020</w:t>
            </w:r>
            <w:r>
              <w:rPr>
                <w:rFonts w:hint="eastAsia"/>
                <w:bCs/>
                <w:color w:val="auto"/>
                <w:szCs w:val="21"/>
              </w:rPr>
              <w:t>年</w:t>
            </w:r>
          </w:p>
        </w:tc>
        <w:tc>
          <w:tcPr>
            <w:tcW w:w="4914" w:type="dxa"/>
            <w:tcBorders>
              <w:top w:val="single" w:color="000000" w:sz="6" w:space="0"/>
              <w:left w:val="single" w:color="000000" w:sz="6" w:space="0"/>
              <w:bottom w:val="single" w:color="000000" w:sz="6" w:space="0"/>
            </w:tcBorders>
            <w:vAlign w:val="center"/>
          </w:tcPr>
          <w:p>
            <w:pPr>
              <w:widowControl/>
              <w:jc w:val="center"/>
              <w:textAlignment w:val="center"/>
              <w:rPr>
                <w:color w:val="auto"/>
                <w:szCs w:val="21"/>
              </w:rPr>
            </w:pPr>
            <w:r>
              <w:rPr>
                <w:color w:val="auto"/>
                <w:szCs w:val="21"/>
              </w:rPr>
              <w:fldChar w:fldCharType="begin"/>
            </w:r>
            <w:r>
              <w:rPr>
                <w:color w:val="auto"/>
                <w:szCs w:val="21"/>
              </w:rPr>
              <w:instrText xml:space="preserve"> = 2 \* ROMAN \* MERGEFORMAT </w:instrText>
            </w:r>
            <w:r>
              <w:rPr>
                <w:color w:val="auto"/>
                <w:szCs w:val="21"/>
              </w:rPr>
              <w:fldChar w:fldCharType="separate"/>
            </w:r>
            <w:r>
              <w:rPr>
                <w:color w:val="auto"/>
                <w:szCs w:val="21"/>
              </w:rPr>
              <w:t>II</w:t>
            </w:r>
            <w:r>
              <w:rPr>
                <w:color w:val="auto"/>
                <w:szCs w:val="21"/>
              </w:rPr>
              <w:fldChar w:fldCharType="end"/>
            </w:r>
            <w:r>
              <w:rPr>
                <w:color w:val="auto"/>
                <w:szCs w:val="21"/>
              </w:rPr>
              <w:t>类</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22" w:hRule="atLeast"/>
          <w:jc w:val="center"/>
        </w:trPr>
        <w:tc>
          <w:tcPr>
            <w:tcW w:w="3166" w:type="dxa"/>
            <w:tcBorders>
              <w:top w:val="single" w:color="000000" w:sz="6" w:space="0"/>
              <w:right w:val="single" w:color="000000" w:sz="6" w:space="0"/>
            </w:tcBorders>
            <w:vAlign w:val="center"/>
          </w:tcPr>
          <w:p>
            <w:pPr>
              <w:widowControl/>
              <w:jc w:val="center"/>
              <w:textAlignment w:val="center"/>
              <w:rPr>
                <w:bCs/>
                <w:color w:val="auto"/>
                <w:szCs w:val="21"/>
              </w:rPr>
            </w:pPr>
            <w:r>
              <w:rPr>
                <w:color w:val="auto"/>
                <w:kern w:val="0"/>
                <w:szCs w:val="21"/>
              </w:rPr>
              <w:t>水质同比变化情况</w:t>
            </w:r>
          </w:p>
        </w:tc>
        <w:tc>
          <w:tcPr>
            <w:tcW w:w="4914" w:type="dxa"/>
            <w:tcBorders>
              <w:top w:val="single" w:color="000000" w:sz="6" w:space="0"/>
              <w:left w:val="single" w:color="000000" w:sz="6" w:space="0"/>
            </w:tcBorders>
            <w:vAlign w:val="center"/>
          </w:tcPr>
          <w:p>
            <w:pPr>
              <w:widowControl/>
              <w:jc w:val="center"/>
              <w:textAlignment w:val="center"/>
              <w:rPr>
                <w:color w:val="auto"/>
                <w:szCs w:val="21"/>
              </w:rPr>
            </w:pPr>
            <w:r>
              <w:rPr>
                <w:color w:val="auto"/>
                <w:szCs w:val="21"/>
              </w:rPr>
              <w:t>无明显变化</w:t>
            </w:r>
          </w:p>
        </w:tc>
      </w:tr>
    </w:tbl>
    <w:p>
      <w:pPr>
        <w:spacing w:before="120" w:beforeLines="50" w:line="360" w:lineRule="auto"/>
        <w:ind w:firstLine="480" w:firstLineChars="200"/>
        <w:rPr>
          <w:color w:val="auto"/>
          <w:sz w:val="24"/>
        </w:rPr>
      </w:pPr>
      <w:r>
        <w:rPr>
          <w:color w:val="auto"/>
          <w:sz w:val="24"/>
        </w:rPr>
        <w:t>由上表可知，黄河干流（中卫下河沿断面）水质状况稳定，水质</w:t>
      </w:r>
      <w:r>
        <w:rPr>
          <w:rFonts w:hint="eastAsia"/>
          <w:color w:val="auto"/>
          <w:sz w:val="24"/>
        </w:rPr>
        <w:t>同比</w:t>
      </w:r>
      <w:r>
        <w:rPr>
          <w:color w:val="auto"/>
          <w:sz w:val="24"/>
        </w:rPr>
        <w:t>无明显变化，除2021年4月、7月</w:t>
      </w:r>
      <w:r>
        <w:rPr>
          <w:rFonts w:hint="eastAsia"/>
          <w:color w:val="auto"/>
          <w:sz w:val="24"/>
        </w:rPr>
        <w:t>和9月满足</w:t>
      </w:r>
      <w:r>
        <w:rPr>
          <w:color w:val="auto"/>
          <w:sz w:val="24"/>
        </w:rPr>
        <w:t>《地表水环境质量标准》（GB38338-2002）中的</w:t>
      </w:r>
      <w:r>
        <w:rPr>
          <w:color w:val="auto"/>
          <w:sz w:val="24"/>
        </w:rPr>
        <w:fldChar w:fldCharType="begin"/>
      </w:r>
      <w:r>
        <w:rPr>
          <w:color w:val="auto"/>
          <w:sz w:val="24"/>
        </w:rPr>
        <w:instrText xml:space="preserve"> = 3 \* ROMAN \* MERGEFORMAT </w:instrText>
      </w:r>
      <w:r>
        <w:rPr>
          <w:color w:val="auto"/>
          <w:sz w:val="24"/>
        </w:rPr>
        <w:fldChar w:fldCharType="separate"/>
      </w:r>
      <w:r>
        <w:rPr>
          <w:color w:val="auto"/>
          <w:kern w:val="0"/>
          <w:sz w:val="24"/>
          <w:szCs w:val="20"/>
        </w:rPr>
        <w:t>III</w:t>
      </w:r>
      <w:r>
        <w:rPr>
          <w:color w:val="auto"/>
          <w:sz w:val="24"/>
        </w:rPr>
        <w:fldChar w:fldCharType="end"/>
      </w:r>
      <w:r>
        <w:rPr>
          <w:color w:val="auto"/>
          <w:sz w:val="24"/>
        </w:rPr>
        <w:t>类标准外，其他时间段内均达到</w:t>
      </w:r>
      <w:r>
        <w:rPr>
          <w:color w:val="auto"/>
          <w:sz w:val="24"/>
        </w:rPr>
        <w:fldChar w:fldCharType="begin"/>
      </w:r>
      <w:r>
        <w:rPr>
          <w:color w:val="auto"/>
          <w:sz w:val="24"/>
        </w:rPr>
        <w:instrText xml:space="preserve"> = 2 \* ROMAN \* MERGEFORMAT </w:instrText>
      </w:r>
      <w:r>
        <w:rPr>
          <w:color w:val="auto"/>
          <w:sz w:val="24"/>
        </w:rPr>
        <w:fldChar w:fldCharType="separate"/>
      </w:r>
      <w:r>
        <w:rPr>
          <w:color w:val="auto"/>
          <w:kern w:val="0"/>
          <w:sz w:val="24"/>
          <w:szCs w:val="20"/>
        </w:rPr>
        <w:t>II</w:t>
      </w:r>
      <w:r>
        <w:rPr>
          <w:color w:val="auto"/>
          <w:sz w:val="24"/>
        </w:rPr>
        <w:fldChar w:fldCharType="end"/>
      </w:r>
      <w:r>
        <w:rPr>
          <w:color w:val="auto"/>
          <w:sz w:val="24"/>
        </w:rPr>
        <w:t>类及以上标准，并且2021年年均浓度可达到《地表水环境质量标准》（GB38338-2002）</w:t>
      </w:r>
      <w:r>
        <w:rPr>
          <w:color w:val="auto"/>
          <w:sz w:val="24"/>
        </w:rPr>
        <w:fldChar w:fldCharType="begin"/>
      </w:r>
      <w:r>
        <w:rPr>
          <w:color w:val="auto"/>
          <w:sz w:val="24"/>
        </w:rPr>
        <w:instrText xml:space="preserve"> = 2 \* ROMAN \* MERGEFORMAT </w:instrText>
      </w:r>
      <w:r>
        <w:rPr>
          <w:color w:val="auto"/>
          <w:sz w:val="24"/>
        </w:rPr>
        <w:fldChar w:fldCharType="separate"/>
      </w:r>
      <w:r>
        <w:rPr>
          <w:color w:val="auto"/>
          <w:kern w:val="0"/>
          <w:sz w:val="24"/>
          <w:szCs w:val="20"/>
        </w:rPr>
        <w:t>II</w:t>
      </w:r>
      <w:r>
        <w:rPr>
          <w:color w:val="auto"/>
          <w:sz w:val="24"/>
        </w:rPr>
        <w:fldChar w:fldCharType="end"/>
      </w:r>
      <w:r>
        <w:rPr>
          <w:color w:val="auto"/>
          <w:sz w:val="24"/>
        </w:rPr>
        <w:t>类标准要求，水质总体为优。</w:t>
      </w:r>
    </w:p>
    <w:p>
      <w:pPr>
        <w:pStyle w:val="4"/>
        <w:numPr>
          <w:ilvl w:val="1"/>
          <w:numId w:val="0"/>
        </w:numPr>
        <w:spacing w:before="120"/>
        <w:rPr>
          <w:color w:val="auto"/>
        </w:rPr>
      </w:pPr>
      <w:bookmarkStart w:id="338" w:name="_Toc109398646"/>
      <w:bookmarkStart w:id="339" w:name="_Toc493853521"/>
      <w:bookmarkStart w:id="340" w:name="_Toc11595355"/>
      <w:r>
        <w:rPr>
          <w:color w:val="auto"/>
        </w:rPr>
        <w:t>6.3地下水质量现状监测与评价</w:t>
      </w:r>
      <w:bookmarkEnd w:id="338"/>
      <w:bookmarkEnd w:id="339"/>
      <w:bookmarkEnd w:id="340"/>
    </w:p>
    <w:p>
      <w:pPr>
        <w:pStyle w:val="5"/>
        <w:numPr>
          <w:ilvl w:val="2"/>
          <w:numId w:val="0"/>
        </w:numPr>
        <w:ind w:left="-720" w:leftChars="-343" w:firstLine="723" w:firstLineChars="300"/>
        <w:rPr>
          <w:color w:val="auto"/>
        </w:rPr>
      </w:pPr>
      <w:bookmarkStart w:id="341" w:name="_Toc299368894"/>
      <w:bookmarkEnd w:id="341"/>
      <w:bookmarkStart w:id="342" w:name="_Toc387745639"/>
      <w:bookmarkEnd w:id="342"/>
      <w:bookmarkStart w:id="343" w:name="_Toc332203260"/>
      <w:bookmarkEnd w:id="343"/>
      <w:bookmarkStart w:id="344" w:name="_Toc11595357"/>
      <w:bookmarkStart w:id="345" w:name="_Toc109398647"/>
      <w:r>
        <w:rPr>
          <w:color w:val="auto"/>
        </w:rPr>
        <w:t>6.3.1监测点位布设</w:t>
      </w:r>
      <w:bookmarkEnd w:id="344"/>
      <w:r>
        <w:rPr>
          <w:color w:val="auto"/>
        </w:rPr>
        <w:t>情况</w:t>
      </w:r>
      <w:bookmarkEnd w:id="345"/>
    </w:p>
    <w:p>
      <w:pPr>
        <w:spacing w:line="360" w:lineRule="auto"/>
        <w:ind w:firstLine="484" w:firstLineChars="200"/>
        <w:rPr>
          <w:color w:val="auto"/>
          <w:sz w:val="24"/>
          <w:szCs w:val="24"/>
        </w:rPr>
      </w:pPr>
      <w:r>
        <w:rPr>
          <w:color w:val="auto"/>
          <w:spacing w:val="1"/>
          <w:sz w:val="24"/>
          <w:szCs w:val="24"/>
        </w:rPr>
        <w:t>根据《环境影响评价技术导则地下水环境》</w:t>
      </w:r>
      <w:r>
        <w:rPr>
          <w:color w:val="auto"/>
          <w:sz w:val="24"/>
          <w:szCs w:val="24"/>
        </w:rPr>
        <w:t>（</w:t>
      </w:r>
      <w:r>
        <w:rPr>
          <w:rFonts w:eastAsia="Times New Roman"/>
          <w:color w:val="auto"/>
          <w:sz w:val="24"/>
          <w:szCs w:val="24"/>
        </w:rPr>
        <w:t>HJ610-2016</w:t>
      </w:r>
      <w:r>
        <w:rPr>
          <w:color w:val="auto"/>
          <w:sz w:val="24"/>
          <w:szCs w:val="24"/>
        </w:rPr>
        <w:t>）中现状监测点的</w:t>
      </w:r>
      <w:r>
        <w:rPr>
          <w:color w:val="auto"/>
          <w:spacing w:val="-6"/>
          <w:sz w:val="24"/>
          <w:szCs w:val="24"/>
        </w:rPr>
        <w:t>布点原则，本次地下水水质监测点选择</w:t>
      </w:r>
      <w:r>
        <w:rPr>
          <w:rFonts w:eastAsia="Times New Roman"/>
          <w:color w:val="auto"/>
          <w:sz w:val="24"/>
          <w:szCs w:val="24"/>
        </w:rPr>
        <w:t>5</w:t>
      </w:r>
      <w:r>
        <w:rPr>
          <w:color w:val="auto"/>
          <w:spacing w:val="-3"/>
          <w:sz w:val="24"/>
          <w:szCs w:val="24"/>
        </w:rPr>
        <w:t>个监测点位。委托宁夏华鼎环保科技有限公司于2020年4月16日对项目周边地下水环境进行监测（监测报告见附件9），</w:t>
      </w:r>
      <w:r>
        <w:rPr>
          <w:color w:val="auto"/>
          <w:sz w:val="24"/>
          <w:szCs w:val="24"/>
        </w:rPr>
        <w:t>地下水检测点位、因子及频次见表6.3-1，监测点位图见图6.1-1。</w:t>
      </w:r>
    </w:p>
    <w:p>
      <w:pPr>
        <w:jc w:val="center"/>
        <w:rPr>
          <w:b/>
          <w:bCs/>
          <w:color w:val="auto"/>
          <w:sz w:val="24"/>
          <w:szCs w:val="24"/>
        </w:rPr>
      </w:pPr>
      <w:r>
        <w:rPr>
          <w:b/>
          <w:bCs/>
          <w:color w:val="auto"/>
          <w:sz w:val="24"/>
          <w:szCs w:val="24"/>
        </w:rPr>
        <w:t>表6.3-1  地下水检测点位、因子及频次一览表</w:t>
      </w:r>
    </w:p>
    <w:tbl>
      <w:tblPr>
        <w:tblStyle w:val="74"/>
        <w:tblW w:w="881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99"/>
        <w:gridCol w:w="1166"/>
        <w:gridCol w:w="2232"/>
        <w:gridCol w:w="3500"/>
        <w:gridCol w:w="9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65" w:hRule="atLeast"/>
          <w:jc w:val="center"/>
        </w:trPr>
        <w:tc>
          <w:tcPr>
            <w:tcW w:w="999" w:type="dxa"/>
            <w:vAlign w:val="center"/>
          </w:tcPr>
          <w:p>
            <w:pPr>
              <w:pStyle w:val="164"/>
              <w:rPr>
                <w:color w:val="auto"/>
              </w:rPr>
            </w:pPr>
            <w:r>
              <w:rPr>
                <w:color w:val="auto"/>
              </w:rPr>
              <w:t>测点</w:t>
            </w:r>
          </w:p>
          <w:p>
            <w:pPr>
              <w:pStyle w:val="164"/>
              <w:rPr>
                <w:color w:val="auto"/>
              </w:rPr>
            </w:pPr>
            <w:r>
              <w:rPr>
                <w:color w:val="auto"/>
              </w:rPr>
              <w:t>编号</w:t>
            </w:r>
          </w:p>
        </w:tc>
        <w:tc>
          <w:tcPr>
            <w:tcW w:w="1166" w:type="dxa"/>
            <w:vAlign w:val="center"/>
          </w:tcPr>
          <w:p>
            <w:pPr>
              <w:pStyle w:val="164"/>
              <w:rPr>
                <w:color w:val="auto"/>
              </w:rPr>
            </w:pPr>
            <w:r>
              <w:rPr>
                <w:color w:val="auto"/>
              </w:rPr>
              <w:t>点位</w:t>
            </w:r>
          </w:p>
          <w:p>
            <w:pPr>
              <w:pStyle w:val="164"/>
              <w:rPr>
                <w:color w:val="auto"/>
              </w:rPr>
            </w:pPr>
            <w:r>
              <w:rPr>
                <w:color w:val="auto"/>
              </w:rPr>
              <w:t>名称</w:t>
            </w:r>
          </w:p>
        </w:tc>
        <w:tc>
          <w:tcPr>
            <w:tcW w:w="2232" w:type="dxa"/>
            <w:vAlign w:val="center"/>
          </w:tcPr>
          <w:p>
            <w:pPr>
              <w:pStyle w:val="164"/>
              <w:rPr>
                <w:color w:val="auto"/>
              </w:rPr>
            </w:pPr>
            <w:r>
              <w:rPr>
                <w:color w:val="auto"/>
              </w:rPr>
              <w:t>坐标</w:t>
            </w:r>
          </w:p>
        </w:tc>
        <w:tc>
          <w:tcPr>
            <w:tcW w:w="3500" w:type="dxa"/>
            <w:vAlign w:val="center"/>
          </w:tcPr>
          <w:p>
            <w:pPr>
              <w:pStyle w:val="164"/>
              <w:rPr>
                <w:color w:val="auto"/>
              </w:rPr>
            </w:pPr>
            <w:r>
              <w:rPr>
                <w:color w:val="auto"/>
              </w:rPr>
              <w:t>检测因子</w:t>
            </w:r>
          </w:p>
        </w:tc>
        <w:tc>
          <w:tcPr>
            <w:tcW w:w="919" w:type="dxa"/>
            <w:vAlign w:val="center"/>
          </w:tcPr>
          <w:p>
            <w:pPr>
              <w:pStyle w:val="164"/>
              <w:rPr>
                <w:color w:val="auto"/>
              </w:rPr>
            </w:pPr>
            <w:r>
              <w:rPr>
                <w:color w:val="auto"/>
              </w:rPr>
              <w:t>检测</w:t>
            </w:r>
          </w:p>
          <w:p>
            <w:pPr>
              <w:pStyle w:val="164"/>
              <w:rPr>
                <w:color w:val="auto"/>
              </w:rPr>
            </w:pPr>
            <w:r>
              <w:rPr>
                <w:color w:val="auto"/>
              </w:rPr>
              <w:t>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51" w:hRule="atLeast"/>
          <w:jc w:val="center"/>
        </w:trPr>
        <w:tc>
          <w:tcPr>
            <w:tcW w:w="999" w:type="dxa"/>
            <w:vAlign w:val="center"/>
          </w:tcPr>
          <w:p>
            <w:pPr>
              <w:pStyle w:val="164"/>
              <w:rPr>
                <w:color w:val="auto"/>
              </w:rPr>
            </w:pPr>
            <w:r>
              <w:rPr>
                <w:color w:val="auto"/>
              </w:rPr>
              <w:t>1#</w:t>
            </w:r>
          </w:p>
        </w:tc>
        <w:tc>
          <w:tcPr>
            <w:tcW w:w="1166" w:type="dxa"/>
            <w:vAlign w:val="center"/>
          </w:tcPr>
          <w:p>
            <w:pPr>
              <w:pStyle w:val="164"/>
              <w:rPr>
                <w:color w:val="auto"/>
              </w:rPr>
            </w:pPr>
            <w:r>
              <w:rPr>
                <w:color w:val="auto"/>
              </w:rPr>
              <w:t>上游</w:t>
            </w:r>
          </w:p>
        </w:tc>
        <w:tc>
          <w:tcPr>
            <w:tcW w:w="2232" w:type="dxa"/>
            <w:vAlign w:val="center"/>
          </w:tcPr>
          <w:p>
            <w:pPr>
              <w:pStyle w:val="164"/>
              <w:rPr>
                <w:color w:val="auto"/>
              </w:rPr>
            </w:pPr>
            <w:r>
              <w:rPr>
                <w:color w:val="auto"/>
              </w:rPr>
              <w:t>E：105°15'24.88"</w:t>
            </w:r>
          </w:p>
          <w:p>
            <w:pPr>
              <w:pStyle w:val="164"/>
              <w:rPr>
                <w:color w:val="auto"/>
              </w:rPr>
            </w:pPr>
            <w:r>
              <w:rPr>
                <w:color w:val="auto"/>
              </w:rPr>
              <w:t>N：37°26'31.3"</w:t>
            </w:r>
          </w:p>
        </w:tc>
        <w:tc>
          <w:tcPr>
            <w:tcW w:w="3500" w:type="dxa"/>
            <w:vMerge w:val="restart"/>
            <w:vAlign w:val="center"/>
          </w:tcPr>
          <w:p>
            <w:pPr>
              <w:pStyle w:val="164"/>
              <w:rPr>
                <w:color w:val="auto"/>
              </w:rPr>
            </w:pPr>
            <w:r>
              <w:rPr>
                <w:color w:val="auto"/>
              </w:rPr>
              <w:t>pH、总硬度、溶解性总固体、硫酸盐、氯化物、铁、锰、挥发性酚类、耗氧量、硝酸盐、亚硝酸盐、氨氮、氟化物、氰化物、汞、砷、镉、铬（六价）、铅、镍、总大肠菌群、细菌总数、K</w:t>
            </w:r>
            <w:r>
              <w:rPr>
                <w:color w:val="auto"/>
                <w:vertAlign w:val="superscript"/>
              </w:rPr>
              <w:t>+</w:t>
            </w:r>
            <w:r>
              <w:rPr>
                <w:color w:val="auto"/>
              </w:rPr>
              <w:t>、Na</w:t>
            </w:r>
            <w:r>
              <w:rPr>
                <w:color w:val="auto"/>
                <w:vertAlign w:val="superscript"/>
              </w:rPr>
              <w:t>+</w:t>
            </w:r>
            <w:r>
              <w:rPr>
                <w:color w:val="auto"/>
              </w:rPr>
              <w:t>、Ca</w:t>
            </w:r>
            <w:r>
              <w:rPr>
                <w:color w:val="auto"/>
                <w:vertAlign w:val="superscript"/>
              </w:rPr>
              <w:t>2+</w:t>
            </w:r>
            <w:r>
              <w:rPr>
                <w:color w:val="auto"/>
              </w:rPr>
              <w:t>、Mg</w:t>
            </w:r>
            <w:r>
              <w:rPr>
                <w:color w:val="auto"/>
                <w:vertAlign w:val="superscript"/>
              </w:rPr>
              <w:t>2+</w:t>
            </w:r>
            <w:r>
              <w:rPr>
                <w:color w:val="auto"/>
              </w:rPr>
              <w:t>、CO</w:t>
            </w:r>
            <w:r>
              <w:rPr>
                <w:color w:val="auto"/>
                <w:vertAlign w:val="subscript"/>
              </w:rPr>
              <w:t>3</w:t>
            </w:r>
            <w:r>
              <w:rPr>
                <w:color w:val="auto"/>
                <w:vertAlign w:val="superscript"/>
              </w:rPr>
              <w:t>2-</w:t>
            </w:r>
            <w:r>
              <w:rPr>
                <w:color w:val="auto"/>
              </w:rPr>
              <w:t>、HCO</w:t>
            </w:r>
            <w:r>
              <w:rPr>
                <w:color w:val="auto"/>
                <w:vertAlign w:val="subscript"/>
              </w:rPr>
              <w:t>3</w:t>
            </w:r>
            <w:r>
              <w:rPr>
                <w:color w:val="auto"/>
                <w:vertAlign w:val="superscript"/>
              </w:rPr>
              <w:t>-</w:t>
            </w:r>
            <w:r>
              <w:rPr>
                <w:color w:val="auto"/>
              </w:rPr>
              <w:t>、Cl</w:t>
            </w:r>
            <w:r>
              <w:rPr>
                <w:color w:val="auto"/>
                <w:vertAlign w:val="superscript"/>
              </w:rPr>
              <w:t>-</w:t>
            </w:r>
            <w:r>
              <w:rPr>
                <w:color w:val="auto"/>
              </w:rPr>
              <w:t>、SO</w:t>
            </w:r>
            <w:r>
              <w:rPr>
                <w:color w:val="auto"/>
                <w:vertAlign w:val="subscript"/>
              </w:rPr>
              <w:t>4</w:t>
            </w:r>
            <w:r>
              <w:rPr>
                <w:color w:val="auto"/>
                <w:vertAlign w:val="superscript"/>
              </w:rPr>
              <w:t>2-</w:t>
            </w:r>
          </w:p>
        </w:tc>
        <w:tc>
          <w:tcPr>
            <w:tcW w:w="919" w:type="dxa"/>
            <w:vMerge w:val="restart"/>
            <w:vAlign w:val="center"/>
          </w:tcPr>
          <w:p>
            <w:pPr>
              <w:pStyle w:val="164"/>
              <w:rPr>
                <w:color w:val="auto"/>
              </w:rPr>
            </w:pPr>
            <w:r>
              <w:rPr>
                <w:color w:val="auto"/>
              </w:rPr>
              <w:t>检测1次，1天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51" w:hRule="atLeast"/>
          <w:jc w:val="center"/>
        </w:trPr>
        <w:tc>
          <w:tcPr>
            <w:tcW w:w="999" w:type="dxa"/>
            <w:vAlign w:val="center"/>
          </w:tcPr>
          <w:p>
            <w:pPr>
              <w:pStyle w:val="164"/>
              <w:rPr>
                <w:color w:val="auto"/>
              </w:rPr>
            </w:pPr>
            <w:r>
              <w:rPr>
                <w:color w:val="auto"/>
              </w:rPr>
              <w:t>2#</w:t>
            </w:r>
          </w:p>
        </w:tc>
        <w:tc>
          <w:tcPr>
            <w:tcW w:w="1166" w:type="dxa"/>
            <w:vAlign w:val="center"/>
          </w:tcPr>
          <w:p>
            <w:pPr>
              <w:pStyle w:val="164"/>
              <w:rPr>
                <w:color w:val="auto"/>
              </w:rPr>
            </w:pPr>
            <w:r>
              <w:rPr>
                <w:color w:val="auto"/>
              </w:rPr>
              <w:t>本项目</w:t>
            </w:r>
          </w:p>
          <w:p>
            <w:pPr>
              <w:pStyle w:val="164"/>
              <w:rPr>
                <w:color w:val="auto"/>
              </w:rPr>
            </w:pPr>
            <w:r>
              <w:rPr>
                <w:color w:val="auto"/>
              </w:rPr>
              <w:t>厂址内</w:t>
            </w:r>
          </w:p>
        </w:tc>
        <w:tc>
          <w:tcPr>
            <w:tcW w:w="2232" w:type="dxa"/>
            <w:vAlign w:val="center"/>
          </w:tcPr>
          <w:p>
            <w:pPr>
              <w:pStyle w:val="164"/>
              <w:rPr>
                <w:color w:val="auto"/>
              </w:rPr>
            </w:pPr>
            <w:r>
              <w:rPr>
                <w:color w:val="auto"/>
              </w:rPr>
              <w:t>E：105°15'26.87"</w:t>
            </w:r>
          </w:p>
          <w:p>
            <w:pPr>
              <w:pStyle w:val="164"/>
              <w:rPr>
                <w:color w:val="auto"/>
              </w:rPr>
            </w:pPr>
            <w:r>
              <w:rPr>
                <w:color w:val="auto"/>
              </w:rPr>
              <w:t>N：37°26'32.17"</w:t>
            </w:r>
          </w:p>
        </w:tc>
        <w:tc>
          <w:tcPr>
            <w:tcW w:w="3500" w:type="dxa"/>
            <w:vMerge w:val="continue"/>
            <w:vAlign w:val="center"/>
          </w:tcPr>
          <w:p>
            <w:pPr>
              <w:pStyle w:val="164"/>
              <w:rPr>
                <w:color w:val="auto"/>
              </w:rPr>
            </w:pPr>
          </w:p>
        </w:tc>
        <w:tc>
          <w:tcPr>
            <w:tcW w:w="919" w:type="dxa"/>
            <w:vMerge w:val="continue"/>
            <w:vAlign w:val="center"/>
          </w:tcPr>
          <w:p>
            <w:pPr>
              <w:pStyle w:val="164"/>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51" w:hRule="atLeast"/>
          <w:jc w:val="center"/>
        </w:trPr>
        <w:tc>
          <w:tcPr>
            <w:tcW w:w="999" w:type="dxa"/>
            <w:vAlign w:val="center"/>
          </w:tcPr>
          <w:p>
            <w:pPr>
              <w:pStyle w:val="164"/>
              <w:rPr>
                <w:color w:val="auto"/>
              </w:rPr>
            </w:pPr>
            <w:r>
              <w:rPr>
                <w:color w:val="auto"/>
              </w:rPr>
              <w:t>3#</w:t>
            </w:r>
          </w:p>
        </w:tc>
        <w:tc>
          <w:tcPr>
            <w:tcW w:w="1166" w:type="dxa"/>
            <w:vAlign w:val="center"/>
          </w:tcPr>
          <w:p>
            <w:pPr>
              <w:pStyle w:val="164"/>
              <w:rPr>
                <w:color w:val="auto"/>
              </w:rPr>
            </w:pPr>
            <w:r>
              <w:rPr>
                <w:color w:val="auto"/>
              </w:rPr>
              <w:t>侧游</w:t>
            </w:r>
          </w:p>
        </w:tc>
        <w:tc>
          <w:tcPr>
            <w:tcW w:w="2232" w:type="dxa"/>
            <w:vAlign w:val="center"/>
          </w:tcPr>
          <w:p>
            <w:pPr>
              <w:pStyle w:val="164"/>
              <w:rPr>
                <w:color w:val="auto"/>
              </w:rPr>
            </w:pPr>
            <w:r>
              <w:rPr>
                <w:color w:val="auto"/>
              </w:rPr>
              <w:t>E：105°15'30.85"</w:t>
            </w:r>
          </w:p>
          <w:p>
            <w:pPr>
              <w:pStyle w:val="164"/>
              <w:rPr>
                <w:color w:val="auto"/>
              </w:rPr>
            </w:pPr>
            <w:r>
              <w:rPr>
                <w:color w:val="auto"/>
              </w:rPr>
              <w:t>N：37°26'29.04"</w:t>
            </w:r>
          </w:p>
        </w:tc>
        <w:tc>
          <w:tcPr>
            <w:tcW w:w="3500" w:type="dxa"/>
            <w:vMerge w:val="continue"/>
            <w:vAlign w:val="center"/>
          </w:tcPr>
          <w:p>
            <w:pPr>
              <w:pStyle w:val="164"/>
              <w:rPr>
                <w:color w:val="auto"/>
              </w:rPr>
            </w:pPr>
          </w:p>
        </w:tc>
        <w:tc>
          <w:tcPr>
            <w:tcW w:w="919" w:type="dxa"/>
            <w:vMerge w:val="continue"/>
            <w:vAlign w:val="center"/>
          </w:tcPr>
          <w:p>
            <w:pPr>
              <w:pStyle w:val="164"/>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51" w:hRule="atLeast"/>
          <w:jc w:val="center"/>
        </w:trPr>
        <w:tc>
          <w:tcPr>
            <w:tcW w:w="999" w:type="dxa"/>
            <w:vAlign w:val="center"/>
          </w:tcPr>
          <w:p>
            <w:pPr>
              <w:pStyle w:val="164"/>
              <w:rPr>
                <w:color w:val="auto"/>
              </w:rPr>
            </w:pPr>
            <w:r>
              <w:rPr>
                <w:color w:val="auto"/>
              </w:rPr>
              <w:t>4#</w:t>
            </w:r>
          </w:p>
        </w:tc>
        <w:tc>
          <w:tcPr>
            <w:tcW w:w="1166" w:type="dxa"/>
            <w:vAlign w:val="center"/>
          </w:tcPr>
          <w:p>
            <w:pPr>
              <w:pStyle w:val="164"/>
              <w:rPr>
                <w:color w:val="auto"/>
              </w:rPr>
            </w:pPr>
            <w:r>
              <w:rPr>
                <w:color w:val="auto"/>
              </w:rPr>
              <w:t>下游</w:t>
            </w:r>
          </w:p>
        </w:tc>
        <w:tc>
          <w:tcPr>
            <w:tcW w:w="2232" w:type="dxa"/>
            <w:vAlign w:val="center"/>
          </w:tcPr>
          <w:p>
            <w:pPr>
              <w:pStyle w:val="164"/>
              <w:rPr>
                <w:color w:val="auto"/>
              </w:rPr>
            </w:pPr>
            <w:r>
              <w:rPr>
                <w:color w:val="auto"/>
              </w:rPr>
              <w:t>E：105°15'49.86"</w:t>
            </w:r>
          </w:p>
          <w:p>
            <w:pPr>
              <w:pStyle w:val="164"/>
              <w:rPr>
                <w:color w:val="auto"/>
              </w:rPr>
            </w:pPr>
            <w:r>
              <w:rPr>
                <w:color w:val="auto"/>
              </w:rPr>
              <w:t>N：37°26'57.17"</w:t>
            </w:r>
          </w:p>
        </w:tc>
        <w:tc>
          <w:tcPr>
            <w:tcW w:w="3500" w:type="dxa"/>
            <w:vMerge w:val="continue"/>
            <w:vAlign w:val="center"/>
          </w:tcPr>
          <w:p>
            <w:pPr>
              <w:pStyle w:val="164"/>
              <w:rPr>
                <w:color w:val="auto"/>
              </w:rPr>
            </w:pPr>
          </w:p>
        </w:tc>
        <w:tc>
          <w:tcPr>
            <w:tcW w:w="919" w:type="dxa"/>
            <w:vMerge w:val="continue"/>
            <w:vAlign w:val="center"/>
          </w:tcPr>
          <w:p>
            <w:pPr>
              <w:pStyle w:val="164"/>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86" w:hRule="atLeast"/>
          <w:jc w:val="center"/>
        </w:trPr>
        <w:tc>
          <w:tcPr>
            <w:tcW w:w="999" w:type="dxa"/>
            <w:vAlign w:val="center"/>
          </w:tcPr>
          <w:p>
            <w:pPr>
              <w:pStyle w:val="164"/>
              <w:rPr>
                <w:color w:val="auto"/>
              </w:rPr>
            </w:pPr>
            <w:r>
              <w:rPr>
                <w:color w:val="auto"/>
              </w:rPr>
              <w:t>5#</w:t>
            </w:r>
          </w:p>
        </w:tc>
        <w:tc>
          <w:tcPr>
            <w:tcW w:w="1166" w:type="dxa"/>
            <w:vAlign w:val="center"/>
          </w:tcPr>
          <w:p>
            <w:pPr>
              <w:pStyle w:val="164"/>
              <w:rPr>
                <w:color w:val="auto"/>
              </w:rPr>
            </w:pPr>
            <w:r>
              <w:rPr>
                <w:color w:val="auto"/>
              </w:rPr>
              <w:t>下游</w:t>
            </w:r>
          </w:p>
        </w:tc>
        <w:tc>
          <w:tcPr>
            <w:tcW w:w="2232" w:type="dxa"/>
            <w:vAlign w:val="center"/>
          </w:tcPr>
          <w:p>
            <w:pPr>
              <w:pStyle w:val="164"/>
              <w:rPr>
                <w:color w:val="auto"/>
              </w:rPr>
            </w:pPr>
            <w:r>
              <w:rPr>
                <w:color w:val="auto"/>
              </w:rPr>
              <w:t>E：105°15'49.03"</w:t>
            </w:r>
          </w:p>
          <w:p>
            <w:pPr>
              <w:pStyle w:val="164"/>
              <w:rPr>
                <w:color w:val="auto"/>
              </w:rPr>
            </w:pPr>
            <w:r>
              <w:rPr>
                <w:color w:val="auto"/>
              </w:rPr>
              <w:t>N：37°27'1.34"</w:t>
            </w:r>
          </w:p>
        </w:tc>
        <w:tc>
          <w:tcPr>
            <w:tcW w:w="3500" w:type="dxa"/>
            <w:vMerge w:val="continue"/>
            <w:vAlign w:val="center"/>
          </w:tcPr>
          <w:p>
            <w:pPr>
              <w:pStyle w:val="164"/>
              <w:rPr>
                <w:color w:val="auto"/>
              </w:rPr>
            </w:pPr>
          </w:p>
        </w:tc>
        <w:tc>
          <w:tcPr>
            <w:tcW w:w="919" w:type="dxa"/>
            <w:vMerge w:val="continue"/>
            <w:vAlign w:val="center"/>
          </w:tcPr>
          <w:p>
            <w:pPr>
              <w:pStyle w:val="164"/>
              <w:rPr>
                <w:color w:val="auto"/>
              </w:rPr>
            </w:pPr>
          </w:p>
        </w:tc>
      </w:tr>
    </w:tbl>
    <w:p>
      <w:pPr>
        <w:pStyle w:val="5"/>
        <w:numPr>
          <w:ilvl w:val="2"/>
          <w:numId w:val="0"/>
        </w:numPr>
        <w:spacing w:before="120" w:beforeLines="50"/>
        <w:rPr>
          <w:color w:val="auto"/>
        </w:rPr>
      </w:pPr>
      <w:bookmarkStart w:id="346" w:name="_Toc11595360"/>
      <w:bookmarkStart w:id="347" w:name="_Toc109398648"/>
      <w:r>
        <w:rPr>
          <w:color w:val="auto"/>
        </w:rPr>
        <w:t>6.3.2监测分析方法</w:t>
      </w:r>
      <w:bookmarkEnd w:id="346"/>
      <w:bookmarkEnd w:id="347"/>
    </w:p>
    <w:p>
      <w:pPr>
        <w:pStyle w:val="130"/>
        <w:ind w:firstLine="480"/>
        <w:rPr>
          <w:color w:val="auto"/>
        </w:rPr>
      </w:pPr>
      <w:r>
        <w:rPr>
          <w:color w:val="auto"/>
        </w:rPr>
        <w:t>地下水监测方法见表6.3-2。</w:t>
      </w:r>
    </w:p>
    <w:p>
      <w:pPr>
        <w:jc w:val="center"/>
        <w:rPr>
          <w:rFonts w:eastAsiaTheme="minorEastAsia"/>
          <w:b/>
          <w:color w:val="auto"/>
          <w:sz w:val="24"/>
          <w:szCs w:val="24"/>
        </w:rPr>
      </w:pPr>
      <w:r>
        <w:rPr>
          <w:rFonts w:eastAsiaTheme="minorEastAsia"/>
          <w:b/>
          <w:color w:val="auto"/>
          <w:sz w:val="24"/>
          <w:szCs w:val="24"/>
        </w:rPr>
        <w:t>表6.3-2  地下水环境质量现状监测分析方法</w:t>
      </w:r>
    </w:p>
    <w:tbl>
      <w:tblPr>
        <w:tblStyle w:val="74"/>
        <w:tblW w:w="872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4"/>
        <w:gridCol w:w="4161"/>
        <w:gridCol w:w="1973"/>
        <w:gridCol w:w="14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3" w:hRule="atLeast"/>
          <w:jc w:val="center"/>
        </w:trPr>
        <w:tc>
          <w:tcPr>
            <w:tcW w:w="1104" w:type="dxa"/>
            <w:vAlign w:val="center"/>
          </w:tcPr>
          <w:p>
            <w:pPr>
              <w:pStyle w:val="164"/>
              <w:rPr>
                <w:color w:val="auto"/>
              </w:rPr>
            </w:pPr>
            <w:bookmarkStart w:id="348" w:name="_Toc11595361"/>
            <w:r>
              <w:rPr>
                <w:color w:val="auto"/>
              </w:rPr>
              <w:t>项目</w:t>
            </w:r>
          </w:p>
        </w:tc>
        <w:tc>
          <w:tcPr>
            <w:tcW w:w="4161" w:type="dxa"/>
            <w:vAlign w:val="center"/>
          </w:tcPr>
          <w:p>
            <w:pPr>
              <w:pStyle w:val="164"/>
              <w:rPr>
                <w:color w:val="auto"/>
              </w:rPr>
            </w:pPr>
            <w:r>
              <w:rPr>
                <w:color w:val="auto"/>
              </w:rPr>
              <w:t>方法名称</w:t>
            </w:r>
          </w:p>
        </w:tc>
        <w:tc>
          <w:tcPr>
            <w:tcW w:w="1973" w:type="dxa"/>
            <w:vAlign w:val="center"/>
          </w:tcPr>
          <w:p>
            <w:pPr>
              <w:pStyle w:val="164"/>
              <w:rPr>
                <w:color w:val="auto"/>
              </w:rPr>
            </w:pPr>
            <w:r>
              <w:rPr>
                <w:color w:val="auto"/>
              </w:rPr>
              <w:t>方法依据</w:t>
            </w:r>
          </w:p>
        </w:tc>
        <w:tc>
          <w:tcPr>
            <w:tcW w:w="1482" w:type="dxa"/>
            <w:vAlign w:val="center"/>
          </w:tcPr>
          <w:p>
            <w:pPr>
              <w:pStyle w:val="164"/>
              <w:rPr>
                <w:color w:val="auto"/>
              </w:rPr>
            </w:pPr>
            <w:r>
              <w:rPr>
                <w:color w:val="auto"/>
              </w:rPr>
              <w:t>检出限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pH</w:t>
            </w:r>
          </w:p>
        </w:tc>
        <w:tc>
          <w:tcPr>
            <w:tcW w:w="4161" w:type="dxa"/>
            <w:vAlign w:val="center"/>
          </w:tcPr>
          <w:p>
            <w:pPr>
              <w:pStyle w:val="164"/>
              <w:rPr>
                <w:color w:val="auto"/>
              </w:rPr>
            </w:pPr>
            <w:r>
              <w:rPr>
                <w:color w:val="auto"/>
              </w:rPr>
              <w:t>《pH 便携式pH计法》</w:t>
            </w:r>
          </w:p>
        </w:tc>
        <w:tc>
          <w:tcPr>
            <w:tcW w:w="1973" w:type="dxa"/>
            <w:vAlign w:val="center"/>
          </w:tcPr>
          <w:p>
            <w:pPr>
              <w:pStyle w:val="164"/>
              <w:rPr>
                <w:color w:val="auto"/>
              </w:rPr>
            </w:pPr>
            <w:r>
              <w:rPr>
                <w:color w:val="auto"/>
              </w:rPr>
              <w:t>《水和废水监测分析方法》（第四版）国家环境保护总局（2002年）</w:t>
            </w:r>
          </w:p>
        </w:tc>
        <w:tc>
          <w:tcPr>
            <w:tcW w:w="1482" w:type="dxa"/>
            <w:vAlign w:val="center"/>
          </w:tcPr>
          <w:p>
            <w:pPr>
              <w:pStyle w:val="164"/>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7" w:hRule="atLeast"/>
          <w:jc w:val="center"/>
        </w:trPr>
        <w:tc>
          <w:tcPr>
            <w:tcW w:w="1104" w:type="dxa"/>
            <w:vAlign w:val="center"/>
          </w:tcPr>
          <w:p>
            <w:pPr>
              <w:pStyle w:val="164"/>
              <w:rPr>
                <w:color w:val="auto"/>
              </w:rPr>
            </w:pPr>
            <w:r>
              <w:rPr>
                <w:color w:val="auto"/>
              </w:rPr>
              <w:t>总硬度</w:t>
            </w:r>
          </w:p>
        </w:tc>
        <w:tc>
          <w:tcPr>
            <w:tcW w:w="4161" w:type="dxa"/>
            <w:vAlign w:val="center"/>
          </w:tcPr>
          <w:p>
            <w:pPr>
              <w:pStyle w:val="164"/>
              <w:rPr>
                <w:color w:val="auto"/>
              </w:rPr>
            </w:pPr>
            <w:r>
              <w:rPr>
                <w:color w:val="auto"/>
              </w:rPr>
              <w:t xml:space="preserve">《水质 钙和镁总量的测定 </w:t>
            </w:r>
            <w:r>
              <w:rPr>
                <w:color w:val="auto"/>
              </w:rPr>
              <w:br w:type="page"/>
            </w:r>
            <w:r>
              <w:rPr>
                <w:color w:val="auto"/>
              </w:rPr>
              <w:t>EDTA滴定法》</w:t>
            </w:r>
          </w:p>
        </w:tc>
        <w:tc>
          <w:tcPr>
            <w:tcW w:w="1973" w:type="dxa"/>
            <w:vAlign w:val="center"/>
          </w:tcPr>
          <w:p>
            <w:pPr>
              <w:pStyle w:val="164"/>
              <w:rPr>
                <w:color w:val="auto"/>
              </w:rPr>
            </w:pPr>
            <w:r>
              <w:rPr>
                <w:color w:val="auto"/>
              </w:rPr>
              <w:t>GB 7477-87</w:t>
            </w:r>
          </w:p>
        </w:tc>
        <w:tc>
          <w:tcPr>
            <w:tcW w:w="1482" w:type="dxa"/>
            <w:vAlign w:val="center"/>
          </w:tcPr>
          <w:p>
            <w:pPr>
              <w:pStyle w:val="164"/>
              <w:rPr>
                <w:color w:val="auto"/>
              </w:rPr>
            </w:pPr>
            <w:r>
              <w:rPr>
                <w:color w:val="auto"/>
              </w:rPr>
              <w:t>0.05mmol/L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溶解性</w:t>
            </w:r>
          </w:p>
          <w:p>
            <w:pPr>
              <w:pStyle w:val="164"/>
              <w:rPr>
                <w:color w:val="auto"/>
              </w:rPr>
            </w:pPr>
            <w:r>
              <w:rPr>
                <w:color w:val="auto"/>
              </w:rPr>
              <w:t>总固体</w:t>
            </w:r>
          </w:p>
        </w:tc>
        <w:tc>
          <w:tcPr>
            <w:tcW w:w="4161" w:type="dxa"/>
            <w:vAlign w:val="center"/>
          </w:tcPr>
          <w:p>
            <w:pPr>
              <w:pStyle w:val="164"/>
              <w:rPr>
                <w:color w:val="auto"/>
              </w:rPr>
            </w:pPr>
            <w:r>
              <w:rPr>
                <w:color w:val="auto"/>
              </w:rPr>
              <w:t>《生活饮用水标准检验方法 感官性状和物理指标(8.1称量法)》</w:t>
            </w:r>
          </w:p>
        </w:tc>
        <w:tc>
          <w:tcPr>
            <w:tcW w:w="1973" w:type="dxa"/>
            <w:vAlign w:val="center"/>
          </w:tcPr>
          <w:p>
            <w:pPr>
              <w:pStyle w:val="164"/>
              <w:rPr>
                <w:color w:val="auto"/>
              </w:rPr>
            </w:pPr>
            <w:r>
              <w:rPr>
                <w:color w:val="auto"/>
              </w:rPr>
              <w:t>GB/T 5750.4-2006</w:t>
            </w:r>
          </w:p>
        </w:tc>
        <w:tc>
          <w:tcPr>
            <w:tcW w:w="1482" w:type="dxa"/>
            <w:vAlign w:val="center"/>
          </w:tcPr>
          <w:p>
            <w:pPr>
              <w:pStyle w:val="164"/>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硫酸盐</w:t>
            </w:r>
          </w:p>
        </w:tc>
        <w:tc>
          <w:tcPr>
            <w:tcW w:w="4161" w:type="dxa"/>
            <w:vAlign w:val="center"/>
          </w:tcPr>
          <w:p>
            <w:pPr>
              <w:pStyle w:val="164"/>
              <w:rPr>
                <w:color w:val="auto"/>
              </w:rPr>
            </w:pPr>
            <w:r>
              <w:rPr>
                <w:color w:val="auto"/>
              </w:rPr>
              <w:t>《水质 硫酸盐的测定 铬酸钡分光光度法（试行》）</w:t>
            </w:r>
          </w:p>
        </w:tc>
        <w:tc>
          <w:tcPr>
            <w:tcW w:w="1973" w:type="dxa"/>
            <w:vAlign w:val="center"/>
          </w:tcPr>
          <w:p>
            <w:pPr>
              <w:pStyle w:val="164"/>
              <w:rPr>
                <w:color w:val="auto"/>
              </w:rPr>
            </w:pPr>
            <w:r>
              <w:rPr>
                <w:color w:val="auto"/>
              </w:rPr>
              <w:t>HJ/T 342-2007</w:t>
            </w:r>
          </w:p>
        </w:tc>
        <w:tc>
          <w:tcPr>
            <w:tcW w:w="1482" w:type="dxa"/>
            <w:vAlign w:val="center"/>
          </w:tcPr>
          <w:p>
            <w:pPr>
              <w:pStyle w:val="164"/>
              <w:rPr>
                <w:color w:val="auto"/>
              </w:rPr>
            </w:pPr>
            <w:r>
              <w:rPr>
                <w:color w:val="auto"/>
              </w:rPr>
              <w:t>8 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1104" w:type="dxa"/>
            <w:vAlign w:val="center"/>
          </w:tcPr>
          <w:p>
            <w:pPr>
              <w:pStyle w:val="164"/>
              <w:rPr>
                <w:color w:val="auto"/>
              </w:rPr>
            </w:pPr>
            <w:r>
              <w:rPr>
                <w:color w:val="auto"/>
              </w:rPr>
              <w:t>氯化物</w:t>
            </w:r>
          </w:p>
        </w:tc>
        <w:tc>
          <w:tcPr>
            <w:tcW w:w="4161" w:type="dxa"/>
            <w:vAlign w:val="center"/>
          </w:tcPr>
          <w:p>
            <w:pPr>
              <w:pStyle w:val="164"/>
              <w:rPr>
                <w:color w:val="auto"/>
              </w:rPr>
            </w:pPr>
            <w:r>
              <w:rPr>
                <w:color w:val="auto"/>
              </w:rPr>
              <w:t>《水质 氯化物的测定 硝酸银滴定法》</w:t>
            </w:r>
          </w:p>
        </w:tc>
        <w:tc>
          <w:tcPr>
            <w:tcW w:w="1973" w:type="dxa"/>
            <w:vAlign w:val="center"/>
          </w:tcPr>
          <w:p>
            <w:pPr>
              <w:pStyle w:val="164"/>
              <w:rPr>
                <w:color w:val="auto"/>
              </w:rPr>
            </w:pPr>
            <w:r>
              <w:rPr>
                <w:color w:val="auto"/>
              </w:rPr>
              <w:t>GB 11896-1989</w:t>
            </w:r>
          </w:p>
        </w:tc>
        <w:tc>
          <w:tcPr>
            <w:tcW w:w="1482" w:type="dxa"/>
            <w:vAlign w:val="center"/>
          </w:tcPr>
          <w:p>
            <w:pPr>
              <w:pStyle w:val="164"/>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铁</w:t>
            </w:r>
          </w:p>
        </w:tc>
        <w:tc>
          <w:tcPr>
            <w:tcW w:w="4161" w:type="dxa"/>
            <w:vAlign w:val="center"/>
          </w:tcPr>
          <w:p>
            <w:pPr>
              <w:pStyle w:val="164"/>
              <w:rPr>
                <w:color w:val="auto"/>
              </w:rPr>
            </w:pPr>
            <w:r>
              <w:rPr>
                <w:color w:val="auto"/>
              </w:rPr>
              <w:t>《水质 铁、锰的测定 火焰原子吸收分光光度法》</w:t>
            </w:r>
          </w:p>
        </w:tc>
        <w:tc>
          <w:tcPr>
            <w:tcW w:w="1973" w:type="dxa"/>
            <w:vAlign w:val="center"/>
          </w:tcPr>
          <w:p>
            <w:pPr>
              <w:pStyle w:val="164"/>
              <w:rPr>
                <w:color w:val="auto"/>
              </w:rPr>
            </w:pPr>
            <w:r>
              <w:rPr>
                <w:color w:val="auto"/>
              </w:rPr>
              <w:t>GB 11911-89</w:t>
            </w:r>
          </w:p>
        </w:tc>
        <w:tc>
          <w:tcPr>
            <w:tcW w:w="1482" w:type="dxa"/>
            <w:vAlign w:val="center"/>
          </w:tcPr>
          <w:p>
            <w:pPr>
              <w:pStyle w:val="164"/>
              <w:rPr>
                <w:color w:val="auto"/>
              </w:rPr>
            </w:pPr>
            <w:r>
              <w:rPr>
                <w:color w:val="auto"/>
              </w:rPr>
              <w:t>0.03mg/L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锰</w:t>
            </w:r>
          </w:p>
        </w:tc>
        <w:tc>
          <w:tcPr>
            <w:tcW w:w="4161" w:type="dxa"/>
            <w:vAlign w:val="center"/>
          </w:tcPr>
          <w:p>
            <w:pPr>
              <w:pStyle w:val="164"/>
              <w:rPr>
                <w:color w:val="auto"/>
              </w:rPr>
            </w:pPr>
            <w:r>
              <w:rPr>
                <w:color w:val="auto"/>
              </w:rPr>
              <w:t>《水质 铁、锰的测定 火焰原子吸收分光光度法》</w:t>
            </w:r>
          </w:p>
        </w:tc>
        <w:tc>
          <w:tcPr>
            <w:tcW w:w="1973" w:type="dxa"/>
            <w:vAlign w:val="center"/>
          </w:tcPr>
          <w:p>
            <w:pPr>
              <w:pStyle w:val="164"/>
              <w:rPr>
                <w:color w:val="auto"/>
              </w:rPr>
            </w:pPr>
            <w:r>
              <w:rPr>
                <w:color w:val="auto"/>
              </w:rPr>
              <w:t>GB 11911-89</w:t>
            </w:r>
          </w:p>
        </w:tc>
        <w:tc>
          <w:tcPr>
            <w:tcW w:w="1482" w:type="dxa"/>
            <w:vAlign w:val="center"/>
          </w:tcPr>
          <w:p>
            <w:pPr>
              <w:pStyle w:val="164"/>
              <w:rPr>
                <w:color w:val="auto"/>
              </w:rPr>
            </w:pPr>
            <w:r>
              <w:rPr>
                <w:color w:val="auto"/>
              </w:rPr>
              <w:t>0.01mg/L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挥发性</w:t>
            </w:r>
          </w:p>
          <w:p>
            <w:pPr>
              <w:pStyle w:val="164"/>
              <w:rPr>
                <w:color w:val="auto"/>
              </w:rPr>
            </w:pPr>
            <w:r>
              <w:rPr>
                <w:color w:val="auto"/>
              </w:rPr>
              <w:t>酚类</w:t>
            </w:r>
          </w:p>
        </w:tc>
        <w:tc>
          <w:tcPr>
            <w:tcW w:w="4161" w:type="dxa"/>
            <w:vAlign w:val="center"/>
          </w:tcPr>
          <w:p>
            <w:pPr>
              <w:pStyle w:val="164"/>
              <w:rPr>
                <w:color w:val="auto"/>
              </w:rPr>
            </w:pPr>
            <w:r>
              <w:rPr>
                <w:color w:val="auto"/>
              </w:rPr>
              <w:t>《水质 挥发酚的测定 4-氨基安替吡啉分光光度法》</w:t>
            </w:r>
          </w:p>
        </w:tc>
        <w:tc>
          <w:tcPr>
            <w:tcW w:w="1973" w:type="dxa"/>
            <w:vAlign w:val="center"/>
          </w:tcPr>
          <w:p>
            <w:pPr>
              <w:pStyle w:val="164"/>
              <w:rPr>
                <w:color w:val="auto"/>
              </w:rPr>
            </w:pPr>
            <w:r>
              <w:rPr>
                <w:color w:val="auto"/>
              </w:rPr>
              <w:t>HJ 503-2009</w:t>
            </w:r>
          </w:p>
        </w:tc>
        <w:tc>
          <w:tcPr>
            <w:tcW w:w="1482" w:type="dxa"/>
            <w:vAlign w:val="center"/>
          </w:tcPr>
          <w:p>
            <w:pPr>
              <w:pStyle w:val="164"/>
              <w:rPr>
                <w:color w:val="auto"/>
              </w:rPr>
            </w:pPr>
            <w:r>
              <w:rPr>
                <w:color w:val="auto"/>
              </w:rPr>
              <w:t>0.0003mg/L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耗氧量</w:t>
            </w:r>
          </w:p>
        </w:tc>
        <w:tc>
          <w:tcPr>
            <w:tcW w:w="4161" w:type="dxa"/>
            <w:vAlign w:val="center"/>
          </w:tcPr>
          <w:p>
            <w:pPr>
              <w:pStyle w:val="164"/>
              <w:rPr>
                <w:color w:val="auto"/>
              </w:rPr>
            </w:pPr>
            <w:r>
              <w:rPr>
                <w:color w:val="auto"/>
              </w:rPr>
              <w:t>《水质 耗氧量（高锰酸盐指数）的测定 滴定法》</w:t>
            </w:r>
          </w:p>
        </w:tc>
        <w:tc>
          <w:tcPr>
            <w:tcW w:w="1973" w:type="dxa"/>
            <w:vAlign w:val="center"/>
          </w:tcPr>
          <w:p>
            <w:pPr>
              <w:pStyle w:val="164"/>
              <w:rPr>
                <w:color w:val="auto"/>
              </w:rPr>
            </w:pPr>
            <w:r>
              <w:rPr>
                <w:color w:val="auto"/>
              </w:rPr>
              <w:t>GB 11892-89</w:t>
            </w:r>
          </w:p>
        </w:tc>
        <w:tc>
          <w:tcPr>
            <w:tcW w:w="1482" w:type="dxa"/>
            <w:vAlign w:val="center"/>
          </w:tcPr>
          <w:p>
            <w:pPr>
              <w:pStyle w:val="164"/>
              <w:rPr>
                <w:color w:val="auto"/>
              </w:rPr>
            </w:pPr>
            <w:r>
              <w:rPr>
                <w:color w:val="auto"/>
              </w:rPr>
              <w:t>0.5 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1" w:hRule="atLeast"/>
          <w:jc w:val="center"/>
        </w:trPr>
        <w:tc>
          <w:tcPr>
            <w:tcW w:w="1104" w:type="dxa"/>
            <w:vAlign w:val="center"/>
          </w:tcPr>
          <w:p>
            <w:pPr>
              <w:pStyle w:val="164"/>
              <w:rPr>
                <w:color w:val="auto"/>
              </w:rPr>
            </w:pPr>
            <w:r>
              <w:rPr>
                <w:color w:val="auto"/>
              </w:rPr>
              <w:t>硝酸盐</w:t>
            </w:r>
          </w:p>
        </w:tc>
        <w:tc>
          <w:tcPr>
            <w:tcW w:w="4161" w:type="dxa"/>
            <w:vAlign w:val="center"/>
          </w:tcPr>
          <w:p>
            <w:pPr>
              <w:pStyle w:val="164"/>
              <w:rPr>
                <w:color w:val="auto"/>
              </w:rPr>
            </w:pPr>
            <w:r>
              <w:rPr>
                <w:color w:val="auto"/>
              </w:rPr>
              <w:t>《水质 亚硝酸盐氮的测定</w:t>
            </w:r>
            <w:r>
              <w:rPr>
                <w:color w:val="auto"/>
              </w:rPr>
              <w:br w:type="page"/>
            </w:r>
            <w:r>
              <w:rPr>
                <w:color w:val="auto"/>
              </w:rPr>
              <w:t xml:space="preserve"> 分光光度法》</w:t>
            </w:r>
          </w:p>
        </w:tc>
        <w:tc>
          <w:tcPr>
            <w:tcW w:w="1973" w:type="dxa"/>
            <w:vAlign w:val="center"/>
          </w:tcPr>
          <w:p>
            <w:pPr>
              <w:pStyle w:val="164"/>
              <w:rPr>
                <w:color w:val="auto"/>
              </w:rPr>
            </w:pPr>
            <w:r>
              <w:rPr>
                <w:color w:val="auto"/>
              </w:rPr>
              <w:t>HJ/T 346-2007</w:t>
            </w:r>
          </w:p>
        </w:tc>
        <w:tc>
          <w:tcPr>
            <w:tcW w:w="1482" w:type="dxa"/>
            <w:vAlign w:val="center"/>
          </w:tcPr>
          <w:p>
            <w:pPr>
              <w:pStyle w:val="164"/>
              <w:rPr>
                <w:color w:val="auto"/>
              </w:rPr>
            </w:pPr>
            <w:r>
              <w:rPr>
                <w:color w:val="auto"/>
              </w:rPr>
              <w:t>0.08mg/L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1" w:hRule="atLeast"/>
          <w:jc w:val="center"/>
        </w:trPr>
        <w:tc>
          <w:tcPr>
            <w:tcW w:w="1104" w:type="dxa"/>
            <w:vAlign w:val="center"/>
          </w:tcPr>
          <w:p>
            <w:pPr>
              <w:pStyle w:val="164"/>
              <w:rPr>
                <w:color w:val="auto"/>
              </w:rPr>
            </w:pPr>
            <w:r>
              <w:rPr>
                <w:color w:val="auto"/>
              </w:rPr>
              <w:t>亚硝酸盐</w:t>
            </w:r>
          </w:p>
        </w:tc>
        <w:tc>
          <w:tcPr>
            <w:tcW w:w="4161" w:type="dxa"/>
            <w:vAlign w:val="center"/>
          </w:tcPr>
          <w:p>
            <w:pPr>
              <w:pStyle w:val="164"/>
              <w:rPr>
                <w:color w:val="auto"/>
              </w:rPr>
            </w:pPr>
            <w:r>
              <w:rPr>
                <w:color w:val="auto"/>
              </w:rPr>
              <w:t>《水质 硝酸盐氮的测定 紫外分光光度法》</w:t>
            </w:r>
          </w:p>
        </w:tc>
        <w:tc>
          <w:tcPr>
            <w:tcW w:w="1973" w:type="dxa"/>
            <w:vAlign w:val="center"/>
          </w:tcPr>
          <w:p>
            <w:pPr>
              <w:pStyle w:val="164"/>
              <w:rPr>
                <w:color w:val="auto"/>
              </w:rPr>
            </w:pPr>
            <w:r>
              <w:rPr>
                <w:color w:val="auto"/>
              </w:rPr>
              <w:t>GB 7493-87</w:t>
            </w:r>
          </w:p>
        </w:tc>
        <w:tc>
          <w:tcPr>
            <w:tcW w:w="1482" w:type="dxa"/>
            <w:vAlign w:val="center"/>
          </w:tcPr>
          <w:p>
            <w:pPr>
              <w:pStyle w:val="164"/>
              <w:rPr>
                <w:color w:val="auto"/>
              </w:rPr>
            </w:pPr>
            <w:r>
              <w:rPr>
                <w:color w:val="auto"/>
              </w:rPr>
              <w:t>0.003mg/L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90" w:hRule="atLeast"/>
          <w:jc w:val="center"/>
        </w:trPr>
        <w:tc>
          <w:tcPr>
            <w:tcW w:w="1104" w:type="dxa"/>
            <w:vAlign w:val="center"/>
          </w:tcPr>
          <w:p>
            <w:pPr>
              <w:pStyle w:val="164"/>
              <w:rPr>
                <w:color w:val="auto"/>
              </w:rPr>
            </w:pPr>
            <w:r>
              <w:rPr>
                <w:color w:val="auto"/>
              </w:rPr>
              <w:t>氨氮</w:t>
            </w:r>
          </w:p>
        </w:tc>
        <w:tc>
          <w:tcPr>
            <w:tcW w:w="4161" w:type="dxa"/>
            <w:vAlign w:val="center"/>
          </w:tcPr>
          <w:p>
            <w:pPr>
              <w:pStyle w:val="164"/>
              <w:rPr>
                <w:color w:val="auto"/>
              </w:rPr>
            </w:pPr>
            <w:r>
              <w:rPr>
                <w:color w:val="auto"/>
              </w:rPr>
              <w:t>《水质 氨氮的测定 纳氏试剂分光光度法》</w:t>
            </w:r>
          </w:p>
        </w:tc>
        <w:tc>
          <w:tcPr>
            <w:tcW w:w="1973" w:type="dxa"/>
            <w:vAlign w:val="center"/>
          </w:tcPr>
          <w:p>
            <w:pPr>
              <w:pStyle w:val="164"/>
              <w:rPr>
                <w:color w:val="auto"/>
              </w:rPr>
            </w:pPr>
            <w:r>
              <w:rPr>
                <w:color w:val="auto"/>
              </w:rPr>
              <w:t>HJ 535-2009</w:t>
            </w:r>
          </w:p>
        </w:tc>
        <w:tc>
          <w:tcPr>
            <w:tcW w:w="1482" w:type="dxa"/>
            <w:vAlign w:val="center"/>
          </w:tcPr>
          <w:p>
            <w:pPr>
              <w:pStyle w:val="164"/>
              <w:rPr>
                <w:color w:val="auto"/>
              </w:rPr>
            </w:pPr>
            <w:r>
              <w:rPr>
                <w:color w:val="auto"/>
              </w:rPr>
              <w:t>0.025mg/L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1" w:hRule="atLeast"/>
          <w:jc w:val="center"/>
        </w:trPr>
        <w:tc>
          <w:tcPr>
            <w:tcW w:w="1104" w:type="dxa"/>
            <w:vAlign w:val="center"/>
          </w:tcPr>
          <w:p>
            <w:pPr>
              <w:pStyle w:val="164"/>
              <w:rPr>
                <w:color w:val="auto"/>
              </w:rPr>
            </w:pPr>
            <w:r>
              <w:rPr>
                <w:color w:val="auto"/>
              </w:rPr>
              <w:t>氟化物</w:t>
            </w:r>
          </w:p>
        </w:tc>
        <w:tc>
          <w:tcPr>
            <w:tcW w:w="4161" w:type="dxa"/>
            <w:vAlign w:val="center"/>
          </w:tcPr>
          <w:p>
            <w:pPr>
              <w:pStyle w:val="164"/>
              <w:rPr>
                <w:color w:val="auto"/>
              </w:rPr>
            </w:pPr>
            <w:r>
              <w:rPr>
                <w:color w:val="auto"/>
              </w:rPr>
              <w:t>《水质 氟化物的测定 离子选择电极法》</w:t>
            </w:r>
          </w:p>
        </w:tc>
        <w:tc>
          <w:tcPr>
            <w:tcW w:w="1973" w:type="dxa"/>
            <w:vAlign w:val="center"/>
          </w:tcPr>
          <w:p>
            <w:pPr>
              <w:pStyle w:val="164"/>
              <w:rPr>
                <w:color w:val="auto"/>
              </w:rPr>
            </w:pPr>
            <w:r>
              <w:rPr>
                <w:color w:val="auto"/>
              </w:rPr>
              <w:t>GB 7484-87</w:t>
            </w:r>
          </w:p>
        </w:tc>
        <w:tc>
          <w:tcPr>
            <w:tcW w:w="1482" w:type="dxa"/>
            <w:vAlign w:val="center"/>
          </w:tcPr>
          <w:p>
            <w:pPr>
              <w:pStyle w:val="164"/>
              <w:rPr>
                <w:color w:val="auto"/>
              </w:rPr>
            </w:pPr>
            <w:r>
              <w:rPr>
                <w:color w:val="auto"/>
              </w:rPr>
              <w:t>0.05mg/L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3" w:hRule="atLeast"/>
          <w:jc w:val="center"/>
        </w:trPr>
        <w:tc>
          <w:tcPr>
            <w:tcW w:w="1104" w:type="dxa"/>
            <w:vAlign w:val="center"/>
          </w:tcPr>
          <w:p>
            <w:pPr>
              <w:pStyle w:val="164"/>
              <w:rPr>
                <w:color w:val="auto"/>
              </w:rPr>
            </w:pPr>
            <w:r>
              <w:rPr>
                <w:color w:val="auto"/>
              </w:rPr>
              <w:t>氰化物</w:t>
            </w:r>
          </w:p>
        </w:tc>
        <w:tc>
          <w:tcPr>
            <w:tcW w:w="4161" w:type="dxa"/>
            <w:vAlign w:val="center"/>
          </w:tcPr>
          <w:p>
            <w:pPr>
              <w:pStyle w:val="164"/>
              <w:rPr>
                <w:color w:val="auto"/>
              </w:rPr>
            </w:pPr>
            <w:r>
              <w:rPr>
                <w:color w:val="auto"/>
              </w:rPr>
              <w:t>《水质 氰化物的测定 分光光度法》</w:t>
            </w:r>
          </w:p>
        </w:tc>
        <w:tc>
          <w:tcPr>
            <w:tcW w:w="1973" w:type="dxa"/>
            <w:vAlign w:val="center"/>
          </w:tcPr>
          <w:p>
            <w:pPr>
              <w:pStyle w:val="164"/>
              <w:rPr>
                <w:color w:val="auto"/>
              </w:rPr>
            </w:pPr>
            <w:r>
              <w:rPr>
                <w:color w:val="auto"/>
              </w:rPr>
              <w:t>HJ 484-2009</w:t>
            </w:r>
          </w:p>
        </w:tc>
        <w:tc>
          <w:tcPr>
            <w:tcW w:w="1482" w:type="dxa"/>
            <w:vAlign w:val="center"/>
          </w:tcPr>
          <w:p>
            <w:pPr>
              <w:pStyle w:val="164"/>
              <w:rPr>
                <w:color w:val="auto"/>
              </w:rPr>
            </w:pPr>
            <w:r>
              <w:rPr>
                <w:color w:val="auto"/>
              </w:rPr>
              <w:t>0.004mg/L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汞</w:t>
            </w:r>
          </w:p>
        </w:tc>
        <w:tc>
          <w:tcPr>
            <w:tcW w:w="4161" w:type="dxa"/>
            <w:vAlign w:val="center"/>
          </w:tcPr>
          <w:p>
            <w:pPr>
              <w:pStyle w:val="164"/>
              <w:rPr>
                <w:color w:val="auto"/>
              </w:rPr>
            </w:pPr>
            <w:r>
              <w:rPr>
                <w:color w:val="auto"/>
              </w:rPr>
              <w:t>《水质 汞、砷、硒、铋和锑的测定 原子荧光法》</w:t>
            </w:r>
          </w:p>
        </w:tc>
        <w:tc>
          <w:tcPr>
            <w:tcW w:w="1973" w:type="dxa"/>
            <w:vAlign w:val="center"/>
          </w:tcPr>
          <w:p>
            <w:pPr>
              <w:pStyle w:val="164"/>
              <w:rPr>
                <w:color w:val="auto"/>
              </w:rPr>
            </w:pPr>
            <w:r>
              <w:rPr>
                <w:color w:val="auto"/>
              </w:rPr>
              <w:t>HJ 694-2014</w:t>
            </w:r>
          </w:p>
        </w:tc>
        <w:tc>
          <w:tcPr>
            <w:tcW w:w="1482" w:type="dxa"/>
            <w:vAlign w:val="center"/>
          </w:tcPr>
          <w:p>
            <w:pPr>
              <w:pStyle w:val="164"/>
              <w:rPr>
                <w:color w:val="auto"/>
              </w:rPr>
            </w:pPr>
            <w:r>
              <w:rPr>
                <w:color w:val="auto"/>
              </w:rPr>
              <w:t>4.00×10</w:t>
            </w:r>
            <w:r>
              <w:rPr>
                <w:color w:val="auto"/>
                <w:vertAlign w:val="superscript"/>
              </w:rPr>
              <w:t>-5</w:t>
            </w:r>
            <w:r>
              <w:rPr>
                <w:color w:val="auto"/>
              </w:rPr>
              <w:t>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砷</w:t>
            </w:r>
          </w:p>
        </w:tc>
        <w:tc>
          <w:tcPr>
            <w:tcW w:w="4161" w:type="dxa"/>
            <w:vAlign w:val="center"/>
          </w:tcPr>
          <w:p>
            <w:pPr>
              <w:pStyle w:val="164"/>
              <w:rPr>
                <w:color w:val="auto"/>
              </w:rPr>
            </w:pPr>
            <w:r>
              <w:rPr>
                <w:color w:val="auto"/>
              </w:rPr>
              <w:t>《水质 汞、砷、硒、铋和锑的测定 原子荧光法》</w:t>
            </w:r>
          </w:p>
        </w:tc>
        <w:tc>
          <w:tcPr>
            <w:tcW w:w="1973" w:type="dxa"/>
            <w:vAlign w:val="center"/>
          </w:tcPr>
          <w:p>
            <w:pPr>
              <w:pStyle w:val="164"/>
              <w:rPr>
                <w:color w:val="auto"/>
              </w:rPr>
            </w:pPr>
            <w:r>
              <w:rPr>
                <w:color w:val="auto"/>
              </w:rPr>
              <w:t>HJ 694-2014</w:t>
            </w:r>
          </w:p>
        </w:tc>
        <w:tc>
          <w:tcPr>
            <w:tcW w:w="1482" w:type="dxa"/>
            <w:vAlign w:val="center"/>
          </w:tcPr>
          <w:p>
            <w:pPr>
              <w:pStyle w:val="164"/>
              <w:rPr>
                <w:color w:val="auto"/>
              </w:rPr>
            </w:pPr>
            <w:r>
              <w:rPr>
                <w:color w:val="auto"/>
              </w:rPr>
              <w:t>3.00×10</w:t>
            </w:r>
            <w:r>
              <w:rPr>
                <w:color w:val="auto"/>
                <w:vertAlign w:val="superscript"/>
              </w:rPr>
              <w:t>-4</w:t>
            </w:r>
            <w:r>
              <w:rPr>
                <w:color w:val="auto"/>
              </w:rPr>
              <w:t>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镉</w:t>
            </w:r>
          </w:p>
        </w:tc>
        <w:tc>
          <w:tcPr>
            <w:tcW w:w="4161" w:type="dxa"/>
            <w:vAlign w:val="center"/>
          </w:tcPr>
          <w:p>
            <w:pPr>
              <w:pStyle w:val="164"/>
              <w:rPr>
                <w:color w:val="auto"/>
              </w:rPr>
            </w:pPr>
            <w:r>
              <w:rPr>
                <w:color w:val="auto"/>
              </w:rPr>
              <w:t>《铜、铅、镉 石墨炉原子吸收分光光度法》</w:t>
            </w:r>
          </w:p>
        </w:tc>
        <w:tc>
          <w:tcPr>
            <w:tcW w:w="1973" w:type="dxa"/>
            <w:vAlign w:val="center"/>
          </w:tcPr>
          <w:p>
            <w:pPr>
              <w:pStyle w:val="164"/>
              <w:rPr>
                <w:color w:val="auto"/>
              </w:rPr>
            </w:pPr>
            <w:r>
              <w:rPr>
                <w:color w:val="auto"/>
              </w:rPr>
              <w:t>《水和废水监测分析方法》（第四版）国家环境保护总局（2002年）</w:t>
            </w:r>
          </w:p>
        </w:tc>
        <w:tc>
          <w:tcPr>
            <w:tcW w:w="1482" w:type="dxa"/>
            <w:vAlign w:val="center"/>
          </w:tcPr>
          <w:p>
            <w:pPr>
              <w:pStyle w:val="164"/>
              <w:rPr>
                <w:color w:val="auto"/>
              </w:rPr>
            </w:pPr>
            <w:r>
              <w:rPr>
                <w:color w:val="auto"/>
              </w:rPr>
              <w:t>1.0×10</w:t>
            </w:r>
            <w:r>
              <w:rPr>
                <w:color w:val="auto"/>
                <w:vertAlign w:val="superscript"/>
              </w:rPr>
              <w:t>-4</w:t>
            </w:r>
            <w:r>
              <w:rPr>
                <w:color w:val="auto"/>
              </w:rPr>
              <w:t>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铬（六价）</w:t>
            </w:r>
          </w:p>
        </w:tc>
        <w:tc>
          <w:tcPr>
            <w:tcW w:w="4161" w:type="dxa"/>
            <w:vAlign w:val="center"/>
          </w:tcPr>
          <w:p>
            <w:pPr>
              <w:pStyle w:val="164"/>
              <w:rPr>
                <w:color w:val="auto"/>
              </w:rPr>
            </w:pPr>
            <w:r>
              <w:rPr>
                <w:color w:val="auto"/>
              </w:rPr>
              <w:t>《水质 铬（六价）的测定 二苯碳酰二肼分光光度法》</w:t>
            </w:r>
          </w:p>
        </w:tc>
        <w:tc>
          <w:tcPr>
            <w:tcW w:w="1973" w:type="dxa"/>
            <w:vAlign w:val="center"/>
          </w:tcPr>
          <w:p>
            <w:pPr>
              <w:pStyle w:val="164"/>
              <w:rPr>
                <w:color w:val="auto"/>
              </w:rPr>
            </w:pPr>
            <w:r>
              <w:rPr>
                <w:color w:val="auto"/>
              </w:rPr>
              <w:t>GB 7467-87</w:t>
            </w:r>
          </w:p>
        </w:tc>
        <w:tc>
          <w:tcPr>
            <w:tcW w:w="1482" w:type="dxa"/>
            <w:vAlign w:val="center"/>
          </w:tcPr>
          <w:p>
            <w:pPr>
              <w:pStyle w:val="164"/>
              <w:rPr>
                <w:color w:val="auto"/>
              </w:rPr>
            </w:pPr>
            <w:r>
              <w:rPr>
                <w:color w:val="auto"/>
              </w:rPr>
              <w:t>0.004mg/L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铅</w:t>
            </w:r>
          </w:p>
        </w:tc>
        <w:tc>
          <w:tcPr>
            <w:tcW w:w="4161" w:type="dxa"/>
            <w:vAlign w:val="center"/>
          </w:tcPr>
          <w:p>
            <w:pPr>
              <w:pStyle w:val="164"/>
              <w:rPr>
                <w:color w:val="auto"/>
              </w:rPr>
            </w:pPr>
            <w:r>
              <w:rPr>
                <w:color w:val="auto"/>
              </w:rPr>
              <w:t>《铜、铅、镉 石墨炉原子吸收分光光度法》</w:t>
            </w:r>
          </w:p>
        </w:tc>
        <w:tc>
          <w:tcPr>
            <w:tcW w:w="1973" w:type="dxa"/>
            <w:vAlign w:val="center"/>
          </w:tcPr>
          <w:p>
            <w:pPr>
              <w:pStyle w:val="164"/>
              <w:rPr>
                <w:color w:val="auto"/>
              </w:rPr>
            </w:pPr>
            <w:r>
              <w:rPr>
                <w:color w:val="auto"/>
              </w:rPr>
              <w:t>《水和废水监测分析方法》（第四版）国家环境保护总局（2002年）</w:t>
            </w:r>
          </w:p>
        </w:tc>
        <w:tc>
          <w:tcPr>
            <w:tcW w:w="1482" w:type="dxa"/>
            <w:vAlign w:val="center"/>
          </w:tcPr>
          <w:p>
            <w:pPr>
              <w:pStyle w:val="164"/>
              <w:rPr>
                <w:color w:val="auto"/>
              </w:rPr>
            </w:pPr>
            <w:r>
              <w:rPr>
                <w:color w:val="auto"/>
              </w:rPr>
              <w:t>1.0×10</w:t>
            </w:r>
            <w:r>
              <w:rPr>
                <w:color w:val="auto"/>
                <w:vertAlign w:val="superscript"/>
              </w:rPr>
              <w:t>-3</w:t>
            </w:r>
            <w:r>
              <w:rPr>
                <w:color w:val="auto"/>
              </w:rPr>
              <w:t>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镍</w:t>
            </w:r>
          </w:p>
        </w:tc>
        <w:tc>
          <w:tcPr>
            <w:tcW w:w="4161" w:type="dxa"/>
            <w:vAlign w:val="center"/>
          </w:tcPr>
          <w:p>
            <w:pPr>
              <w:pStyle w:val="164"/>
              <w:rPr>
                <w:color w:val="auto"/>
              </w:rPr>
            </w:pPr>
            <w:r>
              <w:rPr>
                <w:color w:val="auto"/>
              </w:rPr>
              <w:t xml:space="preserve">《水质 镍的测定  火焰原子吸收分光光度法》 </w:t>
            </w:r>
          </w:p>
        </w:tc>
        <w:tc>
          <w:tcPr>
            <w:tcW w:w="1973" w:type="dxa"/>
            <w:vAlign w:val="center"/>
          </w:tcPr>
          <w:p>
            <w:pPr>
              <w:pStyle w:val="164"/>
              <w:rPr>
                <w:color w:val="auto"/>
              </w:rPr>
            </w:pPr>
            <w:r>
              <w:rPr>
                <w:color w:val="auto"/>
              </w:rPr>
              <w:t>GB 11912-89</w:t>
            </w:r>
          </w:p>
        </w:tc>
        <w:tc>
          <w:tcPr>
            <w:tcW w:w="1482" w:type="dxa"/>
            <w:vAlign w:val="center"/>
          </w:tcPr>
          <w:p>
            <w:pPr>
              <w:pStyle w:val="164"/>
              <w:rPr>
                <w:color w:val="auto"/>
              </w:rPr>
            </w:pPr>
            <w:r>
              <w:rPr>
                <w:color w:val="auto"/>
              </w:rPr>
              <w:t>0.05mg/L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细菌总数</w:t>
            </w:r>
          </w:p>
        </w:tc>
        <w:tc>
          <w:tcPr>
            <w:tcW w:w="4161" w:type="dxa"/>
            <w:vAlign w:val="center"/>
          </w:tcPr>
          <w:p>
            <w:pPr>
              <w:pStyle w:val="164"/>
              <w:rPr>
                <w:color w:val="auto"/>
              </w:rPr>
            </w:pPr>
            <w:r>
              <w:rPr>
                <w:color w:val="auto"/>
              </w:rPr>
              <w:t>细菌总数 平皿计数法</w:t>
            </w:r>
          </w:p>
        </w:tc>
        <w:tc>
          <w:tcPr>
            <w:tcW w:w="1973" w:type="dxa"/>
            <w:vAlign w:val="center"/>
          </w:tcPr>
          <w:p>
            <w:pPr>
              <w:pStyle w:val="164"/>
              <w:rPr>
                <w:color w:val="auto"/>
              </w:rPr>
            </w:pPr>
            <w:r>
              <w:rPr>
                <w:color w:val="auto"/>
              </w:rPr>
              <w:t>《水和废水监测分析方法》（第四版）国家环境保护总局（2002年）</w:t>
            </w:r>
          </w:p>
        </w:tc>
        <w:tc>
          <w:tcPr>
            <w:tcW w:w="1482" w:type="dxa"/>
            <w:vAlign w:val="center"/>
          </w:tcPr>
          <w:p>
            <w:pPr>
              <w:pStyle w:val="164"/>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K</w:t>
            </w:r>
            <w:r>
              <w:rPr>
                <w:color w:val="auto"/>
                <w:vertAlign w:val="superscript"/>
              </w:rPr>
              <w:t>+</w:t>
            </w:r>
          </w:p>
        </w:tc>
        <w:tc>
          <w:tcPr>
            <w:tcW w:w="4161" w:type="dxa"/>
            <w:vMerge w:val="restart"/>
            <w:vAlign w:val="center"/>
          </w:tcPr>
          <w:p>
            <w:pPr>
              <w:pStyle w:val="164"/>
              <w:rPr>
                <w:color w:val="auto"/>
              </w:rPr>
            </w:pPr>
            <w:r>
              <w:rPr>
                <w:color w:val="auto"/>
              </w:rPr>
              <w:t>《水质 可溶性阳离子的测定 离子色谱法》</w:t>
            </w:r>
          </w:p>
        </w:tc>
        <w:tc>
          <w:tcPr>
            <w:tcW w:w="1973" w:type="dxa"/>
            <w:vMerge w:val="restart"/>
            <w:vAlign w:val="center"/>
          </w:tcPr>
          <w:p>
            <w:pPr>
              <w:pStyle w:val="164"/>
              <w:rPr>
                <w:color w:val="auto"/>
              </w:rPr>
            </w:pPr>
            <w:r>
              <w:rPr>
                <w:color w:val="auto"/>
              </w:rPr>
              <w:t>HJ 812-2016</w:t>
            </w:r>
          </w:p>
        </w:tc>
        <w:tc>
          <w:tcPr>
            <w:tcW w:w="1482" w:type="dxa"/>
            <w:vAlign w:val="center"/>
          </w:tcPr>
          <w:p>
            <w:pPr>
              <w:pStyle w:val="164"/>
              <w:rPr>
                <w:color w:val="auto"/>
              </w:rPr>
            </w:pPr>
            <w:r>
              <w:rPr>
                <w:color w:val="auto"/>
              </w:rPr>
              <w:t>0.02mg/L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Na</w:t>
            </w:r>
            <w:r>
              <w:rPr>
                <w:color w:val="auto"/>
                <w:vertAlign w:val="superscript"/>
              </w:rPr>
              <w:t>+</w:t>
            </w:r>
          </w:p>
        </w:tc>
        <w:tc>
          <w:tcPr>
            <w:tcW w:w="4161" w:type="dxa"/>
            <w:vMerge w:val="continue"/>
            <w:vAlign w:val="center"/>
          </w:tcPr>
          <w:p>
            <w:pPr>
              <w:pStyle w:val="164"/>
              <w:rPr>
                <w:color w:val="auto"/>
              </w:rPr>
            </w:pPr>
          </w:p>
        </w:tc>
        <w:tc>
          <w:tcPr>
            <w:tcW w:w="1973" w:type="dxa"/>
            <w:vMerge w:val="continue"/>
            <w:vAlign w:val="center"/>
          </w:tcPr>
          <w:p>
            <w:pPr>
              <w:pStyle w:val="164"/>
              <w:rPr>
                <w:color w:val="auto"/>
              </w:rPr>
            </w:pPr>
          </w:p>
        </w:tc>
        <w:tc>
          <w:tcPr>
            <w:tcW w:w="1482" w:type="dxa"/>
            <w:vAlign w:val="center"/>
          </w:tcPr>
          <w:p>
            <w:pPr>
              <w:pStyle w:val="164"/>
              <w:rPr>
                <w:color w:val="auto"/>
              </w:rPr>
            </w:pPr>
            <w:r>
              <w:rPr>
                <w:color w:val="auto"/>
              </w:rPr>
              <w:t>0.02mg/L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Ca</w:t>
            </w:r>
            <w:r>
              <w:rPr>
                <w:color w:val="auto"/>
                <w:vertAlign w:val="superscript"/>
              </w:rPr>
              <w:t>2+</w:t>
            </w:r>
          </w:p>
        </w:tc>
        <w:tc>
          <w:tcPr>
            <w:tcW w:w="4161" w:type="dxa"/>
            <w:vMerge w:val="continue"/>
            <w:vAlign w:val="center"/>
          </w:tcPr>
          <w:p>
            <w:pPr>
              <w:pStyle w:val="164"/>
              <w:rPr>
                <w:color w:val="auto"/>
              </w:rPr>
            </w:pPr>
          </w:p>
        </w:tc>
        <w:tc>
          <w:tcPr>
            <w:tcW w:w="1973" w:type="dxa"/>
            <w:vMerge w:val="continue"/>
            <w:vAlign w:val="center"/>
          </w:tcPr>
          <w:p>
            <w:pPr>
              <w:pStyle w:val="164"/>
              <w:rPr>
                <w:color w:val="auto"/>
              </w:rPr>
            </w:pPr>
          </w:p>
        </w:tc>
        <w:tc>
          <w:tcPr>
            <w:tcW w:w="1482" w:type="dxa"/>
            <w:vAlign w:val="center"/>
          </w:tcPr>
          <w:p>
            <w:pPr>
              <w:pStyle w:val="164"/>
              <w:rPr>
                <w:color w:val="auto"/>
              </w:rPr>
            </w:pPr>
            <w:r>
              <w:rPr>
                <w:color w:val="auto"/>
              </w:rPr>
              <w:t>0.03mg/L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Mg</w:t>
            </w:r>
            <w:r>
              <w:rPr>
                <w:color w:val="auto"/>
                <w:vertAlign w:val="superscript"/>
              </w:rPr>
              <w:t>2+</w:t>
            </w:r>
          </w:p>
        </w:tc>
        <w:tc>
          <w:tcPr>
            <w:tcW w:w="4161" w:type="dxa"/>
            <w:vMerge w:val="continue"/>
            <w:vAlign w:val="center"/>
          </w:tcPr>
          <w:p>
            <w:pPr>
              <w:pStyle w:val="164"/>
              <w:rPr>
                <w:color w:val="auto"/>
              </w:rPr>
            </w:pPr>
          </w:p>
        </w:tc>
        <w:tc>
          <w:tcPr>
            <w:tcW w:w="1973" w:type="dxa"/>
            <w:vMerge w:val="continue"/>
            <w:vAlign w:val="center"/>
          </w:tcPr>
          <w:p>
            <w:pPr>
              <w:pStyle w:val="164"/>
              <w:rPr>
                <w:color w:val="auto"/>
              </w:rPr>
            </w:pPr>
          </w:p>
        </w:tc>
        <w:tc>
          <w:tcPr>
            <w:tcW w:w="1482" w:type="dxa"/>
            <w:vAlign w:val="center"/>
          </w:tcPr>
          <w:p>
            <w:pPr>
              <w:pStyle w:val="164"/>
              <w:rPr>
                <w:color w:val="auto"/>
              </w:rPr>
            </w:pPr>
            <w:r>
              <w:rPr>
                <w:color w:val="auto"/>
              </w:rPr>
              <w:t>0.02mg/L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2" w:hRule="atLeast"/>
          <w:jc w:val="center"/>
        </w:trPr>
        <w:tc>
          <w:tcPr>
            <w:tcW w:w="1104" w:type="dxa"/>
            <w:vAlign w:val="center"/>
          </w:tcPr>
          <w:p>
            <w:pPr>
              <w:pStyle w:val="164"/>
              <w:rPr>
                <w:color w:val="auto"/>
              </w:rPr>
            </w:pPr>
            <w:r>
              <w:rPr>
                <w:color w:val="auto"/>
              </w:rPr>
              <w:t>CO</w:t>
            </w:r>
            <w:r>
              <w:rPr>
                <w:color w:val="auto"/>
                <w:vertAlign w:val="subscript"/>
              </w:rPr>
              <w:t>3</w:t>
            </w:r>
            <w:r>
              <w:rPr>
                <w:color w:val="auto"/>
                <w:vertAlign w:val="superscript"/>
              </w:rPr>
              <w:t>2-</w:t>
            </w:r>
          </w:p>
        </w:tc>
        <w:tc>
          <w:tcPr>
            <w:tcW w:w="4161" w:type="dxa"/>
            <w:vMerge w:val="restart"/>
            <w:vAlign w:val="center"/>
          </w:tcPr>
          <w:p>
            <w:pPr>
              <w:pStyle w:val="164"/>
              <w:rPr>
                <w:color w:val="auto"/>
              </w:rPr>
            </w:pPr>
            <w:r>
              <w:rPr>
                <w:color w:val="auto"/>
              </w:rPr>
              <w:t>《碱度 酸碱指示剂滴定法》</w:t>
            </w:r>
          </w:p>
        </w:tc>
        <w:tc>
          <w:tcPr>
            <w:tcW w:w="1973" w:type="dxa"/>
            <w:vMerge w:val="restart"/>
            <w:vAlign w:val="center"/>
          </w:tcPr>
          <w:p>
            <w:pPr>
              <w:pStyle w:val="164"/>
              <w:rPr>
                <w:color w:val="auto"/>
              </w:rPr>
            </w:pPr>
            <w:r>
              <w:rPr>
                <w:color w:val="auto"/>
              </w:rPr>
              <w:t>《水和废水监测分析方法》（第四版）</w:t>
            </w:r>
          </w:p>
        </w:tc>
        <w:tc>
          <w:tcPr>
            <w:tcW w:w="1482" w:type="dxa"/>
            <w:vAlign w:val="center"/>
          </w:tcPr>
          <w:p>
            <w:pPr>
              <w:pStyle w:val="164"/>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HCO</w:t>
            </w:r>
            <w:r>
              <w:rPr>
                <w:color w:val="auto"/>
                <w:vertAlign w:val="subscript"/>
              </w:rPr>
              <w:t>3</w:t>
            </w:r>
            <w:r>
              <w:rPr>
                <w:color w:val="auto"/>
                <w:vertAlign w:val="superscript"/>
              </w:rPr>
              <w:t>-</w:t>
            </w:r>
          </w:p>
        </w:tc>
        <w:tc>
          <w:tcPr>
            <w:tcW w:w="4161" w:type="dxa"/>
            <w:vMerge w:val="continue"/>
            <w:vAlign w:val="center"/>
          </w:tcPr>
          <w:p>
            <w:pPr>
              <w:pStyle w:val="164"/>
              <w:rPr>
                <w:color w:val="auto"/>
              </w:rPr>
            </w:pPr>
          </w:p>
        </w:tc>
        <w:tc>
          <w:tcPr>
            <w:tcW w:w="1973" w:type="dxa"/>
            <w:vMerge w:val="continue"/>
            <w:vAlign w:val="center"/>
          </w:tcPr>
          <w:p>
            <w:pPr>
              <w:pStyle w:val="164"/>
              <w:rPr>
                <w:color w:val="auto"/>
              </w:rPr>
            </w:pPr>
          </w:p>
        </w:tc>
        <w:tc>
          <w:tcPr>
            <w:tcW w:w="1482" w:type="dxa"/>
            <w:vAlign w:val="center"/>
          </w:tcPr>
          <w:p>
            <w:pPr>
              <w:pStyle w:val="164"/>
              <w:rPr>
                <w:color w:val="auto"/>
              </w:rPr>
            </w:pPr>
            <w:r>
              <w:rPr>
                <w:color w:val="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3" w:hRule="atLeast"/>
          <w:jc w:val="center"/>
        </w:trPr>
        <w:tc>
          <w:tcPr>
            <w:tcW w:w="1104" w:type="dxa"/>
            <w:vAlign w:val="center"/>
          </w:tcPr>
          <w:p>
            <w:pPr>
              <w:pStyle w:val="164"/>
              <w:rPr>
                <w:color w:val="auto"/>
              </w:rPr>
            </w:pPr>
            <w:r>
              <w:rPr>
                <w:color w:val="auto"/>
              </w:rPr>
              <w:t>Cl</w:t>
            </w:r>
            <w:r>
              <w:rPr>
                <w:color w:val="auto"/>
                <w:vertAlign w:val="superscript"/>
              </w:rPr>
              <w:t>-</w:t>
            </w:r>
          </w:p>
        </w:tc>
        <w:tc>
          <w:tcPr>
            <w:tcW w:w="4161" w:type="dxa"/>
            <w:vMerge w:val="restart"/>
            <w:vAlign w:val="center"/>
          </w:tcPr>
          <w:p>
            <w:pPr>
              <w:pStyle w:val="164"/>
              <w:rPr>
                <w:color w:val="auto"/>
              </w:rPr>
            </w:pPr>
            <w:r>
              <w:rPr>
                <w:color w:val="auto"/>
              </w:rPr>
              <w:t>《水质 无机阴离子（F</w:t>
            </w:r>
            <w:r>
              <w:rPr>
                <w:color w:val="auto"/>
                <w:vertAlign w:val="superscript"/>
              </w:rPr>
              <w:t>-</w:t>
            </w:r>
            <w:r>
              <w:rPr>
                <w:color w:val="auto"/>
              </w:rPr>
              <w:t>、Cl</w:t>
            </w:r>
            <w:r>
              <w:rPr>
                <w:color w:val="auto"/>
                <w:vertAlign w:val="superscript"/>
              </w:rPr>
              <w:t>-</w:t>
            </w:r>
            <w:r>
              <w:rPr>
                <w:color w:val="auto"/>
              </w:rPr>
              <w:t>、NO</w:t>
            </w:r>
            <w:r>
              <w:rPr>
                <w:color w:val="auto"/>
                <w:vertAlign w:val="subscript"/>
              </w:rPr>
              <w:t>2</w:t>
            </w:r>
            <w:r>
              <w:rPr>
                <w:color w:val="auto"/>
                <w:vertAlign w:val="superscript"/>
              </w:rPr>
              <w:t>-</w:t>
            </w:r>
            <w:r>
              <w:rPr>
                <w:color w:val="auto"/>
              </w:rPr>
              <w:t>、Br</w:t>
            </w:r>
            <w:r>
              <w:rPr>
                <w:color w:val="auto"/>
                <w:vertAlign w:val="superscript"/>
              </w:rPr>
              <w:t>-</w:t>
            </w:r>
            <w:r>
              <w:rPr>
                <w:color w:val="auto"/>
              </w:rPr>
              <w:t>、NO</w:t>
            </w:r>
            <w:r>
              <w:rPr>
                <w:color w:val="auto"/>
                <w:vertAlign w:val="subscript"/>
              </w:rPr>
              <w:t>3</w:t>
            </w:r>
            <w:r>
              <w:rPr>
                <w:color w:val="auto"/>
                <w:vertAlign w:val="superscript"/>
              </w:rPr>
              <w:t>-</w:t>
            </w:r>
            <w:r>
              <w:rPr>
                <w:color w:val="auto"/>
              </w:rPr>
              <w:t>、PO</w:t>
            </w:r>
            <w:r>
              <w:rPr>
                <w:color w:val="auto"/>
                <w:vertAlign w:val="subscript"/>
              </w:rPr>
              <w:t>4</w:t>
            </w:r>
            <w:r>
              <w:rPr>
                <w:color w:val="auto"/>
                <w:vertAlign w:val="superscript"/>
              </w:rPr>
              <w:t>3-</w:t>
            </w:r>
            <w:r>
              <w:rPr>
                <w:color w:val="auto"/>
              </w:rPr>
              <w:t>、SO</w:t>
            </w:r>
            <w:r>
              <w:rPr>
                <w:color w:val="auto"/>
                <w:vertAlign w:val="subscript"/>
              </w:rPr>
              <w:t>3</w:t>
            </w:r>
            <w:r>
              <w:rPr>
                <w:color w:val="auto"/>
                <w:vertAlign w:val="superscript"/>
              </w:rPr>
              <w:t>2-</w:t>
            </w:r>
            <w:r>
              <w:rPr>
                <w:color w:val="auto"/>
              </w:rPr>
              <w:t>、SO</w:t>
            </w:r>
            <w:r>
              <w:rPr>
                <w:color w:val="auto"/>
                <w:vertAlign w:val="subscript"/>
              </w:rPr>
              <w:t>4</w:t>
            </w:r>
            <w:r>
              <w:rPr>
                <w:color w:val="auto"/>
                <w:vertAlign w:val="superscript"/>
              </w:rPr>
              <w:t>2-</w:t>
            </w:r>
            <w:r>
              <w:rPr>
                <w:color w:val="auto"/>
              </w:rPr>
              <w:t>）的测定 离子色谱法》</w:t>
            </w:r>
          </w:p>
        </w:tc>
        <w:tc>
          <w:tcPr>
            <w:tcW w:w="1973" w:type="dxa"/>
            <w:vMerge w:val="restart"/>
            <w:vAlign w:val="center"/>
          </w:tcPr>
          <w:p>
            <w:pPr>
              <w:pStyle w:val="164"/>
              <w:rPr>
                <w:color w:val="auto"/>
              </w:rPr>
            </w:pPr>
            <w:r>
              <w:rPr>
                <w:color w:val="auto"/>
              </w:rPr>
              <w:t>HJ 84-2016</w:t>
            </w:r>
          </w:p>
        </w:tc>
        <w:tc>
          <w:tcPr>
            <w:tcW w:w="1482" w:type="dxa"/>
            <w:vAlign w:val="center"/>
          </w:tcPr>
          <w:p>
            <w:pPr>
              <w:pStyle w:val="164"/>
              <w:rPr>
                <w:color w:val="auto"/>
              </w:rPr>
            </w:pPr>
            <w:r>
              <w:rPr>
                <w:color w:val="auto"/>
              </w:rPr>
              <w:t>0.007mg/L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4" w:type="dxa"/>
            <w:vAlign w:val="center"/>
          </w:tcPr>
          <w:p>
            <w:pPr>
              <w:pStyle w:val="164"/>
              <w:rPr>
                <w:color w:val="auto"/>
              </w:rPr>
            </w:pPr>
            <w:r>
              <w:rPr>
                <w:color w:val="auto"/>
              </w:rPr>
              <w:t>SO</w:t>
            </w:r>
            <w:r>
              <w:rPr>
                <w:color w:val="auto"/>
                <w:vertAlign w:val="subscript"/>
              </w:rPr>
              <w:t>4</w:t>
            </w:r>
            <w:r>
              <w:rPr>
                <w:color w:val="auto"/>
                <w:vertAlign w:val="superscript"/>
              </w:rPr>
              <w:t>2-</w:t>
            </w:r>
          </w:p>
        </w:tc>
        <w:tc>
          <w:tcPr>
            <w:tcW w:w="4161" w:type="dxa"/>
            <w:vMerge w:val="continue"/>
            <w:vAlign w:val="center"/>
          </w:tcPr>
          <w:p>
            <w:pPr>
              <w:pStyle w:val="164"/>
              <w:rPr>
                <w:color w:val="auto"/>
              </w:rPr>
            </w:pPr>
          </w:p>
        </w:tc>
        <w:tc>
          <w:tcPr>
            <w:tcW w:w="1973" w:type="dxa"/>
            <w:vMerge w:val="continue"/>
            <w:vAlign w:val="center"/>
          </w:tcPr>
          <w:p>
            <w:pPr>
              <w:pStyle w:val="164"/>
              <w:rPr>
                <w:color w:val="auto"/>
              </w:rPr>
            </w:pPr>
          </w:p>
        </w:tc>
        <w:tc>
          <w:tcPr>
            <w:tcW w:w="1482" w:type="dxa"/>
            <w:vAlign w:val="center"/>
          </w:tcPr>
          <w:p>
            <w:pPr>
              <w:pStyle w:val="164"/>
              <w:rPr>
                <w:color w:val="auto"/>
              </w:rPr>
            </w:pPr>
            <w:r>
              <w:rPr>
                <w:color w:val="auto"/>
              </w:rPr>
              <w:t>0.018mg/L</w:t>
            </w:r>
          </w:p>
        </w:tc>
      </w:tr>
    </w:tbl>
    <w:p>
      <w:pPr>
        <w:pStyle w:val="5"/>
        <w:numPr>
          <w:ilvl w:val="2"/>
          <w:numId w:val="0"/>
        </w:numPr>
        <w:spacing w:before="120" w:beforeLines="50"/>
        <w:rPr>
          <w:color w:val="auto"/>
        </w:rPr>
      </w:pPr>
      <w:bookmarkStart w:id="349" w:name="_Toc109398649"/>
      <w:r>
        <w:rPr>
          <w:color w:val="auto"/>
        </w:rPr>
        <w:t>6.3.3监测结果统计</w:t>
      </w:r>
      <w:bookmarkEnd w:id="348"/>
      <w:bookmarkEnd w:id="349"/>
    </w:p>
    <w:p>
      <w:pPr>
        <w:pStyle w:val="130"/>
        <w:ind w:firstLine="480"/>
        <w:rPr>
          <w:color w:val="auto"/>
        </w:rPr>
      </w:pPr>
      <w:r>
        <w:rPr>
          <w:color w:val="auto"/>
        </w:rPr>
        <w:t>地下水水质监测结果统计情况见表6.3-3。</w:t>
      </w:r>
    </w:p>
    <w:p>
      <w:pPr>
        <w:ind w:firstLine="482" w:firstLineChars="200"/>
        <w:rPr>
          <w:rFonts w:eastAsiaTheme="minorEastAsia"/>
          <w:b/>
          <w:color w:val="auto"/>
          <w:sz w:val="24"/>
          <w:szCs w:val="24"/>
        </w:rPr>
      </w:pPr>
      <w:r>
        <w:rPr>
          <w:rFonts w:eastAsiaTheme="minorEastAsia"/>
          <w:b/>
          <w:color w:val="auto"/>
          <w:sz w:val="24"/>
          <w:szCs w:val="24"/>
        </w:rPr>
        <w:t>表6.3-3  地下水质量现状监测结果统计  单位：mg/L，pH无量纲</w:t>
      </w:r>
    </w:p>
    <w:tbl>
      <w:tblPr>
        <w:tblStyle w:val="74"/>
        <w:tblW w:w="9044"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05"/>
        <w:gridCol w:w="875"/>
        <w:gridCol w:w="1020"/>
        <w:gridCol w:w="1167"/>
        <w:gridCol w:w="1167"/>
        <w:gridCol w:w="1167"/>
        <w:gridCol w:w="1205"/>
        <w:gridCol w:w="814"/>
        <w:gridCol w:w="62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blHeader/>
          <w:jc w:val="center"/>
        </w:trPr>
        <w:tc>
          <w:tcPr>
            <w:tcW w:w="1005" w:type="dxa"/>
            <w:vMerge w:val="restart"/>
            <w:vAlign w:val="center"/>
          </w:tcPr>
          <w:p>
            <w:pPr>
              <w:pStyle w:val="164"/>
              <w:rPr>
                <w:rFonts w:eastAsiaTheme="minorEastAsia"/>
                <w:snapToGrid w:val="0"/>
                <w:color w:val="auto"/>
                <w:w w:val="90"/>
                <w:szCs w:val="21"/>
              </w:rPr>
            </w:pPr>
            <w:r>
              <w:rPr>
                <w:rFonts w:eastAsiaTheme="minorEastAsia"/>
                <w:snapToGrid w:val="0"/>
                <w:color w:val="auto"/>
                <w:w w:val="90"/>
                <w:szCs w:val="21"/>
              </w:rPr>
              <w:t>项目</w:t>
            </w:r>
          </w:p>
        </w:tc>
        <w:tc>
          <w:tcPr>
            <w:tcW w:w="875" w:type="dxa"/>
            <w:vMerge w:val="restart"/>
            <w:vAlign w:val="center"/>
          </w:tcPr>
          <w:p>
            <w:pPr>
              <w:pStyle w:val="164"/>
              <w:rPr>
                <w:rFonts w:eastAsiaTheme="minorEastAsia"/>
                <w:snapToGrid w:val="0"/>
                <w:color w:val="auto"/>
                <w:w w:val="90"/>
                <w:szCs w:val="21"/>
              </w:rPr>
            </w:pPr>
            <w:r>
              <w:rPr>
                <w:rFonts w:eastAsiaTheme="minorEastAsia"/>
                <w:bCs/>
                <w:snapToGrid w:val="0"/>
                <w:color w:val="auto"/>
                <w:w w:val="90"/>
                <w:szCs w:val="21"/>
              </w:rPr>
              <w:t>单位</w:t>
            </w:r>
          </w:p>
        </w:tc>
        <w:tc>
          <w:tcPr>
            <w:tcW w:w="5726" w:type="dxa"/>
            <w:gridSpan w:val="5"/>
            <w:vAlign w:val="center"/>
          </w:tcPr>
          <w:p>
            <w:pPr>
              <w:pStyle w:val="164"/>
              <w:rPr>
                <w:rFonts w:eastAsiaTheme="minorEastAsia"/>
                <w:snapToGrid w:val="0"/>
                <w:color w:val="auto"/>
                <w:w w:val="90"/>
                <w:szCs w:val="21"/>
              </w:rPr>
            </w:pPr>
            <w:r>
              <w:rPr>
                <w:rFonts w:eastAsiaTheme="minorEastAsia"/>
                <w:snapToGrid w:val="0"/>
                <w:color w:val="auto"/>
                <w:w w:val="90"/>
                <w:szCs w:val="21"/>
              </w:rPr>
              <w:t>2020年4月16日</w:t>
            </w:r>
          </w:p>
        </w:tc>
        <w:tc>
          <w:tcPr>
            <w:tcW w:w="814" w:type="dxa"/>
            <w:vMerge w:val="restart"/>
            <w:vAlign w:val="center"/>
          </w:tcPr>
          <w:p>
            <w:pPr>
              <w:pStyle w:val="164"/>
              <w:rPr>
                <w:rFonts w:eastAsiaTheme="minorEastAsia"/>
                <w:snapToGrid w:val="0"/>
                <w:color w:val="auto"/>
                <w:w w:val="90"/>
                <w:szCs w:val="21"/>
              </w:rPr>
            </w:pPr>
            <w:r>
              <w:rPr>
                <w:rFonts w:eastAsiaTheme="minorEastAsia"/>
                <w:snapToGrid w:val="0"/>
                <w:color w:val="auto"/>
                <w:w w:val="90"/>
                <w:szCs w:val="21"/>
              </w:rPr>
              <w:t>标准</w:t>
            </w:r>
          </w:p>
          <w:p>
            <w:pPr>
              <w:pStyle w:val="164"/>
              <w:rPr>
                <w:rFonts w:eastAsiaTheme="minorEastAsia"/>
                <w:snapToGrid w:val="0"/>
                <w:color w:val="auto"/>
                <w:w w:val="90"/>
                <w:szCs w:val="21"/>
              </w:rPr>
            </w:pPr>
            <w:r>
              <w:rPr>
                <w:rFonts w:eastAsiaTheme="minorEastAsia"/>
                <w:snapToGrid w:val="0"/>
                <w:color w:val="auto"/>
                <w:w w:val="90"/>
                <w:szCs w:val="21"/>
              </w:rPr>
              <w:t>限值</w:t>
            </w:r>
          </w:p>
        </w:tc>
        <w:tc>
          <w:tcPr>
            <w:tcW w:w="624" w:type="dxa"/>
            <w:vMerge w:val="restart"/>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p>
            <w:pPr>
              <w:pStyle w:val="164"/>
              <w:rPr>
                <w:rFonts w:eastAsiaTheme="minorEastAsia"/>
                <w:snapToGrid w:val="0"/>
                <w:color w:val="auto"/>
                <w:w w:val="90"/>
                <w:szCs w:val="21"/>
              </w:rPr>
            </w:pPr>
            <w:r>
              <w:rPr>
                <w:rFonts w:eastAsiaTheme="minorEastAsia"/>
                <w:snapToGrid w:val="0"/>
                <w:color w:val="auto"/>
                <w:w w:val="90"/>
                <w:szCs w:val="21"/>
              </w:rPr>
              <w:t>情况</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blHeader/>
          <w:jc w:val="center"/>
        </w:trPr>
        <w:tc>
          <w:tcPr>
            <w:tcW w:w="1005" w:type="dxa"/>
            <w:vMerge w:val="continue"/>
            <w:vAlign w:val="center"/>
          </w:tcPr>
          <w:p>
            <w:pPr>
              <w:pStyle w:val="164"/>
              <w:rPr>
                <w:rFonts w:eastAsiaTheme="minorEastAsia"/>
                <w:snapToGrid w:val="0"/>
                <w:color w:val="auto"/>
                <w:w w:val="90"/>
                <w:szCs w:val="21"/>
              </w:rPr>
            </w:pPr>
          </w:p>
        </w:tc>
        <w:tc>
          <w:tcPr>
            <w:tcW w:w="875" w:type="dxa"/>
            <w:vMerge w:val="continue"/>
            <w:vAlign w:val="center"/>
          </w:tcPr>
          <w:p>
            <w:pPr>
              <w:pStyle w:val="164"/>
              <w:rPr>
                <w:rFonts w:eastAsiaTheme="minorEastAsia"/>
                <w:snapToGrid w:val="0"/>
                <w:color w:val="auto"/>
                <w:w w:val="90"/>
                <w:szCs w:val="21"/>
              </w:rPr>
            </w:pP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1#</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4#</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5#</w:t>
            </w:r>
          </w:p>
        </w:tc>
        <w:tc>
          <w:tcPr>
            <w:tcW w:w="814" w:type="dxa"/>
            <w:vMerge w:val="continue"/>
            <w:vAlign w:val="center"/>
          </w:tcPr>
          <w:p>
            <w:pPr>
              <w:pStyle w:val="164"/>
              <w:rPr>
                <w:rFonts w:eastAsiaTheme="minorEastAsia"/>
                <w:snapToGrid w:val="0"/>
                <w:color w:val="auto"/>
                <w:w w:val="90"/>
                <w:szCs w:val="21"/>
              </w:rPr>
            </w:pPr>
          </w:p>
        </w:tc>
        <w:tc>
          <w:tcPr>
            <w:tcW w:w="624" w:type="dxa"/>
            <w:vMerge w:val="continue"/>
            <w:vAlign w:val="center"/>
          </w:tcPr>
          <w:p>
            <w:pPr>
              <w:pStyle w:val="164"/>
              <w:rPr>
                <w:rFonts w:eastAsiaTheme="minorEastAsia"/>
                <w:snapToGrid w:val="0"/>
                <w:color w:val="auto"/>
                <w:w w:val="90"/>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pH</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无量纲</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7.38</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7.30</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7.29</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7.41</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7.39</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6.5~8.5</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总硬度</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593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586</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562</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576</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561</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450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超标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溶解性总固体</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2.59×10</w:t>
            </w:r>
            <w:r>
              <w:rPr>
                <w:rFonts w:eastAsiaTheme="minorEastAsia"/>
                <w:snapToGrid w:val="0"/>
                <w:color w:val="auto"/>
                <w:w w:val="90"/>
                <w:szCs w:val="21"/>
                <w:vertAlign w:val="superscript"/>
              </w:rPr>
              <w:t>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2.46×10</w:t>
            </w:r>
            <w:r>
              <w:rPr>
                <w:rFonts w:eastAsiaTheme="minorEastAsia"/>
                <w:snapToGrid w:val="0"/>
                <w:color w:val="auto"/>
                <w:w w:val="90"/>
                <w:szCs w:val="21"/>
                <w:vertAlign w:val="superscript"/>
              </w:rPr>
              <w:t>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2.38×10</w:t>
            </w:r>
            <w:r>
              <w:rPr>
                <w:rFonts w:eastAsiaTheme="minorEastAsia"/>
                <w:snapToGrid w:val="0"/>
                <w:color w:val="auto"/>
                <w:w w:val="90"/>
                <w:szCs w:val="21"/>
                <w:vertAlign w:val="superscript"/>
              </w:rPr>
              <w:t>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2.36×10</w:t>
            </w:r>
            <w:r>
              <w:rPr>
                <w:rFonts w:eastAsiaTheme="minorEastAsia"/>
                <w:snapToGrid w:val="0"/>
                <w:color w:val="auto"/>
                <w:w w:val="90"/>
                <w:szCs w:val="21"/>
                <w:vertAlign w:val="superscript"/>
              </w:rPr>
              <w:t>3</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2.49×10</w:t>
            </w:r>
            <w:r>
              <w:rPr>
                <w:rFonts w:eastAsiaTheme="minorEastAsia"/>
                <w:snapToGrid w:val="0"/>
                <w:color w:val="auto"/>
                <w:w w:val="90"/>
                <w:szCs w:val="21"/>
                <w:vertAlign w:val="superscript"/>
              </w:rPr>
              <w:t>3</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1000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超标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硫酸盐</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552</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561</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485</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551</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531</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250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超标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氯化物</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315</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273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293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341</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313</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250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超标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铁</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0.03L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0.03L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0.03L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0.03L</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0.03L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0.3</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锰</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0.01L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0.01L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0.01L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0.01L</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0.01L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0.10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ind w:left="-105" w:leftChars="-50" w:right="-105" w:rightChars="-50"/>
              <w:rPr>
                <w:rFonts w:eastAsiaTheme="minorEastAsia"/>
                <w:snapToGrid w:val="0"/>
                <w:color w:val="auto"/>
                <w:w w:val="90"/>
                <w:szCs w:val="21"/>
              </w:rPr>
            </w:pPr>
            <w:r>
              <w:rPr>
                <w:rFonts w:eastAsiaTheme="minorEastAsia"/>
                <w:snapToGrid w:val="0"/>
                <w:color w:val="auto"/>
                <w:w w:val="90"/>
                <w:szCs w:val="21"/>
              </w:rPr>
              <w:t>挥发性酚类</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0.0003L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0.0003L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0.0003L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0.0003L</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0.0003L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0.002</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耗氧量</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2.0</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1.9</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2.2</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2.1</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2.1</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3.0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硝酸盐</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2.23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2.49</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2.30</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2.41</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2.29</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20.0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亚硝酸盐</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0.003L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0.003L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0.003L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0.003L</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0.003L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1.00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氨氮</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0.114</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0.150</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0.139</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0.142</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0.155</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0.50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氟化物</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0.86</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0.99</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0.90</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0.88</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0.81</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1.0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氰化物</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0.05</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汞</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color w:val="auto"/>
                <w:w w:val="90"/>
                <w:szCs w:val="21"/>
              </w:rPr>
              <w:t>4.0×10</w:t>
            </w:r>
            <w:r>
              <w:rPr>
                <w:rFonts w:eastAsiaTheme="minorEastAsia"/>
                <w:color w:val="auto"/>
                <w:w w:val="90"/>
                <w:szCs w:val="21"/>
                <w:vertAlign w:val="superscript"/>
              </w:rPr>
              <w:t>-5</w:t>
            </w:r>
            <w:r>
              <w:rPr>
                <w:rFonts w:eastAsiaTheme="minorEastAsia"/>
                <w:color w:val="auto"/>
                <w:w w:val="90"/>
                <w:szCs w:val="21"/>
              </w:rPr>
              <w:t>L</w:t>
            </w:r>
          </w:p>
        </w:tc>
        <w:tc>
          <w:tcPr>
            <w:tcW w:w="1167" w:type="dxa"/>
            <w:vAlign w:val="center"/>
          </w:tcPr>
          <w:p>
            <w:pPr>
              <w:pStyle w:val="164"/>
              <w:rPr>
                <w:rFonts w:eastAsiaTheme="minorEastAsia"/>
                <w:snapToGrid w:val="0"/>
                <w:color w:val="auto"/>
                <w:w w:val="90"/>
                <w:szCs w:val="21"/>
              </w:rPr>
            </w:pPr>
            <w:r>
              <w:rPr>
                <w:rFonts w:eastAsiaTheme="minorEastAsia"/>
                <w:color w:val="auto"/>
                <w:w w:val="90"/>
                <w:szCs w:val="21"/>
              </w:rPr>
              <w:t>4.0×10</w:t>
            </w:r>
            <w:r>
              <w:rPr>
                <w:rFonts w:eastAsiaTheme="minorEastAsia"/>
                <w:color w:val="auto"/>
                <w:w w:val="90"/>
                <w:szCs w:val="21"/>
                <w:vertAlign w:val="superscript"/>
              </w:rPr>
              <w:t>-5</w:t>
            </w:r>
            <w:r>
              <w:rPr>
                <w:rFonts w:eastAsiaTheme="minorEastAsia"/>
                <w:color w:val="auto"/>
                <w:w w:val="90"/>
                <w:szCs w:val="21"/>
              </w:rPr>
              <w:t>L</w:t>
            </w:r>
          </w:p>
        </w:tc>
        <w:tc>
          <w:tcPr>
            <w:tcW w:w="1167" w:type="dxa"/>
            <w:vAlign w:val="center"/>
          </w:tcPr>
          <w:p>
            <w:pPr>
              <w:pStyle w:val="164"/>
              <w:rPr>
                <w:rFonts w:eastAsiaTheme="minorEastAsia"/>
                <w:snapToGrid w:val="0"/>
                <w:color w:val="auto"/>
                <w:w w:val="90"/>
                <w:szCs w:val="21"/>
              </w:rPr>
            </w:pPr>
            <w:r>
              <w:rPr>
                <w:rFonts w:eastAsiaTheme="minorEastAsia"/>
                <w:color w:val="auto"/>
                <w:w w:val="90"/>
                <w:szCs w:val="21"/>
              </w:rPr>
              <w:t>4.0×10</w:t>
            </w:r>
            <w:r>
              <w:rPr>
                <w:rFonts w:eastAsiaTheme="minorEastAsia"/>
                <w:color w:val="auto"/>
                <w:w w:val="90"/>
                <w:szCs w:val="21"/>
                <w:vertAlign w:val="superscript"/>
              </w:rPr>
              <w:t>-5</w:t>
            </w:r>
            <w:r>
              <w:rPr>
                <w:rFonts w:eastAsiaTheme="minorEastAsia"/>
                <w:color w:val="auto"/>
                <w:w w:val="90"/>
                <w:szCs w:val="21"/>
              </w:rPr>
              <w:t>L</w:t>
            </w:r>
          </w:p>
        </w:tc>
        <w:tc>
          <w:tcPr>
            <w:tcW w:w="1167" w:type="dxa"/>
            <w:vAlign w:val="center"/>
          </w:tcPr>
          <w:p>
            <w:pPr>
              <w:pStyle w:val="164"/>
              <w:rPr>
                <w:rFonts w:eastAsiaTheme="minorEastAsia"/>
                <w:snapToGrid w:val="0"/>
                <w:color w:val="auto"/>
                <w:w w:val="90"/>
                <w:szCs w:val="21"/>
              </w:rPr>
            </w:pPr>
            <w:r>
              <w:rPr>
                <w:rFonts w:eastAsiaTheme="minorEastAsia"/>
                <w:color w:val="auto"/>
                <w:w w:val="90"/>
                <w:szCs w:val="21"/>
              </w:rPr>
              <w:t>4.0×10</w:t>
            </w:r>
            <w:r>
              <w:rPr>
                <w:rFonts w:eastAsiaTheme="minorEastAsia"/>
                <w:color w:val="auto"/>
                <w:w w:val="90"/>
                <w:szCs w:val="21"/>
                <w:vertAlign w:val="superscript"/>
              </w:rPr>
              <w:t>-5</w:t>
            </w:r>
            <w:r>
              <w:rPr>
                <w:rFonts w:eastAsiaTheme="minorEastAsia"/>
                <w:color w:val="auto"/>
                <w:w w:val="90"/>
                <w:szCs w:val="21"/>
              </w:rPr>
              <w:t>L</w:t>
            </w:r>
          </w:p>
        </w:tc>
        <w:tc>
          <w:tcPr>
            <w:tcW w:w="1205" w:type="dxa"/>
            <w:vAlign w:val="center"/>
          </w:tcPr>
          <w:p>
            <w:pPr>
              <w:pStyle w:val="164"/>
              <w:rPr>
                <w:rFonts w:eastAsiaTheme="minorEastAsia"/>
                <w:snapToGrid w:val="0"/>
                <w:color w:val="auto"/>
                <w:w w:val="90"/>
                <w:szCs w:val="21"/>
              </w:rPr>
            </w:pPr>
            <w:r>
              <w:rPr>
                <w:rFonts w:eastAsiaTheme="minorEastAsia"/>
                <w:color w:val="auto"/>
                <w:w w:val="90"/>
                <w:szCs w:val="21"/>
              </w:rPr>
              <w:t>4.0×10</w:t>
            </w:r>
            <w:r>
              <w:rPr>
                <w:rFonts w:eastAsiaTheme="minorEastAsia"/>
                <w:color w:val="auto"/>
                <w:w w:val="90"/>
                <w:szCs w:val="21"/>
                <w:vertAlign w:val="superscript"/>
              </w:rPr>
              <w:t>-5</w:t>
            </w:r>
            <w:r>
              <w:rPr>
                <w:rFonts w:eastAsiaTheme="minorEastAsia"/>
                <w:color w:val="auto"/>
                <w:w w:val="90"/>
                <w:szCs w:val="21"/>
              </w:rPr>
              <w:t>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0.001</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砷</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color w:val="auto"/>
                <w:w w:val="90"/>
                <w:szCs w:val="21"/>
              </w:rPr>
              <w:t>3.0×10</w:t>
            </w:r>
            <w:r>
              <w:rPr>
                <w:rFonts w:eastAsiaTheme="minorEastAsia"/>
                <w:color w:val="auto"/>
                <w:w w:val="90"/>
                <w:szCs w:val="21"/>
                <w:vertAlign w:val="superscript"/>
              </w:rPr>
              <w:t>-4</w:t>
            </w:r>
            <w:r>
              <w:rPr>
                <w:rFonts w:eastAsiaTheme="minorEastAsia"/>
                <w:color w:val="auto"/>
                <w:w w:val="90"/>
                <w:szCs w:val="21"/>
              </w:rPr>
              <w:t>L</w:t>
            </w:r>
          </w:p>
        </w:tc>
        <w:tc>
          <w:tcPr>
            <w:tcW w:w="1167" w:type="dxa"/>
            <w:vAlign w:val="center"/>
          </w:tcPr>
          <w:p>
            <w:pPr>
              <w:pStyle w:val="164"/>
              <w:rPr>
                <w:rFonts w:eastAsiaTheme="minorEastAsia"/>
                <w:snapToGrid w:val="0"/>
                <w:color w:val="auto"/>
                <w:w w:val="90"/>
                <w:szCs w:val="21"/>
              </w:rPr>
            </w:pPr>
            <w:r>
              <w:rPr>
                <w:rFonts w:eastAsiaTheme="minorEastAsia"/>
                <w:color w:val="auto"/>
                <w:w w:val="90"/>
                <w:szCs w:val="21"/>
              </w:rPr>
              <w:t>3.0×10</w:t>
            </w:r>
            <w:r>
              <w:rPr>
                <w:rFonts w:eastAsiaTheme="minorEastAsia"/>
                <w:color w:val="auto"/>
                <w:w w:val="90"/>
                <w:szCs w:val="21"/>
                <w:vertAlign w:val="superscript"/>
              </w:rPr>
              <w:t>-4</w:t>
            </w:r>
            <w:r>
              <w:rPr>
                <w:rFonts w:eastAsiaTheme="minorEastAsia"/>
                <w:color w:val="auto"/>
                <w:w w:val="90"/>
                <w:szCs w:val="21"/>
              </w:rPr>
              <w:t>L</w:t>
            </w:r>
          </w:p>
        </w:tc>
        <w:tc>
          <w:tcPr>
            <w:tcW w:w="1167" w:type="dxa"/>
            <w:vAlign w:val="center"/>
          </w:tcPr>
          <w:p>
            <w:pPr>
              <w:pStyle w:val="164"/>
              <w:rPr>
                <w:rFonts w:eastAsiaTheme="minorEastAsia"/>
                <w:snapToGrid w:val="0"/>
                <w:color w:val="auto"/>
                <w:w w:val="90"/>
                <w:szCs w:val="21"/>
              </w:rPr>
            </w:pPr>
            <w:r>
              <w:rPr>
                <w:rFonts w:eastAsiaTheme="minorEastAsia"/>
                <w:color w:val="auto"/>
                <w:w w:val="90"/>
                <w:szCs w:val="21"/>
              </w:rPr>
              <w:t>3.0×10</w:t>
            </w:r>
            <w:r>
              <w:rPr>
                <w:rFonts w:eastAsiaTheme="minorEastAsia"/>
                <w:color w:val="auto"/>
                <w:w w:val="90"/>
                <w:szCs w:val="21"/>
                <w:vertAlign w:val="superscript"/>
              </w:rPr>
              <w:t>-4</w:t>
            </w:r>
            <w:r>
              <w:rPr>
                <w:rFonts w:eastAsiaTheme="minorEastAsia"/>
                <w:color w:val="auto"/>
                <w:w w:val="90"/>
                <w:szCs w:val="21"/>
              </w:rPr>
              <w:t>L</w:t>
            </w:r>
          </w:p>
        </w:tc>
        <w:tc>
          <w:tcPr>
            <w:tcW w:w="1167" w:type="dxa"/>
            <w:vAlign w:val="center"/>
          </w:tcPr>
          <w:p>
            <w:pPr>
              <w:pStyle w:val="164"/>
              <w:rPr>
                <w:rFonts w:eastAsiaTheme="minorEastAsia"/>
                <w:snapToGrid w:val="0"/>
                <w:color w:val="auto"/>
                <w:w w:val="90"/>
                <w:szCs w:val="21"/>
              </w:rPr>
            </w:pPr>
            <w:r>
              <w:rPr>
                <w:rFonts w:eastAsiaTheme="minorEastAsia"/>
                <w:color w:val="auto"/>
                <w:w w:val="90"/>
                <w:szCs w:val="21"/>
              </w:rPr>
              <w:t>3.0×10</w:t>
            </w:r>
            <w:r>
              <w:rPr>
                <w:rFonts w:eastAsiaTheme="minorEastAsia"/>
                <w:color w:val="auto"/>
                <w:w w:val="90"/>
                <w:szCs w:val="21"/>
                <w:vertAlign w:val="superscript"/>
              </w:rPr>
              <w:t>-4</w:t>
            </w:r>
            <w:r>
              <w:rPr>
                <w:rFonts w:eastAsiaTheme="minorEastAsia"/>
                <w:color w:val="auto"/>
                <w:w w:val="90"/>
                <w:szCs w:val="21"/>
              </w:rPr>
              <w:t xml:space="preserve"> L</w:t>
            </w:r>
          </w:p>
        </w:tc>
        <w:tc>
          <w:tcPr>
            <w:tcW w:w="1205" w:type="dxa"/>
            <w:vAlign w:val="center"/>
          </w:tcPr>
          <w:p>
            <w:pPr>
              <w:pStyle w:val="164"/>
              <w:rPr>
                <w:rFonts w:eastAsiaTheme="minorEastAsia"/>
                <w:snapToGrid w:val="0"/>
                <w:color w:val="auto"/>
                <w:w w:val="90"/>
                <w:szCs w:val="21"/>
              </w:rPr>
            </w:pPr>
            <w:r>
              <w:rPr>
                <w:rFonts w:eastAsiaTheme="minorEastAsia"/>
                <w:color w:val="auto"/>
                <w:w w:val="90"/>
                <w:szCs w:val="21"/>
              </w:rPr>
              <w:t>3.0×10</w:t>
            </w:r>
            <w:r>
              <w:rPr>
                <w:rFonts w:eastAsiaTheme="minorEastAsia"/>
                <w:color w:val="auto"/>
                <w:w w:val="90"/>
                <w:szCs w:val="21"/>
                <w:vertAlign w:val="superscript"/>
              </w:rPr>
              <w:t>-4</w:t>
            </w:r>
            <w:r>
              <w:rPr>
                <w:rFonts w:eastAsiaTheme="minorEastAsia"/>
                <w:color w:val="auto"/>
                <w:w w:val="90"/>
                <w:szCs w:val="21"/>
              </w:rPr>
              <w:t xml:space="preserve"> 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0.01</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镉</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color w:val="auto"/>
                <w:w w:val="90"/>
                <w:szCs w:val="21"/>
              </w:rPr>
              <w:t>1.0×10</w:t>
            </w:r>
            <w:r>
              <w:rPr>
                <w:rFonts w:eastAsiaTheme="minorEastAsia"/>
                <w:color w:val="auto"/>
                <w:w w:val="90"/>
                <w:szCs w:val="21"/>
                <w:vertAlign w:val="superscript"/>
              </w:rPr>
              <w:t>-4</w:t>
            </w:r>
            <w:r>
              <w:rPr>
                <w:rFonts w:eastAsiaTheme="minorEastAsia"/>
                <w:color w:val="auto"/>
                <w:w w:val="90"/>
                <w:szCs w:val="21"/>
              </w:rPr>
              <w:t>L</w:t>
            </w:r>
          </w:p>
        </w:tc>
        <w:tc>
          <w:tcPr>
            <w:tcW w:w="1167" w:type="dxa"/>
            <w:vAlign w:val="center"/>
          </w:tcPr>
          <w:p>
            <w:pPr>
              <w:pStyle w:val="164"/>
              <w:rPr>
                <w:rFonts w:eastAsiaTheme="minorEastAsia"/>
                <w:snapToGrid w:val="0"/>
                <w:color w:val="auto"/>
                <w:w w:val="90"/>
                <w:szCs w:val="21"/>
              </w:rPr>
            </w:pPr>
            <w:r>
              <w:rPr>
                <w:rFonts w:eastAsiaTheme="minorEastAsia"/>
                <w:color w:val="auto"/>
                <w:w w:val="90"/>
                <w:szCs w:val="21"/>
              </w:rPr>
              <w:t>1.0×10</w:t>
            </w:r>
            <w:r>
              <w:rPr>
                <w:rFonts w:eastAsiaTheme="minorEastAsia"/>
                <w:color w:val="auto"/>
                <w:w w:val="90"/>
                <w:szCs w:val="21"/>
                <w:vertAlign w:val="superscript"/>
              </w:rPr>
              <w:t>-4</w:t>
            </w:r>
            <w:r>
              <w:rPr>
                <w:rFonts w:eastAsiaTheme="minorEastAsia"/>
                <w:color w:val="auto"/>
                <w:w w:val="90"/>
                <w:szCs w:val="21"/>
              </w:rPr>
              <w:t>L</w:t>
            </w:r>
          </w:p>
        </w:tc>
        <w:tc>
          <w:tcPr>
            <w:tcW w:w="1167" w:type="dxa"/>
            <w:vAlign w:val="center"/>
          </w:tcPr>
          <w:p>
            <w:pPr>
              <w:pStyle w:val="164"/>
              <w:rPr>
                <w:rFonts w:eastAsiaTheme="minorEastAsia"/>
                <w:snapToGrid w:val="0"/>
                <w:color w:val="auto"/>
                <w:w w:val="90"/>
                <w:szCs w:val="21"/>
              </w:rPr>
            </w:pPr>
            <w:r>
              <w:rPr>
                <w:rFonts w:eastAsiaTheme="minorEastAsia"/>
                <w:color w:val="auto"/>
                <w:w w:val="90"/>
                <w:szCs w:val="21"/>
              </w:rPr>
              <w:t>1.0×10</w:t>
            </w:r>
            <w:r>
              <w:rPr>
                <w:rFonts w:eastAsiaTheme="minorEastAsia"/>
                <w:color w:val="auto"/>
                <w:w w:val="90"/>
                <w:szCs w:val="21"/>
                <w:vertAlign w:val="superscript"/>
              </w:rPr>
              <w:t>-4</w:t>
            </w:r>
            <w:r>
              <w:rPr>
                <w:rFonts w:eastAsiaTheme="minorEastAsia"/>
                <w:color w:val="auto"/>
                <w:w w:val="90"/>
                <w:szCs w:val="21"/>
              </w:rPr>
              <w:t xml:space="preserve"> L</w:t>
            </w:r>
          </w:p>
        </w:tc>
        <w:tc>
          <w:tcPr>
            <w:tcW w:w="1167" w:type="dxa"/>
            <w:vAlign w:val="center"/>
          </w:tcPr>
          <w:p>
            <w:pPr>
              <w:pStyle w:val="164"/>
              <w:rPr>
                <w:rFonts w:eastAsiaTheme="minorEastAsia"/>
                <w:snapToGrid w:val="0"/>
                <w:color w:val="auto"/>
                <w:w w:val="90"/>
                <w:szCs w:val="21"/>
              </w:rPr>
            </w:pPr>
            <w:r>
              <w:rPr>
                <w:rFonts w:eastAsiaTheme="minorEastAsia"/>
                <w:color w:val="auto"/>
                <w:w w:val="90"/>
                <w:szCs w:val="21"/>
              </w:rPr>
              <w:t>1.0×10</w:t>
            </w:r>
            <w:r>
              <w:rPr>
                <w:rFonts w:eastAsiaTheme="minorEastAsia"/>
                <w:color w:val="auto"/>
                <w:w w:val="90"/>
                <w:szCs w:val="21"/>
                <w:vertAlign w:val="superscript"/>
              </w:rPr>
              <w:t>-4</w:t>
            </w:r>
            <w:r>
              <w:rPr>
                <w:rFonts w:eastAsiaTheme="minorEastAsia"/>
                <w:color w:val="auto"/>
                <w:w w:val="90"/>
                <w:szCs w:val="21"/>
              </w:rPr>
              <w:t xml:space="preserve"> L</w:t>
            </w:r>
          </w:p>
        </w:tc>
        <w:tc>
          <w:tcPr>
            <w:tcW w:w="1205" w:type="dxa"/>
            <w:vAlign w:val="center"/>
          </w:tcPr>
          <w:p>
            <w:pPr>
              <w:pStyle w:val="164"/>
              <w:rPr>
                <w:rFonts w:eastAsiaTheme="minorEastAsia"/>
                <w:snapToGrid w:val="0"/>
                <w:color w:val="auto"/>
                <w:w w:val="90"/>
                <w:szCs w:val="21"/>
              </w:rPr>
            </w:pPr>
            <w:r>
              <w:rPr>
                <w:rFonts w:eastAsiaTheme="minorEastAsia"/>
                <w:color w:val="auto"/>
                <w:w w:val="90"/>
                <w:szCs w:val="21"/>
              </w:rPr>
              <w:t>1.0×10</w:t>
            </w:r>
            <w:r>
              <w:rPr>
                <w:rFonts w:eastAsiaTheme="minorEastAsia"/>
                <w:color w:val="auto"/>
                <w:w w:val="90"/>
                <w:szCs w:val="21"/>
                <w:vertAlign w:val="superscript"/>
              </w:rPr>
              <w:t>-4</w:t>
            </w:r>
            <w:r>
              <w:rPr>
                <w:rFonts w:eastAsiaTheme="minorEastAsia"/>
                <w:color w:val="auto"/>
                <w:w w:val="90"/>
                <w:szCs w:val="21"/>
              </w:rPr>
              <w:t xml:space="preserve"> 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0.005</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ind w:left="-105" w:leftChars="-50" w:right="-105" w:rightChars="-50"/>
              <w:rPr>
                <w:rFonts w:eastAsiaTheme="minorEastAsia"/>
                <w:snapToGrid w:val="0"/>
                <w:color w:val="auto"/>
                <w:w w:val="90"/>
                <w:szCs w:val="21"/>
              </w:rPr>
            </w:pPr>
            <w:r>
              <w:rPr>
                <w:rFonts w:eastAsiaTheme="minorEastAsia"/>
                <w:snapToGrid w:val="0"/>
                <w:color w:val="auto"/>
                <w:w w:val="90"/>
                <w:szCs w:val="21"/>
              </w:rPr>
              <w:t>铬（六价）</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0.004L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0.05</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铅</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0.001L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0.001L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0.001L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0.001L</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0.001L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0.01</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镍</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0.05L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0.05L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0.05L</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0.05L</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0.05L</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0.02</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细菌总数</w:t>
            </w:r>
          </w:p>
        </w:tc>
        <w:tc>
          <w:tcPr>
            <w:tcW w:w="875" w:type="dxa"/>
            <w:vAlign w:val="center"/>
          </w:tcPr>
          <w:p>
            <w:pPr>
              <w:pStyle w:val="164"/>
              <w:rPr>
                <w:rFonts w:eastAsiaTheme="minorEastAsia"/>
                <w:color w:val="auto"/>
                <w:szCs w:val="21"/>
              </w:rPr>
            </w:pPr>
            <w:r>
              <w:rPr>
                <w:rFonts w:eastAsiaTheme="minorEastAsia"/>
                <w:color w:val="auto"/>
                <w:szCs w:val="21"/>
              </w:rPr>
              <w:t>CFU</w:t>
            </w:r>
          </w:p>
          <w:p>
            <w:pPr>
              <w:pStyle w:val="164"/>
              <w:rPr>
                <w:rFonts w:eastAsiaTheme="minorEastAsia"/>
                <w:snapToGrid w:val="0"/>
                <w:color w:val="auto"/>
                <w:w w:val="90"/>
                <w:szCs w:val="21"/>
              </w:rPr>
            </w:pPr>
            <w:r>
              <w:rPr>
                <w:rFonts w:eastAsiaTheme="minorEastAsia"/>
                <w:color w:val="auto"/>
                <w:szCs w:val="21"/>
              </w:rPr>
              <w:t>/mL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17</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20</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21</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19</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100</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shd w:val="clear" w:color="auto" w:fill="FFFFFF"/>
              </w:rPr>
              <w:t>K</w:t>
            </w:r>
            <w:r>
              <w:rPr>
                <w:rFonts w:eastAsiaTheme="minorEastAsia"/>
                <w:snapToGrid w:val="0"/>
                <w:color w:val="auto"/>
                <w:w w:val="90"/>
                <w:szCs w:val="21"/>
                <w:shd w:val="clear" w:color="auto" w:fill="FFFFFF"/>
                <w:vertAlign w:val="superscript"/>
              </w:rPr>
              <w:t>+</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6.79</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5.03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6.61</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5.06</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5.50</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shd w:val="clear" w:color="auto" w:fill="FFFFFF"/>
              </w:rPr>
              <w:t>Na</w:t>
            </w:r>
            <w:r>
              <w:rPr>
                <w:rFonts w:eastAsiaTheme="minorEastAsia"/>
                <w:snapToGrid w:val="0"/>
                <w:color w:val="auto"/>
                <w:w w:val="90"/>
                <w:szCs w:val="21"/>
                <w:shd w:val="clear" w:color="auto" w:fill="FFFFFF"/>
                <w:vertAlign w:val="superscript"/>
              </w:rPr>
              <w:t>+</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679</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620</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604</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560</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558</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shd w:val="clear" w:color="auto" w:fill="FFFFFF"/>
              </w:rPr>
              <w:t>Ca</w:t>
            </w:r>
            <w:r>
              <w:rPr>
                <w:rFonts w:eastAsiaTheme="minorEastAsia"/>
                <w:snapToGrid w:val="0"/>
                <w:color w:val="auto"/>
                <w:w w:val="90"/>
                <w:szCs w:val="21"/>
                <w:shd w:val="clear" w:color="auto" w:fill="FFFFFF"/>
                <w:vertAlign w:val="superscript"/>
              </w:rPr>
              <w:t>2+</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23.1</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15.9</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16.7</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15.5</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15.9</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shd w:val="clear" w:color="auto" w:fill="FFFFFF"/>
              </w:rPr>
              <w:t>Mg</w:t>
            </w:r>
            <w:r>
              <w:rPr>
                <w:rFonts w:eastAsiaTheme="minorEastAsia"/>
                <w:snapToGrid w:val="0"/>
                <w:color w:val="auto"/>
                <w:w w:val="90"/>
                <w:szCs w:val="21"/>
                <w:shd w:val="clear" w:color="auto" w:fill="FFFFFF"/>
                <w:vertAlign w:val="superscript"/>
              </w:rPr>
              <w:t>2+</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546</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453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443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433</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432</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CO</w:t>
            </w:r>
            <w:r>
              <w:rPr>
                <w:rFonts w:eastAsiaTheme="minorEastAsia"/>
                <w:snapToGrid w:val="0"/>
                <w:color w:val="auto"/>
                <w:w w:val="90"/>
                <w:szCs w:val="21"/>
                <w:vertAlign w:val="subscript"/>
              </w:rPr>
              <w:t>3</w:t>
            </w:r>
            <w:r>
              <w:rPr>
                <w:rFonts w:eastAsiaTheme="minorEastAsia"/>
                <w:snapToGrid w:val="0"/>
                <w:color w:val="auto"/>
                <w:w w:val="90"/>
                <w:szCs w:val="21"/>
                <w:vertAlign w:val="superscript"/>
              </w:rPr>
              <w:t>2-</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0</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0</w:t>
            </w:r>
          </w:p>
        </w:tc>
        <w:tc>
          <w:tcPr>
            <w:tcW w:w="1167" w:type="dxa"/>
            <w:shd w:val="clear" w:color="auto" w:fill="auto"/>
            <w:vAlign w:val="center"/>
          </w:tcPr>
          <w:p>
            <w:pPr>
              <w:pStyle w:val="164"/>
              <w:rPr>
                <w:rFonts w:eastAsiaTheme="minorEastAsia"/>
                <w:snapToGrid w:val="0"/>
                <w:color w:val="auto"/>
                <w:w w:val="90"/>
                <w:szCs w:val="21"/>
              </w:rPr>
            </w:pPr>
            <w:r>
              <w:rPr>
                <w:rFonts w:eastAsiaTheme="minorEastAsia"/>
                <w:snapToGrid w:val="0"/>
                <w:color w:val="auto"/>
                <w:w w:val="90"/>
                <w:szCs w:val="21"/>
              </w:rPr>
              <w:t>0</w:t>
            </w:r>
          </w:p>
        </w:tc>
        <w:tc>
          <w:tcPr>
            <w:tcW w:w="1167" w:type="dxa"/>
            <w:shd w:val="clear" w:color="auto" w:fill="auto"/>
            <w:vAlign w:val="center"/>
          </w:tcPr>
          <w:p>
            <w:pPr>
              <w:pStyle w:val="164"/>
              <w:rPr>
                <w:rFonts w:eastAsiaTheme="minorEastAsia"/>
                <w:snapToGrid w:val="0"/>
                <w:color w:val="auto"/>
                <w:w w:val="90"/>
                <w:szCs w:val="21"/>
              </w:rPr>
            </w:pPr>
            <w:r>
              <w:rPr>
                <w:rFonts w:eastAsiaTheme="minorEastAsia"/>
                <w:snapToGrid w:val="0"/>
                <w:color w:val="auto"/>
                <w:w w:val="90"/>
                <w:szCs w:val="21"/>
              </w:rPr>
              <w:t>0</w:t>
            </w:r>
          </w:p>
        </w:tc>
        <w:tc>
          <w:tcPr>
            <w:tcW w:w="1205" w:type="dxa"/>
            <w:shd w:val="clear" w:color="auto" w:fill="auto"/>
            <w:vAlign w:val="center"/>
          </w:tcPr>
          <w:p>
            <w:pPr>
              <w:pStyle w:val="164"/>
              <w:rPr>
                <w:rFonts w:eastAsiaTheme="minorEastAsia"/>
                <w:snapToGrid w:val="0"/>
                <w:color w:val="auto"/>
                <w:w w:val="90"/>
                <w:szCs w:val="21"/>
              </w:rPr>
            </w:pPr>
            <w:r>
              <w:rPr>
                <w:rFonts w:eastAsiaTheme="minorEastAsia"/>
                <w:snapToGrid w:val="0"/>
                <w:color w:val="auto"/>
                <w:w w:val="90"/>
                <w:szCs w:val="21"/>
              </w:rPr>
              <w:t>0</w:t>
            </w:r>
          </w:p>
        </w:tc>
        <w:tc>
          <w:tcPr>
            <w:tcW w:w="814" w:type="dxa"/>
            <w:shd w:val="clear" w:color="auto" w:fill="auto"/>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c>
          <w:tcPr>
            <w:tcW w:w="624" w:type="dxa"/>
            <w:shd w:val="clear" w:color="auto" w:fill="auto"/>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snapToGrid w:val="0"/>
                <w:color w:val="auto"/>
                <w:w w:val="90"/>
                <w:szCs w:val="21"/>
              </w:rPr>
              <w:t>HCO</w:t>
            </w:r>
            <w:r>
              <w:rPr>
                <w:rFonts w:eastAsiaTheme="minorEastAsia"/>
                <w:snapToGrid w:val="0"/>
                <w:color w:val="auto"/>
                <w:w w:val="90"/>
                <w:szCs w:val="21"/>
                <w:vertAlign w:val="subscript"/>
              </w:rPr>
              <w:t>3</w:t>
            </w:r>
            <w:r>
              <w:rPr>
                <w:rFonts w:eastAsiaTheme="minorEastAsia"/>
                <w:snapToGrid w:val="0"/>
                <w:color w:val="auto"/>
                <w:w w:val="90"/>
                <w:szCs w:val="21"/>
                <w:vertAlign w:val="superscript"/>
              </w:rPr>
              <w:t>-</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1.86×10</w:t>
            </w:r>
            <w:r>
              <w:rPr>
                <w:rFonts w:eastAsiaTheme="minorEastAsia"/>
                <w:snapToGrid w:val="0"/>
                <w:color w:val="auto"/>
                <w:w w:val="90"/>
                <w:szCs w:val="21"/>
                <w:vertAlign w:val="superscript"/>
              </w:rPr>
              <w:t>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1.56×10</w:t>
            </w:r>
            <w:r>
              <w:rPr>
                <w:rFonts w:eastAsiaTheme="minorEastAsia"/>
                <w:snapToGrid w:val="0"/>
                <w:color w:val="auto"/>
                <w:w w:val="90"/>
                <w:szCs w:val="21"/>
                <w:vertAlign w:val="superscript"/>
              </w:rPr>
              <w:t>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1.54×10</w:t>
            </w:r>
            <w:r>
              <w:rPr>
                <w:rFonts w:eastAsiaTheme="minorEastAsia"/>
                <w:snapToGrid w:val="0"/>
                <w:color w:val="auto"/>
                <w:w w:val="90"/>
                <w:szCs w:val="21"/>
                <w:vertAlign w:val="superscript"/>
              </w:rPr>
              <w:t>3</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1.45×10</w:t>
            </w:r>
            <w:r>
              <w:rPr>
                <w:rFonts w:eastAsiaTheme="minorEastAsia"/>
                <w:snapToGrid w:val="0"/>
                <w:color w:val="auto"/>
                <w:w w:val="90"/>
                <w:szCs w:val="21"/>
                <w:vertAlign w:val="superscript"/>
              </w:rPr>
              <w:t>3</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1.44×10</w:t>
            </w:r>
            <w:r>
              <w:rPr>
                <w:rFonts w:eastAsiaTheme="minorEastAsia"/>
                <w:snapToGrid w:val="0"/>
                <w:color w:val="auto"/>
                <w:w w:val="90"/>
                <w:szCs w:val="21"/>
                <w:vertAlign w:val="superscript"/>
              </w:rPr>
              <w:t>3</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color w:val="auto"/>
                <w:szCs w:val="21"/>
              </w:rPr>
              <w:t>Cl</w:t>
            </w:r>
            <w:r>
              <w:rPr>
                <w:rFonts w:eastAsiaTheme="minorEastAsia"/>
                <w:color w:val="auto"/>
                <w:szCs w:val="21"/>
                <w:vertAlign w:val="superscript"/>
              </w:rPr>
              <w:t>-</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297</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261</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275</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309</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308</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1005" w:type="dxa"/>
            <w:vAlign w:val="center"/>
          </w:tcPr>
          <w:p>
            <w:pPr>
              <w:pStyle w:val="164"/>
              <w:rPr>
                <w:rFonts w:eastAsiaTheme="minorEastAsia"/>
                <w:snapToGrid w:val="0"/>
                <w:color w:val="auto"/>
                <w:w w:val="90"/>
                <w:szCs w:val="21"/>
              </w:rPr>
            </w:pPr>
            <w:r>
              <w:rPr>
                <w:rFonts w:eastAsiaTheme="minorEastAsia"/>
                <w:color w:val="auto"/>
                <w:szCs w:val="21"/>
              </w:rPr>
              <w:t>SO</w:t>
            </w:r>
            <w:r>
              <w:rPr>
                <w:rFonts w:eastAsiaTheme="minorEastAsia"/>
                <w:color w:val="auto"/>
                <w:szCs w:val="21"/>
                <w:vertAlign w:val="subscript"/>
              </w:rPr>
              <w:t>4</w:t>
            </w:r>
            <w:r>
              <w:rPr>
                <w:rFonts w:eastAsiaTheme="minorEastAsia"/>
                <w:color w:val="auto"/>
                <w:szCs w:val="21"/>
                <w:vertAlign w:val="superscript"/>
              </w:rPr>
              <w:t>2-</w:t>
            </w:r>
          </w:p>
        </w:tc>
        <w:tc>
          <w:tcPr>
            <w:tcW w:w="875" w:type="dxa"/>
            <w:vAlign w:val="center"/>
          </w:tcPr>
          <w:p>
            <w:pPr>
              <w:pStyle w:val="164"/>
              <w:rPr>
                <w:rFonts w:eastAsiaTheme="minorEastAsia"/>
                <w:snapToGrid w:val="0"/>
                <w:color w:val="auto"/>
                <w:w w:val="90"/>
                <w:szCs w:val="21"/>
              </w:rPr>
            </w:pPr>
            <w:r>
              <w:rPr>
                <w:rFonts w:eastAsiaTheme="minorEastAsia"/>
                <w:snapToGrid w:val="0"/>
                <w:color w:val="auto"/>
                <w:w w:val="90"/>
                <w:szCs w:val="21"/>
              </w:rPr>
              <w:t>mg/L</w:t>
            </w:r>
          </w:p>
        </w:tc>
        <w:tc>
          <w:tcPr>
            <w:tcW w:w="1020" w:type="dxa"/>
            <w:vAlign w:val="center"/>
          </w:tcPr>
          <w:p>
            <w:pPr>
              <w:pStyle w:val="164"/>
              <w:rPr>
                <w:rFonts w:eastAsiaTheme="minorEastAsia"/>
                <w:snapToGrid w:val="0"/>
                <w:color w:val="auto"/>
                <w:w w:val="90"/>
                <w:szCs w:val="21"/>
              </w:rPr>
            </w:pPr>
            <w:r>
              <w:rPr>
                <w:rFonts w:eastAsiaTheme="minorEastAsia"/>
                <w:snapToGrid w:val="0"/>
                <w:color w:val="auto"/>
                <w:w w:val="90"/>
                <w:szCs w:val="21"/>
              </w:rPr>
              <w:t>571</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536</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502</w:t>
            </w:r>
          </w:p>
        </w:tc>
        <w:tc>
          <w:tcPr>
            <w:tcW w:w="1167" w:type="dxa"/>
            <w:vAlign w:val="center"/>
          </w:tcPr>
          <w:p>
            <w:pPr>
              <w:pStyle w:val="164"/>
              <w:rPr>
                <w:rFonts w:eastAsiaTheme="minorEastAsia"/>
                <w:snapToGrid w:val="0"/>
                <w:color w:val="auto"/>
                <w:w w:val="90"/>
                <w:szCs w:val="21"/>
              </w:rPr>
            </w:pPr>
            <w:r>
              <w:rPr>
                <w:rFonts w:eastAsiaTheme="minorEastAsia"/>
                <w:snapToGrid w:val="0"/>
                <w:color w:val="auto"/>
                <w:w w:val="90"/>
                <w:szCs w:val="21"/>
              </w:rPr>
              <w:t>520</w:t>
            </w:r>
          </w:p>
        </w:tc>
        <w:tc>
          <w:tcPr>
            <w:tcW w:w="1205" w:type="dxa"/>
            <w:vAlign w:val="center"/>
          </w:tcPr>
          <w:p>
            <w:pPr>
              <w:pStyle w:val="164"/>
              <w:rPr>
                <w:rFonts w:eastAsiaTheme="minorEastAsia"/>
                <w:snapToGrid w:val="0"/>
                <w:color w:val="auto"/>
                <w:w w:val="90"/>
                <w:szCs w:val="21"/>
              </w:rPr>
            </w:pPr>
            <w:r>
              <w:rPr>
                <w:rFonts w:eastAsiaTheme="minorEastAsia"/>
                <w:snapToGrid w:val="0"/>
                <w:color w:val="auto"/>
                <w:w w:val="90"/>
                <w:szCs w:val="21"/>
              </w:rPr>
              <w:t>553</w:t>
            </w:r>
          </w:p>
        </w:tc>
        <w:tc>
          <w:tcPr>
            <w:tcW w:w="81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c>
          <w:tcPr>
            <w:tcW w:w="624" w:type="dxa"/>
            <w:vAlign w:val="center"/>
          </w:tcPr>
          <w:p>
            <w:pPr>
              <w:pStyle w:val="164"/>
              <w:rPr>
                <w:rFonts w:eastAsiaTheme="minorEastAsia"/>
                <w:snapToGrid w:val="0"/>
                <w:color w:val="auto"/>
                <w:w w:val="90"/>
                <w:szCs w:val="21"/>
              </w:rPr>
            </w:pPr>
            <w:r>
              <w:rPr>
                <w:rFonts w:eastAsiaTheme="minorEastAsia"/>
                <w:snapToGrid w:val="0"/>
                <w:color w:val="auto"/>
                <w:w w:val="9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9044" w:type="dxa"/>
            <w:gridSpan w:val="9"/>
            <w:vAlign w:val="center"/>
          </w:tcPr>
          <w:p>
            <w:pPr>
              <w:pStyle w:val="164"/>
              <w:rPr>
                <w:rFonts w:eastAsiaTheme="minorEastAsia"/>
                <w:snapToGrid w:val="0"/>
                <w:color w:val="auto"/>
                <w:w w:val="90"/>
                <w:szCs w:val="21"/>
              </w:rPr>
            </w:pPr>
            <w:r>
              <w:rPr>
                <w:rFonts w:eastAsiaTheme="minorEastAsia"/>
                <w:snapToGrid w:val="0"/>
                <w:color w:val="auto"/>
                <w:w w:val="90"/>
                <w:szCs w:val="21"/>
              </w:rPr>
              <w:t>备注：“检出限加L”表示低于检出限或未检出。地下水检测因子参照执行《地下水质量标准》（GB/T 14848-2017）中的Ⅲ类标准限值，标准由委托单位提供。</w:t>
            </w:r>
          </w:p>
        </w:tc>
      </w:tr>
    </w:tbl>
    <w:p>
      <w:pPr>
        <w:pStyle w:val="5"/>
        <w:numPr>
          <w:ilvl w:val="2"/>
          <w:numId w:val="0"/>
        </w:numPr>
        <w:spacing w:line="460" w:lineRule="exact"/>
        <w:ind w:left="-720" w:leftChars="-343" w:firstLine="723" w:firstLineChars="300"/>
        <w:rPr>
          <w:color w:val="auto"/>
        </w:rPr>
      </w:pPr>
      <w:bookmarkStart w:id="350" w:name="_Toc387745640"/>
      <w:bookmarkEnd w:id="350"/>
      <w:bookmarkStart w:id="351" w:name="_Toc332203262"/>
      <w:bookmarkEnd w:id="351"/>
      <w:bookmarkStart w:id="352" w:name="_Toc299368900"/>
      <w:bookmarkEnd w:id="352"/>
      <w:bookmarkStart w:id="353" w:name="_Toc109398650"/>
      <w:r>
        <w:rPr>
          <w:color w:val="auto"/>
        </w:rPr>
        <w:t>6.3.4地下水化学类型</w:t>
      </w:r>
      <w:bookmarkEnd w:id="353"/>
    </w:p>
    <w:p>
      <w:pPr>
        <w:spacing w:line="460" w:lineRule="exact"/>
        <w:ind w:firstLine="480" w:firstLineChars="200"/>
        <w:rPr>
          <w:color w:val="auto"/>
          <w:sz w:val="24"/>
          <w:szCs w:val="24"/>
        </w:rPr>
      </w:pPr>
      <w:r>
        <w:rPr>
          <w:color w:val="auto"/>
          <w:sz w:val="24"/>
          <w:szCs w:val="24"/>
        </w:rPr>
        <w:t>按照舒卡列夫分类法，对本项目5个地下水监测井八大离子的监测数据进行计算分析（见表6.3-4），舒卡列夫分类表见表6.3-5。</w:t>
      </w:r>
    </w:p>
    <w:p>
      <w:pPr>
        <w:spacing w:line="460" w:lineRule="exact"/>
        <w:ind w:firstLine="480" w:firstLineChars="200"/>
        <w:jc w:val="center"/>
        <w:rPr>
          <w:color w:val="auto"/>
          <w:sz w:val="24"/>
          <w:szCs w:val="24"/>
        </w:rPr>
      </w:pPr>
      <w:r>
        <w:rPr>
          <w:rFonts w:eastAsia="Courier New"/>
          <w:b/>
          <w:color w:val="auto"/>
          <w:kern w:val="0"/>
          <w:sz w:val="24"/>
          <w:szCs w:val="24"/>
          <w:lang w:val="zh-TW"/>
        </w:rPr>
        <w:t>表</w:t>
      </w:r>
      <w:r>
        <w:rPr>
          <w:b/>
          <w:color w:val="auto"/>
          <w:kern w:val="0"/>
          <w:sz w:val="24"/>
          <w:szCs w:val="24"/>
        </w:rPr>
        <w:t>6.3-4</w:t>
      </w:r>
      <w:r>
        <w:rPr>
          <w:rFonts w:eastAsia="Courier New"/>
          <w:b/>
          <w:color w:val="auto"/>
          <w:kern w:val="0"/>
          <w:sz w:val="24"/>
          <w:szCs w:val="24"/>
          <w:lang w:val="zh-TW"/>
        </w:rPr>
        <w:t xml:space="preserve">  </w:t>
      </w:r>
      <w:r>
        <w:rPr>
          <w:b/>
          <w:color w:val="auto"/>
          <w:kern w:val="0"/>
          <w:sz w:val="24"/>
          <w:szCs w:val="24"/>
        </w:rPr>
        <w:t>水化学类型计算</w:t>
      </w:r>
      <w:r>
        <w:rPr>
          <w:rFonts w:eastAsia="Courier New"/>
          <w:b/>
          <w:color w:val="auto"/>
          <w:kern w:val="0"/>
          <w:sz w:val="24"/>
          <w:szCs w:val="24"/>
          <w:lang w:val="zh-TW"/>
        </w:rPr>
        <w:t>表</w:t>
      </w:r>
    </w:p>
    <w:tbl>
      <w:tblPr>
        <w:tblStyle w:val="75"/>
        <w:tblW w:w="897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42"/>
        <w:gridCol w:w="841"/>
        <w:gridCol w:w="842"/>
        <w:gridCol w:w="981"/>
        <w:gridCol w:w="981"/>
        <w:gridCol w:w="981"/>
        <w:gridCol w:w="842"/>
        <w:gridCol w:w="981"/>
        <w:gridCol w:w="842"/>
        <w:gridCol w:w="8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监测井</w:t>
            </w:r>
          </w:p>
        </w:tc>
        <w:tc>
          <w:tcPr>
            <w:tcW w:w="841" w:type="dxa"/>
            <w:vAlign w:val="center"/>
          </w:tcPr>
          <w:p>
            <w:pPr>
              <w:jc w:val="center"/>
              <w:rPr>
                <w:color w:val="auto"/>
                <w:szCs w:val="21"/>
              </w:rPr>
            </w:pPr>
            <w:r>
              <w:rPr>
                <w:rFonts w:eastAsia="Courier New"/>
                <w:bCs/>
                <w:color w:val="auto"/>
                <w:kern w:val="0"/>
                <w:szCs w:val="21"/>
                <w:lang w:val="zh-TW"/>
              </w:rPr>
              <w:t>Cl</w:t>
            </w:r>
            <w:r>
              <w:rPr>
                <w:rFonts w:eastAsia="Courier New"/>
                <w:bCs/>
                <w:color w:val="auto"/>
                <w:kern w:val="0"/>
                <w:szCs w:val="21"/>
                <w:vertAlign w:val="superscript"/>
                <w:lang w:val="zh-TW"/>
              </w:rPr>
              <w:t>-</w:t>
            </w:r>
            <w:r>
              <w:rPr>
                <w:bCs/>
                <w:color w:val="auto"/>
                <w:kern w:val="0"/>
                <w:szCs w:val="21"/>
              </w:rPr>
              <w:t>(meq)</w:t>
            </w:r>
          </w:p>
        </w:tc>
        <w:tc>
          <w:tcPr>
            <w:tcW w:w="842" w:type="dxa"/>
            <w:vAlign w:val="center"/>
          </w:tcPr>
          <w:p>
            <w:pPr>
              <w:jc w:val="center"/>
              <w:rPr>
                <w:color w:val="auto"/>
                <w:szCs w:val="21"/>
              </w:rPr>
            </w:pPr>
            <w:r>
              <w:rPr>
                <w:color w:val="auto"/>
                <w:szCs w:val="21"/>
              </w:rPr>
              <w:t>百分比</w:t>
            </w:r>
          </w:p>
        </w:tc>
        <w:tc>
          <w:tcPr>
            <w:tcW w:w="981" w:type="dxa"/>
            <w:vAlign w:val="center"/>
          </w:tcPr>
          <w:p>
            <w:pPr>
              <w:jc w:val="center"/>
              <w:rPr>
                <w:color w:val="auto"/>
                <w:szCs w:val="21"/>
              </w:rPr>
            </w:pPr>
            <w:r>
              <w:rPr>
                <w:rFonts w:eastAsia="Courier New"/>
                <w:bCs/>
                <w:color w:val="auto"/>
                <w:kern w:val="0"/>
                <w:szCs w:val="21"/>
                <w:lang w:val="zh-TW"/>
              </w:rPr>
              <w:t>HCO</w:t>
            </w:r>
            <w:r>
              <w:rPr>
                <w:rFonts w:eastAsia="Courier New"/>
                <w:bCs/>
                <w:color w:val="auto"/>
                <w:kern w:val="0"/>
                <w:szCs w:val="21"/>
                <w:vertAlign w:val="subscript"/>
                <w:lang w:val="zh-TW"/>
              </w:rPr>
              <w:t>3</w:t>
            </w:r>
            <w:r>
              <w:rPr>
                <w:rFonts w:eastAsia="Courier New"/>
                <w:bCs/>
                <w:color w:val="auto"/>
                <w:kern w:val="0"/>
                <w:szCs w:val="21"/>
                <w:vertAlign w:val="superscript"/>
                <w:lang w:val="zh-TW"/>
              </w:rPr>
              <w:t>-</w:t>
            </w:r>
            <w:r>
              <w:rPr>
                <w:bCs/>
                <w:color w:val="auto"/>
                <w:kern w:val="0"/>
                <w:szCs w:val="21"/>
              </w:rPr>
              <w:t>(meq)</w:t>
            </w:r>
          </w:p>
        </w:tc>
        <w:tc>
          <w:tcPr>
            <w:tcW w:w="981" w:type="dxa"/>
            <w:vAlign w:val="center"/>
          </w:tcPr>
          <w:p>
            <w:pPr>
              <w:jc w:val="center"/>
              <w:rPr>
                <w:color w:val="auto"/>
                <w:szCs w:val="21"/>
              </w:rPr>
            </w:pPr>
            <w:r>
              <w:rPr>
                <w:color w:val="auto"/>
                <w:szCs w:val="21"/>
              </w:rPr>
              <w:t>百分比</w:t>
            </w:r>
          </w:p>
        </w:tc>
        <w:tc>
          <w:tcPr>
            <w:tcW w:w="981" w:type="dxa"/>
            <w:vAlign w:val="center"/>
          </w:tcPr>
          <w:p>
            <w:pPr>
              <w:jc w:val="center"/>
              <w:rPr>
                <w:color w:val="auto"/>
                <w:szCs w:val="21"/>
              </w:rPr>
            </w:pPr>
            <w:r>
              <w:rPr>
                <w:rFonts w:eastAsia="Courier New"/>
                <w:bCs/>
                <w:color w:val="auto"/>
                <w:kern w:val="0"/>
                <w:szCs w:val="21"/>
                <w:lang w:val="zh-TW"/>
              </w:rPr>
              <w:t>CO</w:t>
            </w:r>
            <w:r>
              <w:rPr>
                <w:rFonts w:eastAsia="Courier New"/>
                <w:bCs/>
                <w:color w:val="auto"/>
                <w:kern w:val="0"/>
                <w:szCs w:val="21"/>
                <w:vertAlign w:val="subscript"/>
                <w:lang w:val="zh-TW"/>
              </w:rPr>
              <w:t>3</w:t>
            </w:r>
            <w:r>
              <w:rPr>
                <w:rFonts w:eastAsia="Courier New"/>
                <w:bCs/>
                <w:color w:val="auto"/>
                <w:kern w:val="0"/>
                <w:szCs w:val="21"/>
                <w:vertAlign w:val="superscript"/>
                <w:lang w:val="zh-TW"/>
              </w:rPr>
              <w:t>2-</w:t>
            </w:r>
            <w:r>
              <w:rPr>
                <w:bCs/>
                <w:color w:val="auto"/>
                <w:kern w:val="0"/>
                <w:szCs w:val="21"/>
              </w:rPr>
              <w:t>(meq)</w:t>
            </w:r>
          </w:p>
        </w:tc>
        <w:tc>
          <w:tcPr>
            <w:tcW w:w="842" w:type="dxa"/>
            <w:vAlign w:val="center"/>
          </w:tcPr>
          <w:p>
            <w:pPr>
              <w:jc w:val="center"/>
              <w:rPr>
                <w:color w:val="auto"/>
                <w:szCs w:val="21"/>
              </w:rPr>
            </w:pPr>
            <w:r>
              <w:rPr>
                <w:color w:val="auto"/>
                <w:szCs w:val="21"/>
              </w:rPr>
              <w:t>百分比</w:t>
            </w:r>
          </w:p>
        </w:tc>
        <w:tc>
          <w:tcPr>
            <w:tcW w:w="981" w:type="dxa"/>
            <w:vAlign w:val="center"/>
          </w:tcPr>
          <w:p>
            <w:pPr>
              <w:jc w:val="center"/>
              <w:rPr>
                <w:color w:val="auto"/>
                <w:szCs w:val="21"/>
              </w:rPr>
            </w:pPr>
            <w:r>
              <w:rPr>
                <w:rFonts w:eastAsia="Courier New"/>
                <w:bCs/>
                <w:color w:val="auto"/>
                <w:kern w:val="0"/>
                <w:szCs w:val="21"/>
                <w:lang w:val="zh-TW"/>
              </w:rPr>
              <w:t>SO</w:t>
            </w:r>
            <w:r>
              <w:rPr>
                <w:rFonts w:eastAsia="Courier New"/>
                <w:bCs/>
                <w:color w:val="auto"/>
                <w:kern w:val="0"/>
                <w:szCs w:val="21"/>
                <w:vertAlign w:val="subscript"/>
                <w:lang w:val="zh-TW"/>
              </w:rPr>
              <w:t>4</w:t>
            </w:r>
            <w:r>
              <w:rPr>
                <w:rFonts w:eastAsia="Courier New"/>
                <w:bCs/>
                <w:color w:val="auto"/>
                <w:kern w:val="0"/>
                <w:szCs w:val="21"/>
                <w:vertAlign w:val="superscript"/>
                <w:lang w:val="zh-TW"/>
              </w:rPr>
              <w:t>2-</w:t>
            </w:r>
            <w:r>
              <w:rPr>
                <w:bCs/>
                <w:color w:val="auto"/>
                <w:kern w:val="0"/>
                <w:szCs w:val="21"/>
              </w:rPr>
              <w:t>(meq)</w:t>
            </w:r>
          </w:p>
        </w:tc>
        <w:tc>
          <w:tcPr>
            <w:tcW w:w="842" w:type="dxa"/>
            <w:vAlign w:val="center"/>
          </w:tcPr>
          <w:p>
            <w:pPr>
              <w:jc w:val="center"/>
              <w:rPr>
                <w:color w:val="auto"/>
                <w:szCs w:val="21"/>
              </w:rPr>
            </w:pPr>
            <w:r>
              <w:rPr>
                <w:color w:val="auto"/>
                <w:szCs w:val="21"/>
              </w:rPr>
              <w:t>百分比</w:t>
            </w:r>
          </w:p>
        </w:tc>
        <w:tc>
          <w:tcPr>
            <w:tcW w:w="841" w:type="dxa"/>
            <w:vAlign w:val="center"/>
          </w:tcPr>
          <w:p>
            <w:pPr>
              <w:jc w:val="center"/>
              <w:rPr>
                <w:color w:val="auto"/>
                <w:szCs w:val="21"/>
              </w:rPr>
            </w:pPr>
            <w:r>
              <w:rPr>
                <w:color w:val="auto"/>
                <w:szCs w:val="21"/>
              </w:rPr>
              <w:t>Total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1</w:t>
            </w:r>
          </w:p>
        </w:tc>
        <w:tc>
          <w:tcPr>
            <w:tcW w:w="841" w:type="dxa"/>
            <w:vAlign w:val="center"/>
          </w:tcPr>
          <w:p>
            <w:pPr>
              <w:jc w:val="center"/>
              <w:rPr>
                <w:color w:val="auto"/>
                <w:szCs w:val="21"/>
              </w:rPr>
            </w:pPr>
            <w:r>
              <w:rPr>
                <w:color w:val="auto"/>
                <w:szCs w:val="21"/>
              </w:rPr>
              <w:t xml:space="preserve">8.366 </w:t>
            </w:r>
          </w:p>
        </w:tc>
        <w:tc>
          <w:tcPr>
            <w:tcW w:w="842" w:type="dxa"/>
            <w:vAlign w:val="center"/>
          </w:tcPr>
          <w:p>
            <w:pPr>
              <w:jc w:val="center"/>
              <w:rPr>
                <w:color w:val="auto"/>
                <w:szCs w:val="21"/>
              </w:rPr>
            </w:pPr>
            <w:r>
              <w:rPr>
                <w:color w:val="auto"/>
                <w:szCs w:val="21"/>
              </w:rPr>
              <w:t xml:space="preserve">16.484 </w:t>
            </w:r>
          </w:p>
        </w:tc>
        <w:tc>
          <w:tcPr>
            <w:tcW w:w="981" w:type="dxa"/>
            <w:vAlign w:val="center"/>
          </w:tcPr>
          <w:p>
            <w:pPr>
              <w:jc w:val="center"/>
              <w:rPr>
                <w:color w:val="auto"/>
                <w:szCs w:val="21"/>
              </w:rPr>
            </w:pPr>
            <w:r>
              <w:rPr>
                <w:color w:val="auto"/>
                <w:szCs w:val="21"/>
              </w:rPr>
              <w:t xml:space="preserve">30.492 </w:t>
            </w:r>
          </w:p>
        </w:tc>
        <w:tc>
          <w:tcPr>
            <w:tcW w:w="981" w:type="dxa"/>
            <w:vAlign w:val="center"/>
          </w:tcPr>
          <w:p>
            <w:pPr>
              <w:jc w:val="center"/>
              <w:rPr>
                <w:color w:val="auto"/>
                <w:szCs w:val="21"/>
              </w:rPr>
            </w:pPr>
            <w:r>
              <w:rPr>
                <w:color w:val="auto"/>
                <w:szCs w:val="21"/>
              </w:rPr>
              <w:t xml:space="preserve">60.078 </w:t>
            </w:r>
          </w:p>
        </w:tc>
        <w:tc>
          <w:tcPr>
            <w:tcW w:w="981" w:type="dxa"/>
            <w:vAlign w:val="center"/>
          </w:tcPr>
          <w:p>
            <w:pPr>
              <w:jc w:val="center"/>
              <w:rPr>
                <w:color w:val="auto"/>
                <w:szCs w:val="21"/>
              </w:rPr>
            </w:pPr>
            <w:r>
              <w:rPr>
                <w:color w:val="auto"/>
                <w:szCs w:val="21"/>
              </w:rPr>
              <w:t xml:space="preserve">0.000 </w:t>
            </w:r>
          </w:p>
        </w:tc>
        <w:tc>
          <w:tcPr>
            <w:tcW w:w="842" w:type="dxa"/>
            <w:vAlign w:val="center"/>
          </w:tcPr>
          <w:p>
            <w:pPr>
              <w:jc w:val="center"/>
              <w:rPr>
                <w:color w:val="auto"/>
                <w:szCs w:val="21"/>
              </w:rPr>
            </w:pPr>
            <w:r>
              <w:rPr>
                <w:color w:val="auto"/>
                <w:szCs w:val="21"/>
              </w:rPr>
              <w:t xml:space="preserve">0.000 </w:t>
            </w:r>
          </w:p>
        </w:tc>
        <w:tc>
          <w:tcPr>
            <w:tcW w:w="981" w:type="dxa"/>
            <w:vAlign w:val="center"/>
          </w:tcPr>
          <w:p>
            <w:pPr>
              <w:jc w:val="center"/>
              <w:rPr>
                <w:color w:val="auto"/>
                <w:szCs w:val="21"/>
              </w:rPr>
            </w:pPr>
            <w:r>
              <w:rPr>
                <w:color w:val="auto"/>
                <w:szCs w:val="21"/>
              </w:rPr>
              <w:t xml:space="preserve">11.896 </w:t>
            </w:r>
          </w:p>
        </w:tc>
        <w:tc>
          <w:tcPr>
            <w:tcW w:w="842" w:type="dxa"/>
            <w:vAlign w:val="center"/>
          </w:tcPr>
          <w:p>
            <w:pPr>
              <w:jc w:val="center"/>
              <w:rPr>
                <w:color w:val="auto"/>
                <w:szCs w:val="21"/>
              </w:rPr>
            </w:pPr>
            <w:r>
              <w:rPr>
                <w:color w:val="auto"/>
                <w:szCs w:val="21"/>
              </w:rPr>
              <w:t xml:space="preserve">23.438 </w:t>
            </w:r>
          </w:p>
        </w:tc>
        <w:tc>
          <w:tcPr>
            <w:tcW w:w="841" w:type="dxa"/>
            <w:vAlign w:val="center"/>
          </w:tcPr>
          <w:p>
            <w:pPr>
              <w:jc w:val="center"/>
              <w:rPr>
                <w:color w:val="auto"/>
                <w:szCs w:val="21"/>
              </w:rPr>
            </w:pPr>
            <w:r>
              <w:rPr>
                <w:color w:val="auto"/>
                <w:szCs w:val="21"/>
              </w:rPr>
              <w:t xml:space="preserve">50.754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2</w:t>
            </w:r>
          </w:p>
        </w:tc>
        <w:tc>
          <w:tcPr>
            <w:tcW w:w="841" w:type="dxa"/>
            <w:vAlign w:val="center"/>
          </w:tcPr>
          <w:p>
            <w:pPr>
              <w:jc w:val="center"/>
              <w:rPr>
                <w:color w:val="auto"/>
                <w:szCs w:val="21"/>
              </w:rPr>
            </w:pPr>
            <w:r>
              <w:rPr>
                <w:color w:val="auto"/>
                <w:szCs w:val="21"/>
              </w:rPr>
              <w:t xml:space="preserve">7.352 </w:t>
            </w:r>
          </w:p>
        </w:tc>
        <w:tc>
          <w:tcPr>
            <w:tcW w:w="842" w:type="dxa"/>
            <w:vAlign w:val="center"/>
          </w:tcPr>
          <w:p>
            <w:pPr>
              <w:jc w:val="center"/>
              <w:rPr>
                <w:color w:val="auto"/>
                <w:szCs w:val="21"/>
              </w:rPr>
            </w:pPr>
            <w:r>
              <w:rPr>
                <w:color w:val="auto"/>
                <w:szCs w:val="21"/>
              </w:rPr>
              <w:t xml:space="preserve">16.674 </w:t>
            </w:r>
          </w:p>
        </w:tc>
        <w:tc>
          <w:tcPr>
            <w:tcW w:w="981" w:type="dxa"/>
            <w:vAlign w:val="center"/>
          </w:tcPr>
          <w:p>
            <w:pPr>
              <w:jc w:val="center"/>
              <w:rPr>
                <w:color w:val="auto"/>
                <w:szCs w:val="21"/>
              </w:rPr>
            </w:pPr>
            <w:r>
              <w:rPr>
                <w:color w:val="auto"/>
                <w:szCs w:val="21"/>
              </w:rPr>
              <w:t xml:space="preserve">25.574 </w:t>
            </w:r>
          </w:p>
        </w:tc>
        <w:tc>
          <w:tcPr>
            <w:tcW w:w="981" w:type="dxa"/>
            <w:vAlign w:val="center"/>
          </w:tcPr>
          <w:p>
            <w:pPr>
              <w:jc w:val="center"/>
              <w:rPr>
                <w:color w:val="auto"/>
                <w:szCs w:val="21"/>
              </w:rPr>
            </w:pPr>
            <w:r>
              <w:rPr>
                <w:color w:val="auto"/>
                <w:szCs w:val="21"/>
              </w:rPr>
              <w:t xml:space="preserve">58.000 </w:t>
            </w:r>
          </w:p>
        </w:tc>
        <w:tc>
          <w:tcPr>
            <w:tcW w:w="981" w:type="dxa"/>
            <w:vAlign w:val="center"/>
          </w:tcPr>
          <w:p>
            <w:pPr>
              <w:jc w:val="center"/>
              <w:rPr>
                <w:color w:val="auto"/>
                <w:szCs w:val="21"/>
              </w:rPr>
            </w:pPr>
            <w:r>
              <w:rPr>
                <w:color w:val="auto"/>
                <w:szCs w:val="21"/>
              </w:rPr>
              <w:t xml:space="preserve">0.000 </w:t>
            </w:r>
          </w:p>
        </w:tc>
        <w:tc>
          <w:tcPr>
            <w:tcW w:w="842" w:type="dxa"/>
            <w:vAlign w:val="center"/>
          </w:tcPr>
          <w:p>
            <w:pPr>
              <w:jc w:val="center"/>
              <w:rPr>
                <w:color w:val="auto"/>
                <w:szCs w:val="21"/>
              </w:rPr>
            </w:pPr>
            <w:r>
              <w:rPr>
                <w:color w:val="auto"/>
                <w:szCs w:val="21"/>
              </w:rPr>
              <w:t xml:space="preserve">0.000 </w:t>
            </w:r>
          </w:p>
        </w:tc>
        <w:tc>
          <w:tcPr>
            <w:tcW w:w="981" w:type="dxa"/>
            <w:vAlign w:val="center"/>
          </w:tcPr>
          <w:p>
            <w:pPr>
              <w:jc w:val="center"/>
              <w:rPr>
                <w:color w:val="auto"/>
                <w:szCs w:val="21"/>
              </w:rPr>
            </w:pPr>
            <w:r>
              <w:rPr>
                <w:color w:val="auto"/>
                <w:szCs w:val="21"/>
              </w:rPr>
              <w:t xml:space="preserve">11.167 </w:t>
            </w:r>
          </w:p>
        </w:tc>
        <w:tc>
          <w:tcPr>
            <w:tcW w:w="842" w:type="dxa"/>
            <w:vAlign w:val="center"/>
          </w:tcPr>
          <w:p>
            <w:pPr>
              <w:jc w:val="center"/>
              <w:rPr>
                <w:color w:val="auto"/>
                <w:szCs w:val="21"/>
              </w:rPr>
            </w:pPr>
            <w:r>
              <w:rPr>
                <w:color w:val="auto"/>
                <w:szCs w:val="21"/>
              </w:rPr>
              <w:t xml:space="preserve">25.326 </w:t>
            </w:r>
          </w:p>
        </w:tc>
        <w:tc>
          <w:tcPr>
            <w:tcW w:w="841" w:type="dxa"/>
            <w:vAlign w:val="center"/>
          </w:tcPr>
          <w:p>
            <w:pPr>
              <w:jc w:val="center"/>
              <w:rPr>
                <w:color w:val="auto"/>
                <w:szCs w:val="21"/>
              </w:rPr>
            </w:pPr>
            <w:r>
              <w:rPr>
                <w:color w:val="auto"/>
                <w:szCs w:val="21"/>
              </w:rPr>
              <w:t xml:space="preserve">44.093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3</w:t>
            </w:r>
          </w:p>
        </w:tc>
        <w:tc>
          <w:tcPr>
            <w:tcW w:w="841" w:type="dxa"/>
            <w:vAlign w:val="center"/>
          </w:tcPr>
          <w:p>
            <w:pPr>
              <w:jc w:val="center"/>
              <w:rPr>
                <w:color w:val="auto"/>
                <w:szCs w:val="21"/>
              </w:rPr>
            </w:pPr>
            <w:r>
              <w:rPr>
                <w:color w:val="auto"/>
                <w:szCs w:val="21"/>
              </w:rPr>
              <w:t xml:space="preserve">7.746 </w:t>
            </w:r>
          </w:p>
        </w:tc>
        <w:tc>
          <w:tcPr>
            <w:tcW w:w="842" w:type="dxa"/>
            <w:vAlign w:val="center"/>
          </w:tcPr>
          <w:p>
            <w:pPr>
              <w:jc w:val="center"/>
              <w:rPr>
                <w:color w:val="auto"/>
                <w:szCs w:val="21"/>
              </w:rPr>
            </w:pPr>
            <w:r>
              <w:rPr>
                <w:color w:val="auto"/>
                <w:szCs w:val="21"/>
              </w:rPr>
              <w:t xml:space="preserve">17.828 </w:t>
            </w:r>
          </w:p>
        </w:tc>
        <w:tc>
          <w:tcPr>
            <w:tcW w:w="981" w:type="dxa"/>
            <w:vAlign w:val="center"/>
          </w:tcPr>
          <w:p>
            <w:pPr>
              <w:jc w:val="center"/>
              <w:rPr>
                <w:color w:val="auto"/>
                <w:szCs w:val="21"/>
              </w:rPr>
            </w:pPr>
            <w:r>
              <w:rPr>
                <w:color w:val="auto"/>
                <w:szCs w:val="21"/>
              </w:rPr>
              <w:t xml:space="preserve">25.246 </w:t>
            </w:r>
          </w:p>
        </w:tc>
        <w:tc>
          <w:tcPr>
            <w:tcW w:w="981" w:type="dxa"/>
            <w:vAlign w:val="center"/>
          </w:tcPr>
          <w:p>
            <w:pPr>
              <w:jc w:val="center"/>
              <w:rPr>
                <w:color w:val="auto"/>
                <w:szCs w:val="21"/>
              </w:rPr>
            </w:pPr>
            <w:r>
              <w:rPr>
                <w:color w:val="auto"/>
                <w:szCs w:val="21"/>
              </w:rPr>
              <w:t xml:space="preserve">58.102 </w:t>
            </w:r>
          </w:p>
        </w:tc>
        <w:tc>
          <w:tcPr>
            <w:tcW w:w="981" w:type="dxa"/>
            <w:vAlign w:val="center"/>
          </w:tcPr>
          <w:p>
            <w:pPr>
              <w:jc w:val="center"/>
              <w:rPr>
                <w:color w:val="auto"/>
                <w:szCs w:val="21"/>
              </w:rPr>
            </w:pPr>
            <w:r>
              <w:rPr>
                <w:color w:val="auto"/>
                <w:szCs w:val="21"/>
              </w:rPr>
              <w:t xml:space="preserve">0.000 </w:t>
            </w:r>
          </w:p>
        </w:tc>
        <w:tc>
          <w:tcPr>
            <w:tcW w:w="842" w:type="dxa"/>
            <w:vAlign w:val="center"/>
          </w:tcPr>
          <w:p>
            <w:pPr>
              <w:jc w:val="center"/>
              <w:rPr>
                <w:color w:val="auto"/>
                <w:szCs w:val="21"/>
              </w:rPr>
            </w:pPr>
            <w:r>
              <w:rPr>
                <w:color w:val="auto"/>
                <w:szCs w:val="21"/>
              </w:rPr>
              <w:t xml:space="preserve">0.000 </w:t>
            </w:r>
          </w:p>
        </w:tc>
        <w:tc>
          <w:tcPr>
            <w:tcW w:w="981" w:type="dxa"/>
            <w:vAlign w:val="center"/>
          </w:tcPr>
          <w:p>
            <w:pPr>
              <w:jc w:val="center"/>
              <w:rPr>
                <w:color w:val="auto"/>
                <w:szCs w:val="21"/>
              </w:rPr>
            </w:pPr>
            <w:r>
              <w:rPr>
                <w:color w:val="auto"/>
                <w:szCs w:val="21"/>
              </w:rPr>
              <w:t xml:space="preserve">10.458 </w:t>
            </w:r>
          </w:p>
        </w:tc>
        <w:tc>
          <w:tcPr>
            <w:tcW w:w="842" w:type="dxa"/>
            <w:vAlign w:val="center"/>
          </w:tcPr>
          <w:p>
            <w:pPr>
              <w:jc w:val="center"/>
              <w:rPr>
                <w:color w:val="auto"/>
                <w:szCs w:val="21"/>
              </w:rPr>
            </w:pPr>
            <w:r>
              <w:rPr>
                <w:color w:val="auto"/>
                <w:szCs w:val="21"/>
              </w:rPr>
              <w:t xml:space="preserve">24.069 </w:t>
            </w:r>
          </w:p>
        </w:tc>
        <w:tc>
          <w:tcPr>
            <w:tcW w:w="841" w:type="dxa"/>
            <w:vAlign w:val="center"/>
          </w:tcPr>
          <w:p>
            <w:pPr>
              <w:jc w:val="center"/>
              <w:rPr>
                <w:color w:val="auto"/>
                <w:szCs w:val="21"/>
              </w:rPr>
            </w:pPr>
            <w:r>
              <w:rPr>
                <w:color w:val="auto"/>
                <w:szCs w:val="21"/>
              </w:rPr>
              <w:t xml:space="preserve">43.451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4</w:t>
            </w:r>
          </w:p>
        </w:tc>
        <w:tc>
          <w:tcPr>
            <w:tcW w:w="841" w:type="dxa"/>
            <w:vAlign w:val="center"/>
          </w:tcPr>
          <w:p>
            <w:pPr>
              <w:jc w:val="center"/>
              <w:rPr>
                <w:color w:val="auto"/>
                <w:szCs w:val="21"/>
              </w:rPr>
            </w:pPr>
            <w:r>
              <w:rPr>
                <w:color w:val="auto"/>
                <w:szCs w:val="21"/>
              </w:rPr>
              <w:t xml:space="preserve">8.704 </w:t>
            </w:r>
          </w:p>
        </w:tc>
        <w:tc>
          <w:tcPr>
            <w:tcW w:w="842" w:type="dxa"/>
            <w:vAlign w:val="center"/>
          </w:tcPr>
          <w:p>
            <w:pPr>
              <w:jc w:val="center"/>
              <w:rPr>
                <w:color w:val="auto"/>
                <w:szCs w:val="21"/>
              </w:rPr>
            </w:pPr>
            <w:r>
              <w:rPr>
                <w:color w:val="auto"/>
                <w:szCs w:val="21"/>
              </w:rPr>
              <w:t xml:space="preserve">20.098 </w:t>
            </w:r>
          </w:p>
        </w:tc>
        <w:tc>
          <w:tcPr>
            <w:tcW w:w="981" w:type="dxa"/>
            <w:vAlign w:val="center"/>
          </w:tcPr>
          <w:p>
            <w:pPr>
              <w:jc w:val="center"/>
              <w:rPr>
                <w:color w:val="auto"/>
                <w:szCs w:val="21"/>
              </w:rPr>
            </w:pPr>
            <w:r>
              <w:rPr>
                <w:color w:val="auto"/>
                <w:szCs w:val="21"/>
              </w:rPr>
              <w:t xml:space="preserve">23.770 </w:t>
            </w:r>
          </w:p>
        </w:tc>
        <w:tc>
          <w:tcPr>
            <w:tcW w:w="981" w:type="dxa"/>
            <w:vAlign w:val="center"/>
          </w:tcPr>
          <w:p>
            <w:pPr>
              <w:jc w:val="center"/>
              <w:rPr>
                <w:color w:val="auto"/>
                <w:szCs w:val="21"/>
              </w:rPr>
            </w:pPr>
            <w:r>
              <w:rPr>
                <w:color w:val="auto"/>
                <w:szCs w:val="21"/>
              </w:rPr>
              <w:t xml:space="preserve">54.887 </w:t>
            </w:r>
          </w:p>
        </w:tc>
        <w:tc>
          <w:tcPr>
            <w:tcW w:w="981" w:type="dxa"/>
            <w:vAlign w:val="center"/>
          </w:tcPr>
          <w:p>
            <w:pPr>
              <w:jc w:val="center"/>
              <w:rPr>
                <w:color w:val="auto"/>
                <w:szCs w:val="21"/>
              </w:rPr>
            </w:pPr>
            <w:r>
              <w:rPr>
                <w:color w:val="auto"/>
                <w:szCs w:val="21"/>
              </w:rPr>
              <w:t xml:space="preserve">0.000 </w:t>
            </w:r>
          </w:p>
        </w:tc>
        <w:tc>
          <w:tcPr>
            <w:tcW w:w="842" w:type="dxa"/>
            <w:vAlign w:val="center"/>
          </w:tcPr>
          <w:p>
            <w:pPr>
              <w:jc w:val="center"/>
              <w:rPr>
                <w:color w:val="auto"/>
                <w:szCs w:val="21"/>
              </w:rPr>
            </w:pPr>
            <w:r>
              <w:rPr>
                <w:color w:val="auto"/>
                <w:szCs w:val="21"/>
              </w:rPr>
              <w:t xml:space="preserve">0.000 </w:t>
            </w:r>
          </w:p>
        </w:tc>
        <w:tc>
          <w:tcPr>
            <w:tcW w:w="981" w:type="dxa"/>
            <w:vAlign w:val="center"/>
          </w:tcPr>
          <w:p>
            <w:pPr>
              <w:jc w:val="center"/>
              <w:rPr>
                <w:color w:val="auto"/>
                <w:szCs w:val="21"/>
              </w:rPr>
            </w:pPr>
            <w:r>
              <w:rPr>
                <w:color w:val="auto"/>
                <w:szCs w:val="21"/>
              </w:rPr>
              <w:t xml:space="preserve">10.833 </w:t>
            </w:r>
          </w:p>
        </w:tc>
        <w:tc>
          <w:tcPr>
            <w:tcW w:w="842" w:type="dxa"/>
            <w:vAlign w:val="center"/>
          </w:tcPr>
          <w:p>
            <w:pPr>
              <w:jc w:val="center"/>
              <w:rPr>
                <w:color w:val="auto"/>
                <w:szCs w:val="21"/>
              </w:rPr>
            </w:pPr>
            <w:r>
              <w:rPr>
                <w:color w:val="auto"/>
                <w:szCs w:val="21"/>
              </w:rPr>
              <w:t xml:space="preserve">25.015 </w:t>
            </w:r>
          </w:p>
        </w:tc>
        <w:tc>
          <w:tcPr>
            <w:tcW w:w="841" w:type="dxa"/>
            <w:vAlign w:val="center"/>
          </w:tcPr>
          <w:p>
            <w:pPr>
              <w:jc w:val="center"/>
              <w:rPr>
                <w:color w:val="auto"/>
                <w:szCs w:val="21"/>
              </w:rPr>
            </w:pPr>
            <w:r>
              <w:rPr>
                <w:color w:val="auto"/>
                <w:szCs w:val="21"/>
              </w:rPr>
              <w:t xml:space="preserve">43.308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5</w:t>
            </w:r>
          </w:p>
        </w:tc>
        <w:tc>
          <w:tcPr>
            <w:tcW w:w="841" w:type="dxa"/>
            <w:vAlign w:val="center"/>
          </w:tcPr>
          <w:p>
            <w:pPr>
              <w:jc w:val="center"/>
              <w:rPr>
                <w:color w:val="auto"/>
                <w:szCs w:val="21"/>
              </w:rPr>
            </w:pPr>
            <w:r>
              <w:rPr>
                <w:color w:val="auto"/>
                <w:szCs w:val="21"/>
              </w:rPr>
              <w:t xml:space="preserve">8.676 </w:t>
            </w:r>
          </w:p>
        </w:tc>
        <w:tc>
          <w:tcPr>
            <w:tcW w:w="842" w:type="dxa"/>
            <w:vAlign w:val="center"/>
          </w:tcPr>
          <w:p>
            <w:pPr>
              <w:jc w:val="center"/>
              <w:rPr>
                <w:color w:val="auto"/>
                <w:szCs w:val="21"/>
              </w:rPr>
            </w:pPr>
            <w:r>
              <w:rPr>
                <w:color w:val="auto"/>
                <w:szCs w:val="21"/>
              </w:rPr>
              <w:t xml:space="preserve">19.807 </w:t>
            </w:r>
          </w:p>
        </w:tc>
        <w:tc>
          <w:tcPr>
            <w:tcW w:w="981" w:type="dxa"/>
            <w:vAlign w:val="center"/>
          </w:tcPr>
          <w:p>
            <w:pPr>
              <w:jc w:val="center"/>
              <w:rPr>
                <w:color w:val="auto"/>
                <w:szCs w:val="21"/>
              </w:rPr>
            </w:pPr>
            <w:r>
              <w:rPr>
                <w:color w:val="auto"/>
                <w:szCs w:val="21"/>
              </w:rPr>
              <w:t xml:space="preserve">23.607 </w:t>
            </w:r>
          </w:p>
        </w:tc>
        <w:tc>
          <w:tcPr>
            <w:tcW w:w="981" w:type="dxa"/>
            <w:vAlign w:val="center"/>
          </w:tcPr>
          <w:p>
            <w:pPr>
              <w:jc w:val="center"/>
              <w:rPr>
                <w:color w:val="auto"/>
                <w:szCs w:val="21"/>
              </w:rPr>
            </w:pPr>
            <w:r>
              <w:rPr>
                <w:color w:val="auto"/>
                <w:szCs w:val="21"/>
              </w:rPr>
              <w:t xml:space="preserve">53.892 </w:t>
            </w:r>
          </w:p>
        </w:tc>
        <w:tc>
          <w:tcPr>
            <w:tcW w:w="981" w:type="dxa"/>
            <w:vAlign w:val="center"/>
          </w:tcPr>
          <w:p>
            <w:pPr>
              <w:jc w:val="center"/>
              <w:rPr>
                <w:color w:val="auto"/>
                <w:szCs w:val="21"/>
              </w:rPr>
            </w:pPr>
            <w:r>
              <w:rPr>
                <w:color w:val="auto"/>
                <w:szCs w:val="21"/>
              </w:rPr>
              <w:t xml:space="preserve">0.000 </w:t>
            </w:r>
          </w:p>
        </w:tc>
        <w:tc>
          <w:tcPr>
            <w:tcW w:w="842" w:type="dxa"/>
            <w:vAlign w:val="center"/>
          </w:tcPr>
          <w:p>
            <w:pPr>
              <w:jc w:val="center"/>
              <w:rPr>
                <w:color w:val="auto"/>
                <w:szCs w:val="21"/>
              </w:rPr>
            </w:pPr>
            <w:r>
              <w:rPr>
                <w:color w:val="auto"/>
                <w:szCs w:val="21"/>
              </w:rPr>
              <w:t xml:space="preserve">0.000 </w:t>
            </w:r>
          </w:p>
        </w:tc>
        <w:tc>
          <w:tcPr>
            <w:tcW w:w="981" w:type="dxa"/>
            <w:vAlign w:val="center"/>
          </w:tcPr>
          <w:p>
            <w:pPr>
              <w:jc w:val="center"/>
              <w:rPr>
                <w:color w:val="auto"/>
                <w:szCs w:val="21"/>
              </w:rPr>
            </w:pPr>
            <w:r>
              <w:rPr>
                <w:color w:val="auto"/>
                <w:szCs w:val="21"/>
              </w:rPr>
              <w:t xml:space="preserve">11.521 </w:t>
            </w:r>
          </w:p>
        </w:tc>
        <w:tc>
          <w:tcPr>
            <w:tcW w:w="842" w:type="dxa"/>
            <w:vAlign w:val="center"/>
          </w:tcPr>
          <w:p>
            <w:pPr>
              <w:jc w:val="center"/>
              <w:rPr>
                <w:color w:val="auto"/>
                <w:szCs w:val="21"/>
              </w:rPr>
            </w:pPr>
            <w:r>
              <w:rPr>
                <w:color w:val="auto"/>
                <w:szCs w:val="21"/>
              </w:rPr>
              <w:t xml:space="preserve">26.301 </w:t>
            </w:r>
          </w:p>
        </w:tc>
        <w:tc>
          <w:tcPr>
            <w:tcW w:w="841" w:type="dxa"/>
            <w:vAlign w:val="center"/>
          </w:tcPr>
          <w:p>
            <w:pPr>
              <w:jc w:val="center"/>
              <w:rPr>
                <w:color w:val="auto"/>
                <w:szCs w:val="21"/>
              </w:rPr>
            </w:pPr>
            <w:r>
              <w:rPr>
                <w:color w:val="auto"/>
                <w:szCs w:val="21"/>
              </w:rPr>
              <w:t xml:space="preserve">43.803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监测井</w:t>
            </w:r>
          </w:p>
        </w:tc>
        <w:tc>
          <w:tcPr>
            <w:tcW w:w="841" w:type="dxa"/>
            <w:vAlign w:val="center"/>
          </w:tcPr>
          <w:p>
            <w:pPr>
              <w:jc w:val="center"/>
              <w:rPr>
                <w:rFonts w:eastAsia="PMingLiU"/>
                <w:bCs/>
                <w:color w:val="auto"/>
                <w:kern w:val="0"/>
                <w:szCs w:val="21"/>
                <w:vertAlign w:val="superscript"/>
                <w:lang w:val="zh-TW" w:eastAsia="zh-TW"/>
              </w:rPr>
            </w:pPr>
            <w:r>
              <w:rPr>
                <w:rFonts w:eastAsia="Courier New"/>
                <w:bCs/>
                <w:color w:val="auto"/>
                <w:kern w:val="0"/>
                <w:szCs w:val="21"/>
                <w:lang w:val="zh-TW"/>
              </w:rPr>
              <w:t>K</w:t>
            </w:r>
            <w:r>
              <w:rPr>
                <w:rFonts w:eastAsia="Courier New"/>
                <w:bCs/>
                <w:color w:val="auto"/>
                <w:kern w:val="0"/>
                <w:szCs w:val="21"/>
                <w:vertAlign w:val="superscript"/>
                <w:lang w:val="zh-TW"/>
              </w:rPr>
              <w:t>+</w:t>
            </w:r>
          </w:p>
          <w:p>
            <w:pPr>
              <w:jc w:val="center"/>
              <w:rPr>
                <w:color w:val="auto"/>
                <w:szCs w:val="21"/>
              </w:rPr>
            </w:pPr>
            <w:r>
              <w:rPr>
                <w:bCs/>
                <w:color w:val="auto"/>
                <w:kern w:val="0"/>
                <w:szCs w:val="21"/>
              </w:rPr>
              <w:t>(meq)</w:t>
            </w:r>
          </w:p>
        </w:tc>
        <w:tc>
          <w:tcPr>
            <w:tcW w:w="842" w:type="dxa"/>
            <w:vAlign w:val="center"/>
          </w:tcPr>
          <w:p>
            <w:pPr>
              <w:jc w:val="center"/>
              <w:rPr>
                <w:color w:val="auto"/>
                <w:szCs w:val="21"/>
              </w:rPr>
            </w:pPr>
            <w:r>
              <w:rPr>
                <w:color w:val="auto"/>
                <w:szCs w:val="21"/>
              </w:rPr>
              <w:t>百分比</w:t>
            </w:r>
          </w:p>
        </w:tc>
        <w:tc>
          <w:tcPr>
            <w:tcW w:w="981" w:type="dxa"/>
            <w:vAlign w:val="center"/>
          </w:tcPr>
          <w:p>
            <w:pPr>
              <w:jc w:val="center"/>
              <w:rPr>
                <w:rFonts w:eastAsia="PMingLiU"/>
                <w:bCs/>
                <w:color w:val="auto"/>
                <w:kern w:val="0"/>
                <w:szCs w:val="21"/>
                <w:vertAlign w:val="superscript"/>
                <w:lang w:val="zh-TW" w:eastAsia="zh-TW"/>
              </w:rPr>
            </w:pPr>
            <w:r>
              <w:rPr>
                <w:rFonts w:eastAsia="Courier New"/>
                <w:bCs/>
                <w:color w:val="auto"/>
                <w:kern w:val="0"/>
                <w:szCs w:val="21"/>
                <w:lang w:val="zh-TW"/>
              </w:rPr>
              <w:t>Na</w:t>
            </w:r>
            <w:r>
              <w:rPr>
                <w:rFonts w:eastAsia="Courier New"/>
                <w:bCs/>
                <w:color w:val="auto"/>
                <w:kern w:val="0"/>
                <w:szCs w:val="21"/>
                <w:vertAlign w:val="superscript"/>
                <w:lang w:val="zh-TW"/>
              </w:rPr>
              <w:t>+</w:t>
            </w:r>
          </w:p>
          <w:p>
            <w:pPr>
              <w:jc w:val="center"/>
              <w:rPr>
                <w:color w:val="auto"/>
                <w:szCs w:val="21"/>
              </w:rPr>
            </w:pPr>
            <w:r>
              <w:rPr>
                <w:bCs/>
                <w:color w:val="auto"/>
                <w:kern w:val="0"/>
                <w:szCs w:val="21"/>
              </w:rPr>
              <w:t>(meq)</w:t>
            </w:r>
          </w:p>
        </w:tc>
        <w:tc>
          <w:tcPr>
            <w:tcW w:w="981" w:type="dxa"/>
            <w:vAlign w:val="center"/>
          </w:tcPr>
          <w:p>
            <w:pPr>
              <w:jc w:val="center"/>
              <w:rPr>
                <w:color w:val="auto"/>
                <w:szCs w:val="21"/>
              </w:rPr>
            </w:pPr>
            <w:r>
              <w:rPr>
                <w:color w:val="auto"/>
                <w:szCs w:val="21"/>
              </w:rPr>
              <w:t>百分比</w:t>
            </w:r>
          </w:p>
        </w:tc>
        <w:tc>
          <w:tcPr>
            <w:tcW w:w="981" w:type="dxa"/>
            <w:vAlign w:val="center"/>
          </w:tcPr>
          <w:p>
            <w:pPr>
              <w:jc w:val="center"/>
              <w:rPr>
                <w:rFonts w:eastAsia="PMingLiU"/>
                <w:bCs/>
                <w:color w:val="auto"/>
                <w:kern w:val="0"/>
                <w:szCs w:val="21"/>
                <w:vertAlign w:val="superscript"/>
                <w:lang w:val="zh-TW" w:eastAsia="zh-TW"/>
              </w:rPr>
            </w:pPr>
            <w:r>
              <w:rPr>
                <w:rFonts w:eastAsia="Courier New"/>
                <w:bCs/>
                <w:color w:val="auto"/>
                <w:kern w:val="0"/>
                <w:szCs w:val="21"/>
                <w:lang w:val="zh-TW"/>
              </w:rPr>
              <w:t>Ca</w:t>
            </w:r>
            <w:r>
              <w:rPr>
                <w:rFonts w:eastAsia="Courier New"/>
                <w:bCs/>
                <w:color w:val="auto"/>
                <w:kern w:val="0"/>
                <w:szCs w:val="21"/>
                <w:vertAlign w:val="superscript"/>
                <w:lang w:val="zh-TW"/>
              </w:rPr>
              <w:t>2+</w:t>
            </w:r>
          </w:p>
          <w:p>
            <w:pPr>
              <w:jc w:val="center"/>
              <w:rPr>
                <w:color w:val="auto"/>
                <w:szCs w:val="21"/>
              </w:rPr>
            </w:pPr>
            <w:r>
              <w:rPr>
                <w:bCs/>
                <w:color w:val="auto"/>
                <w:kern w:val="0"/>
                <w:szCs w:val="21"/>
              </w:rPr>
              <w:t>(meq)</w:t>
            </w:r>
          </w:p>
        </w:tc>
        <w:tc>
          <w:tcPr>
            <w:tcW w:w="842" w:type="dxa"/>
            <w:vAlign w:val="center"/>
          </w:tcPr>
          <w:p>
            <w:pPr>
              <w:jc w:val="center"/>
              <w:rPr>
                <w:color w:val="auto"/>
                <w:szCs w:val="21"/>
              </w:rPr>
            </w:pPr>
            <w:r>
              <w:rPr>
                <w:color w:val="auto"/>
                <w:szCs w:val="21"/>
              </w:rPr>
              <w:t>百分比</w:t>
            </w:r>
          </w:p>
        </w:tc>
        <w:tc>
          <w:tcPr>
            <w:tcW w:w="981" w:type="dxa"/>
            <w:vAlign w:val="center"/>
          </w:tcPr>
          <w:p>
            <w:pPr>
              <w:jc w:val="center"/>
              <w:rPr>
                <w:rFonts w:eastAsia="PMingLiU"/>
                <w:bCs/>
                <w:color w:val="auto"/>
                <w:kern w:val="0"/>
                <w:szCs w:val="21"/>
                <w:vertAlign w:val="superscript"/>
                <w:lang w:val="zh-TW" w:eastAsia="zh-TW"/>
              </w:rPr>
            </w:pPr>
            <w:r>
              <w:rPr>
                <w:rFonts w:eastAsia="Courier New"/>
                <w:bCs/>
                <w:color w:val="auto"/>
                <w:kern w:val="0"/>
                <w:szCs w:val="21"/>
                <w:lang w:val="zh-TW"/>
              </w:rPr>
              <w:t>Mg</w:t>
            </w:r>
            <w:r>
              <w:rPr>
                <w:rFonts w:eastAsia="Courier New"/>
                <w:bCs/>
                <w:color w:val="auto"/>
                <w:kern w:val="0"/>
                <w:szCs w:val="21"/>
                <w:vertAlign w:val="superscript"/>
                <w:lang w:val="zh-TW"/>
              </w:rPr>
              <w:t>2+</w:t>
            </w:r>
          </w:p>
          <w:p>
            <w:pPr>
              <w:jc w:val="center"/>
              <w:rPr>
                <w:color w:val="auto"/>
                <w:szCs w:val="21"/>
              </w:rPr>
            </w:pPr>
            <w:r>
              <w:rPr>
                <w:bCs/>
                <w:color w:val="auto"/>
                <w:kern w:val="0"/>
                <w:szCs w:val="21"/>
              </w:rPr>
              <w:t>(meq)</w:t>
            </w:r>
          </w:p>
        </w:tc>
        <w:tc>
          <w:tcPr>
            <w:tcW w:w="842" w:type="dxa"/>
            <w:vAlign w:val="center"/>
          </w:tcPr>
          <w:p>
            <w:pPr>
              <w:jc w:val="center"/>
              <w:rPr>
                <w:color w:val="auto"/>
                <w:szCs w:val="21"/>
              </w:rPr>
            </w:pPr>
            <w:r>
              <w:rPr>
                <w:color w:val="auto"/>
                <w:szCs w:val="21"/>
              </w:rPr>
              <w:t>百分比</w:t>
            </w:r>
          </w:p>
        </w:tc>
        <w:tc>
          <w:tcPr>
            <w:tcW w:w="841" w:type="dxa"/>
            <w:vAlign w:val="center"/>
          </w:tcPr>
          <w:p>
            <w:pPr>
              <w:jc w:val="center"/>
              <w:rPr>
                <w:color w:val="auto"/>
                <w:szCs w:val="21"/>
              </w:rPr>
            </w:pPr>
            <w:r>
              <w:rPr>
                <w:color w:val="auto"/>
                <w:szCs w:val="21"/>
              </w:rPr>
              <w:t>Total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1</w:t>
            </w:r>
          </w:p>
        </w:tc>
        <w:tc>
          <w:tcPr>
            <w:tcW w:w="841" w:type="dxa"/>
            <w:vAlign w:val="center"/>
          </w:tcPr>
          <w:p>
            <w:pPr>
              <w:jc w:val="center"/>
              <w:rPr>
                <w:color w:val="auto"/>
                <w:szCs w:val="21"/>
              </w:rPr>
            </w:pPr>
            <w:r>
              <w:rPr>
                <w:color w:val="auto"/>
                <w:szCs w:val="21"/>
              </w:rPr>
              <w:t xml:space="preserve">0.174 </w:t>
            </w:r>
          </w:p>
        </w:tc>
        <w:tc>
          <w:tcPr>
            <w:tcW w:w="842" w:type="dxa"/>
            <w:vAlign w:val="center"/>
          </w:tcPr>
          <w:p>
            <w:pPr>
              <w:jc w:val="center"/>
              <w:rPr>
                <w:color w:val="auto"/>
                <w:szCs w:val="21"/>
              </w:rPr>
            </w:pPr>
            <w:r>
              <w:rPr>
                <w:color w:val="auto"/>
                <w:szCs w:val="21"/>
              </w:rPr>
              <w:t xml:space="preserve">0.228 </w:t>
            </w:r>
          </w:p>
        </w:tc>
        <w:tc>
          <w:tcPr>
            <w:tcW w:w="981" w:type="dxa"/>
            <w:vAlign w:val="center"/>
          </w:tcPr>
          <w:p>
            <w:pPr>
              <w:jc w:val="center"/>
              <w:rPr>
                <w:color w:val="auto"/>
                <w:szCs w:val="21"/>
              </w:rPr>
            </w:pPr>
            <w:r>
              <w:rPr>
                <w:color w:val="auto"/>
                <w:szCs w:val="21"/>
              </w:rPr>
              <w:t xml:space="preserve">29.522 </w:t>
            </w:r>
          </w:p>
        </w:tc>
        <w:tc>
          <w:tcPr>
            <w:tcW w:w="981" w:type="dxa"/>
            <w:vAlign w:val="center"/>
          </w:tcPr>
          <w:p>
            <w:pPr>
              <w:jc w:val="center"/>
              <w:rPr>
                <w:color w:val="auto"/>
                <w:szCs w:val="21"/>
              </w:rPr>
            </w:pPr>
            <w:r>
              <w:rPr>
                <w:color w:val="auto"/>
                <w:szCs w:val="21"/>
              </w:rPr>
              <w:t xml:space="preserve">38.666 </w:t>
            </w:r>
          </w:p>
        </w:tc>
        <w:tc>
          <w:tcPr>
            <w:tcW w:w="981" w:type="dxa"/>
            <w:vAlign w:val="center"/>
          </w:tcPr>
          <w:p>
            <w:pPr>
              <w:jc w:val="center"/>
              <w:rPr>
                <w:color w:val="auto"/>
                <w:szCs w:val="21"/>
              </w:rPr>
            </w:pPr>
            <w:r>
              <w:rPr>
                <w:color w:val="auto"/>
                <w:szCs w:val="21"/>
              </w:rPr>
              <w:t xml:space="preserve">1.155 </w:t>
            </w:r>
          </w:p>
        </w:tc>
        <w:tc>
          <w:tcPr>
            <w:tcW w:w="842" w:type="dxa"/>
            <w:vAlign w:val="center"/>
          </w:tcPr>
          <w:p>
            <w:pPr>
              <w:jc w:val="center"/>
              <w:rPr>
                <w:color w:val="auto"/>
                <w:szCs w:val="21"/>
              </w:rPr>
            </w:pPr>
            <w:r>
              <w:rPr>
                <w:color w:val="auto"/>
                <w:szCs w:val="21"/>
              </w:rPr>
              <w:t xml:space="preserve">1.513 </w:t>
            </w:r>
          </w:p>
        </w:tc>
        <w:tc>
          <w:tcPr>
            <w:tcW w:w="981" w:type="dxa"/>
            <w:vAlign w:val="center"/>
          </w:tcPr>
          <w:p>
            <w:pPr>
              <w:jc w:val="center"/>
              <w:rPr>
                <w:color w:val="auto"/>
                <w:szCs w:val="21"/>
              </w:rPr>
            </w:pPr>
            <w:r>
              <w:rPr>
                <w:color w:val="auto"/>
                <w:szCs w:val="21"/>
              </w:rPr>
              <w:t xml:space="preserve">45.500 </w:t>
            </w:r>
          </w:p>
        </w:tc>
        <w:tc>
          <w:tcPr>
            <w:tcW w:w="842" w:type="dxa"/>
            <w:vAlign w:val="center"/>
          </w:tcPr>
          <w:p>
            <w:pPr>
              <w:jc w:val="center"/>
              <w:rPr>
                <w:color w:val="auto"/>
                <w:szCs w:val="21"/>
              </w:rPr>
            </w:pPr>
            <w:r>
              <w:rPr>
                <w:color w:val="auto"/>
                <w:szCs w:val="21"/>
              </w:rPr>
              <w:t xml:space="preserve">59.593 </w:t>
            </w:r>
          </w:p>
        </w:tc>
        <w:tc>
          <w:tcPr>
            <w:tcW w:w="841" w:type="dxa"/>
            <w:vAlign w:val="center"/>
          </w:tcPr>
          <w:p>
            <w:pPr>
              <w:jc w:val="center"/>
              <w:rPr>
                <w:color w:val="auto"/>
                <w:szCs w:val="21"/>
              </w:rPr>
            </w:pPr>
            <w:r>
              <w:rPr>
                <w:color w:val="auto"/>
                <w:szCs w:val="21"/>
              </w:rPr>
              <w:t xml:space="preserve">76.351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2</w:t>
            </w:r>
          </w:p>
        </w:tc>
        <w:tc>
          <w:tcPr>
            <w:tcW w:w="841" w:type="dxa"/>
            <w:vAlign w:val="center"/>
          </w:tcPr>
          <w:p>
            <w:pPr>
              <w:jc w:val="center"/>
              <w:rPr>
                <w:color w:val="auto"/>
                <w:szCs w:val="21"/>
              </w:rPr>
            </w:pPr>
            <w:r>
              <w:rPr>
                <w:color w:val="auto"/>
                <w:szCs w:val="21"/>
              </w:rPr>
              <w:t xml:space="preserve">0.129 </w:t>
            </w:r>
          </w:p>
        </w:tc>
        <w:tc>
          <w:tcPr>
            <w:tcW w:w="842" w:type="dxa"/>
            <w:vAlign w:val="center"/>
          </w:tcPr>
          <w:p>
            <w:pPr>
              <w:jc w:val="center"/>
              <w:rPr>
                <w:color w:val="auto"/>
                <w:szCs w:val="21"/>
              </w:rPr>
            </w:pPr>
            <w:r>
              <w:rPr>
                <w:color w:val="auto"/>
                <w:szCs w:val="21"/>
              </w:rPr>
              <w:t xml:space="preserve">0.197 </w:t>
            </w:r>
          </w:p>
        </w:tc>
        <w:tc>
          <w:tcPr>
            <w:tcW w:w="981" w:type="dxa"/>
            <w:vAlign w:val="center"/>
          </w:tcPr>
          <w:p>
            <w:pPr>
              <w:jc w:val="center"/>
              <w:rPr>
                <w:color w:val="auto"/>
                <w:szCs w:val="21"/>
              </w:rPr>
            </w:pPr>
            <w:r>
              <w:rPr>
                <w:color w:val="auto"/>
                <w:szCs w:val="21"/>
              </w:rPr>
              <w:t xml:space="preserve">26.957 </w:t>
            </w:r>
          </w:p>
        </w:tc>
        <w:tc>
          <w:tcPr>
            <w:tcW w:w="981" w:type="dxa"/>
            <w:vAlign w:val="center"/>
          </w:tcPr>
          <w:p>
            <w:pPr>
              <w:jc w:val="center"/>
              <w:rPr>
                <w:color w:val="auto"/>
                <w:szCs w:val="21"/>
              </w:rPr>
            </w:pPr>
            <w:r>
              <w:rPr>
                <w:color w:val="auto"/>
                <w:szCs w:val="21"/>
              </w:rPr>
              <w:t xml:space="preserve">41.073 </w:t>
            </w:r>
          </w:p>
        </w:tc>
        <w:tc>
          <w:tcPr>
            <w:tcW w:w="981" w:type="dxa"/>
            <w:vAlign w:val="center"/>
          </w:tcPr>
          <w:p>
            <w:pPr>
              <w:jc w:val="center"/>
              <w:rPr>
                <w:color w:val="auto"/>
                <w:szCs w:val="21"/>
              </w:rPr>
            </w:pPr>
            <w:r>
              <w:rPr>
                <w:color w:val="auto"/>
                <w:szCs w:val="21"/>
              </w:rPr>
              <w:t xml:space="preserve">0.795 </w:t>
            </w:r>
          </w:p>
        </w:tc>
        <w:tc>
          <w:tcPr>
            <w:tcW w:w="842" w:type="dxa"/>
            <w:vAlign w:val="center"/>
          </w:tcPr>
          <w:p>
            <w:pPr>
              <w:jc w:val="center"/>
              <w:rPr>
                <w:color w:val="auto"/>
                <w:szCs w:val="21"/>
              </w:rPr>
            </w:pPr>
            <w:r>
              <w:rPr>
                <w:color w:val="auto"/>
                <w:szCs w:val="21"/>
              </w:rPr>
              <w:t xml:space="preserve">1.211 </w:t>
            </w:r>
          </w:p>
        </w:tc>
        <w:tc>
          <w:tcPr>
            <w:tcW w:w="981" w:type="dxa"/>
            <w:vAlign w:val="center"/>
          </w:tcPr>
          <w:p>
            <w:pPr>
              <w:jc w:val="center"/>
              <w:rPr>
                <w:color w:val="auto"/>
                <w:szCs w:val="21"/>
              </w:rPr>
            </w:pPr>
            <w:r>
              <w:rPr>
                <w:color w:val="auto"/>
                <w:szCs w:val="21"/>
              </w:rPr>
              <w:t xml:space="preserve">37.750 </w:t>
            </w:r>
          </w:p>
        </w:tc>
        <w:tc>
          <w:tcPr>
            <w:tcW w:w="842" w:type="dxa"/>
            <w:vAlign w:val="center"/>
          </w:tcPr>
          <w:p>
            <w:pPr>
              <w:jc w:val="center"/>
              <w:rPr>
                <w:color w:val="auto"/>
                <w:szCs w:val="21"/>
              </w:rPr>
            </w:pPr>
            <w:r>
              <w:rPr>
                <w:color w:val="auto"/>
                <w:szCs w:val="21"/>
              </w:rPr>
              <w:t xml:space="preserve">57.519 </w:t>
            </w:r>
          </w:p>
        </w:tc>
        <w:tc>
          <w:tcPr>
            <w:tcW w:w="841" w:type="dxa"/>
            <w:vAlign w:val="center"/>
          </w:tcPr>
          <w:p>
            <w:pPr>
              <w:jc w:val="center"/>
              <w:rPr>
                <w:color w:val="auto"/>
                <w:szCs w:val="21"/>
              </w:rPr>
            </w:pPr>
            <w:r>
              <w:rPr>
                <w:color w:val="auto"/>
                <w:szCs w:val="21"/>
              </w:rPr>
              <w:t xml:space="preserve">65.630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3</w:t>
            </w:r>
          </w:p>
        </w:tc>
        <w:tc>
          <w:tcPr>
            <w:tcW w:w="841" w:type="dxa"/>
            <w:vAlign w:val="center"/>
          </w:tcPr>
          <w:p>
            <w:pPr>
              <w:jc w:val="center"/>
              <w:rPr>
                <w:color w:val="auto"/>
                <w:szCs w:val="21"/>
              </w:rPr>
            </w:pPr>
            <w:r>
              <w:rPr>
                <w:color w:val="auto"/>
                <w:szCs w:val="21"/>
              </w:rPr>
              <w:t xml:space="preserve">0.169 </w:t>
            </w:r>
          </w:p>
        </w:tc>
        <w:tc>
          <w:tcPr>
            <w:tcW w:w="842" w:type="dxa"/>
            <w:vAlign w:val="center"/>
          </w:tcPr>
          <w:p>
            <w:pPr>
              <w:jc w:val="center"/>
              <w:rPr>
                <w:color w:val="auto"/>
                <w:szCs w:val="21"/>
              </w:rPr>
            </w:pPr>
            <w:r>
              <w:rPr>
                <w:color w:val="auto"/>
                <w:szCs w:val="21"/>
              </w:rPr>
              <w:t xml:space="preserve">0.264 </w:t>
            </w:r>
          </w:p>
        </w:tc>
        <w:tc>
          <w:tcPr>
            <w:tcW w:w="981" w:type="dxa"/>
            <w:vAlign w:val="center"/>
          </w:tcPr>
          <w:p>
            <w:pPr>
              <w:jc w:val="center"/>
              <w:rPr>
                <w:color w:val="auto"/>
                <w:szCs w:val="21"/>
              </w:rPr>
            </w:pPr>
            <w:r>
              <w:rPr>
                <w:color w:val="auto"/>
                <w:szCs w:val="21"/>
              </w:rPr>
              <w:t xml:space="preserve">26.261 </w:t>
            </w:r>
          </w:p>
        </w:tc>
        <w:tc>
          <w:tcPr>
            <w:tcW w:w="981" w:type="dxa"/>
            <w:vAlign w:val="center"/>
          </w:tcPr>
          <w:p>
            <w:pPr>
              <w:jc w:val="center"/>
              <w:rPr>
                <w:color w:val="auto"/>
                <w:szCs w:val="21"/>
              </w:rPr>
            </w:pPr>
            <w:r>
              <w:rPr>
                <w:color w:val="auto"/>
                <w:szCs w:val="21"/>
              </w:rPr>
              <w:t xml:space="preserve">40.916 </w:t>
            </w:r>
          </w:p>
        </w:tc>
        <w:tc>
          <w:tcPr>
            <w:tcW w:w="981" w:type="dxa"/>
            <w:vAlign w:val="center"/>
          </w:tcPr>
          <w:p>
            <w:pPr>
              <w:jc w:val="center"/>
              <w:rPr>
                <w:color w:val="auto"/>
                <w:szCs w:val="21"/>
              </w:rPr>
            </w:pPr>
            <w:r>
              <w:rPr>
                <w:color w:val="auto"/>
                <w:szCs w:val="21"/>
              </w:rPr>
              <w:t xml:space="preserve">0.835 </w:t>
            </w:r>
          </w:p>
        </w:tc>
        <w:tc>
          <w:tcPr>
            <w:tcW w:w="842" w:type="dxa"/>
            <w:vAlign w:val="center"/>
          </w:tcPr>
          <w:p>
            <w:pPr>
              <w:jc w:val="center"/>
              <w:rPr>
                <w:color w:val="auto"/>
                <w:szCs w:val="21"/>
              </w:rPr>
            </w:pPr>
            <w:r>
              <w:rPr>
                <w:color w:val="auto"/>
                <w:szCs w:val="21"/>
              </w:rPr>
              <w:t xml:space="preserve">1.301 </w:t>
            </w:r>
          </w:p>
        </w:tc>
        <w:tc>
          <w:tcPr>
            <w:tcW w:w="981" w:type="dxa"/>
            <w:vAlign w:val="center"/>
          </w:tcPr>
          <w:p>
            <w:pPr>
              <w:jc w:val="center"/>
              <w:rPr>
                <w:color w:val="auto"/>
                <w:szCs w:val="21"/>
              </w:rPr>
            </w:pPr>
            <w:r>
              <w:rPr>
                <w:color w:val="auto"/>
                <w:szCs w:val="21"/>
              </w:rPr>
              <w:t xml:space="preserve">36.917 </w:t>
            </w:r>
          </w:p>
        </w:tc>
        <w:tc>
          <w:tcPr>
            <w:tcW w:w="842" w:type="dxa"/>
            <w:vAlign w:val="center"/>
          </w:tcPr>
          <w:p>
            <w:pPr>
              <w:jc w:val="center"/>
              <w:rPr>
                <w:color w:val="auto"/>
                <w:szCs w:val="21"/>
              </w:rPr>
            </w:pPr>
            <w:r>
              <w:rPr>
                <w:color w:val="auto"/>
                <w:szCs w:val="21"/>
              </w:rPr>
              <w:t xml:space="preserve">57.519 </w:t>
            </w:r>
          </w:p>
        </w:tc>
        <w:tc>
          <w:tcPr>
            <w:tcW w:w="841" w:type="dxa"/>
            <w:vAlign w:val="center"/>
          </w:tcPr>
          <w:p>
            <w:pPr>
              <w:jc w:val="center"/>
              <w:rPr>
                <w:color w:val="auto"/>
                <w:szCs w:val="21"/>
              </w:rPr>
            </w:pPr>
            <w:r>
              <w:rPr>
                <w:color w:val="auto"/>
                <w:szCs w:val="21"/>
              </w:rPr>
              <w:t xml:space="preserve">64.182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4</w:t>
            </w:r>
          </w:p>
        </w:tc>
        <w:tc>
          <w:tcPr>
            <w:tcW w:w="841" w:type="dxa"/>
            <w:vAlign w:val="center"/>
          </w:tcPr>
          <w:p>
            <w:pPr>
              <w:jc w:val="center"/>
              <w:rPr>
                <w:color w:val="auto"/>
                <w:szCs w:val="21"/>
              </w:rPr>
            </w:pPr>
            <w:r>
              <w:rPr>
                <w:color w:val="auto"/>
                <w:szCs w:val="21"/>
              </w:rPr>
              <w:t xml:space="preserve">0.130 </w:t>
            </w:r>
          </w:p>
        </w:tc>
        <w:tc>
          <w:tcPr>
            <w:tcW w:w="842" w:type="dxa"/>
            <w:vAlign w:val="center"/>
          </w:tcPr>
          <w:p>
            <w:pPr>
              <w:jc w:val="center"/>
              <w:rPr>
                <w:color w:val="auto"/>
                <w:szCs w:val="21"/>
              </w:rPr>
            </w:pPr>
            <w:r>
              <w:rPr>
                <w:color w:val="auto"/>
                <w:szCs w:val="21"/>
              </w:rPr>
              <w:t xml:space="preserve">0.212 </w:t>
            </w:r>
          </w:p>
        </w:tc>
        <w:tc>
          <w:tcPr>
            <w:tcW w:w="981" w:type="dxa"/>
            <w:vAlign w:val="center"/>
          </w:tcPr>
          <w:p>
            <w:pPr>
              <w:jc w:val="center"/>
              <w:rPr>
                <w:color w:val="auto"/>
                <w:szCs w:val="21"/>
              </w:rPr>
            </w:pPr>
            <w:r>
              <w:rPr>
                <w:color w:val="auto"/>
                <w:szCs w:val="21"/>
              </w:rPr>
              <w:t xml:space="preserve">24.348 </w:t>
            </w:r>
          </w:p>
        </w:tc>
        <w:tc>
          <w:tcPr>
            <w:tcW w:w="981" w:type="dxa"/>
            <w:vAlign w:val="center"/>
          </w:tcPr>
          <w:p>
            <w:pPr>
              <w:jc w:val="center"/>
              <w:rPr>
                <w:color w:val="auto"/>
                <w:szCs w:val="21"/>
              </w:rPr>
            </w:pPr>
            <w:r>
              <w:rPr>
                <w:color w:val="auto"/>
                <w:szCs w:val="21"/>
              </w:rPr>
              <w:t xml:space="preserve">39.696 </w:t>
            </w:r>
          </w:p>
        </w:tc>
        <w:tc>
          <w:tcPr>
            <w:tcW w:w="981" w:type="dxa"/>
            <w:vAlign w:val="center"/>
          </w:tcPr>
          <w:p>
            <w:pPr>
              <w:jc w:val="center"/>
              <w:rPr>
                <w:color w:val="auto"/>
                <w:szCs w:val="21"/>
              </w:rPr>
            </w:pPr>
            <w:r>
              <w:rPr>
                <w:color w:val="auto"/>
                <w:szCs w:val="21"/>
              </w:rPr>
              <w:t xml:space="preserve">0.775 </w:t>
            </w:r>
          </w:p>
        </w:tc>
        <w:tc>
          <w:tcPr>
            <w:tcW w:w="842" w:type="dxa"/>
            <w:vAlign w:val="center"/>
          </w:tcPr>
          <w:p>
            <w:pPr>
              <w:jc w:val="center"/>
              <w:rPr>
                <w:color w:val="auto"/>
                <w:szCs w:val="21"/>
              </w:rPr>
            </w:pPr>
            <w:r>
              <w:rPr>
                <w:color w:val="auto"/>
                <w:szCs w:val="21"/>
              </w:rPr>
              <w:t xml:space="preserve">1.264 </w:t>
            </w:r>
          </w:p>
        </w:tc>
        <w:tc>
          <w:tcPr>
            <w:tcW w:w="981" w:type="dxa"/>
            <w:vAlign w:val="center"/>
          </w:tcPr>
          <w:p>
            <w:pPr>
              <w:jc w:val="center"/>
              <w:rPr>
                <w:color w:val="auto"/>
                <w:szCs w:val="21"/>
              </w:rPr>
            </w:pPr>
            <w:r>
              <w:rPr>
                <w:color w:val="auto"/>
                <w:szCs w:val="21"/>
              </w:rPr>
              <w:t xml:space="preserve">36.083 </w:t>
            </w:r>
          </w:p>
        </w:tc>
        <w:tc>
          <w:tcPr>
            <w:tcW w:w="842" w:type="dxa"/>
            <w:vAlign w:val="center"/>
          </w:tcPr>
          <w:p>
            <w:pPr>
              <w:jc w:val="center"/>
              <w:rPr>
                <w:color w:val="auto"/>
                <w:szCs w:val="21"/>
              </w:rPr>
            </w:pPr>
            <w:r>
              <w:rPr>
                <w:color w:val="auto"/>
                <w:szCs w:val="21"/>
              </w:rPr>
              <w:t xml:space="preserve">58.829 </w:t>
            </w:r>
          </w:p>
        </w:tc>
        <w:tc>
          <w:tcPr>
            <w:tcW w:w="841" w:type="dxa"/>
            <w:vAlign w:val="center"/>
          </w:tcPr>
          <w:p>
            <w:pPr>
              <w:jc w:val="center"/>
              <w:rPr>
                <w:color w:val="auto"/>
                <w:szCs w:val="21"/>
              </w:rPr>
            </w:pPr>
            <w:r>
              <w:rPr>
                <w:color w:val="auto"/>
                <w:szCs w:val="21"/>
              </w:rPr>
              <w:t xml:space="preserve">61.336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842" w:type="dxa"/>
            <w:vAlign w:val="center"/>
          </w:tcPr>
          <w:p>
            <w:pPr>
              <w:jc w:val="center"/>
              <w:rPr>
                <w:color w:val="auto"/>
                <w:szCs w:val="21"/>
              </w:rPr>
            </w:pPr>
            <w:r>
              <w:rPr>
                <w:color w:val="auto"/>
                <w:szCs w:val="21"/>
              </w:rPr>
              <w:t>5</w:t>
            </w:r>
          </w:p>
        </w:tc>
        <w:tc>
          <w:tcPr>
            <w:tcW w:w="841" w:type="dxa"/>
            <w:vAlign w:val="center"/>
          </w:tcPr>
          <w:p>
            <w:pPr>
              <w:jc w:val="center"/>
              <w:rPr>
                <w:color w:val="auto"/>
                <w:szCs w:val="21"/>
              </w:rPr>
            </w:pPr>
            <w:r>
              <w:rPr>
                <w:color w:val="auto"/>
                <w:szCs w:val="21"/>
              </w:rPr>
              <w:t xml:space="preserve">0.141 </w:t>
            </w:r>
          </w:p>
        </w:tc>
        <w:tc>
          <w:tcPr>
            <w:tcW w:w="842" w:type="dxa"/>
            <w:vAlign w:val="center"/>
          </w:tcPr>
          <w:p>
            <w:pPr>
              <w:jc w:val="center"/>
              <w:rPr>
                <w:color w:val="auto"/>
                <w:szCs w:val="21"/>
              </w:rPr>
            </w:pPr>
            <w:r>
              <w:rPr>
                <w:color w:val="auto"/>
                <w:szCs w:val="21"/>
              </w:rPr>
              <w:t xml:space="preserve">0.230 </w:t>
            </w:r>
          </w:p>
        </w:tc>
        <w:tc>
          <w:tcPr>
            <w:tcW w:w="981" w:type="dxa"/>
            <w:vAlign w:val="center"/>
          </w:tcPr>
          <w:p>
            <w:pPr>
              <w:jc w:val="center"/>
              <w:rPr>
                <w:color w:val="auto"/>
                <w:szCs w:val="21"/>
              </w:rPr>
            </w:pPr>
            <w:r>
              <w:rPr>
                <w:color w:val="auto"/>
                <w:szCs w:val="21"/>
              </w:rPr>
              <w:t xml:space="preserve">24.261 </w:t>
            </w:r>
          </w:p>
        </w:tc>
        <w:tc>
          <w:tcPr>
            <w:tcW w:w="981" w:type="dxa"/>
            <w:vAlign w:val="center"/>
          </w:tcPr>
          <w:p>
            <w:pPr>
              <w:jc w:val="center"/>
              <w:rPr>
                <w:color w:val="auto"/>
                <w:szCs w:val="21"/>
              </w:rPr>
            </w:pPr>
            <w:r>
              <w:rPr>
                <w:color w:val="auto"/>
                <w:szCs w:val="21"/>
              </w:rPr>
              <w:t xml:space="preserve">39.644 </w:t>
            </w:r>
          </w:p>
        </w:tc>
        <w:tc>
          <w:tcPr>
            <w:tcW w:w="981" w:type="dxa"/>
            <w:vAlign w:val="center"/>
          </w:tcPr>
          <w:p>
            <w:pPr>
              <w:jc w:val="center"/>
              <w:rPr>
                <w:color w:val="auto"/>
                <w:szCs w:val="21"/>
              </w:rPr>
            </w:pPr>
            <w:r>
              <w:rPr>
                <w:color w:val="auto"/>
                <w:szCs w:val="21"/>
              </w:rPr>
              <w:t xml:space="preserve">0.795 </w:t>
            </w:r>
          </w:p>
        </w:tc>
        <w:tc>
          <w:tcPr>
            <w:tcW w:w="842" w:type="dxa"/>
            <w:vAlign w:val="center"/>
          </w:tcPr>
          <w:p>
            <w:pPr>
              <w:jc w:val="center"/>
              <w:rPr>
                <w:color w:val="auto"/>
                <w:szCs w:val="21"/>
              </w:rPr>
            </w:pPr>
            <w:r>
              <w:rPr>
                <w:color w:val="auto"/>
                <w:szCs w:val="21"/>
              </w:rPr>
              <w:t xml:space="preserve">1.299 </w:t>
            </w:r>
          </w:p>
        </w:tc>
        <w:tc>
          <w:tcPr>
            <w:tcW w:w="981" w:type="dxa"/>
            <w:vAlign w:val="center"/>
          </w:tcPr>
          <w:p>
            <w:pPr>
              <w:jc w:val="center"/>
              <w:rPr>
                <w:color w:val="auto"/>
                <w:szCs w:val="21"/>
              </w:rPr>
            </w:pPr>
            <w:r>
              <w:rPr>
                <w:color w:val="auto"/>
                <w:szCs w:val="21"/>
              </w:rPr>
              <w:t xml:space="preserve">36.000 </w:t>
            </w:r>
          </w:p>
        </w:tc>
        <w:tc>
          <w:tcPr>
            <w:tcW w:w="842" w:type="dxa"/>
            <w:vAlign w:val="center"/>
          </w:tcPr>
          <w:p>
            <w:pPr>
              <w:jc w:val="center"/>
              <w:rPr>
                <w:color w:val="auto"/>
                <w:szCs w:val="21"/>
              </w:rPr>
            </w:pPr>
            <w:r>
              <w:rPr>
                <w:color w:val="auto"/>
                <w:szCs w:val="21"/>
              </w:rPr>
              <w:t xml:space="preserve">58.827 </w:t>
            </w:r>
          </w:p>
        </w:tc>
        <w:tc>
          <w:tcPr>
            <w:tcW w:w="841" w:type="dxa"/>
            <w:vAlign w:val="center"/>
          </w:tcPr>
          <w:p>
            <w:pPr>
              <w:jc w:val="center"/>
              <w:rPr>
                <w:color w:val="auto"/>
                <w:szCs w:val="21"/>
              </w:rPr>
            </w:pPr>
            <w:r>
              <w:rPr>
                <w:color w:val="auto"/>
                <w:szCs w:val="21"/>
              </w:rPr>
              <w:t xml:space="preserve">61.197 </w:t>
            </w:r>
          </w:p>
        </w:tc>
      </w:tr>
    </w:tbl>
    <w:p>
      <w:pPr>
        <w:spacing w:line="460" w:lineRule="exact"/>
        <w:jc w:val="center"/>
        <w:rPr>
          <w:color w:val="auto"/>
          <w:sz w:val="24"/>
          <w:szCs w:val="24"/>
        </w:rPr>
      </w:pPr>
      <w:r>
        <w:rPr>
          <w:rFonts w:eastAsia="Courier New"/>
          <w:b/>
          <w:color w:val="auto"/>
          <w:kern w:val="0"/>
          <w:sz w:val="24"/>
          <w:szCs w:val="24"/>
          <w:lang w:val="zh-TW"/>
        </w:rPr>
        <w:t>表</w:t>
      </w:r>
      <w:r>
        <w:rPr>
          <w:b/>
          <w:color w:val="auto"/>
          <w:kern w:val="0"/>
          <w:sz w:val="24"/>
          <w:szCs w:val="24"/>
        </w:rPr>
        <w:t>6.3-5</w:t>
      </w:r>
      <w:r>
        <w:rPr>
          <w:rFonts w:eastAsia="Courier New"/>
          <w:b/>
          <w:color w:val="auto"/>
          <w:kern w:val="0"/>
          <w:sz w:val="24"/>
          <w:szCs w:val="24"/>
          <w:lang w:val="zh-TW"/>
        </w:rPr>
        <w:t xml:space="preserve">  </w:t>
      </w:r>
      <w:r>
        <w:rPr>
          <w:b/>
          <w:color w:val="auto"/>
          <w:kern w:val="0"/>
          <w:sz w:val="24"/>
          <w:szCs w:val="24"/>
        </w:rPr>
        <w:t>舒卡列夫分类表</w:t>
      </w:r>
    </w:p>
    <w:tbl>
      <w:tblPr>
        <w:tblStyle w:val="75"/>
        <w:tblW w:w="9017"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3"/>
        <w:gridCol w:w="850"/>
        <w:gridCol w:w="1223"/>
        <w:gridCol w:w="1619"/>
        <w:gridCol w:w="1118"/>
        <w:gridCol w:w="850"/>
        <w:gridCol w:w="988"/>
        <w:gridCol w:w="8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jc w:val="center"/>
        </w:trPr>
        <w:tc>
          <w:tcPr>
            <w:tcW w:w="1523" w:type="dxa"/>
            <w:vAlign w:val="center"/>
          </w:tcPr>
          <w:p>
            <w:pPr>
              <w:jc w:val="center"/>
              <w:rPr>
                <w:color w:val="auto"/>
                <w:szCs w:val="21"/>
              </w:rPr>
            </w:pPr>
            <w:r>
              <w:rPr>
                <w:color w:val="auto"/>
                <w:szCs w:val="21"/>
              </w:rPr>
              <w:t>超过25% 毫克当量的离子</w:t>
            </w:r>
          </w:p>
        </w:tc>
        <w:tc>
          <w:tcPr>
            <w:tcW w:w="850" w:type="dxa"/>
            <w:vAlign w:val="center"/>
          </w:tcPr>
          <w:p>
            <w:pPr>
              <w:jc w:val="center"/>
              <w:rPr>
                <w:color w:val="auto"/>
                <w:szCs w:val="21"/>
              </w:rPr>
            </w:pPr>
            <w:r>
              <w:rPr>
                <w:color w:val="auto"/>
                <w:szCs w:val="21"/>
              </w:rPr>
              <w:t>HCO</w:t>
            </w:r>
            <w:r>
              <w:rPr>
                <w:color w:val="auto"/>
                <w:szCs w:val="21"/>
                <w:vertAlign w:val="subscript"/>
              </w:rPr>
              <w:t>3</w:t>
            </w:r>
            <w:r>
              <w:rPr>
                <w:color w:val="auto"/>
                <w:szCs w:val="21"/>
              </w:rPr>
              <w:t xml:space="preserve"> </w:t>
            </w:r>
          </w:p>
        </w:tc>
        <w:tc>
          <w:tcPr>
            <w:tcW w:w="1223" w:type="dxa"/>
            <w:vAlign w:val="center"/>
          </w:tcPr>
          <w:p>
            <w:pPr>
              <w:jc w:val="center"/>
              <w:rPr>
                <w:color w:val="auto"/>
                <w:szCs w:val="21"/>
              </w:rPr>
            </w:pPr>
            <w:r>
              <w:rPr>
                <w:color w:val="auto"/>
                <w:szCs w:val="21"/>
              </w:rPr>
              <w:t>HCO</w:t>
            </w:r>
            <w:r>
              <w:rPr>
                <w:color w:val="auto"/>
                <w:szCs w:val="21"/>
                <w:vertAlign w:val="subscript"/>
              </w:rPr>
              <w:t>3</w:t>
            </w:r>
            <w:r>
              <w:rPr>
                <w:color w:val="auto"/>
                <w:szCs w:val="21"/>
              </w:rPr>
              <w:t>+SO</w:t>
            </w:r>
            <w:r>
              <w:rPr>
                <w:color w:val="auto"/>
                <w:szCs w:val="21"/>
                <w:vertAlign w:val="subscript"/>
              </w:rPr>
              <w:t>4</w:t>
            </w:r>
            <w:r>
              <w:rPr>
                <w:color w:val="auto"/>
                <w:szCs w:val="21"/>
              </w:rPr>
              <w:t xml:space="preserve"> </w:t>
            </w:r>
          </w:p>
        </w:tc>
        <w:tc>
          <w:tcPr>
            <w:tcW w:w="1619" w:type="dxa"/>
            <w:vAlign w:val="center"/>
          </w:tcPr>
          <w:p>
            <w:pPr>
              <w:jc w:val="center"/>
              <w:rPr>
                <w:color w:val="auto"/>
                <w:szCs w:val="21"/>
              </w:rPr>
            </w:pPr>
            <w:r>
              <w:rPr>
                <w:color w:val="auto"/>
                <w:szCs w:val="21"/>
              </w:rPr>
              <w:t>HCO</w:t>
            </w:r>
            <w:r>
              <w:rPr>
                <w:color w:val="auto"/>
                <w:szCs w:val="21"/>
                <w:vertAlign w:val="subscript"/>
              </w:rPr>
              <w:t>3</w:t>
            </w:r>
            <w:r>
              <w:rPr>
                <w:color w:val="auto"/>
                <w:szCs w:val="21"/>
              </w:rPr>
              <w:t>+SO</w:t>
            </w:r>
            <w:r>
              <w:rPr>
                <w:color w:val="auto"/>
                <w:szCs w:val="21"/>
                <w:vertAlign w:val="subscript"/>
              </w:rPr>
              <w:t>4</w:t>
            </w:r>
            <w:r>
              <w:rPr>
                <w:color w:val="auto"/>
                <w:szCs w:val="21"/>
              </w:rPr>
              <w:t>+Cl</w:t>
            </w:r>
          </w:p>
        </w:tc>
        <w:tc>
          <w:tcPr>
            <w:tcW w:w="1118" w:type="dxa"/>
            <w:vAlign w:val="center"/>
          </w:tcPr>
          <w:p>
            <w:pPr>
              <w:jc w:val="center"/>
              <w:rPr>
                <w:color w:val="auto"/>
                <w:szCs w:val="21"/>
              </w:rPr>
            </w:pPr>
            <w:r>
              <w:rPr>
                <w:color w:val="auto"/>
                <w:szCs w:val="21"/>
              </w:rPr>
              <w:t>HCO</w:t>
            </w:r>
            <w:r>
              <w:rPr>
                <w:color w:val="auto"/>
                <w:szCs w:val="21"/>
                <w:vertAlign w:val="subscript"/>
              </w:rPr>
              <w:t>3</w:t>
            </w:r>
            <w:r>
              <w:rPr>
                <w:color w:val="auto"/>
                <w:szCs w:val="21"/>
              </w:rPr>
              <w:t xml:space="preserve">+Cl </w:t>
            </w:r>
          </w:p>
        </w:tc>
        <w:tc>
          <w:tcPr>
            <w:tcW w:w="850" w:type="dxa"/>
            <w:vAlign w:val="center"/>
          </w:tcPr>
          <w:p>
            <w:pPr>
              <w:jc w:val="center"/>
              <w:rPr>
                <w:color w:val="auto"/>
                <w:szCs w:val="21"/>
              </w:rPr>
            </w:pPr>
            <w:r>
              <w:rPr>
                <w:color w:val="auto"/>
                <w:szCs w:val="21"/>
              </w:rPr>
              <w:t>SO</w:t>
            </w:r>
            <w:r>
              <w:rPr>
                <w:color w:val="auto"/>
                <w:szCs w:val="21"/>
                <w:vertAlign w:val="subscript"/>
              </w:rPr>
              <w:t>4</w:t>
            </w:r>
          </w:p>
        </w:tc>
        <w:tc>
          <w:tcPr>
            <w:tcW w:w="988" w:type="dxa"/>
            <w:vAlign w:val="center"/>
          </w:tcPr>
          <w:p>
            <w:pPr>
              <w:jc w:val="center"/>
              <w:rPr>
                <w:color w:val="auto"/>
                <w:szCs w:val="21"/>
              </w:rPr>
            </w:pPr>
            <w:r>
              <w:rPr>
                <w:color w:val="auto"/>
                <w:szCs w:val="21"/>
              </w:rPr>
              <w:t>SO</w:t>
            </w:r>
            <w:r>
              <w:rPr>
                <w:color w:val="auto"/>
                <w:szCs w:val="21"/>
                <w:vertAlign w:val="subscript"/>
              </w:rPr>
              <w:t>4</w:t>
            </w:r>
            <w:r>
              <w:rPr>
                <w:color w:val="auto"/>
                <w:szCs w:val="21"/>
              </w:rPr>
              <w:t>+Cl</w:t>
            </w:r>
          </w:p>
        </w:tc>
        <w:tc>
          <w:tcPr>
            <w:tcW w:w="846" w:type="dxa"/>
            <w:vAlign w:val="center"/>
          </w:tcPr>
          <w:p>
            <w:pPr>
              <w:jc w:val="center"/>
              <w:rPr>
                <w:color w:val="auto"/>
                <w:szCs w:val="21"/>
              </w:rPr>
            </w:pPr>
            <w:r>
              <w:rPr>
                <w:color w:val="auto"/>
                <w:szCs w:val="21"/>
              </w:rPr>
              <w:t>Cl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jc w:val="center"/>
        </w:trPr>
        <w:tc>
          <w:tcPr>
            <w:tcW w:w="1523" w:type="dxa"/>
            <w:vAlign w:val="center"/>
          </w:tcPr>
          <w:p>
            <w:pPr>
              <w:jc w:val="center"/>
              <w:rPr>
                <w:color w:val="auto"/>
                <w:szCs w:val="21"/>
              </w:rPr>
            </w:pPr>
            <w:r>
              <w:rPr>
                <w:color w:val="auto"/>
                <w:szCs w:val="21"/>
              </w:rPr>
              <w:t>Ca</w:t>
            </w:r>
          </w:p>
        </w:tc>
        <w:tc>
          <w:tcPr>
            <w:tcW w:w="850" w:type="dxa"/>
            <w:vAlign w:val="center"/>
          </w:tcPr>
          <w:p>
            <w:pPr>
              <w:jc w:val="center"/>
              <w:rPr>
                <w:color w:val="auto"/>
                <w:szCs w:val="21"/>
              </w:rPr>
            </w:pPr>
            <w:r>
              <w:rPr>
                <w:color w:val="auto"/>
                <w:szCs w:val="21"/>
              </w:rPr>
              <w:t>1</w:t>
            </w:r>
          </w:p>
        </w:tc>
        <w:tc>
          <w:tcPr>
            <w:tcW w:w="1223" w:type="dxa"/>
            <w:vAlign w:val="center"/>
          </w:tcPr>
          <w:p>
            <w:pPr>
              <w:jc w:val="center"/>
              <w:rPr>
                <w:color w:val="auto"/>
                <w:szCs w:val="21"/>
              </w:rPr>
            </w:pPr>
            <w:r>
              <w:rPr>
                <w:color w:val="auto"/>
                <w:szCs w:val="21"/>
              </w:rPr>
              <w:t>8</w:t>
            </w:r>
          </w:p>
        </w:tc>
        <w:tc>
          <w:tcPr>
            <w:tcW w:w="1619" w:type="dxa"/>
            <w:vAlign w:val="center"/>
          </w:tcPr>
          <w:p>
            <w:pPr>
              <w:jc w:val="center"/>
              <w:rPr>
                <w:color w:val="auto"/>
                <w:szCs w:val="21"/>
              </w:rPr>
            </w:pPr>
            <w:r>
              <w:rPr>
                <w:color w:val="auto"/>
                <w:szCs w:val="21"/>
              </w:rPr>
              <w:t>15</w:t>
            </w:r>
          </w:p>
        </w:tc>
        <w:tc>
          <w:tcPr>
            <w:tcW w:w="1118" w:type="dxa"/>
            <w:vAlign w:val="center"/>
          </w:tcPr>
          <w:p>
            <w:pPr>
              <w:jc w:val="center"/>
              <w:rPr>
                <w:color w:val="auto"/>
                <w:szCs w:val="21"/>
              </w:rPr>
            </w:pPr>
            <w:r>
              <w:rPr>
                <w:color w:val="auto"/>
                <w:szCs w:val="21"/>
              </w:rPr>
              <w:t>22</w:t>
            </w:r>
          </w:p>
        </w:tc>
        <w:tc>
          <w:tcPr>
            <w:tcW w:w="850" w:type="dxa"/>
            <w:vAlign w:val="center"/>
          </w:tcPr>
          <w:p>
            <w:pPr>
              <w:jc w:val="center"/>
              <w:rPr>
                <w:color w:val="auto"/>
                <w:szCs w:val="21"/>
              </w:rPr>
            </w:pPr>
            <w:r>
              <w:rPr>
                <w:color w:val="auto"/>
                <w:szCs w:val="21"/>
              </w:rPr>
              <w:t>29</w:t>
            </w:r>
          </w:p>
        </w:tc>
        <w:tc>
          <w:tcPr>
            <w:tcW w:w="988" w:type="dxa"/>
            <w:vAlign w:val="center"/>
          </w:tcPr>
          <w:p>
            <w:pPr>
              <w:jc w:val="center"/>
              <w:rPr>
                <w:color w:val="auto"/>
                <w:szCs w:val="21"/>
              </w:rPr>
            </w:pPr>
            <w:r>
              <w:rPr>
                <w:color w:val="auto"/>
                <w:szCs w:val="21"/>
              </w:rPr>
              <w:t>36</w:t>
            </w:r>
          </w:p>
        </w:tc>
        <w:tc>
          <w:tcPr>
            <w:tcW w:w="846" w:type="dxa"/>
            <w:vAlign w:val="center"/>
          </w:tcPr>
          <w:p>
            <w:pPr>
              <w:jc w:val="center"/>
              <w:rPr>
                <w:color w:val="auto"/>
                <w:szCs w:val="21"/>
              </w:rPr>
            </w:pPr>
            <w:r>
              <w:rPr>
                <w:color w:val="auto"/>
                <w:szCs w:val="21"/>
              </w:rPr>
              <w:t>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jc w:val="center"/>
        </w:trPr>
        <w:tc>
          <w:tcPr>
            <w:tcW w:w="1523" w:type="dxa"/>
            <w:vAlign w:val="center"/>
          </w:tcPr>
          <w:p>
            <w:pPr>
              <w:jc w:val="center"/>
              <w:rPr>
                <w:color w:val="auto"/>
                <w:szCs w:val="21"/>
              </w:rPr>
            </w:pPr>
            <w:r>
              <w:rPr>
                <w:color w:val="auto"/>
                <w:szCs w:val="21"/>
              </w:rPr>
              <w:t>Ca+Mg</w:t>
            </w:r>
          </w:p>
        </w:tc>
        <w:tc>
          <w:tcPr>
            <w:tcW w:w="850" w:type="dxa"/>
            <w:vAlign w:val="center"/>
          </w:tcPr>
          <w:p>
            <w:pPr>
              <w:jc w:val="center"/>
              <w:rPr>
                <w:color w:val="auto"/>
                <w:szCs w:val="21"/>
              </w:rPr>
            </w:pPr>
            <w:r>
              <w:rPr>
                <w:color w:val="auto"/>
                <w:szCs w:val="21"/>
              </w:rPr>
              <w:t>2</w:t>
            </w:r>
          </w:p>
        </w:tc>
        <w:tc>
          <w:tcPr>
            <w:tcW w:w="1223" w:type="dxa"/>
            <w:vAlign w:val="center"/>
          </w:tcPr>
          <w:p>
            <w:pPr>
              <w:jc w:val="center"/>
              <w:rPr>
                <w:color w:val="auto"/>
                <w:szCs w:val="21"/>
              </w:rPr>
            </w:pPr>
            <w:r>
              <w:rPr>
                <w:color w:val="auto"/>
                <w:szCs w:val="21"/>
              </w:rPr>
              <w:t>9</w:t>
            </w:r>
          </w:p>
        </w:tc>
        <w:tc>
          <w:tcPr>
            <w:tcW w:w="1619" w:type="dxa"/>
            <w:vAlign w:val="center"/>
          </w:tcPr>
          <w:p>
            <w:pPr>
              <w:jc w:val="center"/>
              <w:rPr>
                <w:color w:val="auto"/>
                <w:szCs w:val="21"/>
              </w:rPr>
            </w:pPr>
            <w:r>
              <w:rPr>
                <w:color w:val="auto"/>
                <w:szCs w:val="21"/>
              </w:rPr>
              <w:t>16</w:t>
            </w:r>
          </w:p>
        </w:tc>
        <w:tc>
          <w:tcPr>
            <w:tcW w:w="1118" w:type="dxa"/>
            <w:vAlign w:val="center"/>
          </w:tcPr>
          <w:p>
            <w:pPr>
              <w:jc w:val="center"/>
              <w:rPr>
                <w:color w:val="auto"/>
                <w:szCs w:val="21"/>
              </w:rPr>
            </w:pPr>
            <w:r>
              <w:rPr>
                <w:color w:val="auto"/>
                <w:szCs w:val="21"/>
              </w:rPr>
              <w:t>23</w:t>
            </w:r>
          </w:p>
        </w:tc>
        <w:tc>
          <w:tcPr>
            <w:tcW w:w="850" w:type="dxa"/>
            <w:vAlign w:val="center"/>
          </w:tcPr>
          <w:p>
            <w:pPr>
              <w:jc w:val="center"/>
              <w:rPr>
                <w:color w:val="auto"/>
                <w:szCs w:val="21"/>
              </w:rPr>
            </w:pPr>
            <w:r>
              <w:rPr>
                <w:color w:val="auto"/>
                <w:szCs w:val="21"/>
              </w:rPr>
              <w:t>30</w:t>
            </w:r>
          </w:p>
        </w:tc>
        <w:tc>
          <w:tcPr>
            <w:tcW w:w="988" w:type="dxa"/>
            <w:vAlign w:val="center"/>
          </w:tcPr>
          <w:p>
            <w:pPr>
              <w:jc w:val="center"/>
              <w:rPr>
                <w:color w:val="auto"/>
                <w:szCs w:val="21"/>
              </w:rPr>
            </w:pPr>
            <w:r>
              <w:rPr>
                <w:color w:val="auto"/>
                <w:szCs w:val="21"/>
              </w:rPr>
              <w:t>37</w:t>
            </w:r>
          </w:p>
        </w:tc>
        <w:tc>
          <w:tcPr>
            <w:tcW w:w="846" w:type="dxa"/>
            <w:vAlign w:val="center"/>
          </w:tcPr>
          <w:p>
            <w:pPr>
              <w:jc w:val="center"/>
              <w:rPr>
                <w:color w:val="auto"/>
                <w:szCs w:val="21"/>
              </w:rPr>
            </w:pPr>
            <w:r>
              <w:rPr>
                <w:color w:val="auto"/>
                <w:szCs w:val="21"/>
              </w:rPr>
              <w:t>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jc w:val="center"/>
        </w:trPr>
        <w:tc>
          <w:tcPr>
            <w:tcW w:w="1523" w:type="dxa"/>
            <w:vAlign w:val="center"/>
          </w:tcPr>
          <w:p>
            <w:pPr>
              <w:jc w:val="center"/>
              <w:rPr>
                <w:color w:val="auto"/>
                <w:szCs w:val="21"/>
              </w:rPr>
            </w:pPr>
            <w:r>
              <w:rPr>
                <w:color w:val="auto"/>
                <w:szCs w:val="21"/>
              </w:rPr>
              <w:t>Mg</w:t>
            </w:r>
          </w:p>
        </w:tc>
        <w:tc>
          <w:tcPr>
            <w:tcW w:w="850" w:type="dxa"/>
            <w:vAlign w:val="center"/>
          </w:tcPr>
          <w:p>
            <w:pPr>
              <w:jc w:val="center"/>
              <w:rPr>
                <w:color w:val="auto"/>
                <w:szCs w:val="21"/>
              </w:rPr>
            </w:pPr>
            <w:r>
              <w:rPr>
                <w:color w:val="auto"/>
                <w:szCs w:val="21"/>
              </w:rPr>
              <w:t>3</w:t>
            </w:r>
          </w:p>
        </w:tc>
        <w:tc>
          <w:tcPr>
            <w:tcW w:w="1223" w:type="dxa"/>
            <w:vAlign w:val="center"/>
          </w:tcPr>
          <w:p>
            <w:pPr>
              <w:jc w:val="center"/>
              <w:rPr>
                <w:color w:val="auto"/>
                <w:szCs w:val="21"/>
              </w:rPr>
            </w:pPr>
            <w:r>
              <w:rPr>
                <w:color w:val="auto"/>
                <w:szCs w:val="21"/>
              </w:rPr>
              <w:t>10</w:t>
            </w:r>
          </w:p>
        </w:tc>
        <w:tc>
          <w:tcPr>
            <w:tcW w:w="1619" w:type="dxa"/>
            <w:vAlign w:val="center"/>
          </w:tcPr>
          <w:p>
            <w:pPr>
              <w:jc w:val="center"/>
              <w:rPr>
                <w:color w:val="auto"/>
                <w:szCs w:val="21"/>
              </w:rPr>
            </w:pPr>
            <w:r>
              <w:rPr>
                <w:color w:val="auto"/>
                <w:szCs w:val="21"/>
              </w:rPr>
              <w:t>17</w:t>
            </w:r>
          </w:p>
        </w:tc>
        <w:tc>
          <w:tcPr>
            <w:tcW w:w="1118" w:type="dxa"/>
            <w:vAlign w:val="center"/>
          </w:tcPr>
          <w:p>
            <w:pPr>
              <w:jc w:val="center"/>
              <w:rPr>
                <w:color w:val="auto"/>
                <w:szCs w:val="21"/>
              </w:rPr>
            </w:pPr>
            <w:r>
              <w:rPr>
                <w:color w:val="auto"/>
                <w:szCs w:val="21"/>
              </w:rPr>
              <w:t>24</w:t>
            </w:r>
          </w:p>
        </w:tc>
        <w:tc>
          <w:tcPr>
            <w:tcW w:w="850" w:type="dxa"/>
            <w:vAlign w:val="center"/>
          </w:tcPr>
          <w:p>
            <w:pPr>
              <w:jc w:val="center"/>
              <w:rPr>
                <w:color w:val="auto"/>
                <w:szCs w:val="21"/>
              </w:rPr>
            </w:pPr>
            <w:r>
              <w:rPr>
                <w:color w:val="auto"/>
                <w:szCs w:val="21"/>
              </w:rPr>
              <w:t>31</w:t>
            </w:r>
          </w:p>
        </w:tc>
        <w:tc>
          <w:tcPr>
            <w:tcW w:w="988" w:type="dxa"/>
            <w:vAlign w:val="center"/>
          </w:tcPr>
          <w:p>
            <w:pPr>
              <w:jc w:val="center"/>
              <w:rPr>
                <w:color w:val="auto"/>
                <w:szCs w:val="21"/>
              </w:rPr>
            </w:pPr>
            <w:r>
              <w:rPr>
                <w:color w:val="auto"/>
                <w:szCs w:val="21"/>
              </w:rPr>
              <w:t>38</w:t>
            </w:r>
          </w:p>
        </w:tc>
        <w:tc>
          <w:tcPr>
            <w:tcW w:w="846" w:type="dxa"/>
            <w:vAlign w:val="center"/>
          </w:tcPr>
          <w:p>
            <w:pPr>
              <w:jc w:val="center"/>
              <w:rPr>
                <w:color w:val="auto"/>
                <w:szCs w:val="21"/>
              </w:rPr>
            </w:pPr>
            <w:r>
              <w:rPr>
                <w:color w:val="auto"/>
                <w:szCs w:val="21"/>
              </w:rPr>
              <w:t>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jc w:val="center"/>
        </w:trPr>
        <w:tc>
          <w:tcPr>
            <w:tcW w:w="1523" w:type="dxa"/>
            <w:vAlign w:val="center"/>
          </w:tcPr>
          <w:p>
            <w:pPr>
              <w:jc w:val="center"/>
              <w:rPr>
                <w:color w:val="auto"/>
                <w:szCs w:val="21"/>
              </w:rPr>
            </w:pPr>
            <w:r>
              <w:rPr>
                <w:color w:val="auto"/>
                <w:szCs w:val="21"/>
              </w:rPr>
              <w:t>Na+Ca</w:t>
            </w:r>
          </w:p>
        </w:tc>
        <w:tc>
          <w:tcPr>
            <w:tcW w:w="850" w:type="dxa"/>
            <w:vAlign w:val="center"/>
          </w:tcPr>
          <w:p>
            <w:pPr>
              <w:jc w:val="center"/>
              <w:rPr>
                <w:color w:val="auto"/>
                <w:szCs w:val="21"/>
              </w:rPr>
            </w:pPr>
            <w:r>
              <w:rPr>
                <w:color w:val="auto"/>
                <w:szCs w:val="21"/>
              </w:rPr>
              <w:t>4</w:t>
            </w:r>
          </w:p>
        </w:tc>
        <w:tc>
          <w:tcPr>
            <w:tcW w:w="1223" w:type="dxa"/>
            <w:vAlign w:val="center"/>
          </w:tcPr>
          <w:p>
            <w:pPr>
              <w:jc w:val="center"/>
              <w:rPr>
                <w:color w:val="auto"/>
                <w:szCs w:val="21"/>
              </w:rPr>
            </w:pPr>
            <w:r>
              <w:rPr>
                <w:color w:val="auto"/>
                <w:szCs w:val="21"/>
              </w:rPr>
              <w:t>11</w:t>
            </w:r>
          </w:p>
        </w:tc>
        <w:tc>
          <w:tcPr>
            <w:tcW w:w="1619" w:type="dxa"/>
            <w:vAlign w:val="center"/>
          </w:tcPr>
          <w:p>
            <w:pPr>
              <w:jc w:val="center"/>
              <w:rPr>
                <w:color w:val="auto"/>
                <w:szCs w:val="21"/>
              </w:rPr>
            </w:pPr>
            <w:r>
              <w:rPr>
                <w:color w:val="auto"/>
                <w:szCs w:val="21"/>
              </w:rPr>
              <w:t>18</w:t>
            </w:r>
          </w:p>
        </w:tc>
        <w:tc>
          <w:tcPr>
            <w:tcW w:w="1118" w:type="dxa"/>
            <w:vAlign w:val="center"/>
          </w:tcPr>
          <w:p>
            <w:pPr>
              <w:jc w:val="center"/>
              <w:rPr>
                <w:color w:val="auto"/>
                <w:szCs w:val="21"/>
              </w:rPr>
            </w:pPr>
            <w:r>
              <w:rPr>
                <w:color w:val="auto"/>
                <w:szCs w:val="21"/>
              </w:rPr>
              <w:t>25</w:t>
            </w:r>
          </w:p>
        </w:tc>
        <w:tc>
          <w:tcPr>
            <w:tcW w:w="850" w:type="dxa"/>
            <w:vAlign w:val="center"/>
          </w:tcPr>
          <w:p>
            <w:pPr>
              <w:jc w:val="center"/>
              <w:rPr>
                <w:color w:val="auto"/>
                <w:szCs w:val="21"/>
              </w:rPr>
            </w:pPr>
            <w:r>
              <w:rPr>
                <w:color w:val="auto"/>
                <w:szCs w:val="21"/>
              </w:rPr>
              <w:t>32</w:t>
            </w:r>
          </w:p>
        </w:tc>
        <w:tc>
          <w:tcPr>
            <w:tcW w:w="988" w:type="dxa"/>
            <w:vAlign w:val="center"/>
          </w:tcPr>
          <w:p>
            <w:pPr>
              <w:jc w:val="center"/>
              <w:rPr>
                <w:color w:val="auto"/>
                <w:szCs w:val="21"/>
              </w:rPr>
            </w:pPr>
            <w:r>
              <w:rPr>
                <w:color w:val="auto"/>
                <w:szCs w:val="21"/>
              </w:rPr>
              <w:t>38</w:t>
            </w:r>
          </w:p>
        </w:tc>
        <w:tc>
          <w:tcPr>
            <w:tcW w:w="846" w:type="dxa"/>
            <w:vAlign w:val="center"/>
          </w:tcPr>
          <w:p>
            <w:pPr>
              <w:jc w:val="center"/>
              <w:rPr>
                <w:color w:val="auto"/>
                <w:szCs w:val="21"/>
              </w:rPr>
            </w:pPr>
            <w:r>
              <w:rPr>
                <w:color w:val="auto"/>
                <w:szCs w:val="21"/>
              </w:rPr>
              <w:t>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jc w:val="center"/>
        </w:trPr>
        <w:tc>
          <w:tcPr>
            <w:tcW w:w="1523" w:type="dxa"/>
            <w:vAlign w:val="center"/>
          </w:tcPr>
          <w:p>
            <w:pPr>
              <w:jc w:val="center"/>
              <w:rPr>
                <w:color w:val="auto"/>
                <w:szCs w:val="21"/>
              </w:rPr>
            </w:pPr>
            <w:r>
              <w:rPr>
                <w:color w:val="auto"/>
                <w:szCs w:val="21"/>
              </w:rPr>
              <w:t>Na+Ca+Mg</w:t>
            </w:r>
          </w:p>
        </w:tc>
        <w:tc>
          <w:tcPr>
            <w:tcW w:w="850" w:type="dxa"/>
            <w:vAlign w:val="center"/>
          </w:tcPr>
          <w:p>
            <w:pPr>
              <w:jc w:val="center"/>
              <w:rPr>
                <w:color w:val="auto"/>
                <w:szCs w:val="21"/>
              </w:rPr>
            </w:pPr>
            <w:r>
              <w:rPr>
                <w:color w:val="auto"/>
                <w:szCs w:val="21"/>
              </w:rPr>
              <w:t>5</w:t>
            </w:r>
          </w:p>
        </w:tc>
        <w:tc>
          <w:tcPr>
            <w:tcW w:w="1223" w:type="dxa"/>
            <w:vAlign w:val="center"/>
          </w:tcPr>
          <w:p>
            <w:pPr>
              <w:jc w:val="center"/>
              <w:rPr>
                <w:color w:val="auto"/>
                <w:szCs w:val="21"/>
              </w:rPr>
            </w:pPr>
            <w:r>
              <w:rPr>
                <w:color w:val="auto"/>
                <w:szCs w:val="21"/>
              </w:rPr>
              <w:t>12</w:t>
            </w:r>
          </w:p>
        </w:tc>
        <w:tc>
          <w:tcPr>
            <w:tcW w:w="1619" w:type="dxa"/>
            <w:vAlign w:val="center"/>
          </w:tcPr>
          <w:p>
            <w:pPr>
              <w:jc w:val="center"/>
              <w:rPr>
                <w:color w:val="auto"/>
                <w:szCs w:val="21"/>
              </w:rPr>
            </w:pPr>
            <w:r>
              <w:rPr>
                <w:color w:val="auto"/>
                <w:szCs w:val="21"/>
              </w:rPr>
              <w:t>19</w:t>
            </w:r>
          </w:p>
        </w:tc>
        <w:tc>
          <w:tcPr>
            <w:tcW w:w="1118" w:type="dxa"/>
            <w:vAlign w:val="center"/>
          </w:tcPr>
          <w:p>
            <w:pPr>
              <w:jc w:val="center"/>
              <w:rPr>
                <w:color w:val="auto"/>
                <w:szCs w:val="21"/>
              </w:rPr>
            </w:pPr>
            <w:r>
              <w:rPr>
                <w:color w:val="auto"/>
                <w:szCs w:val="21"/>
              </w:rPr>
              <w:t>26</w:t>
            </w:r>
          </w:p>
        </w:tc>
        <w:tc>
          <w:tcPr>
            <w:tcW w:w="850" w:type="dxa"/>
            <w:vAlign w:val="center"/>
          </w:tcPr>
          <w:p>
            <w:pPr>
              <w:jc w:val="center"/>
              <w:rPr>
                <w:color w:val="auto"/>
                <w:szCs w:val="21"/>
              </w:rPr>
            </w:pPr>
            <w:r>
              <w:rPr>
                <w:color w:val="auto"/>
                <w:szCs w:val="21"/>
              </w:rPr>
              <w:t>33</w:t>
            </w:r>
          </w:p>
        </w:tc>
        <w:tc>
          <w:tcPr>
            <w:tcW w:w="988" w:type="dxa"/>
            <w:vAlign w:val="center"/>
          </w:tcPr>
          <w:p>
            <w:pPr>
              <w:jc w:val="center"/>
              <w:rPr>
                <w:color w:val="auto"/>
                <w:szCs w:val="21"/>
              </w:rPr>
            </w:pPr>
            <w:r>
              <w:rPr>
                <w:color w:val="auto"/>
                <w:szCs w:val="21"/>
              </w:rPr>
              <w:t>40</w:t>
            </w:r>
          </w:p>
        </w:tc>
        <w:tc>
          <w:tcPr>
            <w:tcW w:w="846" w:type="dxa"/>
            <w:vAlign w:val="center"/>
          </w:tcPr>
          <w:p>
            <w:pPr>
              <w:jc w:val="center"/>
              <w:rPr>
                <w:color w:val="auto"/>
                <w:szCs w:val="21"/>
              </w:rPr>
            </w:pPr>
            <w:r>
              <w:rPr>
                <w:color w:val="auto"/>
                <w:szCs w:val="21"/>
              </w:rPr>
              <w:t>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jc w:val="center"/>
        </w:trPr>
        <w:tc>
          <w:tcPr>
            <w:tcW w:w="1523" w:type="dxa"/>
            <w:vAlign w:val="center"/>
          </w:tcPr>
          <w:p>
            <w:pPr>
              <w:jc w:val="center"/>
              <w:rPr>
                <w:color w:val="auto"/>
                <w:szCs w:val="21"/>
              </w:rPr>
            </w:pPr>
            <w:r>
              <w:rPr>
                <w:color w:val="auto"/>
                <w:szCs w:val="21"/>
              </w:rPr>
              <w:t>Na+Mg</w:t>
            </w:r>
          </w:p>
        </w:tc>
        <w:tc>
          <w:tcPr>
            <w:tcW w:w="850" w:type="dxa"/>
            <w:vAlign w:val="center"/>
          </w:tcPr>
          <w:p>
            <w:pPr>
              <w:jc w:val="center"/>
              <w:rPr>
                <w:color w:val="auto"/>
                <w:szCs w:val="21"/>
              </w:rPr>
            </w:pPr>
            <w:r>
              <w:rPr>
                <w:color w:val="auto"/>
                <w:szCs w:val="21"/>
              </w:rPr>
              <w:t>6</w:t>
            </w:r>
          </w:p>
        </w:tc>
        <w:tc>
          <w:tcPr>
            <w:tcW w:w="1223" w:type="dxa"/>
            <w:vAlign w:val="center"/>
          </w:tcPr>
          <w:p>
            <w:pPr>
              <w:jc w:val="center"/>
              <w:rPr>
                <w:color w:val="auto"/>
                <w:szCs w:val="21"/>
              </w:rPr>
            </w:pPr>
            <w:r>
              <w:rPr>
                <w:color w:val="auto"/>
                <w:szCs w:val="21"/>
              </w:rPr>
              <w:t>13</w:t>
            </w:r>
          </w:p>
        </w:tc>
        <w:tc>
          <w:tcPr>
            <w:tcW w:w="1619" w:type="dxa"/>
            <w:vAlign w:val="center"/>
          </w:tcPr>
          <w:p>
            <w:pPr>
              <w:jc w:val="center"/>
              <w:rPr>
                <w:color w:val="auto"/>
                <w:szCs w:val="21"/>
              </w:rPr>
            </w:pPr>
            <w:r>
              <w:rPr>
                <w:color w:val="auto"/>
                <w:szCs w:val="21"/>
              </w:rPr>
              <w:t>20</w:t>
            </w:r>
          </w:p>
        </w:tc>
        <w:tc>
          <w:tcPr>
            <w:tcW w:w="1118" w:type="dxa"/>
            <w:vAlign w:val="center"/>
          </w:tcPr>
          <w:p>
            <w:pPr>
              <w:jc w:val="center"/>
              <w:rPr>
                <w:color w:val="auto"/>
                <w:szCs w:val="21"/>
              </w:rPr>
            </w:pPr>
            <w:r>
              <w:rPr>
                <w:color w:val="auto"/>
                <w:szCs w:val="21"/>
              </w:rPr>
              <w:t>27</w:t>
            </w:r>
          </w:p>
        </w:tc>
        <w:tc>
          <w:tcPr>
            <w:tcW w:w="850" w:type="dxa"/>
            <w:vAlign w:val="center"/>
          </w:tcPr>
          <w:p>
            <w:pPr>
              <w:jc w:val="center"/>
              <w:rPr>
                <w:color w:val="auto"/>
                <w:szCs w:val="21"/>
              </w:rPr>
            </w:pPr>
            <w:r>
              <w:rPr>
                <w:color w:val="auto"/>
                <w:szCs w:val="21"/>
              </w:rPr>
              <w:t>34</w:t>
            </w:r>
          </w:p>
        </w:tc>
        <w:tc>
          <w:tcPr>
            <w:tcW w:w="988" w:type="dxa"/>
            <w:vAlign w:val="center"/>
          </w:tcPr>
          <w:p>
            <w:pPr>
              <w:jc w:val="center"/>
              <w:rPr>
                <w:color w:val="auto"/>
                <w:szCs w:val="21"/>
              </w:rPr>
            </w:pPr>
            <w:r>
              <w:rPr>
                <w:color w:val="auto"/>
                <w:szCs w:val="21"/>
              </w:rPr>
              <w:t>41</w:t>
            </w:r>
          </w:p>
        </w:tc>
        <w:tc>
          <w:tcPr>
            <w:tcW w:w="846" w:type="dxa"/>
            <w:vAlign w:val="center"/>
          </w:tcPr>
          <w:p>
            <w:pPr>
              <w:jc w:val="center"/>
              <w:rPr>
                <w:color w:val="auto"/>
                <w:szCs w:val="21"/>
              </w:rPr>
            </w:pPr>
            <w:r>
              <w:rPr>
                <w:color w:val="auto"/>
                <w:szCs w:val="21"/>
              </w:rPr>
              <w:t>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jc w:val="center"/>
        </w:trPr>
        <w:tc>
          <w:tcPr>
            <w:tcW w:w="1523" w:type="dxa"/>
            <w:vAlign w:val="center"/>
          </w:tcPr>
          <w:p>
            <w:pPr>
              <w:jc w:val="center"/>
              <w:rPr>
                <w:color w:val="auto"/>
                <w:szCs w:val="21"/>
              </w:rPr>
            </w:pPr>
            <w:r>
              <w:rPr>
                <w:color w:val="auto"/>
                <w:szCs w:val="21"/>
              </w:rPr>
              <w:t>Na</w:t>
            </w:r>
          </w:p>
        </w:tc>
        <w:tc>
          <w:tcPr>
            <w:tcW w:w="850" w:type="dxa"/>
            <w:vAlign w:val="center"/>
          </w:tcPr>
          <w:p>
            <w:pPr>
              <w:jc w:val="center"/>
              <w:rPr>
                <w:color w:val="auto"/>
                <w:szCs w:val="21"/>
              </w:rPr>
            </w:pPr>
            <w:r>
              <w:rPr>
                <w:color w:val="auto"/>
                <w:szCs w:val="21"/>
              </w:rPr>
              <w:t>7</w:t>
            </w:r>
          </w:p>
        </w:tc>
        <w:tc>
          <w:tcPr>
            <w:tcW w:w="1223" w:type="dxa"/>
            <w:vAlign w:val="center"/>
          </w:tcPr>
          <w:p>
            <w:pPr>
              <w:jc w:val="center"/>
              <w:rPr>
                <w:color w:val="auto"/>
                <w:szCs w:val="21"/>
              </w:rPr>
            </w:pPr>
            <w:r>
              <w:rPr>
                <w:color w:val="auto"/>
                <w:szCs w:val="21"/>
              </w:rPr>
              <w:t>14</w:t>
            </w:r>
          </w:p>
        </w:tc>
        <w:tc>
          <w:tcPr>
            <w:tcW w:w="1619" w:type="dxa"/>
            <w:vAlign w:val="center"/>
          </w:tcPr>
          <w:p>
            <w:pPr>
              <w:jc w:val="center"/>
              <w:rPr>
                <w:color w:val="auto"/>
                <w:szCs w:val="21"/>
              </w:rPr>
            </w:pPr>
            <w:r>
              <w:rPr>
                <w:color w:val="auto"/>
                <w:szCs w:val="21"/>
              </w:rPr>
              <w:t>21</w:t>
            </w:r>
          </w:p>
        </w:tc>
        <w:tc>
          <w:tcPr>
            <w:tcW w:w="1118" w:type="dxa"/>
            <w:vAlign w:val="center"/>
          </w:tcPr>
          <w:p>
            <w:pPr>
              <w:jc w:val="center"/>
              <w:rPr>
                <w:color w:val="auto"/>
                <w:szCs w:val="21"/>
              </w:rPr>
            </w:pPr>
            <w:r>
              <w:rPr>
                <w:color w:val="auto"/>
                <w:szCs w:val="21"/>
              </w:rPr>
              <w:t>28</w:t>
            </w:r>
          </w:p>
        </w:tc>
        <w:tc>
          <w:tcPr>
            <w:tcW w:w="850" w:type="dxa"/>
            <w:vAlign w:val="center"/>
          </w:tcPr>
          <w:p>
            <w:pPr>
              <w:jc w:val="center"/>
              <w:rPr>
                <w:color w:val="auto"/>
                <w:szCs w:val="21"/>
              </w:rPr>
            </w:pPr>
            <w:r>
              <w:rPr>
                <w:color w:val="auto"/>
                <w:szCs w:val="21"/>
              </w:rPr>
              <w:t>35</w:t>
            </w:r>
          </w:p>
        </w:tc>
        <w:tc>
          <w:tcPr>
            <w:tcW w:w="988" w:type="dxa"/>
            <w:vAlign w:val="center"/>
          </w:tcPr>
          <w:p>
            <w:pPr>
              <w:jc w:val="center"/>
              <w:rPr>
                <w:color w:val="auto"/>
                <w:szCs w:val="21"/>
              </w:rPr>
            </w:pPr>
            <w:r>
              <w:rPr>
                <w:color w:val="auto"/>
                <w:szCs w:val="21"/>
              </w:rPr>
              <w:t>42</w:t>
            </w:r>
          </w:p>
        </w:tc>
        <w:tc>
          <w:tcPr>
            <w:tcW w:w="846" w:type="dxa"/>
            <w:vAlign w:val="center"/>
          </w:tcPr>
          <w:p>
            <w:pPr>
              <w:jc w:val="center"/>
              <w:rPr>
                <w:color w:val="auto"/>
                <w:szCs w:val="21"/>
              </w:rPr>
            </w:pPr>
            <w:r>
              <w:rPr>
                <w:color w:val="auto"/>
                <w:szCs w:val="21"/>
              </w:rPr>
              <w:t>49</w:t>
            </w:r>
          </w:p>
        </w:tc>
      </w:tr>
    </w:tbl>
    <w:p>
      <w:pPr>
        <w:spacing w:line="460" w:lineRule="exact"/>
        <w:jc w:val="center"/>
        <w:rPr>
          <w:color w:val="auto"/>
          <w:sz w:val="24"/>
          <w:szCs w:val="24"/>
        </w:rPr>
      </w:pPr>
      <w:r>
        <w:rPr>
          <w:rFonts w:eastAsia="Courier New"/>
          <w:b/>
          <w:color w:val="auto"/>
          <w:kern w:val="0"/>
          <w:sz w:val="24"/>
          <w:szCs w:val="24"/>
          <w:lang w:val="zh-TW"/>
        </w:rPr>
        <w:t>表</w:t>
      </w:r>
      <w:r>
        <w:rPr>
          <w:b/>
          <w:color w:val="auto"/>
          <w:kern w:val="0"/>
          <w:sz w:val="24"/>
          <w:szCs w:val="24"/>
        </w:rPr>
        <w:t>6.3-6</w:t>
      </w:r>
      <w:r>
        <w:rPr>
          <w:rFonts w:eastAsia="Courier New"/>
          <w:b/>
          <w:color w:val="auto"/>
          <w:kern w:val="0"/>
          <w:sz w:val="24"/>
          <w:szCs w:val="24"/>
          <w:lang w:val="zh-TW"/>
        </w:rPr>
        <w:t xml:space="preserve">  </w:t>
      </w:r>
      <w:r>
        <w:rPr>
          <w:b/>
          <w:color w:val="auto"/>
          <w:kern w:val="0"/>
          <w:sz w:val="24"/>
          <w:szCs w:val="24"/>
        </w:rPr>
        <w:t>本项目各监测井水化学类型一览表</w:t>
      </w:r>
    </w:p>
    <w:tbl>
      <w:tblPr>
        <w:tblStyle w:val="75"/>
        <w:tblW w:w="9013"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05"/>
        <w:gridCol w:w="1337"/>
        <w:gridCol w:w="1492"/>
        <w:gridCol w:w="1349"/>
        <w:gridCol w:w="1504"/>
        <w:gridCol w:w="11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4" w:hRule="atLeast"/>
          <w:jc w:val="center"/>
        </w:trPr>
        <w:tc>
          <w:tcPr>
            <w:tcW w:w="2205" w:type="dxa"/>
            <w:vAlign w:val="center"/>
          </w:tcPr>
          <w:p>
            <w:pPr>
              <w:jc w:val="center"/>
              <w:rPr>
                <w:color w:val="auto"/>
                <w:szCs w:val="21"/>
              </w:rPr>
            </w:pPr>
            <w:r>
              <w:rPr>
                <w:color w:val="auto"/>
                <w:szCs w:val="21"/>
              </w:rPr>
              <w:t>监测井</w:t>
            </w:r>
          </w:p>
        </w:tc>
        <w:tc>
          <w:tcPr>
            <w:tcW w:w="1337" w:type="dxa"/>
            <w:vAlign w:val="center"/>
          </w:tcPr>
          <w:p>
            <w:pPr>
              <w:jc w:val="center"/>
              <w:rPr>
                <w:color w:val="auto"/>
                <w:szCs w:val="21"/>
              </w:rPr>
            </w:pPr>
            <w:r>
              <w:rPr>
                <w:color w:val="auto"/>
                <w:szCs w:val="21"/>
              </w:rPr>
              <w:t>1#</w:t>
            </w:r>
          </w:p>
        </w:tc>
        <w:tc>
          <w:tcPr>
            <w:tcW w:w="1492" w:type="dxa"/>
            <w:vAlign w:val="center"/>
          </w:tcPr>
          <w:p>
            <w:pPr>
              <w:jc w:val="center"/>
              <w:rPr>
                <w:color w:val="auto"/>
                <w:szCs w:val="21"/>
              </w:rPr>
            </w:pPr>
            <w:r>
              <w:rPr>
                <w:color w:val="auto"/>
                <w:szCs w:val="21"/>
              </w:rPr>
              <w:t>2#</w:t>
            </w:r>
          </w:p>
        </w:tc>
        <w:tc>
          <w:tcPr>
            <w:tcW w:w="1349" w:type="dxa"/>
            <w:vAlign w:val="center"/>
          </w:tcPr>
          <w:p>
            <w:pPr>
              <w:jc w:val="center"/>
              <w:rPr>
                <w:color w:val="auto"/>
                <w:szCs w:val="21"/>
              </w:rPr>
            </w:pPr>
            <w:r>
              <w:rPr>
                <w:color w:val="auto"/>
                <w:szCs w:val="21"/>
              </w:rPr>
              <w:t>3#</w:t>
            </w:r>
          </w:p>
        </w:tc>
        <w:tc>
          <w:tcPr>
            <w:tcW w:w="1504" w:type="dxa"/>
            <w:vAlign w:val="center"/>
          </w:tcPr>
          <w:p>
            <w:pPr>
              <w:jc w:val="center"/>
              <w:rPr>
                <w:color w:val="auto"/>
                <w:szCs w:val="21"/>
              </w:rPr>
            </w:pPr>
            <w:r>
              <w:rPr>
                <w:color w:val="auto"/>
                <w:szCs w:val="21"/>
              </w:rPr>
              <w:t>4#</w:t>
            </w:r>
          </w:p>
        </w:tc>
        <w:tc>
          <w:tcPr>
            <w:tcW w:w="1126" w:type="dxa"/>
            <w:vAlign w:val="center"/>
          </w:tcPr>
          <w:p>
            <w:pPr>
              <w:jc w:val="center"/>
              <w:rPr>
                <w:color w:val="auto"/>
                <w:szCs w:val="21"/>
              </w:rPr>
            </w:pPr>
            <w:r>
              <w:rPr>
                <w:color w:val="auto"/>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87" w:hRule="atLeast"/>
          <w:jc w:val="center"/>
        </w:trPr>
        <w:tc>
          <w:tcPr>
            <w:tcW w:w="2205" w:type="dxa"/>
            <w:vAlign w:val="center"/>
          </w:tcPr>
          <w:p>
            <w:pPr>
              <w:jc w:val="center"/>
              <w:rPr>
                <w:color w:val="auto"/>
                <w:szCs w:val="21"/>
              </w:rPr>
            </w:pPr>
            <w:r>
              <w:rPr>
                <w:color w:val="auto"/>
                <w:szCs w:val="21"/>
              </w:rPr>
              <w:t>舒卡列夫水化学类型</w:t>
            </w:r>
          </w:p>
        </w:tc>
        <w:tc>
          <w:tcPr>
            <w:tcW w:w="1337" w:type="dxa"/>
            <w:vAlign w:val="center"/>
          </w:tcPr>
          <w:p>
            <w:pPr>
              <w:jc w:val="center"/>
              <w:rPr>
                <w:color w:val="auto"/>
                <w:szCs w:val="21"/>
              </w:rPr>
            </w:pPr>
            <w:r>
              <w:rPr>
                <w:color w:val="auto"/>
                <w:szCs w:val="21"/>
              </w:rPr>
              <w:t>6-B</w:t>
            </w:r>
          </w:p>
        </w:tc>
        <w:tc>
          <w:tcPr>
            <w:tcW w:w="1492" w:type="dxa"/>
            <w:vAlign w:val="center"/>
          </w:tcPr>
          <w:p>
            <w:pPr>
              <w:jc w:val="center"/>
              <w:rPr>
                <w:color w:val="auto"/>
                <w:szCs w:val="21"/>
              </w:rPr>
            </w:pPr>
            <w:r>
              <w:rPr>
                <w:color w:val="auto"/>
                <w:szCs w:val="21"/>
              </w:rPr>
              <w:t>13-B</w:t>
            </w:r>
          </w:p>
        </w:tc>
        <w:tc>
          <w:tcPr>
            <w:tcW w:w="1349" w:type="dxa"/>
            <w:vAlign w:val="center"/>
          </w:tcPr>
          <w:p>
            <w:pPr>
              <w:jc w:val="center"/>
              <w:rPr>
                <w:color w:val="auto"/>
                <w:szCs w:val="21"/>
              </w:rPr>
            </w:pPr>
            <w:r>
              <w:rPr>
                <w:color w:val="auto"/>
                <w:szCs w:val="21"/>
              </w:rPr>
              <w:t>6-B</w:t>
            </w:r>
          </w:p>
        </w:tc>
        <w:tc>
          <w:tcPr>
            <w:tcW w:w="1504" w:type="dxa"/>
            <w:vAlign w:val="center"/>
          </w:tcPr>
          <w:p>
            <w:pPr>
              <w:jc w:val="center"/>
              <w:rPr>
                <w:color w:val="auto"/>
                <w:szCs w:val="21"/>
              </w:rPr>
            </w:pPr>
            <w:r>
              <w:rPr>
                <w:color w:val="auto"/>
                <w:szCs w:val="21"/>
              </w:rPr>
              <w:t>13-B</w:t>
            </w:r>
          </w:p>
        </w:tc>
        <w:tc>
          <w:tcPr>
            <w:tcW w:w="1126" w:type="dxa"/>
            <w:vAlign w:val="center"/>
          </w:tcPr>
          <w:p>
            <w:pPr>
              <w:jc w:val="center"/>
              <w:rPr>
                <w:color w:val="auto"/>
                <w:szCs w:val="21"/>
              </w:rPr>
            </w:pPr>
            <w:r>
              <w:rPr>
                <w:color w:val="auto"/>
                <w:szCs w:val="21"/>
              </w:rPr>
              <w:t>13-B</w:t>
            </w:r>
          </w:p>
        </w:tc>
      </w:tr>
    </w:tbl>
    <w:p>
      <w:pPr>
        <w:spacing w:before="120" w:beforeLines="50" w:line="360" w:lineRule="auto"/>
        <w:rPr>
          <w:color w:val="auto"/>
          <w:sz w:val="24"/>
          <w:szCs w:val="24"/>
        </w:rPr>
      </w:pPr>
      <w:r>
        <w:rPr>
          <w:color w:val="auto"/>
          <w:sz w:val="24"/>
          <w:szCs w:val="24"/>
        </w:rPr>
        <w:t xml:space="preserve">    各监测点矿化度（1.5＜TDS≤10g/L），均为B组，通过以上计算，根据舒卡列夫分类法，1#、3#监测井地下水化学类型为6-B型（表示矿化度大于1.5g/L、不大于10g/L的HCO</w:t>
      </w:r>
      <w:r>
        <w:rPr>
          <w:color w:val="auto"/>
          <w:sz w:val="24"/>
          <w:szCs w:val="24"/>
          <w:vertAlign w:val="subscript"/>
        </w:rPr>
        <w:t>3</w:t>
      </w:r>
      <w:r>
        <w:rPr>
          <w:color w:val="auto"/>
          <w:sz w:val="24"/>
          <w:szCs w:val="24"/>
        </w:rPr>
        <w:t>-Na+Mg型水），2#、4#、5#监测井地下水化学类型为13-B型（表示矿化度大于1.5g/L、不大于10g/L的HCO</w:t>
      </w:r>
      <w:r>
        <w:rPr>
          <w:color w:val="auto"/>
          <w:sz w:val="24"/>
          <w:szCs w:val="24"/>
          <w:vertAlign w:val="subscript"/>
        </w:rPr>
        <w:t>3</w:t>
      </w:r>
      <w:r>
        <w:rPr>
          <w:color w:val="auto"/>
          <w:sz w:val="24"/>
          <w:szCs w:val="24"/>
        </w:rPr>
        <w:t>+SO</w:t>
      </w:r>
      <w:r>
        <w:rPr>
          <w:color w:val="auto"/>
          <w:sz w:val="24"/>
          <w:szCs w:val="24"/>
          <w:vertAlign w:val="subscript"/>
        </w:rPr>
        <w:t>4</w:t>
      </w:r>
      <w:r>
        <w:rPr>
          <w:color w:val="auto"/>
          <w:sz w:val="24"/>
          <w:szCs w:val="24"/>
        </w:rPr>
        <w:t>-Na+Mg型水）。</w:t>
      </w:r>
    </w:p>
    <w:p>
      <w:pPr>
        <w:pStyle w:val="5"/>
        <w:numPr>
          <w:ilvl w:val="2"/>
          <w:numId w:val="0"/>
        </w:numPr>
        <w:ind w:left="-720" w:leftChars="-343" w:firstLine="723" w:firstLineChars="300"/>
        <w:rPr>
          <w:color w:val="auto"/>
        </w:rPr>
      </w:pPr>
      <w:bookmarkStart w:id="354" w:name="_Toc109398651"/>
      <w:r>
        <w:rPr>
          <w:color w:val="auto"/>
        </w:rPr>
        <w:t>6.3.5包气带现状污染调查</w:t>
      </w:r>
      <w:bookmarkEnd w:id="354"/>
    </w:p>
    <w:p>
      <w:pPr>
        <w:pStyle w:val="130"/>
        <w:ind w:firstLine="480"/>
        <w:rPr>
          <w:color w:val="auto"/>
        </w:rPr>
      </w:pPr>
      <w:r>
        <w:rPr>
          <w:color w:val="auto"/>
        </w:rPr>
        <w:t>根据《环境影响评价技术导则地下水环境》（HJ610-2016），于2020年8月21日委托宁夏盛世绿源环境检测有限责任公司对场地的包气带污染现状进行监测调查（监测报告见附件10），土壤浸提液的制备按照《固体废物浸出毒性浸出方法水平震荡法》</w:t>
      </w:r>
      <w:r>
        <w:rPr>
          <w:rFonts w:hint="eastAsia"/>
          <w:color w:val="auto"/>
        </w:rPr>
        <w:t>（</w:t>
      </w:r>
      <w:r>
        <w:rPr>
          <w:color w:val="auto"/>
        </w:rPr>
        <w:t>HJ 557-2010</w:t>
      </w:r>
      <w:r>
        <w:rPr>
          <w:rFonts w:hint="eastAsia"/>
          <w:color w:val="auto"/>
        </w:rPr>
        <w:t>）</w:t>
      </w:r>
      <w:r>
        <w:rPr>
          <w:color w:val="auto"/>
        </w:rPr>
        <w:t>中的相关要求进行。</w:t>
      </w:r>
    </w:p>
    <w:p>
      <w:pPr>
        <w:pStyle w:val="130"/>
        <w:ind w:firstLine="480"/>
        <w:rPr>
          <w:color w:val="auto"/>
        </w:rPr>
      </w:pPr>
      <w:r>
        <w:rPr>
          <w:color w:val="auto"/>
        </w:rPr>
        <w:t>⑴监测点位：高温蒸汽灭菌车间北侧2米处表层样（0~0.2m）</w:t>
      </w:r>
    </w:p>
    <w:p>
      <w:pPr>
        <w:pStyle w:val="130"/>
        <w:ind w:firstLine="480"/>
        <w:rPr>
          <w:color w:val="auto"/>
        </w:rPr>
      </w:pPr>
      <w:r>
        <w:rPr>
          <w:color w:val="auto"/>
        </w:rPr>
        <w:t>⑵监测因子：高猛酸盐指数、氨氮</w:t>
      </w:r>
    </w:p>
    <w:p>
      <w:pPr>
        <w:pStyle w:val="130"/>
        <w:ind w:firstLine="480"/>
        <w:rPr>
          <w:color w:val="auto"/>
        </w:rPr>
      </w:pPr>
      <w:r>
        <w:rPr>
          <w:color w:val="auto"/>
        </w:rPr>
        <w:t>⑶监测结果</w:t>
      </w:r>
    </w:p>
    <w:p>
      <w:pPr>
        <w:pStyle w:val="130"/>
        <w:ind w:firstLine="480"/>
        <w:rPr>
          <w:color w:val="auto"/>
        </w:rPr>
      </w:pPr>
      <w:r>
        <w:rPr>
          <w:color w:val="auto"/>
        </w:rPr>
        <w:t>场地的包气带土壤浸提液监测结果见表6.3-7。</w:t>
      </w:r>
    </w:p>
    <w:p>
      <w:pPr>
        <w:pStyle w:val="114"/>
        <w:spacing w:before="0" w:beforeLines="0"/>
        <w:rPr>
          <w:color w:val="auto"/>
        </w:rPr>
      </w:pPr>
      <w:r>
        <w:rPr>
          <w:color w:val="auto"/>
        </w:rPr>
        <w:t>表6.3-7 监测结果表</w:t>
      </w:r>
    </w:p>
    <w:tbl>
      <w:tblPr>
        <w:tblStyle w:val="75"/>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53"/>
        <w:gridCol w:w="1604"/>
        <w:gridCol w:w="1604"/>
        <w:gridCol w:w="1167"/>
        <w:gridCol w:w="876"/>
        <w:gridCol w:w="23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Align w:val="center"/>
          </w:tcPr>
          <w:p>
            <w:pPr>
              <w:pStyle w:val="164"/>
              <w:rPr>
                <w:color w:val="auto"/>
              </w:rPr>
            </w:pPr>
            <w:r>
              <w:rPr>
                <w:color w:val="auto"/>
              </w:rPr>
              <w:t>采样日期</w:t>
            </w:r>
          </w:p>
        </w:tc>
        <w:tc>
          <w:tcPr>
            <w:tcW w:w="1604" w:type="dxa"/>
            <w:vAlign w:val="center"/>
          </w:tcPr>
          <w:p>
            <w:pPr>
              <w:pStyle w:val="164"/>
              <w:rPr>
                <w:color w:val="auto"/>
              </w:rPr>
            </w:pPr>
            <w:r>
              <w:rPr>
                <w:color w:val="auto"/>
              </w:rPr>
              <w:t>采样地点</w:t>
            </w:r>
          </w:p>
        </w:tc>
        <w:tc>
          <w:tcPr>
            <w:tcW w:w="1604" w:type="dxa"/>
            <w:vAlign w:val="center"/>
          </w:tcPr>
          <w:p>
            <w:pPr>
              <w:pStyle w:val="164"/>
              <w:rPr>
                <w:color w:val="auto"/>
              </w:rPr>
            </w:pPr>
            <w:r>
              <w:rPr>
                <w:color w:val="auto"/>
              </w:rPr>
              <w:t>监测项目</w:t>
            </w:r>
          </w:p>
        </w:tc>
        <w:tc>
          <w:tcPr>
            <w:tcW w:w="1167" w:type="dxa"/>
            <w:vAlign w:val="center"/>
          </w:tcPr>
          <w:p>
            <w:pPr>
              <w:pStyle w:val="164"/>
              <w:rPr>
                <w:color w:val="auto"/>
              </w:rPr>
            </w:pPr>
            <w:r>
              <w:rPr>
                <w:color w:val="auto"/>
              </w:rPr>
              <w:t>监测结果</w:t>
            </w:r>
          </w:p>
        </w:tc>
        <w:tc>
          <w:tcPr>
            <w:tcW w:w="876" w:type="dxa"/>
            <w:vAlign w:val="center"/>
          </w:tcPr>
          <w:p>
            <w:pPr>
              <w:pStyle w:val="164"/>
              <w:rPr>
                <w:color w:val="auto"/>
              </w:rPr>
            </w:pPr>
            <w:r>
              <w:rPr>
                <w:color w:val="auto"/>
              </w:rPr>
              <w:t>标准值</w:t>
            </w:r>
          </w:p>
        </w:tc>
        <w:tc>
          <w:tcPr>
            <w:tcW w:w="2316" w:type="dxa"/>
            <w:vAlign w:val="center"/>
          </w:tcPr>
          <w:p>
            <w:pPr>
              <w:pStyle w:val="164"/>
              <w:rPr>
                <w:color w:val="auto"/>
              </w:rPr>
            </w:pPr>
            <w:r>
              <w:rPr>
                <w:color w:val="auto"/>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5" w:hRule="atLeast"/>
        </w:trPr>
        <w:tc>
          <w:tcPr>
            <w:tcW w:w="1153" w:type="dxa"/>
            <w:vMerge w:val="restart"/>
            <w:vAlign w:val="center"/>
          </w:tcPr>
          <w:p>
            <w:pPr>
              <w:pStyle w:val="164"/>
              <w:rPr>
                <w:color w:val="auto"/>
              </w:rPr>
            </w:pPr>
            <w:r>
              <w:rPr>
                <w:color w:val="auto"/>
              </w:rPr>
              <w:t>2020.8.21</w:t>
            </w:r>
          </w:p>
        </w:tc>
        <w:tc>
          <w:tcPr>
            <w:tcW w:w="1604" w:type="dxa"/>
            <w:vMerge w:val="restart"/>
            <w:vAlign w:val="center"/>
          </w:tcPr>
          <w:p>
            <w:pPr>
              <w:pStyle w:val="164"/>
              <w:rPr>
                <w:color w:val="auto"/>
              </w:rPr>
            </w:pPr>
            <w:r>
              <w:rPr>
                <w:color w:val="auto"/>
              </w:rPr>
              <w:t>高温蒸汽灭菌车间北侧2米处表层样（0~0.2m）</w:t>
            </w:r>
          </w:p>
        </w:tc>
        <w:tc>
          <w:tcPr>
            <w:tcW w:w="1604" w:type="dxa"/>
            <w:vAlign w:val="center"/>
          </w:tcPr>
          <w:p>
            <w:pPr>
              <w:pStyle w:val="164"/>
              <w:rPr>
                <w:color w:val="auto"/>
              </w:rPr>
            </w:pPr>
            <w:r>
              <w:rPr>
                <w:color w:val="auto"/>
              </w:rPr>
              <w:t>高猛酸盐指数</w:t>
            </w:r>
          </w:p>
        </w:tc>
        <w:tc>
          <w:tcPr>
            <w:tcW w:w="1167" w:type="dxa"/>
            <w:vAlign w:val="center"/>
          </w:tcPr>
          <w:p>
            <w:pPr>
              <w:pStyle w:val="164"/>
              <w:rPr>
                <w:color w:val="auto"/>
              </w:rPr>
            </w:pPr>
            <w:r>
              <w:rPr>
                <w:color w:val="auto"/>
              </w:rPr>
              <w:t>1.2</w:t>
            </w:r>
          </w:p>
        </w:tc>
        <w:tc>
          <w:tcPr>
            <w:tcW w:w="876" w:type="dxa"/>
            <w:vAlign w:val="center"/>
          </w:tcPr>
          <w:p>
            <w:pPr>
              <w:pStyle w:val="164"/>
              <w:rPr>
                <w:color w:val="auto"/>
              </w:rPr>
            </w:pPr>
            <w:r>
              <w:rPr>
                <w:color w:val="auto"/>
              </w:rPr>
              <w:t>3.0</w:t>
            </w:r>
          </w:p>
        </w:tc>
        <w:tc>
          <w:tcPr>
            <w:tcW w:w="2316" w:type="dxa"/>
            <w:vMerge w:val="restart"/>
            <w:vAlign w:val="center"/>
          </w:tcPr>
          <w:p>
            <w:pPr>
              <w:pStyle w:val="164"/>
              <w:rPr>
                <w:color w:val="auto"/>
              </w:rPr>
            </w:pPr>
            <w:r>
              <w:rPr>
                <w:color w:val="auto"/>
              </w:rPr>
              <w:t>《地下水质量标准》（GB/T14848-2017）Ⅲ类标准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Merge w:val="continue"/>
            <w:vAlign w:val="center"/>
          </w:tcPr>
          <w:p>
            <w:pPr>
              <w:pStyle w:val="164"/>
              <w:rPr>
                <w:color w:val="auto"/>
              </w:rPr>
            </w:pPr>
          </w:p>
        </w:tc>
        <w:tc>
          <w:tcPr>
            <w:tcW w:w="1604" w:type="dxa"/>
            <w:vMerge w:val="continue"/>
            <w:vAlign w:val="center"/>
          </w:tcPr>
          <w:p>
            <w:pPr>
              <w:pStyle w:val="164"/>
              <w:rPr>
                <w:color w:val="auto"/>
              </w:rPr>
            </w:pPr>
          </w:p>
        </w:tc>
        <w:tc>
          <w:tcPr>
            <w:tcW w:w="1604" w:type="dxa"/>
            <w:vAlign w:val="center"/>
          </w:tcPr>
          <w:p>
            <w:pPr>
              <w:pStyle w:val="164"/>
              <w:rPr>
                <w:color w:val="auto"/>
              </w:rPr>
            </w:pPr>
            <w:r>
              <w:rPr>
                <w:color w:val="auto"/>
              </w:rPr>
              <w:t>氨氮</w:t>
            </w:r>
          </w:p>
        </w:tc>
        <w:tc>
          <w:tcPr>
            <w:tcW w:w="1167" w:type="dxa"/>
            <w:vAlign w:val="center"/>
          </w:tcPr>
          <w:p>
            <w:pPr>
              <w:pStyle w:val="164"/>
              <w:rPr>
                <w:color w:val="auto"/>
              </w:rPr>
            </w:pPr>
            <w:r>
              <w:rPr>
                <w:color w:val="auto"/>
              </w:rPr>
              <w:t>0.425</w:t>
            </w:r>
          </w:p>
        </w:tc>
        <w:tc>
          <w:tcPr>
            <w:tcW w:w="876" w:type="dxa"/>
            <w:vAlign w:val="center"/>
          </w:tcPr>
          <w:p>
            <w:pPr>
              <w:pStyle w:val="164"/>
              <w:rPr>
                <w:color w:val="auto"/>
              </w:rPr>
            </w:pPr>
            <w:r>
              <w:rPr>
                <w:color w:val="auto"/>
              </w:rPr>
              <w:t>0.5</w:t>
            </w:r>
          </w:p>
        </w:tc>
        <w:tc>
          <w:tcPr>
            <w:tcW w:w="2316" w:type="dxa"/>
            <w:vMerge w:val="continue"/>
            <w:vAlign w:val="center"/>
          </w:tcPr>
          <w:p>
            <w:pPr>
              <w:pStyle w:val="164"/>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153" w:type="dxa"/>
            <w:vMerge w:val="continue"/>
            <w:vAlign w:val="center"/>
          </w:tcPr>
          <w:p>
            <w:pPr>
              <w:pStyle w:val="164"/>
              <w:rPr>
                <w:color w:val="auto"/>
              </w:rPr>
            </w:pPr>
          </w:p>
        </w:tc>
        <w:tc>
          <w:tcPr>
            <w:tcW w:w="1604" w:type="dxa"/>
            <w:vMerge w:val="continue"/>
            <w:vAlign w:val="center"/>
          </w:tcPr>
          <w:p>
            <w:pPr>
              <w:pStyle w:val="164"/>
              <w:rPr>
                <w:color w:val="auto"/>
              </w:rPr>
            </w:pPr>
          </w:p>
        </w:tc>
        <w:tc>
          <w:tcPr>
            <w:tcW w:w="1604" w:type="dxa"/>
            <w:vAlign w:val="center"/>
          </w:tcPr>
          <w:p>
            <w:pPr>
              <w:pStyle w:val="164"/>
              <w:rPr>
                <w:color w:val="auto"/>
              </w:rPr>
            </w:pPr>
            <w:r>
              <w:rPr>
                <w:color w:val="auto"/>
              </w:rPr>
              <w:t>粪大肠菌群</w:t>
            </w:r>
          </w:p>
        </w:tc>
        <w:tc>
          <w:tcPr>
            <w:tcW w:w="1167" w:type="dxa"/>
            <w:vAlign w:val="center"/>
          </w:tcPr>
          <w:p>
            <w:pPr>
              <w:pStyle w:val="164"/>
              <w:rPr>
                <w:color w:val="auto"/>
              </w:rPr>
            </w:pPr>
            <w:r>
              <w:rPr>
                <w:color w:val="auto"/>
              </w:rPr>
              <w:t>2200</w:t>
            </w:r>
          </w:p>
        </w:tc>
        <w:tc>
          <w:tcPr>
            <w:tcW w:w="876" w:type="dxa"/>
            <w:vAlign w:val="center"/>
          </w:tcPr>
          <w:p>
            <w:pPr>
              <w:pStyle w:val="164"/>
              <w:rPr>
                <w:color w:val="auto"/>
              </w:rPr>
            </w:pPr>
            <w:r>
              <w:rPr>
                <w:color w:val="auto"/>
              </w:rPr>
              <w:t>1000</w:t>
            </w:r>
          </w:p>
        </w:tc>
        <w:tc>
          <w:tcPr>
            <w:tcW w:w="2316" w:type="dxa"/>
            <w:vAlign w:val="center"/>
          </w:tcPr>
          <w:p>
            <w:pPr>
              <w:pStyle w:val="164"/>
              <w:rPr>
                <w:color w:val="auto"/>
              </w:rPr>
            </w:pPr>
            <w:r>
              <w:rPr>
                <w:color w:val="auto"/>
              </w:rPr>
              <w:t>《地表水环境质量标准》(GB3838-2002) Ⅲ类标准</w:t>
            </w:r>
          </w:p>
        </w:tc>
      </w:tr>
    </w:tbl>
    <w:p>
      <w:pPr>
        <w:pStyle w:val="130"/>
        <w:spacing w:before="120" w:beforeLines="50"/>
        <w:ind w:firstLine="480"/>
        <w:rPr>
          <w:color w:val="auto"/>
        </w:rPr>
      </w:pPr>
      <w:r>
        <w:rPr>
          <w:color w:val="auto"/>
        </w:rPr>
        <w:t>高猛酸盐指数及氨氮监测结均满足《地下水质量标准》（GB/T14848-2017）Ⅲ类标准的要求，粪大肠菌群满足《地表水环境质量标准》(GB3838-2002) Ⅲ类标准要求，包气带未受到污染。</w:t>
      </w:r>
    </w:p>
    <w:p>
      <w:pPr>
        <w:pStyle w:val="5"/>
        <w:numPr>
          <w:ilvl w:val="2"/>
          <w:numId w:val="0"/>
        </w:numPr>
        <w:ind w:left="-720" w:leftChars="-343" w:firstLine="723" w:firstLineChars="300"/>
        <w:rPr>
          <w:color w:val="auto"/>
        </w:rPr>
      </w:pPr>
      <w:bookmarkStart w:id="355" w:name="_Toc109398652"/>
      <w:r>
        <w:rPr>
          <w:color w:val="auto"/>
        </w:rPr>
        <w:t>6.3.6地下水质量现状评价</w:t>
      </w:r>
      <w:bookmarkEnd w:id="355"/>
    </w:p>
    <w:p>
      <w:pPr>
        <w:pStyle w:val="6"/>
        <w:numPr>
          <w:ilvl w:val="3"/>
          <w:numId w:val="0"/>
        </w:numPr>
        <w:adjustRightInd w:val="0"/>
        <w:snapToGrid w:val="0"/>
        <w:rPr>
          <w:bCs w:val="0"/>
          <w:color w:val="auto"/>
          <w:szCs w:val="24"/>
        </w:rPr>
      </w:pPr>
      <w:bookmarkStart w:id="356" w:name="_Toc328507952"/>
      <w:r>
        <w:rPr>
          <w:bCs w:val="0"/>
          <w:color w:val="auto"/>
          <w:szCs w:val="24"/>
        </w:rPr>
        <w:t>6.3.6.1评价因子</w:t>
      </w:r>
      <w:bookmarkEnd w:id="356"/>
    </w:p>
    <w:p>
      <w:pPr>
        <w:adjustRightInd w:val="0"/>
        <w:snapToGrid w:val="0"/>
        <w:spacing w:line="360" w:lineRule="auto"/>
        <w:ind w:firstLine="480" w:firstLineChars="200"/>
        <w:rPr>
          <w:color w:val="auto"/>
          <w:sz w:val="24"/>
          <w:szCs w:val="24"/>
        </w:rPr>
      </w:pPr>
      <w:r>
        <w:rPr>
          <w:color w:val="auto"/>
          <w:sz w:val="24"/>
          <w:szCs w:val="24"/>
        </w:rPr>
        <w:t>同监测因子。</w:t>
      </w:r>
    </w:p>
    <w:p>
      <w:pPr>
        <w:pStyle w:val="6"/>
        <w:numPr>
          <w:ilvl w:val="3"/>
          <w:numId w:val="0"/>
        </w:numPr>
        <w:adjustRightInd w:val="0"/>
        <w:snapToGrid w:val="0"/>
        <w:rPr>
          <w:bCs w:val="0"/>
          <w:color w:val="auto"/>
          <w:szCs w:val="24"/>
        </w:rPr>
      </w:pPr>
      <w:bookmarkStart w:id="357" w:name="_Toc328507953"/>
      <w:r>
        <w:rPr>
          <w:bCs w:val="0"/>
          <w:color w:val="auto"/>
          <w:szCs w:val="24"/>
        </w:rPr>
        <w:t>6.3.6.2评价标准</w:t>
      </w:r>
      <w:bookmarkEnd w:id="357"/>
    </w:p>
    <w:p>
      <w:pPr>
        <w:adjustRightInd w:val="0"/>
        <w:snapToGrid w:val="0"/>
        <w:spacing w:line="360" w:lineRule="auto"/>
        <w:ind w:firstLine="480" w:firstLineChars="200"/>
        <w:rPr>
          <w:color w:val="auto"/>
          <w:sz w:val="24"/>
          <w:szCs w:val="24"/>
        </w:rPr>
      </w:pPr>
      <w:r>
        <w:rPr>
          <w:color w:val="auto"/>
          <w:sz w:val="24"/>
          <w:szCs w:val="24"/>
        </w:rPr>
        <w:t>评价标准采用《地下水质量标准》（GB/T14848-2017）Ⅲ类标准。</w:t>
      </w:r>
    </w:p>
    <w:p>
      <w:pPr>
        <w:pStyle w:val="6"/>
        <w:numPr>
          <w:ilvl w:val="3"/>
          <w:numId w:val="0"/>
        </w:numPr>
        <w:adjustRightInd w:val="0"/>
        <w:snapToGrid w:val="0"/>
        <w:rPr>
          <w:bCs w:val="0"/>
          <w:color w:val="auto"/>
          <w:szCs w:val="24"/>
        </w:rPr>
      </w:pPr>
      <w:bookmarkStart w:id="358" w:name="_Toc328507954"/>
      <w:r>
        <w:rPr>
          <w:bCs w:val="0"/>
          <w:color w:val="auto"/>
          <w:szCs w:val="24"/>
        </w:rPr>
        <w:t>6.3.6.3评价方法</w:t>
      </w:r>
      <w:bookmarkEnd w:id="358"/>
    </w:p>
    <w:p>
      <w:pPr>
        <w:pStyle w:val="130"/>
        <w:ind w:firstLine="480"/>
        <w:rPr>
          <w:color w:val="auto"/>
        </w:rPr>
      </w:pPr>
      <w:r>
        <w:rPr>
          <w:color w:val="auto"/>
        </w:rPr>
        <w:t>采用标准指数法，其公式如下：</w:t>
      </w:r>
    </w:p>
    <w:p>
      <w:pPr>
        <w:pStyle w:val="130"/>
        <w:ind w:firstLine="480"/>
        <w:jc w:val="center"/>
        <w:rPr>
          <w:color w:val="auto"/>
        </w:rPr>
      </w:pPr>
      <w:r>
        <w:rPr>
          <w:color w:val="auto"/>
        </w:rPr>
        <w:object>
          <v:shape id="_x0000_i1028" o:spt="75" type="#_x0000_t75" style="height:36.6pt;width:50.4pt;" o:ole="t" filled="f" o:preferrelative="t" stroked="f" coordsize="21600,21600">
            <v:path/>
            <v:fill on="f" focussize="0,0"/>
            <v:stroke on="f" joinstyle="miter"/>
            <v:imagedata r:id="rId41" o:title=""/>
            <o:lock v:ext="edit" aspectratio="t"/>
            <w10:wrap type="none"/>
            <w10:anchorlock/>
          </v:shape>
          <o:OLEObject Type="Embed" ProgID="Equation.3" ShapeID="_x0000_i1028" DrawAspect="Content" ObjectID="_1468075729" r:id="rId40">
            <o:LockedField>false</o:LockedField>
          </o:OLEObject>
        </w:object>
      </w:r>
    </w:p>
    <w:p>
      <w:pPr>
        <w:pStyle w:val="130"/>
        <w:ind w:firstLine="480"/>
        <w:rPr>
          <w:color w:val="auto"/>
        </w:rPr>
      </w:pPr>
      <w:r>
        <w:rPr>
          <w:color w:val="auto"/>
        </w:rPr>
        <w:t>式中：S</w:t>
      </w:r>
      <w:r>
        <w:rPr>
          <w:color w:val="auto"/>
          <w:vertAlign w:val="subscript"/>
        </w:rPr>
        <w:t>i，j</w:t>
      </w:r>
      <w:r>
        <w:rPr>
          <w:color w:val="auto"/>
        </w:rPr>
        <w:t>－单项水质参数i在第j点的标准指数；</w:t>
      </w:r>
    </w:p>
    <w:p>
      <w:pPr>
        <w:pStyle w:val="130"/>
        <w:ind w:firstLine="480"/>
        <w:rPr>
          <w:color w:val="auto"/>
        </w:rPr>
      </w:pPr>
      <w:r>
        <w:rPr>
          <w:color w:val="auto"/>
        </w:rPr>
        <w:t>C</w:t>
      </w:r>
      <w:r>
        <w:rPr>
          <w:color w:val="auto"/>
          <w:vertAlign w:val="subscript"/>
        </w:rPr>
        <w:t>i，j</w:t>
      </w:r>
      <w:r>
        <w:rPr>
          <w:color w:val="auto"/>
        </w:rPr>
        <w:t>－单项水质参数i在第j点的实测浓度；</w:t>
      </w:r>
    </w:p>
    <w:p>
      <w:pPr>
        <w:pStyle w:val="130"/>
        <w:ind w:firstLine="480"/>
        <w:rPr>
          <w:color w:val="auto"/>
        </w:rPr>
      </w:pPr>
      <w:r>
        <w:rPr>
          <w:color w:val="auto"/>
        </w:rPr>
        <w:t>C</w:t>
      </w:r>
      <w:r>
        <w:rPr>
          <w:color w:val="auto"/>
          <w:vertAlign w:val="subscript"/>
        </w:rPr>
        <w:t>si</w:t>
      </w:r>
      <w:r>
        <w:rPr>
          <w:color w:val="auto"/>
        </w:rPr>
        <w:t>－单项水质参数i在第j点的评价标准。</w:t>
      </w:r>
    </w:p>
    <w:p>
      <w:pPr>
        <w:pStyle w:val="130"/>
        <w:ind w:firstLine="480"/>
        <w:jc w:val="center"/>
        <w:rPr>
          <w:color w:val="auto"/>
        </w:rPr>
      </w:pPr>
      <w:r>
        <w:rPr>
          <w:color w:val="auto"/>
        </w:rPr>
        <w:drawing>
          <wp:inline distT="0" distB="0" distL="0" distR="0">
            <wp:extent cx="1933575" cy="457200"/>
            <wp:effectExtent l="0" t="0" r="952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933575" cy="457200"/>
                    </a:xfrm>
                    <a:prstGeom prst="rect">
                      <a:avLst/>
                    </a:prstGeom>
                    <a:noFill/>
                    <a:ln>
                      <a:noFill/>
                    </a:ln>
                  </pic:spPr>
                </pic:pic>
              </a:graphicData>
            </a:graphic>
          </wp:inline>
        </w:drawing>
      </w:r>
    </w:p>
    <w:p>
      <w:pPr>
        <w:pStyle w:val="130"/>
        <w:ind w:firstLine="480"/>
        <w:jc w:val="center"/>
        <w:rPr>
          <w:color w:val="auto"/>
        </w:rPr>
      </w:pPr>
      <w:r>
        <w:rPr>
          <w:color w:val="auto"/>
        </w:rPr>
        <w:drawing>
          <wp:inline distT="0" distB="0" distL="0" distR="0">
            <wp:extent cx="1933575" cy="457200"/>
            <wp:effectExtent l="0" t="0" r="952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933575" cy="457200"/>
                    </a:xfrm>
                    <a:prstGeom prst="rect">
                      <a:avLst/>
                    </a:prstGeom>
                    <a:noFill/>
                    <a:ln>
                      <a:noFill/>
                    </a:ln>
                  </pic:spPr>
                </pic:pic>
              </a:graphicData>
            </a:graphic>
          </wp:inline>
        </w:drawing>
      </w:r>
    </w:p>
    <w:p>
      <w:pPr>
        <w:pStyle w:val="130"/>
        <w:ind w:firstLine="480"/>
        <w:rPr>
          <w:color w:val="auto"/>
        </w:rPr>
      </w:pPr>
      <w:r>
        <w:rPr>
          <w:color w:val="auto"/>
        </w:rPr>
        <w:t>pH</w:t>
      </w:r>
      <w:r>
        <w:rPr>
          <w:color w:val="auto"/>
          <w:vertAlign w:val="subscript"/>
        </w:rPr>
        <w:t>sd</w:t>
      </w:r>
      <w:r>
        <w:rPr>
          <w:color w:val="auto"/>
        </w:rPr>
        <w:t>－pH值标准规定的下限值；</w:t>
      </w:r>
    </w:p>
    <w:p>
      <w:pPr>
        <w:pStyle w:val="130"/>
        <w:ind w:firstLine="480"/>
        <w:rPr>
          <w:color w:val="auto"/>
        </w:rPr>
      </w:pPr>
      <w:r>
        <w:rPr>
          <w:color w:val="auto"/>
        </w:rPr>
        <w:t>pH</w:t>
      </w:r>
      <w:r>
        <w:rPr>
          <w:color w:val="auto"/>
          <w:vertAlign w:val="subscript"/>
        </w:rPr>
        <w:t>su</w:t>
      </w:r>
      <w:r>
        <w:rPr>
          <w:color w:val="auto"/>
        </w:rPr>
        <w:t>－pH值标准规定的上限值。</w:t>
      </w:r>
    </w:p>
    <w:p>
      <w:pPr>
        <w:pStyle w:val="130"/>
        <w:ind w:firstLine="480"/>
        <w:rPr>
          <w:color w:val="auto"/>
        </w:rPr>
      </w:pPr>
      <w:r>
        <w:rPr>
          <w:color w:val="auto"/>
        </w:rPr>
        <w:t>T－水温(℃)。</w:t>
      </w:r>
    </w:p>
    <w:p>
      <w:pPr>
        <w:pStyle w:val="130"/>
        <w:ind w:firstLine="480"/>
        <w:rPr>
          <w:color w:val="auto"/>
        </w:rPr>
      </w:pPr>
      <w:r>
        <w:rPr>
          <w:color w:val="auto"/>
        </w:rPr>
        <w:t>标准指数大于1，表明该点位的环境质量劣于评价标准等级，反之则满足评价标准。</w:t>
      </w:r>
    </w:p>
    <w:p>
      <w:pPr>
        <w:pStyle w:val="114"/>
        <w:spacing w:before="0" w:beforeLines="0"/>
        <w:rPr>
          <w:color w:val="auto"/>
        </w:rPr>
      </w:pPr>
      <w:bookmarkStart w:id="359" w:name="_Toc28793"/>
      <w:r>
        <w:rPr>
          <w:color w:val="auto"/>
        </w:rPr>
        <w:t>表6.3-8   地下水监测数据及评价指数</w:t>
      </w:r>
      <w:bookmarkEnd w:id="359"/>
      <w:r>
        <w:rPr>
          <w:color w:val="auto"/>
        </w:rPr>
        <w:t xml:space="preserve">    单位：mg/L</w:t>
      </w:r>
    </w:p>
    <w:tbl>
      <w:tblPr>
        <w:tblStyle w:val="74"/>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4"/>
        <w:gridCol w:w="1585"/>
        <w:gridCol w:w="882"/>
        <w:gridCol w:w="882"/>
        <w:gridCol w:w="882"/>
        <w:gridCol w:w="882"/>
        <w:gridCol w:w="882"/>
        <w:gridCol w:w="910"/>
        <w:gridCol w:w="11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trPr>
        <w:tc>
          <w:tcPr>
            <w:tcW w:w="684" w:type="dxa"/>
            <w:vMerge w:val="restart"/>
            <w:vAlign w:val="center"/>
          </w:tcPr>
          <w:p>
            <w:pPr>
              <w:pStyle w:val="164"/>
              <w:rPr>
                <w:color w:val="auto"/>
              </w:rPr>
            </w:pPr>
            <w:r>
              <w:rPr>
                <w:color w:val="auto"/>
              </w:rPr>
              <w:t>日期</w:t>
            </w:r>
          </w:p>
        </w:tc>
        <w:tc>
          <w:tcPr>
            <w:tcW w:w="1585" w:type="dxa"/>
            <w:vMerge w:val="restart"/>
            <w:vAlign w:val="center"/>
          </w:tcPr>
          <w:p>
            <w:pPr>
              <w:pStyle w:val="164"/>
              <w:rPr>
                <w:color w:val="auto"/>
              </w:rPr>
            </w:pPr>
            <w:r>
              <w:rPr>
                <w:color w:val="auto"/>
              </w:rPr>
              <w:t>检测项目</w:t>
            </w:r>
          </w:p>
        </w:tc>
        <w:tc>
          <w:tcPr>
            <w:tcW w:w="882" w:type="dxa"/>
            <w:vAlign w:val="center"/>
          </w:tcPr>
          <w:p>
            <w:pPr>
              <w:pStyle w:val="164"/>
              <w:rPr>
                <w:color w:val="auto"/>
              </w:rPr>
            </w:pPr>
            <w:r>
              <w:rPr>
                <w:color w:val="auto"/>
              </w:rPr>
              <w:t>1#</w:t>
            </w:r>
          </w:p>
        </w:tc>
        <w:tc>
          <w:tcPr>
            <w:tcW w:w="882" w:type="dxa"/>
            <w:vAlign w:val="center"/>
          </w:tcPr>
          <w:p>
            <w:pPr>
              <w:pStyle w:val="164"/>
              <w:rPr>
                <w:color w:val="auto"/>
              </w:rPr>
            </w:pPr>
            <w:r>
              <w:rPr>
                <w:color w:val="auto"/>
              </w:rPr>
              <w:t>2#</w:t>
            </w:r>
          </w:p>
        </w:tc>
        <w:tc>
          <w:tcPr>
            <w:tcW w:w="882" w:type="dxa"/>
            <w:vAlign w:val="center"/>
          </w:tcPr>
          <w:p>
            <w:pPr>
              <w:pStyle w:val="164"/>
              <w:rPr>
                <w:color w:val="auto"/>
              </w:rPr>
            </w:pPr>
            <w:r>
              <w:rPr>
                <w:color w:val="auto"/>
              </w:rPr>
              <w:t>3#</w:t>
            </w:r>
          </w:p>
        </w:tc>
        <w:tc>
          <w:tcPr>
            <w:tcW w:w="882" w:type="dxa"/>
            <w:vAlign w:val="center"/>
          </w:tcPr>
          <w:p>
            <w:pPr>
              <w:pStyle w:val="164"/>
              <w:rPr>
                <w:color w:val="auto"/>
              </w:rPr>
            </w:pPr>
            <w:r>
              <w:rPr>
                <w:color w:val="auto"/>
              </w:rPr>
              <w:t>4#</w:t>
            </w:r>
          </w:p>
        </w:tc>
        <w:tc>
          <w:tcPr>
            <w:tcW w:w="882" w:type="dxa"/>
            <w:vAlign w:val="center"/>
          </w:tcPr>
          <w:p>
            <w:pPr>
              <w:pStyle w:val="164"/>
              <w:rPr>
                <w:color w:val="auto"/>
              </w:rPr>
            </w:pPr>
            <w:r>
              <w:rPr>
                <w:color w:val="auto"/>
              </w:rPr>
              <w:t>5#</w:t>
            </w:r>
          </w:p>
        </w:tc>
        <w:tc>
          <w:tcPr>
            <w:tcW w:w="910" w:type="dxa"/>
            <w:vMerge w:val="restart"/>
            <w:vAlign w:val="center"/>
          </w:tcPr>
          <w:p>
            <w:pPr>
              <w:pStyle w:val="164"/>
              <w:rPr>
                <w:color w:val="auto"/>
              </w:rPr>
            </w:pPr>
            <w:r>
              <w:rPr>
                <w:color w:val="auto"/>
              </w:rPr>
              <w:t>标准值</w:t>
            </w:r>
          </w:p>
        </w:tc>
        <w:tc>
          <w:tcPr>
            <w:tcW w:w="1131" w:type="dxa"/>
            <w:vMerge w:val="restart"/>
            <w:vAlign w:val="center"/>
          </w:tcPr>
          <w:p>
            <w:pPr>
              <w:pStyle w:val="164"/>
              <w:rPr>
                <w:color w:val="auto"/>
              </w:rPr>
            </w:pPr>
            <w:r>
              <w:rPr>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blHeader/>
        </w:trPr>
        <w:tc>
          <w:tcPr>
            <w:tcW w:w="684" w:type="dxa"/>
            <w:vMerge w:val="continue"/>
            <w:vAlign w:val="center"/>
          </w:tcPr>
          <w:p>
            <w:pPr>
              <w:pStyle w:val="164"/>
              <w:rPr>
                <w:color w:val="auto"/>
              </w:rPr>
            </w:pPr>
          </w:p>
        </w:tc>
        <w:tc>
          <w:tcPr>
            <w:tcW w:w="1585" w:type="dxa"/>
            <w:vMerge w:val="continue"/>
            <w:vAlign w:val="center"/>
          </w:tcPr>
          <w:p>
            <w:pPr>
              <w:pStyle w:val="164"/>
              <w:rPr>
                <w:color w:val="auto"/>
              </w:rPr>
            </w:pPr>
          </w:p>
        </w:tc>
        <w:tc>
          <w:tcPr>
            <w:tcW w:w="882" w:type="dxa"/>
            <w:vAlign w:val="center"/>
          </w:tcPr>
          <w:p>
            <w:pPr>
              <w:pStyle w:val="164"/>
              <w:rPr>
                <w:snapToGrid w:val="0"/>
                <w:color w:val="auto"/>
              </w:rPr>
            </w:pPr>
            <w:r>
              <w:rPr>
                <w:snapToGrid w:val="0"/>
                <w:color w:val="auto"/>
              </w:rPr>
              <w:t>S</w:t>
            </w:r>
            <w:r>
              <w:rPr>
                <w:snapToGrid w:val="0"/>
                <w:color w:val="auto"/>
                <w:vertAlign w:val="subscript"/>
              </w:rPr>
              <w:t>i</w:t>
            </w:r>
          </w:p>
        </w:tc>
        <w:tc>
          <w:tcPr>
            <w:tcW w:w="882" w:type="dxa"/>
            <w:vAlign w:val="center"/>
          </w:tcPr>
          <w:p>
            <w:pPr>
              <w:pStyle w:val="164"/>
              <w:rPr>
                <w:snapToGrid w:val="0"/>
                <w:color w:val="auto"/>
              </w:rPr>
            </w:pPr>
            <w:r>
              <w:rPr>
                <w:snapToGrid w:val="0"/>
                <w:color w:val="auto"/>
              </w:rPr>
              <w:t>S</w:t>
            </w:r>
            <w:r>
              <w:rPr>
                <w:snapToGrid w:val="0"/>
                <w:color w:val="auto"/>
                <w:vertAlign w:val="subscript"/>
              </w:rPr>
              <w:t>i</w:t>
            </w:r>
          </w:p>
        </w:tc>
        <w:tc>
          <w:tcPr>
            <w:tcW w:w="882" w:type="dxa"/>
            <w:vAlign w:val="center"/>
          </w:tcPr>
          <w:p>
            <w:pPr>
              <w:pStyle w:val="164"/>
              <w:rPr>
                <w:snapToGrid w:val="0"/>
                <w:color w:val="auto"/>
              </w:rPr>
            </w:pPr>
            <w:r>
              <w:rPr>
                <w:snapToGrid w:val="0"/>
                <w:color w:val="auto"/>
              </w:rPr>
              <w:t>S</w:t>
            </w:r>
            <w:r>
              <w:rPr>
                <w:snapToGrid w:val="0"/>
                <w:color w:val="auto"/>
                <w:vertAlign w:val="subscript"/>
              </w:rPr>
              <w:t>i</w:t>
            </w:r>
          </w:p>
        </w:tc>
        <w:tc>
          <w:tcPr>
            <w:tcW w:w="882" w:type="dxa"/>
            <w:vAlign w:val="center"/>
          </w:tcPr>
          <w:p>
            <w:pPr>
              <w:pStyle w:val="164"/>
              <w:rPr>
                <w:snapToGrid w:val="0"/>
                <w:color w:val="auto"/>
              </w:rPr>
            </w:pPr>
            <w:r>
              <w:rPr>
                <w:snapToGrid w:val="0"/>
                <w:color w:val="auto"/>
              </w:rPr>
              <w:t>S</w:t>
            </w:r>
            <w:r>
              <w:rPr>
                <w:snapToGrid w:val="0"/>
                <w:color w:val="auto"/>
                <w:vertAlign w:val="subscript"/>
              </w:rPr>
              <w:t>i</w:t>
            </w:r>
          </w:p>
        </w:tc>
        <w:tc>
          <w:tcPr>
            <w:tcW w:w="882" w:type="dxa"/>
            <w:vAlign w:val="center"/>
          </w:tcPr>
          <w:p>
            <w:pPr>
              <w:pStyle w:val="164"/>
              <w:rPr>
                <w:snapToGrid w:val="0"/>
                <w:color w:val="auto"/>
              </w:rPr>
            </w:pPr>
            <w:r>
              <w:rPr>
                <w:snapToGrid w:val="0"/>
                <w:color w:val="auto"/>
              </w:rPr>
              <w:t>S</w:t>
            </w:r>
            <w:r>
              <w:rPr>
                <w:snapToGrid w:val="0"/>
                <w:color w:val="auto"/>
                <w:vertAlign w:val="subscript"/>
              </w:rPr>
              <w:t>i</w:t>
            </w:r>
          </w:p>
        </w:tc>
        <w:tc>
          <w:tcPr>
            <w:tcW w:w="910" w:type="dxa"/>
            <w:vMerge w:val="continue"/>
            <w:vAlign w:val="center"/>
          </w:tcPr>
          <w:p>
            <w:pPr>
              <w:pStyle w:val="164"/>
              <w:rPr>
                <w:snapToGrid w:val="0"/>
                <w:color w:val="auto"/>
              </w:rPr>
            </w:pPr>
          </w:p>
        </w:tc>
        <w:tc>
          <w:tcPr>
            <w:tcW w:w="1131" w:type="dxa"/>
            <w:vMerge w:val="continue"/>
            <w:vAlign w:val="center"/>
          </w:tcPr>
          <w:p>
            <w:pPr>
              <w:pStyle w:val="164"/>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restart"/>
            <w:vAlign w:val="center"/>
          </w:tcPr>
          <w:p>
            <w:pPr>
              <w:pStyle w:val="164"/>
              <w:rPr>
                <w:color w:val="auto"/>
              </w:rPr>
            </w:pPr>
            <w:r>
              <w:rPr>
                <w:color w:val="auto"/>
              </w:rPr>
              <w:t>4.16</w:t>
            </w:r>
          </w:p>
        </w:tc>
        <w:tc>
          <w:tcPr>
            <w:tcW w:w="1585" w:type="dxa"/>
            <w:vAlign w:val="center"/>
          </w:tcPr>
          <w:p>
            <w:pPr>
              <w:pStyle w:val="164"/>
              <w:rPr>
                <w:color w:val="auto"/>
              </w:rPr>
            </w:pPr>
            <w:r>
              <w:rPr>
                <w:color w:val="auto"/>
                <w:szCs w:val="21"/>
              </w:rPr>
              <w:t>pH</w:t>
            </w:r>
          </w:p>
        </w:tc>
        <w:tc>
          <w:tcPr>
            <w:tcW w:w="882" w:type="dxa"/>
            <w:vAlign w:val="center"/>
          </w:tcPr>
          <w:p>
            <w:pPr>
              <w:pStyle w:val="164"/>
              <w:rPr>
                <w:color w:val="auto"/>
              </w:rPr>
            </w:pPr>
            <w:r>
              <w:rPr>
                <w:color w:val="auto"/>
                <w:sz w:val="22"/>
                <w:szCs w:val="22"/>
              </w:rPr>
              <w:t>0.2533</w:t>
            </w:r>
          </w:p>
        </w:tc>
        <w:tc>
          <w:tcPr>
            <w:tcW w:w="882" w:type="dxa"/>
            <w:vAlign w:val="center"/>
          </w:tcPr>
          <w:p>
            <w:pPr>
              <w:pStyle w:val="164"/>
              <w:rPr>
                <w:color w:val="auto"/>
              </w:rPr>
            </w:pPr>
            <w:r>
              <w:rPr>
                <w:color w:val="auto"/>
                <w:sz w:val="22"/>
                <w:szCs w:val="22"/>
              </w:rPr>
              <w:t>0.2000</w:t>
            </w:r>
          </w:p>
        </w:tc>
        <w:tc>
          <w:tcPr>
            <w:tcW w:w="882" w:type="dxa"/>
            <w:vAlign w:val="center"/>
          </w:tcPr>
          <w:p>
            <w:pPr>
              <w:pStyle w:val="164"/>
              <w:rPr>
                <w:color w:val="auto"/>
              </w:rPr>
            </w:pPr>
            <w:r>
              <w:rPr>
                <w:color w:val="auto"/>
                <w:sz w:val="22"/>
                <w:szCs w:val="22"/>
              </w:rPr>
              <w:t>0.1933</w:t>
            </w:r>
          </w:p>
        </w:tc>
        <w:tc>
          <w:tcPr>
            <w:tcW w:w="882" w:type="dxa"/>
            <w:vAlign w:val="center"/>
          </w:tcPr>
          <w:p>
            <w:pPr>
              <w:pStyle w:val="164"/>
              <w:rPr>
                <w:color w:val="auto"/>
              </w:rPr>
            </w:pPr>
            <w:r>
              <w:rPr>
                <w:color w:val="auto"/>
                <w:sz w:val="22"/>
                <w:szCs w:val="22"/>
              </w:rPr>
              <w:t>0.2733</w:t>
            </w:r>
          </w:p>
        </w:tc>
        <w:tc>
          <w:tcPr>
            <w:tcW w:w="882" w:type="dxa"/>
            <w:vAlign w:val="center"/>
          </w:tcPr>
          <w:p>
            <w:pPr>
              <w:pStyle w:val="164"/>
              <w:rPr>
                <w:color w:val="auto"/>
              </w:rPr>
            </w:pPr>
            <w:r>
              <w:rPr>
                <w:color w:val="auto"/>
                <w:sz w:val="22"/>
                <w:szCs w:val="22"/>
              </w:rPr>
              <w:t>0.2600</w:t>
            </w:r>
          </w:p>
        </w:tc>
        <w:tc>
          <w:tcPr>
            <w:tcW w:w="910" w:type="dxa"/>
            <w:vAlign w:val="center"/>
          </w:tcPr>
          <w:p>
            <w:pPr>
              <w:pStyle w:val="164"/>
              <w:rPr>
                <w:color w:val="auto"/>
                <w:szCs w:val="21"/>
              </w:rPr>
            </w:pPr>
            <w:r>
              <w:rPr>
                <w:color w:val="auto"/>
                <w:szCs w:val="21"/>
              </w:rPr>
              <w:t>6.5~8.5</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总硬度</w:t>
            </w:r>
          </w:p>
        </w:tc>
        <w:tc>
          <w:tcPr>
            <w:tcW w:w="882" w:type="dxa"/>
            <w:vAlign w:val="center"/>
          </w:tcPr>
          <w:p>
            <w:pPr>
              <w:pStyle w:val="164"/>
              <w:rPr>
                <w:color w:val="auto"/>
              </w:rPr>
            </w:pPr>
            <w:r>
              <w:rPr>
                <w:color w:val="auto"/>
                <w:sz w:val="22"/>
                <w:szCs w:val="22"/>
              </w:rPr>
              <w:t>1.3178</w:t>
            </w:r>
          </w:p>
        </w:tc>
        <w:tc>
          <w:tcPr>
            <w:tcW w:w="882" w:type="dxa"/>
            <w:vAlign w:val="center"/>
          </w:tcPr>
          <w:p>
            <w:pPr>
              <w:pStyle w:val="164"/>
              <w:rPr>
                <w:color w:val="auto"/>
              </w:rPr>
            </w:pPr>
            <w:r>
              <w:rPr>
                <w:color w:val="auto"/>
                <w:sz w:val="22"/>
                <w:szCs w:val="22"/>
              </w:rPr>
              <w:t>1.3022</w:t>
            </w:r>
          </w:p>
        </w:tc>
        <w:tc>
          <w:tcPr>
            <w:tcW w:w="882" w:type="dxa"/>
            <w:vAlign w:val="center"/>
          </w:tcPr>
          <w:p>
            <w:pPr>
              <w:pStyle w:val="164"/>
              <w:rPr>
                <w:color w:val="auto"/>
              </w:rPr>
            </w:pPr>
            <w:r>
              <w:rPr>
                <w:color w:val="auto"/>
                <w:sz w:val="22"/>
                <w:szCs w:val="22"/>
              </w:rPr>
              <w:t>1.2489</w:t>
            </w:r>
          </w:p>
        </w:tc>
        <w:tc>
          <w:tcPr>
            <w:tcW w:w="882" w:type="dxa"/>
            <w:vAlign w:val="center"/>
          </w:tcPr>
          <w:p>
            <w:pPr>
              <w:pStyle w:val="164"/>
              <w:rPr>
                <w:color w:val="auto"/>
              </w:rPr>
            </w:pPr>
            <w:r>
              <w:rPr>
                <w:color w:val="auto"/>
                <w:sz w:val="22"/>
                <w:szCs w:val="22"/>
              </w:rPr>
              <w:t>1.2800</w:t>
            </w:r>
          </w:p>
        </w:tc>
        <w:tc>
          <w:tcPr>
            <w:tcW w:w="882" w:type="dxa"/>
            <w:vAlign w:val="center"/>
          </w:tcPr>
          <w:p>
            <w:pPr>
              <w:pStyle w:val="164"/>
              <w:rPr>
                <w:color w:val="auto"/>
              </w:rPr>
            </w:pPr>
            <w:r>
              <w:rPr>
                <w:color w:val="auto"/>
                <w:sz w:val="22"/>
                <w:szCs w:val="22"/>
              </w:rPr>
              <w:t>1.2467</w:t>
            </w:r>
          </w:p>
        </w:tc>
        <w:tc>
          <w:tcPr>
            <w:tcW w:w="910" w:type="dxa"/>
            <w:vAlign w:val="center"/>
          </w:tcPr>
          <w:p>
            <w:pPr>
              <w:pStyle w:val="164"/>
              <w:rPr>
                <w:color w:val="auto"/>
              </w:rPr>
            </w:pPr>
            <w:r>
              <w:rPr>
                <w:color w:val="auto"/>
                <w:szCs w:val="21"/>
              </w:rPr>
              <w:t>450</w:t>
            </w:r>
          </w:p>
        </w:tc>
        <w:tc>
          <w:tcPr>
            <w:tcW w:w="1131" w:type="dxa"/>
            <w:vAlign w:val="center"/>
          </w:tcPr>
          <w:p>
            <w:pPr>
              <w:pStyle w:val="164"/>
              <w:rPr>
                <w:color w:val="auto"/>
              </w:rPr>
            </w:pPr>
            <w:r>
              <w:rPr>
                <w:color w:val="auto"/>
              </w:rPr>
              <w:t>超标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溶解性总固体</w:t>
            </w:r>
          </w:p>
        </w:tc>
        <w:tc>
          <w:tcPr>
            <w:tcW w:w="882" w:type="dxa"/>
            <w:vAlign w:val="center"/>
          </w:tcPr>
          <w:p>
            <w:pPr>
              <w:pStyle w:val="164"/>
              <w:rPr>
                <w:color w:val="auto"/>
              </w:rPr>
            </w:pPr>
            <w:r>
              <w:rPr>
                <w:color w:val="auto"/>
                <w:sz w:val="22"/>
                <w:szCs w:val="22"/>
              </w:rPr>
              <w:t>2.5900</w:t>
            </w:r>
          </w:p>
        </w:tc>
        <w:tc>
          <w:tcPr>
            <w:tcW w:w="882" w:type="dxa"/>
            <w:vAlign w:val="center"/>
          </w:tcPr>
          <w:p>
            <w:pPr>
              <w:pStyle w:val="164"/>
              <w:rPr>
                <w:color w:val="auto"/>
              </w:rPr>
            </w:pPr>
            <w:r>
              <w:rPr>
                <w:color w:val="auto"/>
                <w:sz w:val="22"/>
                <w:szCs w:val="22"/>
              </w:rPr>
              <w:t>2.4600</w:t>
            </w:r>
          </w:p>
        </w:tc>
        <w:tc>
          <w:tcPr>
            <w:tcW w:w="882" w:type="dxa"/>
            <w:vAlign w:val="center"/>
          </w:tcPr>
          <w:p>
            <w:pPr>
              <w:pStyle w:val="164"/>
              <w:rPr>
                <w:color w:val="auto"/>
              </w:rPr>
            </w:pPr>
            <w:r>
              <w:rPr>
                <w:color w:val="auto"/>
                <w:sz w:val="22"/>
                <w:szCs w:val="22"/>
              </w:rPr>
              <w:t>2.3800</w:t>
            </w:r>
          </w:p>
        </w:tc>
        <w:tc>
          <w:tcPr>
            <w:tcW w:w="882" w:type="dxa"/>
            <w:vAlign w:val="center"/>
          </w:tcPr>
          <w:p>
            <w:pPr>
              <w:pStyle w:val="164"/>
              <w:rPr>
                <w:color w:val="auto"/>
              </w:rPr>
            </w:pPr>
            <w:r>
              <w:rPr>
                <w:color w:val="auto"/>
                <w:sz w:val="22"/>
                <w:szCs w:val="22"/>
              </w:rPr>
              <w:t>2.3600</w:t>
            </w:r>
          </w:p>
        </w:tc>
        <w:tc>
          <w:tcPr>
            <w:tcW w:w="882" w:type="dxa"/>
            <w:vAlign w:val="center"/>
          </w:tcPr>
          <w:p>
            <w:pPr>
              <w:pStyle w:val="164"/>
              <w:rPr>
                <w:color w:val="auto"/>
              </w:rPr>
            </w:pPr>
            <w:r>
              <w:rPr>
                <w:color w:val="auto"/>
                <w:sz w:val="22"/>
                <w:szCs w:val="22"/>
              </w:rPr>
              <w:t>2.4900</w:t>
            </w:r>
          </w:p>
        </w:tc>
        <w:tc>
          <w:tcPr>
            <w:tcW w:w="910" w:type="dxa"/>
            <w:vAlign w:val="center"/>
          </w:tcPr>
          <w:p>
            <w:pPr>
              <w:pStyle w:val="164"/>
              <w:rPr>
                <w:color w:val="auto"/>
              </w:rPr>
            </w:pPr>
            <w:r>
              <w:rPr>
                <w:color w:val="auto"/>
                <w:szCs w:val="21"/>
              </w:rPr>
              <w:t>1000</w:t>
            </w:r>
          </w:p>
        </w:tc>
        <w:tc>
          <w:tcPr>
            <w:tcW w:w="1131" w:type="dxa"/>
            <w:vAlign w:val="center"/>
          </w:tcPr>
          <w:p>
            <w:pPr>
              <w:pStyle w:val="164"/>
              <w:rPr>
                <w:color w:val="auto"/>
              </w:rPr>
            </w:pPr>
            <w:r>
              <w:rPr>
                <w:color w:val="auto"/>
              </w:rPr>
              <w:t>超标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硫酸盐</w:t>
            </w:r>
          </w:p>
        </w:tc>
        <w:tc>
          <w:tcPr>
            <w:tcW w:w="882" w:type="dxa"/>
            <w:vAlign w:val="center"/>
          </w:tcPr>
          <w:p>
            <w:pPr>
              <w:pStyle w:val="164"/>
              <w:rPr>
                <w:color w:val="auto"/>
              </w:rPr>
            </w:pPr>
            <w:r>
              <w:rPr>
                <w:color w:val="auto"/>
                <w:sz w:val="22"/>
                <w:szCs w:val="22"/>
              </w:rPr>
              <w:t>2.2080</w:t>
            </w:r>
          </w:p>
        </w:tc>
        <w:tc>
          <w:tcPr>
            <w:tcW w:w="882" w:type="dxa"/>
            <w:vAlign w:val="center"/>
          </w:tcPr>
          <w:p>
            <w:pPr>
              <w:pStyle w:val="164"/>
              <w:rPr>
                <w:color w:val="auto"/>
              </w:rPr>
            </w:pPr>
            <w:r>
              <w:rPr>
                <w:color w:val="auto"/>
                <w:sz w:val="22"/>
                <w:szCs w:val="22"/>
              </w:rPr>
              <w:t>2.2440</w:t>
            </w:r>
          </w:p>
        </w:tc>
        <w:tc>
          <w:tcPr>
            <w:tcW w:w="882" w:type="dxa"/>
            <w:vAlign w:val="center"/>
          </w:tcPr>
          <w:p>
            <w:pPr>
              <w:pStyle w:val="164"/>
              <w:rPr>
                <w:color w:val="auto"/>
              </w:rPr>
            </w:pPr>
            <w:r>
              <w:rPr>
                <w:color w:val="auto"/>
                <w:sz w:val="22"/>
                <w:szCs w:val="22"/>
              </w:rPr>
              <w:t>1.9400</w:t>
            </w:r>
          </w:p>
        </w:tc>
        <w:tc>
          <w:tcPr>
            <w:tcW w:w="882" w:type="dxa"/>
            <w:vAlign w:val="center"/>
          </w:tcPr>
          <w:p>
            <w:pPr>
              <w:pStyle w:val="164"/>
              <w:rPr>
                <w:color w:val="auto"/>
              </w:rPr>
            </w:pPr>
            <w:r>
              <w:rPr>
                <w:color w:val="auto"/>
                <w:sz w:val="22"/>
                <w:szCs w:val="22"/>
              </w:rPr>
              <w:t>2.2040</w:t>
            </w:r>
          </w:p>
        </w:tc>
        <w:tc>
          <w:tcPr>
            <w:tcW w:w="882" w:type="dxa"/>
            <w:vAlign w:val="center"/>
          </w:tcPr>
          <w:p>
            <w:pPr>
              <w:pStyle w:val="164"/>
              <w:rPr>
                <w:color w:val="auto"/>
              </w:rPr>
            </w:pPr>
            <w:r>
              <w:rPr>
                <w:color w:val="auto"/>
                <w:sz w:val="22"/>
                <w:szCs w:val="22"/>
              </w:rPr>
              <w:t>2.1240</w:t>
            </w:r>
          </w:p>
        </w:tc>
        <w:tc>
          <w:tcPr>
            <w:tcW w:w="910" w:type="dxa"/>
            <w:vAlign w:val="center"/>
          </w:tcPr>
          <w:p>
            <w:pPr>
              <w:pStyle w:val="164"/>
              <w:rPr>
                <w:color w:val="auto"/>
              </w:rPr>
            </w:pPr>
            <w:r>
              <w:rPr>
                <w:color w:val="auto"/>
                <w:szCs w:val="21"/>
              </w:rPr>
              <w:t>250</w:t>
            </w:r>
          </w:p>
        </w:tc>
        <w:tc>
          <w:tcPr>
            <w:tcW w:w="1131" w:type="dxa"/>
            <w:vAlign w:val="center"/>
          </w:tcPr>
          <w:p>
            <w:pPr>
              <w:pStyle w:val="164"/>
              <w:rPr>
                <w:color w:val="auto"/>
              </w:rPr>
            </w:pPr>
            <w:r>
              <w:rPr>
                <w:color w:val="auto"/>
              </w:rPr>
              <w:t>超标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氯化物</w:t>
            </w:r>
          </w:p>
        </w:tc>
        <w:tc>
          <w:tcPr>
            <w:tcW w:w="882" w:type="dxa"/>
            <w:vAlign w:val="center"/>
          </w:tcPr>
          <w:p>
            <w:pPr>
              <w:pStyle w:val="164"/>
              <w:rPr>
                <w:color w:val="auto"/>
              </w:rPr>
            </w:pPr>
            <w:r>
              <w:rPr>
                <w:color w:val="auto"/>
                <w:sz w:val="22"/>
                <w:szCs w:val="22"/>
              </w:rPr>
              <w:t>1.2600</w:t>
            </w:r>
          </w:p>
        </w:tc>
        <w:tc>
          <w:tcPr>
            <w:tcW w:w="882" w:type="dxa"/>
            <w:vAlign w:val="center"/>
          </w:tcPr>
          <w:p>
            <w:pPr>
              <w:pStyle w:val="164"/>
              <w:rPr>
                <w:color w:val="auto"/>
              </w:rPr>
            </w:pPr>
            <w:r>
              <w:rPr>
                <w:color w:val="auto"/>
                <w:sz w:val="22"/>
                <w:szCs w:val="22"/>
              </w:rPr>
              <w:t>1.0920</w:t>
            </w:r>
          </w:p>
        </w:tc>
        <w:tc>
          <w:tcPr>
            <w:tcW w:w="882" w:type="dxa"/>
            <w:vAlign w:val="center"/>
          </w:tcPr>
          <w:p>
            <w:pPr>
              <w:pStyle w:val="164"/>
              <w:rPr>
                <w:color w:val="auto"/>
              </w:rPr>
            </w:pPr>
            <w:r>
              <w:rPr>
                <w:color w:val="auto"/>
                <w:sz w:val="22"/>
                <w:szCs w:val="22"/>
              </w:rPr>
              <w:t>1.1720</w:t>
            </w:r>
          </w:p>
        </w:tc>
        <w:tc>
          <w:tcPr>
            <w:tcW w:w="882" w:type="dxa"/>
            <w:vAlign w:val="center"/>
          </w:tcPr>
          <w:p>
            <w:pPr>
              <w:pStyle w:val="164"/>
              <w:rPr>
                <w:color w:val="auto"/>
              </w:rPr>
            </w:pPr>
            <w:r>
              <w:rPr>
                <w:color w:val="auto"/>
                <w:sz w:val="22"/>
                <w:szCs w:val="22"/>
              </w:rPr>
              <w:t>1.3640</w:t>
            </w:r>
          </w:p>
        </w:tc>
        <w:tc>
          <w:tcPr>
            <w:tcW w:w="882" w:type="dxa"/>
            <w:vAlign w:val="center"/>
          </w:tcPr>
          <w:p>
            <w:pPr>
              <w:pStyle w:val="164"/>
              <w:rPr>
                <w:color w:val="auto"/>
              </w:rPr>
            </w:pPr>
            <w:r>
              <w:rPr>
                <w:color w:val="auto"/>
                <w:sz w:val="22"/>
                <w:szCs w:val="22"/>
              </w:rPr>
              <w:t>1.2520</w:t>
            </w:r>
          </w:p>
        </w:tc>
        <w:tc>
          <w:tcPr>
            <w:tcW w:w="910" w:type="dxa"/>
            <w:vAlign w:val="center"/>
          </w:tcPr>
          <w:p>
            <w:pPr>
              <w:pStyle w:val="164"/>
              <w:rPr>
                <w:color w:val="auto"/>
              </w:rPr>
            </w:pPr>
            <w:r>
              <w:rPr>
                <w:color w:val="auto"/>
                <w:szCs w:val="21"/>
              </w:rPr>
              <w:t>250</w:t>
            </w:r>
          </w:p>
        </w:tc>
        <w:tc>
          <w:tcPr>
            <w:tcW w:w="1131" w:type="dxa"/>
            <w:vAlign w:val="center"/>
          </w:tcPr>
          <w:p>
            <w:pPr>
              <w:pStyle w:val="164"/>
              <w:rPr>
                <w:color w:val="auto"/>
              </w:rPr>
            </w:pPr>
            <w:r>
              <w:rPr>
                <w:color w:val="auto"/>
              </w:rPr>
              <w:t>超标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铁</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0.3</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锰</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0.1</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挥发性酚类</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0.002</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耗氧量</w:t>
            </w:r>
          </w:p>
        </w:tc>
        <w:tc>
          <w:tcPr>
            <w:tcW w:w="882" w:type="dxa"/>
            <w:vAlign w:val="center"/>
          </w:tcPr>
          <w:p>
            <w:pPr>
              <w:pStyle w:val="164"/>
              <w:rPr>
                <w:color w:val="auto"/>
              </w:rPr>
            </w:pPr>
            <w:r>
              <w:rPr>
                <w:color w:val="auto"/>
                <w:sz w:val="22"/>
                <w:szCs w:val="22"/>
              </w:rPr>
              <w:t>0.6667</w:t>
            </w:r>
          </w:p>
        </w:tc>
        <w:tc>
          <w:tcPr>
            <w:tcW w:w="882" w:type="dxa"/>
            <w:vAlign w:val="center"/>
          </w:tcPr>
          <w:p>
            <w:pPr>
              <w:pStyle w:val="164"/>
              <w:rPr>
                <w:color w:val="auto"/>
              </w:rPr>
            </w:pPr>
            <w:r>
              <w:rPr>
                <w:color w:val="auto"/>
                <w:sz w:val="22"/>
                <w:szCs w:val="22"/>
              </w:rPr>
              <w:t>0.6333</w:t>
            </w:r>
          </w:p>
        </w:tc>
        <w:tc>
          <w:tcPr>
            <w:tcW w:w="882" w:type="dxa"/>
            <w:vAlign w:val="center"/>
          </w:tcPr>
          <w:p>
            <w:pPr>
              <w:pStyle w:val="164"/>
              <w:rPr>
                <w:color w:val="auto"/>
              </w:rPr>
            </w:pPr>
            <w:r>
              <w:rPr>
                <w:color w:val="auto"/>
                <w:sz w:val="22"/>
                <w:szCs w:val="22"/>
              </w:rPr>
              <w:t>0.7333</w:t>
            </w:r>
          </w:p>
        </w:tc>
        <w:tc>
          <w:tcPr>
            <w:tcW w:w="882" w:type="dxa"/>
            <w:vAlign w:val="center"/>
          </w:tcPr>
          <w:p>
            <w:pPr>
              <w:pStyle w:val="164"/>
              <w:rPr>
                <w:color w:val="auto"/>
              </w:rPr>
            </w:pPr>
            <w:r>
              <w:rPr>
                <w:color w:val="auto"/>
                <w:sz w:val="22"/>
                <w:szCs w:val="22"/>
              </w:rPr>
              <w:t>0.7000</w:t>
            </w:r>
          </w:p>
        </w:tc>
        <w:tc>
          <w:tcPr>
            <w:tcW w:w="882" w:type="dxa"/>
            <w:vAlign w:val="center"/>
          </w:tcPr>
          <w:p>
            <w:pPr>
              <w:pStyle w:val="164"/>
              <w:rPr>
                <w:color w:val="auto"/>
              </w:rPr>
            </w:pPr>
            <w:r>
              <w:rPr>
                <w:color w:val="auto"/>
                <w:sz w:val="22"/>
                <w:szCs w:val="22"/>
              </w:rPr>
              <w:t>0.7000</w:t>
            </w:r>
          </w:p>
        </w:tc>
        <w:tc>
          <w:tcPr>
            <w:tcW w:w="910" w:type="dxa"/>
            <w:vAlign w:val="center"/>
          </w:tcPr>
          <w:p>
            <w:pPr>
              <w:pStyle w:val="164"/>
              <w:rPr>
                <w:color w:val="auto"/>
              </w:rPr>
            </w:pPr>
            <w:r>
              <w:rPr>
                <w:color w:val="auto"/>
                <w:szCs w:val="21"/>
              </w:rPr>
              <w:t>3</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硝酸盐</w:t>
            </w:r>
          </w:p>
        </w:tc>
        <w:tc>
          <w:tcPr>
            <w:tcW w:w="882" w:type="dxa"/>
            <w:vAlign w:val="center"/>
          </w:tcPr>
          <w:p>
            <w:pPr>
              <w:pStyle w:val="164"/>
              <w:rPr>
                <w:color w:val="auto"/>
              </w:rPr>
            </w:pPr>
            <w:r>
              <w:rPr>
                <w:color w:val="auto"/>
                <w:sz w:val="22"/>
                <w:szCs w:val="22"/>
              </w:rPr>
              <w:t>0.1115</w:t>
            </w:r>
          </w:p>
        </w:tc>
        <w:tc>
          <w:tcPr>
            <w:tcW w:w="882" w:type="dxa"/>
            <w:vAlign w:val="center"/>
          </w:tcPr>
          <w:p>
            <w:pPr>
              <w:pStyle w:val="164"/>
              <w:rPr>
                <w:color w:val="auto"/>
              </w:rPr>
            </w:pPr>
            <w:r>
              <w:rPr>
                <w:color w:val="auto"/>
                <w:sz w:val="22"/>
                <w:szCs w:val="22"/>
              </w:rPr>
              <w:t>0.1245</w:t>
            </w:r>
          </w:p>
        </w:tc>
        <w:tc>
          <w:tcPr>
            <w:tcW w:w="882" w:type="dxa"/>
            <w:vAlign w:val="center"/>
          </w:tcPr>
          <w:p>
            <w:pPr>
              <w:pStyle w:val="164"/>
              <w:rPr>
                <w:color w:val="auto"/>
              </w:rPr>
            </w:pPr>
            <w:r>
              <w:rPr>
                <w:color w:val="auto"/>
                <w:sz w:val="22"/>
                <w:szCs w:val="22"/>
              </w:rPr>
              <w:t>0.1150</w:t>
            </w:r>
          </w:p>
        </w:tc>
        <w:tc>
          <w:tcPr>
            <w:tcW w:w="882" w:type="dxa"/>
            <w:vAlign w:val="center"/>
          </w:tcPr>
          <w:p>
            <w:pPr>
              <w:pStyle w:val="164"/>
              <w:rPr>
                <w:color w:val="auto"/>
              </w:rPr>
            </w:pPr>
            <w:r>
              <w:rPr>
                <w:color w:val="auto"/>
                <w:sz w:val="22"/>
                <w:szCs w:val="22"/>
              </w:rPr>
              <w:t>0.1205</w:t>
            </w:r>
          </w:p>
        </w:tc>
        <w:tc>
          <w:tcPr>
            <w:tcW w:w="882" w:type="dxa"/>
            <w:vAlign w:val="center"/>
          </w:tcPr>
          <w:p>
            <w:pPr>
              <w:pStyle w:val="164"/>
              <w:rPr>
                <w:color w:val="auto"/>
              </w:rPr>
            </w:pPr>
            <w:r>
              <w:rPr>
                <w:color w:val="auto"/>
                <w:sz w:val="22"/>
                <w:szCs w:val="22"/>
              </w:rPr>
              <w:t>0.1145</w:t>
            </w:r>
          </w:p>
        </w:tc>
        <w:tc>
          <w:tcPr>
            <w:tcW w:w="910" w:type="dxa"/>
            <w:vAlign w:val="center"/>
          </w:tcPr>
          <w:p>
            <w:pPr>
              <w:pStyle w:val="164"/>
              <w:rPr>
                <w:color w:val="auto"/>
              </w:rPr>
            </w:pPr>
            <w:r>
              <w:rPr>
                <w:color w:val="auto"/>
                <w:szCs w:val="21"/>
              </w:rPr>
              <w:t>20</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亚硝酸盐</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1</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氨氮</w:t>
            </w:r>
          </w:p>
        </w:tc>
        <w:tc>
          <w:tcPr>
            <w:tcW w:w="882" w:type="dxa"/>
            <w:vAlign w:val="center"/>
          </w:tcPr>
          <w:p>
            <w:pPr>
              <w:pStyle w:val="164"/>
              <w:rPr>
                <w:color w:val="auto"/>
              </w:rPr>
            </w:pPr>
            <w:r>
              <w:rPr>
                <w:color w:val="auto"/>
                <w:sz w:val="22"/>
                <w:szCs w:val="22"/>
              </w:rPr>
              <w:t>0.2280</w:t>
            </w:r>
          </w:p>
        </w:tc>
        <w:tc>
          <w:tcPr>
            <w:tcW w:w="882" w:type="dxa"/>
            <w:vAlign w:val="center"/>
          </w:tcPr>
          <w:p>
            <w:pPr>
              <w:pStyle w:val="164"/>
              <w:rPr>
                <w:color w:val="auto"/>
              </w:rPr>
            </w:pPr>
            <w:r>
              <w:rPr>
                <w:color w:val="auto"/>
                <w:sz w:val="22"/>
                <w:szCs w:val="22"/>
              </w:rPr>
              <w:t>0.3000</w:t>
            </w:r>
          </w:p>
        </w:tc>
        <w:tc>
          <w:tcPr>
            <w:tcW w:w="882" w:type="dxa"/>
            <w:vAlign w:val="center"/>
          </w:tcPr>
          <w:p>
            <w:pPr>
              <w:pStyle w:val="164"/>
              <w:rPr>
                <w:color w:val="auto"/>
              </w:rPr>
            </w:pPr>
            <w:r>
              <w:rPr>
                <w:color w:val="auto"/>
                <w:sz w:val="22"/>
                <w:szCs w:val="22"/>
              </w:rPr>
              <w:t>0.2780</w:t>
            </w:r>
          </w:p>
        </w:tc>
        <w:tc>
          <w:tcPr>
            <w:tcW w:w="882" w:type="dxa"/>
            <w:vAlign w:val="center"/>
          </w:tcPr>
          <w:p>
            <w:pPr>
              <w:pStyle w:val="164"/>
              <w:rPr>
                <w:color w:val="auto"/>
              </w:rPr>
            </w:pPr>
            <w:r>
              <w:rPr>
                <w:color w:val="auto"/>
                <w:sz w:val="22"/>
                <w:szCs w:val="22"/>
              </w:rPr>
              <w:t>0.2840</w:t>
            </w:r>
          </w:p>
        </w:tc>
        <w:tc>
          <w:tcPr>
            <w:tcW w:w="882" w:type="dxa"/>
            <w:vAlign w:val="center"/>
          </w:tcPr>
          <w:p>
            <w:pPr>
              <w:pStyle w:val="164"/>
              <w:rPr>
                <w:color w:val="auto"/>
              </w:rPr>
            </w:pPr>
            <w:r>
              <w:rPr>
                <w:color w:val="auto"/>
                <w:sz w:val="22"/>
                <w:szCs w:val="22"/>
              </w:rPr>
              <w:t>0.3100</w:t>
            </w:r>
          </w:p>
        </w:tc>
        <w:tc>
          <w:tcPr>
            <w:tcW w:w="910" w:type="dxa"/>
            <w:vAlign w:val="center"/>
          </w:tcPr>
          <w:p>
            <w:pPr>
              <w:pStyle w:val="164"/>
              <w:rPr>
                <w:color w:val="auto"/>
              </w:rPr>
            </w:pPr>
            <w:r>
              <w:rPr>
                <w:color w:val="auto"/>
                <w:szCs w:val="21"/>
              </w:rPr>
              <w:t>0.5</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氟化物</w:t>
            </w:r>
          </w:p>
        </w:tc>
        <w:tc>
          <w:tcPr>
            <w:tcW w:w="882" w:type="dxa"/>
            <w:vAlign w:val="center"/>
          </w:tcPr>
          <w:p>
            <w:pPr>
              <w:pStyle w:val="164"/>
              <w:rPr>
                <w:color w:val="auto"/>
              </w:rPr>
            </w:pPr>
            <w:r>
              <w:rPr>
                <w:color w:val="auto"/>
                <w:sz w:val="22"/>
                <w:szCs w:val="22"/>
              </w:rPr>
              <w:t>0.8600</w:t>
            </w:r>
          </w:p>
        </w:tc>
        <w:tc>
          <w:tcPr>
            <w:tcW w:w="882" w:type="dxa"/>
            <w:vAlign w:val="center"/>
          </w:tcPr>
          <w:p>
            <w:pPr>
              <w:pStyle w:val="164"/>
              <w:rPr>
                <w:color w:val="auto"/>
              </w:rPr>
            </w:pPr>
            <w:r>
              <w:rPr>
                <w:color w:val="auto"/>
                <w:sz w:val="22"/>
                <w:szCs w:val="22"/>
              </w:rPr>
              <w:t>0.9900</w:t>
            </w:r>
          </w:p>
        </w:tc>
        <w:tc>
          <w:tcPr>
            <w:tcW w:w="882" w:type="dxa"/>
            <w:vAlign w:val="center"/>
          </w:tcPr>
          <w:p>
            <w:pPr>
              <w:pStyle w:val="164"/>
              <w:rPr>
                <w:color w:val="auto"/>
              </w:rPr>
            </w:pPr>
            <w:r>
              <w:rPr>
                <w:color w:val="auto"/>
                <w:sz w:val="22"/>
                <w:szCs w:val="22"/>
              </w:rPr>
              <w:t>0.9000</w:t>
            </w:r>
          </w:p>
        </w:tc>
        <w:tc>
          <w:tcPr>
            <w:tcW w:w="882" w:type="dxa"/>
            <w:vAlign w:val="center"/>
          </w:tcPr>
          <w:p>
            <w:pPr>
              <w:pStyle w:val="164"/>
              <w:rPr>
                <w:color w:val="auto"/>
              </w:rPr>
            </w:pPr>
            <w:r>
              <w:rPr>
                <w:color w:val="auto"/>
                <w:sz w:val="22"/>
                <w:szCs w:val="22"/>
              </w:rPr>
              <w:t>0.8800</w:t>
            </w:r>
          </w:p>
        </w:tc>
        <w:tc>
          <w:tcPr>
            <w:tcW w:w="882" w:type="dxa"/>
            <w:vAlign w:val="center"/>
          </w:tcPr>
          <w:p>
            <w:pPr>
              <w:pStyle w:val="164"/>
              <w:rPr>
                <w:color w:val="auto"/>
              </w:rPr>
            </w:pPr>
            <w:r>
              <w:rPr>
                <w:color w:val="auto"/>
                <w:sz w:val="22"/>
                <w:szCs w:val="22"/>
              </w:rPr>
              <w:t>0.8100</w:t>
            </w:r>
          </w:p>
        </w:tc>
        <w:tc>
          <w:tcPr>
            <w:tcW w:w="910" w:type="dxa"/>
            <w:vAlign w:val="center"/>
          </w:tcPr>
          <w:p>
            <w:pPr>
              <w:pStyle w:val="164"/>
              <w:rPr>
                <w:color w:val="auto"/>
              </w:rPr>
            </w:pPr>
            <w:r>
              <w:rPr>
                <w:color w:val="auto"/>
                <w:szCs w:val="21"/>
              </w:rPr>
              <w:t>1</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氰化物</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0.05</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汞</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0.001</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砷</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0.01</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镉</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0.005</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铬（六价）</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0.05</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铅</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0.01</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镍</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0.02</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细菌总数</w:t>
            </w:r>
          </w:p>
        </w:tc>
        <w:tc>
          <w:tcPr>
            <w:tcW w:w="882" w:type="dxa"/>
            <w:vAlign w:val="center"/>
          </w:tcPr>
          <w:p>
            <w:pPr>
              <w:pStyle w:val="164"/>
              <w:rPr>
                <w:color w:val="auto"/>
              </w:rPr>
            </w:pPr>
            <w:r>
              <w:rPr>
                <w:color w:val="auto"/>
                <w:sz w:val="22"/>
                <w:szCs w:val="22"/>
              </w:rPr>
              <w:t>0.1700</w:t>
            </w:r>
          </w:p>
        </w:tc>
        <w:tc>
          <w:tcPr>
            <w:tcW w:w="882" w:type="dxa"/>
            <w:vAlign w:val="center"/>
          </w:tcPr>
          <w:p>
            <w:pPr>
              <w:pStyle w:val="164"/>
              <w:rPr>
                <w:color w:val="auto"/>
              </w:rPr>
            </w:pPr>
            <w:r>
              <w:rPr>
                <w:color w:val="auto"/>
                <w:sz w:val="22"/>
                <w:szCs w:val="22"/>
              </w:rPr>
              <w:t>0.2300</w:t>
            </w:r>
          </w:p>
        </w:tc>
        <w:tc>
          <w:tcPr>
            <w:tcW w:w="882" w:type="dxa"/>
            <w:vAlign w:val="center"/>
          </w:tcPr>
          <w:p>
            <w:pPr>
              <w:pStyle w:val="164"/>
              <w:rPr>
                <w:color w:val="auto"/>
              </w:rPr>
            </w:pPr>
            <w:r>
              <w:rPr>
                <w:color w:val="auto"/>
                <w:sz w:val="22"/>
                <w:szCs w:val="22"/>
              </w:rPr>
              <w:t>0.2000</w:t>
            </w:r>
          </w:p>
        </w:tc>
        <w:tc>
          <w:tcPr>
            <w:tcW w:w="882" w:type="dxa"/>
            <w:vAlign w:val="center"/>
          </w:tcPr>
          <w:p>
            <w:pPr>
              <w:pStyle w:val="164"/>
              <w:rPr>
                <w:color w:val="auto"/>
              </w:rPr>
            </w:pPr>
            <w:r>
              <w:rPr>
                <w:color w:val="auto"/>
                <w:sz w:val="22"/>
                <w:szCs w:val="22"/>
              </w:rPr>
              <w:t>0.2100</w:t>
            </w:r>
          </w:p>
        </w:tc>
        <w:tc>
          <w:tcPr>
            <w:tcW w:w="882" w:type="dxa"/>
            <w:vAlign w:val="center"/>
          </w:tcPr>
          <w:p>
            <w:pPr>
              <w:pStyle w:val="164"/>
              <w:rPr>
                <w:color w:val="auto"/>
              </w:rPr>
            </w:pPr>
            <w:r>
              <w:rPr>
                <w:color w:val="auto"/>
                <w:sz w:val="22"/>
                <w:szCs w:val="22"/>
              </w:rPr>
              <w:t>0.1900</w:t>
            </w:r>
          </w:p>
        </w:tc>
        <w:tc>
          <w:tcPr>
            <w:tcW w:w="910" w:type="dxa"/>
            <w:vAlign w:val="center"/>
          </w:tcPr>
          <w:p>
            <w:pPr>
              <w:pStyle w:val="164"/>
              <w:rPr>
                <w:color w:val="auto"/>
              </w:rPr>
            </w:pPr>
            <w:r>
              <w:rPr>
                <w:color w:val="auto"/>
                <w:szCs w:val="21"/>
              </w:rPr>
              <w:t>100</w:t>
            </w:r>
          </w:p>
        </w:tc>
        <w:tc>
          <w:tcPr>
            <w:tcW w:w="1131" w:type="dxa"/>
            <w:vAlign w:val="center"/>
          </w:tcPr>
          <w:p>
            <w:pPr>
              <w:pStyle w:val="164"/>
              <w:rPr>
                <w:color w:val="auto"/>
              </w:rPr>
            </w:pPr>
            <w:r>
              <w:rPr>
                <w:color w:val="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K</w:t>
            </w:r>
            <w:r>
              <w:rPr>
                <w:color w:val="auto"/>
                <w:szCs w:val="21"/>
                <w:vertAlign w:val="superscript"/>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w:t>
            </w:r>
          </w:p>
        </w:tc>
        <w:tc>
          <w:tcPr>
            <w:tcW w:w="1131" w:type="dxa"/>
            <w:vAlign w:val="center"/>
          </w:tcPr>
          <w:p>
            <w:pPr>
              <w:pStyle w:val="164"/>
              <w:rPr>
                <w:color w:val="auto"/>
              </w:rPr>
            </w:pPr>
            <w:r>
              <w:rPr>
                <w:snapToGrid w:val="0"/>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Na</w:t>
            </w:r>
            <w:r>
              <w:rPr>
                <w:color w:val="auto"/>
                <w:szCs w:val="21"/>
                <w:vertAlign w:val="superscript"/>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w:t>
            </w:r>
          </w:p>
        </w:tc>
        <w:tc>
          <w:tcPr>
            <w:tcW w:w="1131" w:type="dxa"/>
            <w:vAlign w:val="center"/>
          </w:tcPr>
          <w:p>
            <w:pPr>
              <w:pStyle w:val="164"/>
              <w:rPr>
                <w:color w:val="auto"/>
              </w:rPr>
            </w:pPr>
            <w:r>
              <w:rPr>
                <w:snapToGrid w:val="0"/>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Ca</w:t>
            </w:r>
            <w:r>
              <w:rPr>
                <w:color w:val="auto"/>
                <w:szCs w:val="21"/>
                <w:vertAlign w:val="superscript"/>
              </w:rPr>
              <w:t>2+</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w:t>
            </w:r>
          </w:p>
        </w:tc>
        <w:tc>
          <w:tcPr>
            <w:tcW w:w="1131" w:type="dxa"/>
            <w:vAlign w:val="center"/>
          </w:tcPr>
          <w:p>
            <w:pPr>
              <w:pStyle w:val="164"/>
              <w:rPr>
                <w:color w:val="auto"/>
              </w:rPr>
            </w:pPr>
            <w:r>
              <w:rPr>
                <w:snapToGrid w:val="0"/>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Mg</w:t>
            </w:r>
            <w:r>
              <w:rPr>
                <w:color w:val="auto"/>
                <w:szCs w:val="21"/>
                <w:vertAlign w:val="superscript"/>
              </w:rPr>
              <w:t>2+</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w:t>
            </w:r>
          </w:p>
        </w:tc>
        <w:tc>
          <w:tcPr>
            <w:tcW w:w="1131" w:type="dxa"/>
            <w:vAlign w:val="center"/>
          </w:tcPr>
          <w:p>
            <w:pPr>
              <w:pStyle w:val="164"/>
              <w:rPr>
                <w:color w:val="auto"/>
              </w:rPr>
            </w:pPr>
            <w:r>
              <w:rPr>
                <w:snapToGrid w:val="0"/>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CO</w:t>
            </w:r>
            <w:r>
              <w:rPr>
                <w:color w:val="auto"/>
                <w:szCs w:val="21"/>
                <w:vertAlign w:val="subscript"/>
              </w:rPr>
              <w:t>3</w:t>
            </w:r>
            <w:r>
              <w:rPr>
                <w:color w:val="auto"/>
                <w:szCs w:val="21"/>
                <w:vertAlign w:val="superscript"/>
              </w:rPr>
              <w:t>2-</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w:t>
            </w:r>
          </w:p>
        </w:tc>
        <w:tc>
          <w:tcPr>
            <w:tcW w:w="1131" w:type="dxa"/>
            <w:vAlign w:val="center"/>
          </w:tcPr>
          <w:p>
            <w:pPr>
              <w:pStyle w:val="164"/>
              <w:rPr>
                <w:color w:val="auto"/>
              </w:rPr>
            </w:pPr>
            <w:r>
              <w:rPr>
                <w:snapToGrid w:val="0"/>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HCO</w:t>
            </w:r>
            <w:r>
              <w:rPr>
                <w:color w:val="auto"/>
                <w:szCs w:val="21"/>
                <w:vertAlign w:val="subscript"/>
              </w:rPr>
              <w:t>3</w:t>
            </w:r>
            <w:r>
              <w:rPr>
                <w:color w:val="auto"/>
                <w:szCs w:val="21"/>
                <w:vertAlign w:val="superscript"/>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w:t>
            </w:r>
          </w:p>
        </w:tc>
        <w:tc>
          <w:tcPr>
            <w:tcW w:w="1131" w:type="dxa"/>
            <w:vAlign w:val="center"/>
          </w:tcPr>
          <w:p>
            <w:pPr>
              <w:pStyle w:val="164"/>
              <w:rPr>
                <w:color w:val="auto"/>
              </w:rPr>
            </w:pPr>
            <w:r>
              <w:rPr>
                <w:snapToGrid w:val="0"/>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Cl</w:t>
            </w:r>
            <w:r>
              <w:rPr>
                <w:color w:val="auto"/>
                <w:szCs w:val="21"/>
                <w:vertAlign w:val="superscript"/>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w:t>
            </w:r>
          </w:p>
        </w:tc>
        <w:tc>
          <w:tcPr>
            <w:tcW w:w="1131" w:type="dxa"/>
            <w:vAlign w:val="center"/>
          </w:tcPr>
          <w:p>
            <w:pPr>
              <w:pStyle w:val="164"/>
              <w:rPr>
                <w:color w:val="auto"/>
              </w:rPr>
            </w:pPr>
            <w:r>
              <w:rPr>
                <w:snapToGrid w:val="0"/>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684" w:type="dxa"/>
            <w:vMerge w:val="continue"/>
            <w:vAlign w:val="center"/>
          </w:tcPr>
          <w:p>
            <w:pPr>
              <w:pStyle w:val="164"/>
              <w:rPr>
                <w:color w:val="auto"/>
              </w:rPr>
            </w:pPr>
          </w:p>
        </w:tc>
        <w:tc>
          <w:tcPr>
            <w:tcW w:w="1585" w:type="dxa"/>
            <w:vAlign w:val="center"/>
          </w:tcPr>
          <w:p>
            <w:pPr>
              <w:pStyle w:val="164"/>
              <w:rPr>
                <w:color w:val="auto"/>
              </w:rPr>
            </w:pPr>
            <w:r>
              <w:rPr>
                <w:color w:val="auto"/>
                <w:szCs w:val="21"/>
              </w:rPr>
              <w:t>SO</w:t>
            </w:r>
            <w:r>
              <w:rPr>
                <w:color w:val="auto"/>
                <w:szCs w:val="21"/>
                <w:vertAlign w:val="subscript"/>
              </w:rPr>
              <w:t>4</w:t>
            </w:r>
            <w:r>
              <w:rPr>
                <w:color w:val="auto"/>
                <w:szCs w:val="21"/>
                <w:vertAlign w:val="superscript"/>
              </w:rPr>
              <w:t>2-</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882" w:type="dxa"/>
            <w:vAlign w:val="center"/>
          </w:tcPr>
          <w:p>
            <w:pPr>
              <w:pStyle w:val="164"/>
              <w:rPr>
                <w:color w:val="auto"/>
              </w:rPr>
            </w:pPr>
            <w:r>
              <w:rPr>
                <w:color w:val="auto"/>
                <w:sz w:val="22"/>
                <w:szCs w:val="22"/>
              </w:rPr>
              <w:t>/</w:t>
            </w:r>
          </w:p>
        </w:tc>
        <w:tc>
          <w:tcPr>
            <w:tcW w:w="910" w:type="dxa"/>
            <w:vAlign w:val="center"/>
          </w:tcPr>
          <w:p>
            <w:pPr>
              <w:pStyle w:val="164"/>
              <w:rPr>
                <w:color w:val="auto"/>
              </w:rPr>
            </w:pPr>
            <w:r>
              <w:rPr>
                <w:color w:val="auto"/>
                <w:szCs w:val="21"/>
              </w:rPr>
              <w:t>/</w:t>
            </w:r>
          </w:p>
        </w:tc>
        <w:tc>
          <w:tcPr>
            <w:tcW w:w="1131" w:type="dxa"/>
            <w:vAlign w:val="center"/>
          </w:tcPr>
          <w:p>
            <w:pPr>
              <w:pStyle w:val="164"/>
              <w:rPr>
                <w:color w:val="auto"/>
              </w:rPr>
            </w:pPr>
            <w:r>
              <w:rPr>
                <w:snapToGrid w:val="0"/>
                <w:color w:val="auto"/>
                <w:w w:val="90"/>
              </w:rPr>
              <w:t>/</w:t>
            </w:r>
          </w:p>
        </w:tc>
      </w:tr>
    </w:tbl>
    <w:p>
      <w:pPr>
        <w:pStyle w:val="130"/>
        <w:ind w:firstLine="480"/>
        <w:rPr>
          <w:color w:val="auto"/>
        </w:rPr>
      </w:pPr>
      <w:r>
        <w:rPr>
          <w:color w:val="auto"/>
        </w:rPr>
        <w:t>由表6.3-8，本项目各地下水监测点位中，除溶解性总固体、总硬度、硫酸盐、氯化物，其它各监测因子均满足《地下水质量标准》（GB/T14848-2017）中的Ⅲ类水质标准限值要求，溶解性总固体、总硬度、硫酸盐、氯化物超标原因主要与本地区水文地质条件有关，本底值较高。</w:t>
      </w:r>
    </w:p>
    <w:p>
      <w:pPr>
        <w:pStyle w:val="4"/>
        <w:numPr>
          <w:ilvl w:val="1"/>
          <w:numId w:val="0"/>
        </w:numPr>
        <w:spacing w:before="120"/>
        <w:rPr>
          <w:color w:val="auto"/>
        </w:rPr>
      </w:pPr>
      <w:bookmarkStart w:id="360" w:name="_Toc493853524"/>
      <w:bookmarkStart w:id="361" w:name="_Toc11595362"/>
      <w:bookmarkStart w:id="362" w:name="_Toc109398653"/>
      <w:r>
        <w:rPr>
          <w:color w:val="auto"/>
        </w:rPr>
        <w:t>6.4声环境质量现状监测与评价</w:t>
      </w:r>
      <w:bookmarkEnd w:id="360"/>
      <w:bookmarkEnd w:id="361"/>
      <w:bookmarkEnd w:id="362"/>
    </w:p>
    <w:p>
      <w:pPr>
        <w:pStyle w:val="5"/>
        <w:numPr>
          <w:ilvl w:val="2"/>
          <w:numId w:val="0"/>
        </w:numPr>
        <w:rPr>
          <w:color w:val="auto"/>
        </w:rPr>
      </w:pPr>
      <w:bookmarkStart w:id="363" w:name="_Toc299368901"/>
      <w:bookmarkEnd w:id="363"/>
      <w:bookmarkStart w:id="364" w:name="_Toc299368902"/>
      <w:bookmarkEnd w:id="364"/>
      <w:bookmarkStart w:id="365" w:name="_Toc387745641"/>
      <w:bookmarkEnd w:id="365"/>
      <w:bookmarkStart w:id="366" w:name="_Toc332203263"/>
      <w:bookmarkEnd w:id="366"/>
      <w:bookmarkStart w:id="367" w:name="_Toc11595364"/>
      <w:bookmarkStart w:id="368" w:name="_Toc109398654"/>
      <w:r>
        <w:rPr>
          <w:color w:val="auto"/>
        </w:rPr>
        <w:t>6.4.1监测点布设</w:t>
      </w:r>
      <w:bookmarkEnd w:id="367"/>
      <w:r>
        <w:rPr>
          <w:color w:val="auto"/>
        </w:rPr>
        <w:t>情况</w:t>
      </w:r>
      <w:bookmarkEnd w:id="368"/>
    </w:p>
    <w:p>
      <w:pPr>
        <w:adjustRightInd w:val="0"/>
        <w:snapToGrid w:val="0"/>
        <w:spacing w:line="360" w:lineRule="auto"/>
        <w:ind w:firstLine="480" w:firstLineChars="200"/>
        <w:rPr>
          <w:color w:val="auto"/>
          <w:sz w:val="24"/>
          <w:szCs w:val="24"/>
        </w:rPr>
      </w:pPr>
      <w:r>
        <w:rPr>
          <w:color w:val="auto"/>
          <w:sz w:val="24"/>
          <w:szCs w:val="24"/>
        </w:rPr>
        <w:t>根据周围环境特点，委托宁夏中科精科检测技术有限公司在项目四周场界外1m和声环境敏感目标阳沟村希望小学分别设置1个监测点位，共5个点位对声环境质量现状进行了监测（监测报告见附件11），监测点位图见图6.4-1。</w:t>
      </w:r>
    </w:p>
    <w:p>
      <w:pPr>
        <w:adjustRightInd w:val="0"/>
        <w:snapToGrid w:val="0"/>
        <w:spacing w:line="360" w:lineRule="auto"/>
        <w:jc w:val="center"/>
        <w:rPr>
          <w:color w:val="auto"/>
          <w:sz w:val="24"/>
          <w:szCs w:val="24"/>
        </w:rPr>
      </w:pPr>
      <w:r>
        <w:rPr>
          <w:color w:val="auto"/>
        </w:rPr>
        <w:drawing>
          <wp:inline distT="0" distB="0" distL="114300" distR="114300">
            <wp:extent cx="5394325" cy="3877945"/>
            <wp:effectExtent l="0" t="0" r="635" b="825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44"/>
                    <a:stretch>
                      <a:fillRect/>
                    </a:stretch>
                  </pic:blipFill>
                  <pic:spPr>
                    <a:xfrm>
                      <a:off x="0" y="0"/>
                      <a:ext cx="5394325" cy="3877945"/>
                    </a:xfrm>
                    <a:prstGeom prst="rect">
                      <a:avLst/>
                    </a:prstGeom>
                    <a:noFill/>
                    <a:ln>
                      <a:noFill/>
                    </a:ln>
                  </pic:spPr>
                </pic:pic>
              </a:graphicData>
            </a:graphic>
          </wp:inline>
        </w:drawing>
      </w:r>
    </w:p>
    <w:p>
      <w:pPr>
        <w:pStyle w:val="114"/>
        <w:spacing w:before="0" w:beforeLines="0" w:line="360" w:lineRule="auto"/>
        <w:rPr>
          <w:color w:val="auto"/>
        </w:rPr>
      </w:pPr>
      <w:r>
        <w:rPr>
          <w:color w:val="auto"/>
        </w:rPr>
        <w:t>图</w:t>
      </w:r>
      <w:r>
        <w:rPr>
          <w:rFonts w:hint="eastAsia"/>
          <w:color w:val="auto"/>
          <w:lang w:val="en-US" w:eastAsia="zh-CN"/>
        </w:rPr>
        <w:t>6</w:t>
      </w:r>
      <w:r>
        <w:rPr>
          <w:color w:val="auto"/>
        </w:rPr>
        <w:t>.4-1   声环境监测点位图</w:t>
      </w:r>
    </w:p>
    <w:p>
      <w:pPr>
        <w:adjustRightInd w:val="0"/>
        <w:snapToGrid w:val="0"/>
        <w:spacing w:line="360" w:lineRule="auto"/>
        <w:ind w:firstLine="480" w:firstLineChars="200"/>
        <w:rPr>
          <w:color w:val="auto"/>
          <w:sz w:val="24"/>
          <w:szCs w:val="24"/>
        </w:rPr>
      </w:pPr>
      <w:r>
        <w:rPr>
          <w:color w:val="auto"/>
          <w:sz w:val="24"/>
          <w:szCs w:val="24"/>
        </w:rPr>
        <w:fldChar w:fldCharType="begin"/>
      </w:r>
      <w:r>
        <w:rPr>
          <w:color w:val="auto"/>
          <w:sz w:val="24"/>
          <w:szCs w:val="24"/>
        </w:rPr>
        <w:instrText xml:space="preserve"> = 1 \* GB3 </w:instrText>
      </w:r>
      <w:r>
        <w:rPr>
          <w:color w:val="auto"/>
          <w:sz w:val="24"/>
          <w:szCs w:val="24"/>
        </w:rPr>
        <w:fldChar w:fldCharType="separate"/>
      </w:r>
      <w:r>
        <w:rPr>
          <w:color w:val="auto"/>
          <w:sz w:val="24"/>
          <w:szCs w:val="24"/>
        </w:rPr>
        <w:t>①</w:t>
      </w:r>
      <w:r>
        <w:rPr>
          <w:color w:val="auto"/>
          <w:sz w:val="24"/>
          <w:szCs w:val="24"/>
        </w:rPr>
        <w:fldChar w:fldCharType="end"/>
      </w:r>
      <w:r>
        <w:rPr>
          <w:color w:val="auto"/>
          <w:sz w:val="24"/>
          <w:szCs w:val="24"/>
        </w:rPr>
        <w:t>监测时间：2021年12月21日～22日。每天监测2次，昼、夜各1次，连续监测2天。</w:t>
      </w:r>
    </w:p>
    <w:p>
      <w:pPr>
        <w:adjustRightInd w:val="0"/>
        <w:snapToGrid w:val="0"/>
        <w:spacing w:line="360" w:lineRule="auto"/>
        <w:ind w:firstLine="480" w:firstLineChars="200"/>
        <w:rPr>
          <w:color w:val="auto"/>
          <w:sz w:val="24"/>
          <w:szCs w:val="24"/>
        </w:rPr>
      </w:pPr>
      <w:r>
        <w:rPr>
          <w:color w:val="auto"/>
          <w:sz w:val="24"/>
          <w:szCs w:val="24"/>
        </w:rPr>
        <w:t>②监测方法</w:t>
      </w:r>
    </w:p>
    <w:p>
      <w:pPr>
        <w:adjustRightInd w:val="0"/>
        <w:snapToGrid w:val="0"/>
        <w:spacing w:line="360" w:lineRule="auto"/>
        <w:ind w:firstLine="480" w:firstLineChars="200"/>
        <w:rPr>
          <w:color w:val="auto"/>
          <w:sz w:val="24"/>
          <w:szCs w:val="24"/>
        </w:rPr>
      </w:pPr>
      <w:r>
        <w:rPr>
          <w:color w:val="auto"/>
          <w:sz w:val="24"/>
          <w:szCs w:val="24"/>
        </w:rPr>
        <w:t>本次现状监测按照《声环境质量标准》（GB3096-2008）中规定的噪声测量方法进行监测。</w:t>
      </w:r>
    </w:p>
    <w:p>
      <w:pPr>
        <w:pStyle w:val="130"/>
        <w:ind w:firstLine="480"/>
        <w:rPr>
          <w:color w:val="auto"/>
        </w:rPr>
      </w:pPr>
      <w:r>
        <w:rPr>
          <w:color w:val="auto"/>
        </w:rPr>
        <w:t>③监测结果</w:t>
      </w:r>
    </w:p>
    <w:p>
      <w:pPr>
        <w:spacing w:line="360" w:lineRule="auto"/>
        <w:ind w:firstLine="480" w:firstLineChars="200"/>
        <w:rPr>
          <w:snapToGrid w:val="0"/>
          <w:color w:val="auto"/>
          <w:sz w:val="24"/>
          <w:szCs w:val="24"/>
        </w:rPr>
      </w:pPr>
      <w:r>
        <w:rPr>
          <w:color w:val="auto"/>
          <w:sz w:val="24"/>
          <w:szCs w:val="24"/>
        </w:rPr>
        <w:t>各监测点噪声现状监测结果见表6.4-1。</w:t>
      </w:r>
    </w:p>
    <w:p>
      <w:pPr>
        <w:pStyle w:val="114"/>
        <w:spacing w:before="0" w:beforeLines="0"/>
        <w:rPr>
          <w:color w:val="auto"/>
        </w:rPr>
      </w:pPr>
      <w:r>
        <w:rPr>
          <w:color w:val="auto"/>
        </w:rPr>
        <w:t>表6.4-1    环境噪声现状监测结果统计表   单位：dB(A)</w:t>
      </w:r>
    </w:p>
    <w:tbl>
      <w:tblPr>
        <w:tblStyle w:val="74"/>
        <w:tblW w:w="8717"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98"/>
        <w:gridCol w:w="2003"/>
        <w:gridCol w:w="1353"/>
        <w:gridCol w:w="1356"/>
        <w:gridCol w:w="1351"/>
        <w:gridCol w:w="13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5" w:hRule="atLeast"/>
          <w:jc w:val="center"/>
        </w:trPr>
        <w:tc>
          <w:tcPr>
            <w:tcW w:w="1298" w:type="dxa"/>
            <w:vMerge w:val="restart"/>
            <w:vAlign w:val="center"/>
          </w:tcPr>
          <w:p>
            <w:pPr>
              <w:pStyle w:val="164"/>
              <w:rPr>
                <w:color w:val="auto"/>
              </w:rPr>
            </w:pPr>
            <w:r>
              <w:rPr>
                <w:color w:val="auto"/>
              </w:rPr>
              <w:t>检测点位</w:t>
            </w:r>
          </w:p>
        </w:tc>
        <w:tc>
          <w:tcPr>
            <w:tcW w:w="2003" w:type="dxa"/>
            <w:vMerge w:val="restart"/>
            <w:vAlign w:val="center"/>
          </w:tcPr>
          <w:p>
            <w:pPr>
              <w:pStyle w:val="164"/>
              <w:rPr>
                <w:color w:val="auto"/>
              </w:rPr>
            </w:pPr>
            <w:r>
              <w:rPr>
                <w:color w:val="auto"/>
              </w:rPr>
              <w:t>检测点位</w:t>
            </w:r>
          </w:p>
        </w:tc>
        <w:tc>
          <w:tcPr>
            <w:tcW w:w="2709" w:type="dxa"/>
            <w:gridSpan w:val="2"/>
            <w:vAlign w:val="center"/>
          </w:tcPr>
          <w:p>
            <w:pPr>
              <w:pStyle w:val="164"/>
              <w:rPr>
                <w:color w:val="auto"/>
              </w:rPr>
            </w:pPr>
            <w:r>
              <w:rPr>
                <w:color w:val="auto"/>
              </w:rPr>
              <w:t>2021年12月21日</w:t>
            </w:r>
          </w:p>
        </w:tc>
        <w:tc>
          <w:tcPr>
            <w:tcW w:w="2707" w:type="dxa"/>
            <w:gridSpan w:val="2"/>
            <w:vAlign w:val="center"/>
          </w:tcPr>
          <w:p>
            <w:pPr>
              <w:pStyle w:val="164"/>
              <w:rPr>
                <w:color w:val="auto"/>
              </w:rPr>
            </w:pPr>
            <w:r>
              <w:rPr>
                <w:color w:val="auto"/>
              </w:rPr>
              <w:t>2021年12月22日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28" w:hRule="atLeast"/>
          <w:jc w:val="center"/>
        </w:trPr>
        <w:tc>
          <w:tcPr>
            <w:tcW w:w="1298" w:type="dxa"/>
            <w:vMerge w:val="continue"/>
            <w:vAlign w:val="center"/>
          </w:tcPr>
          <w:p>
            <w:pPr>
              <w:pStyle w:val="164"/>
              <w:rPr>
                <w:color w:val="auto"/>
              </w:rPr>
            </w:pPr>
          </w:p>
        </w:tc>
        <w:tc>
          <w:tcPr>
            <w:tcW w:w="2003" w:type="dxa"/>
            <w:vMerge w:val="continue"/>
            <w:vAlign w:val="center"/>
          </w:tcPr>
          <w:p>
            <w:pPr>
              <w:pStyle w:val="164"/>
              <w:rPr>
                <w:color w:val="auto"/>
              </w:rPr>
            </w:pPr>
          </w:p>
        </w:tc>
        <w:tc>
          <w:tcPr>
            <w:tcW w:w="1353" w:type="dxa"/>
            <w:vAlign w:val="center"/>
          </w:tcPr>
          <w:p>
            <w:pPr>
              <w:pStyle w:val="164"/>
              <w:rPr>
                <w:color w:val="auto"/>
              </w:rPr>
            </w:pPr>
            <w:r>
              <w:rPr>
                <w:color w:val="auto"/>
              </w:rPr>
              <w:t>昼间</w:t>
            </w:r>
          </w:p>
        </w:tc>
        <w:tc>
          <w:tcPr>
            <w:tcW w:w="1356" w:type="dxa"/>
            <w:vAlign w:val="center"/>
          </w:tcPr>
          <w:p>
            <w:pPr>
              <w:pStyle w:val="164"/>
              <w:rPr>
                <w:color w:val="auto"/>
              </w:rPr>
            </w:pPr>
            <w:r>
              <w:rPr>
                <w:color w:val="auto"/>
              </w:rPr>
              <w:t>夜间</w:t>
            </w:r>
          </w:p>
        </w:tc>
        <w:tc>
          <w:tcPr>
            <w:tcW w:w="1351" w:type="dxa"/>
            <w:vAlign w:val="center"/>
          </w:tcPr>
          <w:p>
            <w:pPr>
              <w:pStyle w:val="164"/>
              <w:rPr>
                <w:color w:val="auto"/>
              </w:rPr>
            </w:pPr>
            <w:r>
              <w:rPr>
                <w:color w:val="auto"/>
              </w:rPr>
              <w:t>昼间</w:t>
            </w:r>
          </w:p>
        </w:tc>
        <w:tc>
          <w:tcPr>
            <w:tcW w:w="1356" w:type="dxa"/>
            <w:vAlign w:val="center"/>
          </w:tcPr>
          <w:p>
            <w:pPr>
              <w:pStyle w:val="164"/>
              <w:rPr>
                <w:color w:val="auto"/>
              </w:rPr>
            </w:pPr>
            <w:r>
              <w:rPr>
                <w:color w:val="auto"/>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3" w:hRule="atLeast"/>
          <w:jc w:val="center"/>
        </w:trPr>
        <w:tc>
          <w:tcPr>
            <w:tcW w:w="1298" w:type="dxa"/>
            <w:vAlign w:val="center"/>
          </w:tcPr>
          <w:p>
            <w:pPr>
              <w:pStyle w:val="164"/>
              <w:rPr>
                <w:color w:val="auto"/>
              </w:rPr>
            </w:pPr>
            <w:r>
              <w:rPr>
                <w:color w:val="auto"/>
              </w:rPr>
              <w:t>1#</w:t>
            </w:r>
          </w:p>
        </w:tc>
        <w:tc>
          <w:tcPr>
            <w:tcW w:w="2003" w:type="dxa"/>
            <w:vAlign w:val="center"/>
          </w:tcPr>
          <w:p>
            <w:pPr>
              <w:pStyle w:val="164"/>
              <w:rPr>
                <w:color w:val="auto"/>
              </w:rPr>
            </w:pPr>
            <w:r>
              <w:rPr>
                <w:color w:val="auto"/>
              </w:rPr>
              <w:t>厂界北侧外1m处</w:t>
            </w:r>
          </w:p>
        </w:tc>
        <w:tc>
          <w:tcPr>
            <w:tcW w:w="1353" w:type="dxa"/>
            <w:vAlign w:val="center"/>
          </w:tcPr>
          <w:p>
            <w:pPr>
              <w:pStyle w:val="164"/>
              <w:rPr>
                <w:color w:val="auto"/>
              </w:rPr>
            </w:pPr>
            <w:r>
              <w:rPr>
                <w:color w:val="auto"/>
              </w:rPr>
              <w:t>51</w:t>
            </w:r>
          </w:p>
        </w:tc>
        <w:tc>
          <w:tcPr>
            <w:tcW w:w="1356" w:type="dxa"/>
            <w:vAlign w:val="center"/>
          </w:tcPr>
          <w:p>
            <w:pPr>
              <w:pStyle w:val="164"/>
              <w:rPr>
                <w:color w:val="auto"/>
              </w:rPr>
            </w:pPr>
            <w:r>
              <w:rPr>
                <w:color w:val="auto"/>
              </w:rPr>
              <w:t>48</w:t>
            </w:r>
          </w:p>
        </w:tc>
        <w:tc>
          <w:tcPr>
            <w:tcW w:w="1351" w:type="dxa"/>
            <w:vAlign w:val="center"/>
          </w:tcPr>
          <w:p>
            <w:pPr>
              <w:pStyle w:val="164"/>
              <w:rPr>
                <w:color w:val="auto"/>
              </w:rPr>
            </w:pPr>
            <w:r>
              <w:rPr>
                <w:color w:val="auto"/>
              </w:rPr>
              <w:t>50</w:t>
            </w:r>
          </w:p>
        </w:tc>
        <w:tc>
          <w:tcPr>
            <w:tcW w:w="1356" w:type="dxa"/>
            <w:vAlign w:val="center"/>
          </w:tcPr>
          <w:p>
            <w:pPr>
              <w:pStyle w:val="164"/>
              <w:rPr>
                <w:color w:val="auto"/>
              </w:rPr>
            </w:pPr>
            <w:r>
              <w:rPr>
                <w:color w:val="auto"/>
              </w:rPr>
              <w:t>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3" w:hRule="atLeast"/>
          <w:jc w:val="center"/>
        </w:trPr>
        <w:tc>
          <w:tcPr>
            <w:tcW w:w="1298" w:type="dxa"/>
            <w:vAlign w:val="center"/>
          </w:tcPr>
          <w:p>
            <w:pPr>
              <w:pStyle w:val="164"/>
              <w:rPr>
                <w:color w:val="auto"/>
              </w:rPr>
            </w:pPr>
            <w:r>
              <w:rPr>
                <w:color w:val="auto"/>
              </w:rPr>
              <w:t>2#</w:t>
            </w:r>
          </w:p>
        </w:tc>
        <w:tc>
          <w:tcPr>
            <w:tcW w:w="2003" w:type="dxa"/>
            <w:vAlign w:val="center"/>
          </w:tcPr>
          <w:p>
            <w:pPr>
              <w:pStyle w:val="164"/>
              <w:rPr>
                <w:color w:val="auto"/>
              </w:rPr>
            </w:pPr>
            <w:r>
              <w:rPr>
                <w:color w:val="auto"/>
              </w:rPr>
              <w:t>厂界南侧外1m处</w:t>
            </w:r>
          </w:p>
        </w:tc>
        <w:tc>
          <w:tcPr>
            <w:tcW w:w="1353" w:type="dxa"/>
            <w:vAlign w:val="center"/>
          </w:tcPr>
          <w:p>
            <w:pPr>
              <w:pStyle w:val="164"/>
              <w:rPr>
                <w:color w:val="auto"/>
              </w:rPr>
            </w:pPr>
            <w:r>
              <w:rPr>
                <w:color w:val="auto"/>
              </w:rPr>
              <w:t>54</w:t>
            </w:r>
          </w:p>
        </w:tc>
        <w:tc>
          <w:tcPr>
            <w:tcW w:w="1356" w:type="dxa"/>
            <w:vAlign w:val="center"/>
          </w:tcPr>
          <w:p>
            <w:pPr>
              <w:pStyle w:val="164"/>
              <w:rPr>
                <w:color w:val="auto"/>
              </w:rPr>
            </w:pPr>
            <w:r>
              <w:rPr>
                <w:color w:val="auto"/>
              </w:rPr>
              <w:t>49</w:t>
            </w:r>
          </w:p>
        </w:tc>
        <w:tc>
          <w:tcPr>
            <w:tcW w:w="1351" w:type="dxa"/>
            <w:vAlign w:val="center"/>
          </w:tcPr>
          <w:p>
            <w:pPr>
              <w:pStyle w:val="164"/>
              <w:rPr>
                <w:color w:val="auto"/>
              </w:rPr>
            </w:pPr>
            <w:r>
              <w:rPr>
                <w:color w:val="auto"/>
              </w:rPr>
              <w:t>53</w:t>
            </w:r>
          </w:p>
        </w:tc>
        <w:tc>
          <w:tcPr>
            <w:tcW w:w="1356" w:type="dxa"/>
            <w:vAlign w:val="center"/>
          </w:tcPr>
          <w:p>
            <w:pPr>
              <w:pStyle w:val="164"/>
              <w:rPr>
                <w:color w:val="auto"/>
              </w:rPr>
            </w:pPr>
            <w:r>
              <w:rPr>
                <w:color w:val="auto"/>
              </w:rPr>
              <w:t>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3" w:hRule="atLeast"/>
          <w:jc w:val="center"/>
        </w:trPr>
        <w:tc>
          <w:tcPr>
            <w:tcW w:w="1298" w:type="dxa"/>
            <w:vAlign w:val="center"/>
          </w:tcPr>
          <w:p>
            <w:pPr>
              <w:pStyle w:val="164"/>
              <w:rPr>
                <w:color w:val="auto"/>
              </w:rPr>
            </w:pPr>
            <w:r>
              <w:rPr>
                <w:color w:val="auto"/>
              </w:rPr>
              <w:t>3#</w:t>
            </w:r>
          </w:p>
        </w:tc>
        <w:tc>
          <w:tcPr>
            <w:tcW w:w="2003" w:type="dxa"/>
            <w:vAlign w:val="center"/>
          </w:tcPr>
          <w:p>
            <w:pPr>
              <w:pStyle w:val="164"/>
              <w:rPr>
                <w:color w:val="auto"/>
              </w:rPr>
            </w:pPr>
            <w:r>
              <w:rPr>
                <w:color w:val="auto"/>
              </w:rPr>
              <w:t>厂界东侧外1m处</w:t>
            </w:r>
          </w:p>
        </w:tc>
        <w:tc>
          <w:tcPr>
            <w:tcW w:w="1353" w:type="dxa"/>
            <w:vAlign w:val="center"/>
          </w:tcPr>
          <w:p>
            <w:pPr>
              <w:pStyle w:val="164"/>
              <w:rPr>
                <w:color w:val="auto"/>
              </w:rPr>
            </w:pPr>
            <w:r>
              <w:rPr>
                <w:color w:val="auto"/>
              </w:rPr>
              <w:t>51</w:t>
            </w:r>
          </w:p>
        </w:tc>
        <w:tc>
          <w:tcPr>
            <w:tcW w:w="1356" w:type="dxa"/>
            <w:vAlign w:val="center"/>
          </w:tcPr>
          <w:p>
            <w:pPr>
              <w:pStyle w:val="164"/>
              <w:rPr>
                <w:color w:val="auto"/>
              </w:rPr>
            </w:pPr>
            <w:r>
              <w:rPr>
                <w:color w:val="auto"/>
              </w:rPr>
              <w:t>46</w:t>
            </w:r>
          </w:p>
        </w:tc>
        <w:tc>
          <w:tcPr>
            <w:tcW w:w="1351" w:type="dxa"/>
            <w:vAlign w:val="center"/>
          </w:tcPr>
          <w:p>
            <w:pPr>
              <w:pStyle w:val="164"/>
              <w:rPr>
                <w:color w:val="auto"/>
              </w:rPr>
            </w:pPr>
            <w:r>
              <w:rPr>
                <w:color w:val="auto"/>
              </w:rPr>
              <w:t>49</w:t>
            </w:r>
          </w:p>
        </w:tc>
        <w:tc>
          <w:tcPr>
            <w:tcW w:w="1356" w:type="dxa"/>
            <w:vAlign w:val="center"/>
          </w:tcPr>
          <w:p>
            <w:pPr>
              <w:pStyle w:val="164"/>
              <w:rPr>
                <w:color w:val="auto"/>
              </w:rPr>
            </w:pPr>
            <w:r>
              <w:rPr>
                <w:color w:val="auto"/>
              </w:rPr>
              <w:t>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3" w:hRule="atLeast"/>
          <w:jc w:val="center"/>
        </w:trPr>
        <w:tc>
          <w:tcPr>
            <w:tcW w:w="1298" w:type="dxa"/>
            <w:vAlign w:val="center"/>
          </w:tcPr>
          <w:p>
            <w:pPr>
              <w:pStyle w:val="164"/>
              <w:rPr>
                <w:color w:val="auto"/>
              </w:rPr>
            </w:pPr>
            <w:r>
              <w:rPr>
                <w:color w:val="auto"/>
              </w:rPr>
              <w:t>4#</w:t>
            </w:r>
          </w:p>
        </w:tc>
        <w:tc>
          <w:tcPr>
            <w:tcW w:w="2003" w:type="dxa"/>
            <w:vAlign w:val="center"/>
          </w:tcPr>
          <w:p>
            <w:pPr>
              <w:pStyle w:val="164"/>
              <w:rPr>
                <w:color w:val="auto"/>
              </w:rPr>
            </w:pPr>
            <w:r>
              <w:rPr>
                <w:color w:val="auto"/>
              </w:rPr>
              <w:t>厂界西侧外1m处</w:t>
            </w:r>
          </w:p>
        </w:tc>
        <w:tc>
          <w:tcPr>
            <w:tcW w:w="1353" w:type="dxa"/>
            <w:vAlign w:val="center"/>
          </w:tcPr>
          <w:p>
            <w:pPr>
              <w:pStyle w:val="164"/>
              <w:rPr>
                <w:color w:val="auto"/>
              </w:rPr>
            </w:pPr>
            <w:r>
              <w:rPr>
                <w:color w:val="auto"/>
              </w:rPr>
              <w:t>52</w:t>
            </w:r>
          </w:p>
        </w:tc>
        <w:tc>
          <w:tcPr>
            <w:tcW w:w="1356" w:type="dxa"/>
            <w:vAlign w:val="center"/>
          </w:tcPr>
          <w:p>
            <w:pPr>
              <w:pStyle w:val="164"/>
              <w:rPr>
                <w:color w:val="auto"/>
              </w:rPr>
            </w:pPr>
            <w:r>
              <w:rPr>
                <w:color w:val="auto"/>
              </w:rPr>
              <w:t>44</w:t>
            </w:r>
          </w:p>
        </w:tc>
        <w:tc>
          <w:tcPr>
            <w:tcW w:w="1351" w:type="dxa"/>
            <w:vAlign w:val="center"/>
          </w:tcPr>
          <w:p>
            <w:pPr>
              <w:pStyle w:val="164"/>
              <w:rPr>
                <w:color w:val="auto"/>
              </w:rPr>
            </w:pPr>
            <w:r>
              <w:rPr>
                <w:color w:val="auto"/>
              </w:rPr>
              <w:t>52</w:t>
            </w:r>
          </w:p>
        </w:tc>
        <w:tc>
          <w:tcPr>
            <w:tcW w:w="1356" w:type="dxa"/>
            <w:vAlign w:val="center"/>
          </w:tcPr>
          <w:p>
            <w:pPr>
              <w:pStyle w:val="164"/>
              <w:rPr>
                <w:color w:val="auto"/>
              </w:rPr>
            </w:pPr>
            <w:r>
              <w:rPr>
                <w:color w:val="auto"/>
              </w:rPr>
              <w:t>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3" w:hRule="atLeast"/>
          <w:jc w:val="center"/>
        </w:trPr>
        <w:tc>
          <w:tcPr>
            <w:tcW w:w="3301" w:type="dxa"/>
            <w:gridSpan w:val="2"/>
            <w:vAlign w:val="center"/>
          </w:tcPr>
          <w:p>
            <w:pPr>
              <w:pStyle w:val="164"/>
              <w:rPr>
                <w:rFonts w:hint="eastAsia" w:eastAsia="宋体"/>
                <w:color w:val="auto"/>
                <w:lang w:eastAsia="zh-CN"/>
              </w:rPr>
            </w:pPr>
            <w:r>
              <w:rPr>
                <w:rFonts w:hint="eastAsia"/>
                <w:color w:val="auto"/>
                <w:lang w:eastAsia="zh-CN"/>
              </w:rPr>
              <w:t>标准值</w:t>
            </w:r>
          </w:p>
        </w:tc>
        <w:tc>
          <w:tcPr>
            <w:tcW w:w="1353" w:type="dxa"/>
            <w:vAlign w:val="center"/>
          </w:tcPr>
          <w:p>
            <w:pPr>
              <w:pStyle w:val="164"/>
              <w:rPr>
                <w:rFonts w:hint="default" w:eastAsia="宋体"/>
                <w:color w:val="auto"/>
                <w:lang w:val="en-US" w:eastAsia="zh-CN"/>
              </w:rPr>
            </w:pPr>
            <w:r>
              <w:rPr>
                <w:rFonts w:hint="eastAsia"/>
                <w:color w:val="auto"/>
                <w:lang w:val="en-US" w:eastAsia="zh-CN"/>
              </w:rPr>
              <w:t>60</w:t>
            </w:r>
          </w:p>
        </w:tc>
        <w:tc>
          <w:tcPr>
            <w:tcW w:w="1356" w:type="dxa"/>
            <w:vAlign w:val="center"/>
          </w:tcPr>
          <w:p>
            <w:pPr>
              <w:pStyle w:val="164"/>
              <w:rPr>
                <w:rFonts w:hint="default" w:eastAsia="宋体"/>
                <w:color w:val="auto"/>
                <w:lang w:val="en-US" w:eastAsia="zh-CN"/>
              </w:rPr>
            </w:pPr>
            <w:r>
              <w:rPr>
                <w:rFonts w:hint="eastAsia"/>
                <w:color w:val="auto"/>
                <w:lang w:val="en-US" w:eastAsia="zh-CN"/>
              </w:rPr>
              <w:t>50</w:t>
            </w:r>
          </w:p>
        </w:tc>
        <w:tc>
          <w:tcPr>
            <w:tcW w:w="1351" w:type="dxa"/>
            <w:vAlign w:val="center"/>
          </w:tcPr>
          <w:p>
            <w:pPr>
              <w:pStyle w:val="164"/>
              <w:rPr>
                <w:color w:val="auto"/>
              </w:rPr>
            </w:pPr>
            <w:r>
              <w:rPr>
                <w:rFonts w:hint="eastAsia"/>
                <w:color w:val="auto"/>
                <w:lang w:val="en-US" w:eastAsia="zh-CN"/>
              </w:rPr>
              <w:t>60</w:t>
            </w:r>
          </w:p>
        </w:tc>
        <w:tc>
          <w:tcPr>
            <w:tcW w:w="1356" w:type="dxa"/>
            <w:vAlign w:val="center"/>
          </w:tcPr>
          <w:p>
            <w:pPr>
              <w:pStyle w:val="164"/>
              <w:rPr>
                <w:color w:val="auto"/>
              </w:rPr>
            </w:pPr>
            <w:r>
              <w:rPr>
                <w:rFonts w:hint="eastAsia"/>
                <w:color w:val="auto"/>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67" w:hRule="atLeast"/>
          <w:jc w:val="center"/>
        </w:trPr>
        <w:tc>
          <w:tcPr>
            <w:tcW w:w="1298" w:type="dxa"/>
            <w:vAlign w:val="center"/>
          </w:tcPr>
          <w:p>
            <w:pPr>
              <w:pStyle w:val="164"/>
              <w:rPr>
                <w:color w:val="auto"/>
              </w:rPr>
            </w:pPr>
            <w:r>
              <w:rPr>
                <w:color w:val="auto"/>
              </w:rPr>
              <w:t>5#</w:t>
            </w:r>
          </w:p>
        </w:tc>
        <w:tc>
          <w:tcPr>
            <w:tcW w:w="2003" w:type="dxa"/>
            <w:vAlign w:val="center"/>
          </w:tcPr>
          <w:p>
            <w:pPr>
              <w:pStyle w:val="164"/>
              <w:rPr>
                <w:color w:val="auto"/>
              </w:rPr>
            </w:pPr>
            <w:r>
              <w:rPr>
                <w:bCs/>
                <w:color w:val="auto"/>
              </w:rPr>
              <w:t>永康镇阳沟村希望小学</w:t>
            </w:r>
          </w:p>
        </w:tc>
        <w:tc>
          <w:tcPr>
            <w:tcW w:w="1353" w:type="dxa"/>
            <w:vAlign w:val="center"/>
          </w:tcPr>
          <w:p>
            <w:pPr>
              <w:pStyle w:val="164"/>
              <w:rPr>
                <w:color w:val="auto"/>
              </w:rPr>
            </w:pPr>
            <w:r>
              <w:rPr>
                <w:color w:val="auto"/>
              </w:rPr>
              <w:t>48</w:t>
            </w:r>
          </w:p>
        </w:tc>
        <w:tc>
          <w:tcPr>
            <w:tcW w:w="1356" w:type="dxa"/>
            <w:vAlign w:val="center"/>
          </w:tcPr>
          <w:p>
            <w:pPr>
              <w:pStyle w:val="164"/>
              <w:rPr>
                <w:color w:val="auto"/>
              </w:rPr>
            </w:pPr>
            <w:r>
              <w:rPr>
                <w:color w:val="auto"/>
              </w:rPr>
              <w:t>41</w:t>
            </w:r>
          </w:p>
        </w:tc>
        <w:tc>
          <w:tcPr>
            <w:tcW w:w="1351" w:type="dxa"/>
            <w:vAlign w:val="center"/>
          </w:tcPr>
          <w:p>
            <w:pPr>
              <w:pStyle w:val="164"/>
              <w:rPr>
                <w:color w:val="auto"/>
              </w:rPr>
            </w:pPr>
            <w:r>
              <w:rPr>
                <w:color w:val="auto"/>
              </w:rPr>
              <w:t>47</w:t>
            </w:r>
          </w:p>
        </w:tc>
        <w:tc>
          <w:tcPr>
            <w:tcW w:w="1356" w:type="dxa"/>
            <w:vAlign w:val="center"/>
          </w:tcPr>
          <w:p>
            <w:pPr>
              <w:pStyle w:val="164"/>
              <w:rPr>
                <w:color w:val="auto"/>
              </w:rPr>
            </w:pPr>
            <w:r>
              <w:rPr>
                <w:color w:val="auto"/>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67" w:hRule="atLeast"/>
          <w:jc w:val="center"/>
        </w:trPr>
        <w:tc>
          <w:tcPr>
            <w:tcW w:w="3301" w:type="dxa"/>
            <w:gridSpan w:val="2"/>
            <w:vAlign w:val="center"/>
          </w:tcPr>
          <w:p>
            <w:pPr>
              <w:pStyle w:val="164"/>
              <w:rPr>
                <w:rFonts w:hint="eastAsia" w:eastAsia="宋体"/>
                <w:bCs/>
                <w:color w:val="auto"/>
                <w:lang w:eastAsia="zh-CN"/>
              </w:rPr>
            </w:pPr>
            <w:r>
              <w:rPr>
                <w:rFonts w:hint="eastAsia"/>
                <w:bCs/>
                <w:color w:val="auto"/>
                <w:lang w:eastAsia="zh-CN"/>
              </w:rPr>
              <w:t>标准值</w:t>
            </w:r>
          </w:p>
        </w:tc>
        <w:tc>
          <w:tcPr>
            <w:tcW w:w="1353" w:type="dxa"/>
            <w:vAlign w:val="center"/>
          </w:tcPr>
          <w:p>
            <w:pPr>
              <w:pStyle w:val="164"/>
              <w:rPr>
                <w:rFonts w:hint="default" w:eastAsia="宋体"/>
                <w:color w:val="auto"/>
                <w:lang w:val="en-US" w:eastAsia="zh-CN"/>
              </w:rPr>
            </w:pPr>
            <w:r>
              <w:rPr>
                <w:rFonts w:hint="eastAsia"/>
                <w:color w:val="auto"/>
                <w:lang w:val="en-US" w:eastAsia="zh-CN"/>
              </w:rPr>
              <w:t>55</w:t>
            </w:r>
          </w:p>
        </w:tc>
        <w:tc>
          <w:tcPr>
            <w:tcW w:w="1356" w:type="dxa"/>
            <w:vAlign w:val="center"/>
          </w:tcPr>
          <w:p>
            <w:pPr>
              <w:pStyle w:val="164"/>
              <w:rPr>
                <w:rFonts w:hint="default" w:eastAsia="宋体"/>
                <w:color w:val="auto"/>
                <w:lang w:val="en-US" w:eastAsia="zh-CN"/>
              </w:rPr>
            </w:pPr>
            <w:r>
              <w:rPr>
                <w:rFonts w:hint="eastAsia"/>
                <w:color w:val="auto"/>
                <w:lang w:val="en-US" w:eastAsia="zh-CN"/>
              </w:rPr>
              <w:t>45</w:t>
            </w:r>
          </w:p>
        </w:tc>
        <w:tc>
          <w:tcPr>
            <w:tcW w:w="1351" w:type="dxa"/>
            <w:vAlign w:val="center"/>
          </w:tcPr>
          <w:p>
            <w:pPr>
              <w:pStyle w:val="164"/>
              <w:rPr>
                <w:color w:val="auto"/>
              </w:rPr>
            </w:pPr>
            <w:r>
              <w:rPr>
                <w:rFonts w:hint="eastAsia"/>
                <w:color w:val="auto"/>
                <w:lang w:val="en-US" w:eastAsia="zh-CN"/>
              </w:rPr>
              <w:t>55</w:t>
            </w:r>
          </w:p>
        </w:tc>
        <w:tc>
          <w:tcPr>
            <w:tcW w:w="1356" w:type="dxa"/>
            <w:vAlign w:val="center"/>
          </w:tcPr>
          <w:p>
            <w:pPr>
              <w:pStyle w:val="164"/>
              <w:rPr>
                <w:color w:val="auto"/>
              </w:rPr>
            </w:pPr>
            <w:r>
              <w:rPr>
                <w:rFonts w:hint="eastAsia"/>
                <w:color w:val="auto"/>
                <w:lang w:val="en-US" w:eastAsia="zh-CN"/>
              </w:rPr>
              <w:t>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0" w:hRule="atLeast"/>
          <w:jc w:val="center"/>
        </w:trPr>
        <w:tc>
          <w:tcPr>
            <w:tcW w:w="3301" w:type="dxa"/>
            <w:gridSpan w:val="2"/>
            <w:vAlign w:val="center"/>
          </w:tcPr>
          <w:p>
            <w:pPr>
              <w:pStyle w:val="164"/>
              <w:rPr>
                <w:color w:val="auto"/>
              </w:rPr>
            </w:pPr>
            <w:r>
              <w:rPr>
                <w:color w:val="auto"/>
              </w:rPr>
              <w:t>评价</w:t>
            </w:r>
          </w:p>
        </w:tc>
        <w:tc>
          <w:tcPr>
            <w:tcW w:w="5416" w:type="dxa"/>
            <w:gridSpan w:val="4"/>
            <w:vAlign w:val="center"/>
          </w:tcPr>
          <w:p>
            <w:pPr>
              <w:pStyle w:val="164"/>
              <w:rPr>
                <w:color w:val="auto"/>
              </w:rPr>
            </w:pPr>
            <w:r>
              <w:rPr>
                <w:color w:val="auto"/>
              </w:rPr>
              <w:t>达标</w:t>
            </w:r>
          </w:p>
        </w:tc>
      </w:tr>
    </w:tbl>
    <w:p>
      <w:pPr>
        <w:pStyle w:val="5"/>
        <w:numPr>
          <w:ilvl w:val="2"/>
          <w:numId w:val="0"/>
        </w:numPr>
        <w:spacing w:before="120" w:beforeLines="50"/>
        <w:rPr>
          <w:color w:val="auto"/>
        </w:rPr>
      </w:pPr>
      <w:bookmarkStart w:id="369" w:name="_Toc109398655"/>
      <w:r>
        <w:rPr>
          <w:color w:val="auto"/>
        </w:rPr>
        <w:t>6.4.2评价结论</w:t>
      </w:r>
      <w:bookmarkEnd w:id="369"/>
    </w:p>
    <w:p>
      <w:pPr>
        <w:pStyle w:val="130"/>
        <w:ind w:firstLine="480"/>
        <w:rPr>
          <w:color w:val="auto"/>
        </w:rPr>
      </w:pPr>
      <w:r>
        <w:rPr>
          <w:color w:val="auto"/>
        </w:rPr>
        <w:t>由表6.4-1可知，本项目厂址区昼、夜间噪声值均满足《声环境质量标准》（GB3096-2008）2类标准，声环境敏感目标阳沟村希望小学满足《声环境质量标准》（GB3096-2008）1类标准要求，区域声环境质量现状较好。</w:t>
      </w:r>
    </w:p>
    <w:p>
      <w:pPr>
        <w:pStyle w:val="4"/>
        <w:numPr>
          <w:ilvl w:val="1"/>
          <w:numId w:val="0"/>
        </w:numPr>
        <w:spacing w:before="120"/>
        <w:rPr>
          <w:color w:val="auto"/>
        </w:rPr>
      </w:pPr>
      <w:bookmarkStart w:id="370" w:name="_Toc109398656"/>
      <w:bookmarkStart w:id="371" w:name="_Toc11595374"/>
      <w:r>
        <w:rPr>
          <w:color w:val="auto"/>
        </w:rPr>
        <w:t>6.5土壤现状监测与评价</w:t>
      </w:r>
      <w:bookmarkEnd w:id="370"/>
      <w:bookmarkEnd w:id="371"/>
    </w:p>
    <w:p>
      <w:pPr>
        <w:pStyle w:val="5"/>
        <w:numPr>
          <w:ilvl w:val="2"/>
          <w:numId w:val="0"/>
        </w:numPr>
        <w:ind w:left="-720" w:leftChars="-343" w:firstLine="723" w:firstLineChars="300"/>
        <w:rPr>
          <w:color w:val="auto"/>
        </w:rPr>
      </w:pPr>
      <w:bookmarkStart w:id="372" w:name="_Toc109398657"/>
      <w:bookmarkStart w:id="373" w:name="_Toc11595376"/>
      <w:r>
        <w:rPr>
          <w:color w:val="auto"/>
        </w:rPr>
        <w:t>6.5.1监测点位布设</w:t>
      </w:r>
      <w:bookmarkEnd w:id="372"/>
      <w:bookmarkEnd w:id="373"/>
    </w:p>
    <w:p>
      <w:pPr>
        <w:pStyle w:val="130"/>
        <w:ind w:firstLine="480"/>
        <w:rPr>
          <w:color w:val="auto"/>
        </w:rPr>
      </w:pPr>
      <w:r>
        <w:rPr>
          <w:color w:val="auto"/>
        </w:rPr>
        <w:t>根据《环境影响评价技术导则 土壤环境》（HJ 964-2018）</w:t>
      </w:r>
      <w:r>
        <w:rPr>
          <w:rFonts w:hint="eastAsia"/>
          <w:color w:val="auto"/>
        </w:rPr>
        <w:t>，</w:t>
      </w:r>
      <w:r>
        <w:rPr>
          <w:color w:val="auto"/>
        </w:rPr>
        <w:t>本项目占地范围内设置5个柱状采样点（柱状样在0~0.5m、0.5~1.5m、1.5~3m分别取样），2个表层样点，占地范围外设置4个表层样点。委托宁夏华鼎环保科技有限公司于2020年4月16日对1#~6#点位进行了现状监测（</w:t>
      </w:r>
      <w:r>
        <w:rPr>
          <w:rFonts w:hint="eastAsia"/>
          <w:color w:val="auto"/>
        </w:rPr>
        <w:t>监测</w:t>
      </w:r>
      <w:r>
        <w:rPr>
          <w:color w:val="auto"/>
        </w:rPr>
        <w:t>见附件9），委托宁夏盛世绿源环境检测有限责任公司于2020年8月21日对7#~11#点位进行了现状监测（监测报告见附件10），土壤监测点位布设及现状监测因子一览表见表6.5-1。</w:t>
      </w:r>
    </w:p>
    <w:p>
      <w:pPr>
        <w:pStyle w:val="114"/>
        <w:spacing w:before="0" w:beforeLines="0"/>
        <w:rPr>
          <w:color w:val="auto"/>
        </w:rPr>
      </w:pPr>
      <w:r>
        <w:rPr>
          <w:color w:val="auto"/>
        </w:rPr>
        <w:t>表6.5-1土壤监测点位布设及现状监测因子一览表</w:t>
      </w:r>
    </w:p>
    <w:tbl>
      <w:tblPr>
        <w:tblStyle w:val="74"/>
        <w:tblW w:w="876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515"/>
        <w:gridCol w:w="822"/>
        <w:gridCol w:w="1288"/>
        <w:gridCol w:w="859"/>
        <w:gridCol w:w="715"/>
        <w:gridCol w:w="2149"/>
        <w:gridCol w:w="1936"/>
        <w:gridCol w:w="4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Align w:val="center"/>
          </w:tcPr>
          <w:p>
            <w:pPr>
              <w:pStyle w:val="164"/>
              <w:rPr>
                <w:snapToGrid w:val="0"/>
                <w:color w:val="auto"/>
                <w:w w:val="90"/>
                <w:szCs w:val="21"/>
              </w:rPr>
            </w:pPr>
            <w:r>
              <w:rPr>
                <w:snapToGrid w:val="0"/>
                <w:color w:val="auto"/>
                <w:w w:val="90"/>
                <w:szCs w:val="21"/>
              </w:rPr>
              <w:t>测点</w:t>
            </w:r>
          </w:p>
          <w:p>
            <w:pPr>
              <w:pStyle w:val="164"/>
              <w:rPr>
                <w:bCs/>
                <w:snapToGrid w:val="0"/>
                <w:color w:val="auto"/>
                <w:w w:val="90"/>
                <w:szCs w:val="21"/>
              </w:rPr>
            </w:pPr>
            <w:r>
              <w:rPr>
                <w:snapToGrid w:val="0"/>
                <w:color w:val="auto"/>
                <w:w w:val="90"/>
                <w:szCs w:val="21"/>
              </w:rPr>
              <w:t>编号</w:t>
            </w:r>
          </w:p>
        </w:tc>
        <w:tc>
          <w:tcPr>
            <w:tcW w:w="822" w:type="dxa"/>
            <w:vAlign w:val="center"/>
          </w:tcPr>
          <w:p>
            <w:pPr>
              <w:pStyle w:val="164"/>
              <w:rPr>
                <w:snapToGrid w:val="0"/>
                <w:color w:val="auto"/>
                <w:w w:val="90"/>
                <w:szCs w:val="21"/>
              </w:rPr>
            </w:pPr>
            <w:r>
              <w:rPr>
                <w:snapToGrid w:val="0"/>
                <w:color w:val="auto"/>
                <w:w w:val="90"/>
                <w:szCs w:val="21"/>
              </w:rPr>
              <w:t>检测点位</w:t>
            </w:r>
          </w:p>
        </w:tc>
        <w:tc>
          <w:tcPr>
            <w:tcW w:w="1288" w:type="dxa"/>
            <w:vAlign w:val="center"/>
          </w:tcPr>
          <w:p>
            <w:pPr>
              <w:pStyle w:val="164"/>
              <w:rPr>
                <w:bCs/>
                <w:snapToGrid w:val="0"/>
                <w:color w:val="auto"/>
                <w:w w:val="90"/>
                <w:szCs w:val="21"/>
              </w:rPr>
            </w:pPr>
            <w:r>
              <w:rPr>
                <w:snapToGrid w:val="0"/>
                <w:color w:val="auto"/>
                <w:w w:val="90"/>
                <w:szCs w:val="21"/>
              </w:rPr>
              <w:t>坐标</w:t>
            </w:r>
          </w:p>
        </w:tc>
        <w:tc>
          <w:tcPr>
            <w:tcW w:w="859" w:type="dxa"/>
            <w:vAlign w:val="center"/>
          </w:tcPr>
          <w:p>
            <w:pPr>
              <w:pStyle w:val="164"/>
              <w:rPr>
                <w:bCs/>
                <w:snapToGrid w:val="0"/>
                <w:color w:val="auto"/>
                <w:w w:val="90"/>
                <w:szCs w:val="21"/>
              </w:rPr>
            </w:pPr>
            <w:r>
              <w:rPr>
                <w:snapToGrid w:val="0"/>
                <w:color w:val="auto"/>
                <w:w w:val="90"/>
                <w:szCs w:val="21"/>
              </w:rPr>
              <w:t>采样深度</w:t>
            </w:r>
          </w:p>
        </w:tc>
        <w:tc>
          <w:tcPr>
            <w:tcW w:w="715" w:type="dxa"/>
            <w:vAlign w:val="center"/>
          </w:tcPr>
          <w:p>
            <w:pPr>
              <w:pStyle w:val="164"/>
              <w:rPr>
                <w:bCs/>
                <w:snapToGrid w:val="0"/>
                <w:color w:val="auto"/>
                <w:w w:val="90"/>
                <w:szCs w:val="21"/>
              </w:rPr>
            </w:pPr>
            <w:r>
              <w:rPr>
                <w:bCs/>
                <w:snapToGrid w:val="0"/>
                <w:color w:val="auto"/>
                <w:w w:val="90"/>
                <w:szCs w:val="21"/>
              </w:rPr>
              <w:t>监测时间</w:t>
            </w:r>
          </w:p>
        </w:tc>
        <w:tc>
          <w:tcPr>
            <w:tcW w:w="2149" w:type="dxa"/>
            <w:vAlign w:val="center"/>
          </w:tcPr>
          <w:p>
            <w:pPr>
              <w:pStyle w:val="164"/>
              <w:rPr>
                <w:bCs/>
                <w:snapToGrid w:val="0"/>
                <w:color w:val="auto"/>
                <w:w w:val="90"/>
                <w:szCs w:val="21"/>
              </w:rPr>
            </w:pPr>
            <w:r>
              <w:rPr>
                <w:bCs/>
                <w:snapToGrid w:val="0"/>
                <w:color w:val="auto"/>
                <w:w w:val="90"/>
                <w:szCs w:val="21"/>
              </w:rPr>
              <w:t>检测因子</w:t>
            </w:r>
          </w:p>
        </w:tc>
        <w:tc>
          <w:tcPr>
            <w:tcW w:w="1936" w:type="dxa"/>
            <w:vAlign w:val="center"/>
          </w:tcPr>
          <w:p>
            <w:pPr>
              <w:pStyle w:val="164"/>
              <w:rPr>
                <w:bCs/>
                <w:snapToGrid w:val="0"/>
                <w:color w:val="auto"/>
                <w:w w:val="90"/>
                <w:szCs w:val="21"/>
              </w:rPr>
            </w:pPr>
            <w:r>
              <w:rPr>
                <w:bCs/>
                <w:snapToGrid w:val="0"/>
                <w:color w:val="auto"/>
                <w:w w:val="90"/>
                <w:szCs w:val="21"/>
              </w:rPr>
              <w:t>监测单位</w:t>
            </w:r>
          </w:p>
        </w:tc>
        <w:tc>
          <w:tcPr>
            <w:tcW w:w="482" w:type="dxa"/>
            <w:vAlign w:val="center"/>
          </w:tcPr>
          <w:p>
            <w:pPr>
              <w:pStyle w:val="164"/>
              <w:rPr>
                <w:bCs/>
                <w:snapToGrid w:val="0"/>
                <w:color w:val="auto"/>
                <w:w w:val="90"/>
                <w:szCs w:val="21"/>
              </w:rPr>
            </w:pPr>
            <w:r>
              <w:rPr>
                <w:bCs/>
                <w:snapToGrid w:val="0"/>
                <w:color w:val="auto"/>
                <w:w w:val="90"/>
                <w:szCs w:val="21"/>
              </w:rPr>
              <w:t>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Merge w:val="restart"/>
            <w:vAlign w:val="center"/>
          </w:tcPr>
          <w:p>
            <w:pPr>
              <w:pStyle w:val="164"/>
              <w:rPr>
                <w:snapToGrid w:val="0"/>
                <w:color w:val="auto"/>
                <w:w w:val="90"/>
                <w:szCs w:val="21"/>
              </w:rPr>
            </w:pPr>
            <w:r>
              <w:rPr>
                <w:snapToGrid w:val="0"/>
                <w:color w:val="auto"/>
                <w:w w:val="90"/>
                <w:szCs w:val="21"/>
              </w:rPr>
              <w:t>1#</w:t>
            </w:r>
          </w:p>
        </w:tc>
        <w:tc>
          <w:tcPr>
            <w:tcW w:w="822" w:type="dxa"/>
            <w:vMerge w:val="restart"/>
            <w:vAlign w:val="center"/>
          </w:tcPr>
          <w:p>
            <w:pPr>
              <w:pStyle w:val="164"/>
              <w:rPr>
                <w:snapToGrid w:val="0"/>
                <w:color w:val="auto"/>
                <w:w w:val="90"/>
                <w:szCs w:val="21"/>
              </w:rPr>
            </w:pPr>
            <w:r>
              <w:rPr>
                <w:snapToGrid w:val="0"/>
                <w:color w:val="auto"/>
                <w:w w:val="90"/>
                <w:szCs w:val="21"/>
              </w:rPr>
              <w:t>厂址中心</w:t>
            </w:r>
          </w:p>
        </w:tc>
        <w:tc>
          <w:tcPr>
            <w:tcW w:w="1288" w:type="dxa"/>
            <w:vMerge w:val="restart"/>
            <w:vAlign w:val="center"/>
          </w:tcPr>
          <w:p>
            <w:pPr>
              <w:pStyle w:val="164"/>
              <w:rPr>
                <w:snapToGrid w:val="0"/>
                <w:color w:val="auto"/>
                <w:w w:val="90"/>
                <w:szCs w:val="21"/>
              </w:rPr>
            </w:pPr>
            <w:r>
              <w:rPr>
                <w:snapToGrid w:val="0"/>
                <w:color w:val="auto"/>
                <w:w w:val="90"/>
                <w:szCs w:val="21"/>
              </w:rPr>
              <w:t>E105°15'29.32"</w:t>
            </w:r>
          </w:p>
          <w:p>
            <w:pPr>
              <w:pStyle w:val="164"/>
              <w:rPr>
                <w:snapToGrid w:val="0"/>
                <w:color w:val="auto"/>
                <w:w w:val="90"/>
                <w:szCs w:val="21"/>
              </w:rPr>
            </w:pPr>
            <w:r>
              <w:rPr>
                <w:snapToGrid w:val="0"/>
                <w:color w:val="auto"/>
                <w:w w:val="90"/>
                <w:szCs w:val="21"/>
              </w:rPr>
              <w:t>N37°26'31.13"</w:t>
            </w:r>
          </w:p>
        </w:tc>
        <w:tc>
          <w:tcPr>
            <w:tcW w:w="859" w:type="dxa"/>
            <w:vAlign w:val="center"/>
          </w:tcPr>
          <w:p>
            <w:pPr>
              <w:pStyle w:val="164"/>
              <w:rPr>
                <w:bCs/>
                <w:snapToGrid w:val="0"/>
                <w:color w:val="auto"/>
                <w:w w:val="90"/>
                <w:szCs w:val="21"/>
              </w:rPr>
            </w:pPr>
            <w:r>
              <w:rPr>
                <w:snapToGrid w:val="0"/>
                <w:color w:val="auto"/>
                <w:w w:val="90"/>
                <w:szCs w:val="21"/>
              </w:rPr>
              <w:t>0~0.5m</w:t>
            </w:r>
          </w:p>
        </w:tc>
        <w:tc>
          <w:tcPr>
            <w:tcW w:w="715" w:type="dxa"/>
            <w:vMerge w:val="restart"/>
            <w:vAlign w:val="center"/>
          </w:tcPr>
          <w:p>
            <w:pPr>
              <w:pStyle w:val="164"/>
              <w:rPr>
                <w:snapToGrid w:val="0"/>
                <w:color w:val="auto"/>
                <w:w w:val="90"/>
                <w:szCs w:val="21"/>
              </w:rPr>
            </w:pPr>
            <w:r>
              <w:rPr>
                <w:snapToGrid w:val="0"/>
                <w:color w:val="auto"/>
                <w:w w:val="90"/>
                <w:szCs w:val="21"/>
              </w:rPr>
              <w:t>2020年4月16日</w:t>
            </w:r>
          </w:p>
        </w:tc>
        <w:tc>
          <w:tcPr>
            <w:tcW w:w="2149" w:type="dxa"/>
            <w:vMerge w:val="restart"/>
            <w:vAlign w:val="center"/>
          </w:tcPr>
          <w:p>
            <w:pPr>
              <w:pStyle w:val="164"/>
              <w:rPr>
                <w:snapToGrid w:val="0"/>
                <w:color w:val="auto"/>
                <w:w w:val="90"/>
                <w:szCs w:val="21"/>
              </w:rPr>
            </w:pPr>
            <w:r>
              <w:rPr>
                <w:snapToGrid w:val="0"/>
                <w:color w:val="auto"/>
                <w:w w:val="90"/>
                <w:szCs w:val="21"/>
              </w:rPr>
              <w:t>金属及无机物：砷、镉、铬（六价）、铜、铅、汞、镍；</w:t>
            </w:r>
          </w:p>
          <w:p>
            <w:pPr>
              <w:pStyle w:val="164"/>
              <w:rPr>
                <w:snapToGrid w:val="0"/>
                <w:color w:val="auto"/>
                <w:w w:val="90"/>
                <w:szCs w:val="21"/>
              </w:rPr>
            </w:pPr>
            <w:r>
              <w:rPr>
                <w:snapToGrid w:val="0"/>
                <w:color w:val="auto"/>
                <w:w w:val="90"/>
                <w:szCs w:val="21"/>
              </w:rPr>
              <w:t>挥发性有机物：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氨氮、间二甲苯+对二甲苯、邻二甲苯；</w:t>
            </w:r>
          </w:p>
          <w:p>
            <w:pPr>
              <w:pStyle w:val="164"/>
              <w:rPr>
                <w:snapToGrid w:val="0"/>
                <w:color w:val="auto"/>
                <w:w w:val="90"/>
                <w:szCs w:val="21"/>
              </w:rPr>
            </w:pPr>
            <w:r>
              <w:rPr>
                <w:snapToGrid w:val="0"/>
                <w:color w:val="auto"/>
                <w:w w:val="90"/>
                <w:szCs w:val="21"/>
              </w:rPr>
              <w:t>半挥发性有机物：硝基苯、苯胺、2-氯酚、苯并[a]蒽、苯并[a]芘、苯并[b]荧蒽、苯并[k]荧蒽、</w:t>
            </w:r>
            <w:r>
              <w:rPr>
                <w:color w:val="auto"/>
                <w:w w:val="90"/>
                <w:szCs w:val="21"/>
                <w:shd w:val="clear" w:color="auto" w:fill="FFFFFF"/>
              </w:rPr>
              <w:t>䓛</w:t>
            </w:r>
            <w:r>
              <w:rPr>
                <w:snapToGrid w:val="0"/>
                <w:color w:val="auto"/>
                <w:w w:val="90"/>
                <w:szCs w:val="21"/>
              </w:rPr>
              <w:t>、二苯并[a,h]蒽、茚并[1,2,3-cd]芘、萘。</w:t>
            </w:r>
          </w:p>
        </w:tc>
        <w:tc>
          <w:tcPr>
            <w:tcW w:w="1936" w:type="dxa"/>
            <w:vMerge w:val="restart"/>
            <w:vAlign w:val="center"/>
          </w:tcPr>
          <w:p>
            <w:pPr>
              <w:pStyle w:val="164"/>
              <w:rPr>
                <w:snapToGrid w:val="0"/>
                <w:color w:val="auto"/>
                <w:w w:val="90"/>
                <w:szCs w:val="21"/>
              </w:rPr>
            </w:pPr>
            <w:r>
              <w:rPr>
                <w:snapToGrid w:val="0"/>
                <w:color w:val="auto"/>
                <w:w w:val="90"/>
                <w:szCs w:val="21"/>
              </w:rPr>
              <w:t>宁夏华鼎环保科技有限公司</w:t>
            </w:r>
          </w:p>
        </w:tc>
        <w:tc>
          <w:tcPr>
            <w:tcW w:w="482" w:type="dxa"/>
            <w:vMerge w:val="restart"/>
            <w:vAlign w:val="center"/>
          </w:tcPr>
          <w:p>
            <w:pPr>
              <w:pStyle w:val="164"/>
              <w:rPr>
                <w:bCs/>
                <w:snapToGrid w:val="0"/>
                <w:color w:val="auto"/>
                <w:w w:val="90"/>
                <w:szCs w:val="21"/>
              </w:rPr>
            </w:pPr>
            <w:r>
              <w:rPr>
                <w:snapToGrid w:val="0"/>
                <w:color w:val="auto"/>
                <w:w w:val="90"/>
                <w:szCs w:val="21"/>
              </w:rPr>
              <w:t>检测1次，1天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0.5~1.5m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snapToGrid w:val="0"/>
                <w:color w:val="auto"/>
                <w:w w:val="90"/>
                <w:szCs w:val="21"/>
              </w:rPr>
            </w:pPr>
          </w:p>
        </w:tc>
        <w:tc>
          <w:tcPr>
            <w:tcW w:w="482" w:type="dxa"/>
            <w:vMerge w:val="continue"/>
            <w:vAlign w:val="center"/>
          </w:tcPr>
          <w:p>
            <w:pPr>
              <w:pStyle w:val="164"/>
              <w:rPr>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1.5~3.0m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snapToGrid w:val="0"/>
                <w:color w:val="auto"/>
                <w:w w:val="90"/>
                <w:szCs w:val="21"/>
              </w:rPr>
            </w:pPr>
          </w:p>
        </w:tc>
        <w:tc>
          <w:tcPr>
            <w:tcW w:w="482" w:type="dxa"/>
            <w:vMerge w:val="continue"/>
            <w:vAlign w:val="center"/>
          </w:tcPr>
          <w:p>
            <w:pPr>
              <w:pStyle w:val="164"/>
              <w:rPr>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Merge w:val="restart"/>
            <w:vAlign w:val="center"/>
          </w:tcPr>
          <w:p>
            <w:pPr>
              <w:pStyle w:val="164"/>
              <w:rPr>
                <w:snapToGrid w:val="0"/>
                <w:color w:val="auto"/>
                <w:w w:val="90"/>
                <w:szCs w:val="21"/>
              </w:rPr>
            </w:pPr>
            <w:r>
              <w:rPr>
                <w:snapToGrid w:val="0"/>
                <w:color w:val="auto"/>
                <w:w w:val="90"/>
                <w:szCs w:val="21"/>
              </w:rPr>
              <w:t>2#</w:t>
            </w:r>
          </w:p>
        </w:tc>
        <w:tc>
          <w:tcPr>
            <w:tcW w:w="822" w:type="dxa"/>
            <w:vMerge w:val="restart"/>
            <w:vAlign w:val="center"/>
          </w:tcPr>
          <w:p>
            <w:pPr>
              <w:pStyle w:val="164"/>
              <w:rPr>
                <w:snapToGrid w:val="0"/>
                <w:color w:val="auto"/>
                <w:w w:val="90"/>
                <w:szCs w:val="21"/>
              </w:rPr>
            </w:pPr>
            <w:r>
              <w:rPr>
                <w:snapToGrid w:val="0"/>
                <w:color w:val="auto"/>
                <w:w w:val="90"/>
                <w:szCs w:val="21"/>
              </w:rPr>
              <w:t>厂址西北</w:t>
            </w:r>
          </w:p>
        </w:tc>
        <w:tc>
          <w:tcPr>
            <w:tcW w:w="1288" w:type="dxa"/>
            <w:vMerge w:val="restart"/>
            <w:vAlign w:val="center"/>
          </w:tcPr>
          <w:p>
            <w:pPr>
              <w:pStyle w:val="164"/>
              <w:rPr>
                <w:snapToGrid w:val="0"/>
                <w:color w:val="auto"/>
                <w:w w:val="90"/>
                <w:szCs w:val="21"/>
              </w:rPr>
            </w:pPr>
            <w:r>
              <w:rPr>
                <w:snapToGrid w:val="0"/>
                <w:color w:val="auto"/>
                <w:w w:val="90"/>
                <w:szCs w:val="21"/>
              </w:rPr>
              <w:t>E105°15'29.95"</w:t>
            </w:r>
          </w:p>
          <w:p>
            <w:pPr>
              <w:pStyle w:val="164"/>
              <w:rPr>
                <w:snapToGrid w:val="0"/>
                <w:color w:val="auto"/>
                <w:w w:val="90"/>
                <w:szCs w:val="21"/>
              </w:rPr>
            </w:pPr>
            <w:r>
              <w:rPr>
                <w:snapToGrid w:val="0"/>
                <w:color w:val="auto"/>
                <w:w w:val="90"/>
                <w:szCs w:val="21"/>
              </w:rPr>
              <w:t>N37°26'30.06"</w:t>
            </w:r>
          </w:p>
        </w:tc>
        <w:tc>
          <w:tcPr>
            <w:tcW w:w="859" w:type="dxa"/>
            <w:vAlign w:val="center"/>
          </w:tcPr>
          <w:p>
            <w:pPr>
              <w:pStyle w:val="164"/>
              <w:rPr>
                <w:bCs/>
                <w:snapToGrid w:val="0"/>
                <w:color w:val="auto"/>
                <w:w w:val="90"/>
                <w:szCs w:val="21"/>
              </w:rPr>
            </w:pPr>
            <w:r>
              <w:rPr>
                <w:snapToGrid w:val="0"/>
                <w:color w:val="auto"/>
                <w:w w:val="90"/>
                <w:szCs w:val="21"/>
              </w:rPr>
              <w:t>0~0.5m</w:t>
            </w:r>
          </w:p>
        </w:tc>
        <w:tc>
          <w:tcPr>
            <w:tcW w:w="715" w:type="dxa"/>
            <w:vMerge w:val="continue"/>
            <w:vAlign w:val="center"/>
          </w:tcPr>
          <w:p>
            <w:pPr>
              <w:pStyle w:val="164"/>
              <w:rPr>
                <w:bCs/>
                <w:snapToGrid w:val="0"/>
                <w:color w:val="auto"/>
                <w:w w:val="90"/>
                <w:szCs w:val="21"/>
              </w:rPr>
            </w:pPr>
          </w:p>
        </w:tc>
        <w:tc>
          <w:tcPr>
            <w:tcW w:w="2149" w:type="dxa"/>
            <w:vMerge w:val="continue"/>
            <w:vAlign w:val="center"/>
          </w:tcPr>
          <w:p>
            <w:pPr>
              <w:pStyle w:val="164"/>
              <w:rPr>
                <w:bCs/>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0.5~1.5m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snapToGrid w:val="0"/>
                <w:color w:val="auto"/>
                <w:w w:val="90"/>
                <w:szCs w:val="21"/>
              </w:rPr>
            </w:pPr>
          </w:p>
        </w:tc>
        <w:tc>
          <w:tcPr>
            <w:tcW w:w="482" w:type="dxa"/>
            <w:vMerge w:val="continue"/>
            <w:vAlign w:val="center"/>
          </w:tcPr>
          <w:p>
            <w:pPr>
              <w:pStyle w:val="164"/>
              <w:rPr>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1.5~3.0m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snapToGrid w:val="0"/>
                <w:color w:val="auto"/>
                <w:w w:val="90"/>
                <w:szCs w:val="21"/>
              </w:rPr>
            </w:pPr>
          </w:p>
        </w:tc>
        <w:tc>
          <w:tcPr>
            <w:tcW w:w="482" w:type="dxa"/>
            <w:vMerge w:val="continue"/>
            <w:vAlign w:val="center"/>
          </w:tcPr>
          <w:p>
            <w:pPr>
              <w:pStyle w:val="164"/>
              <w:rPr>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Align w:val="center"/>
          </w:tcPr>
          <w:p>
            <w:pPr>
              <w:pStyle w:val="164"/>
              <w:rPr>
                <w:snapToGrid w:val="0"/>
                <w:color w:val="auto"/>
                <w:w w:val="90"/>
                <w:szCs w:val="21"/>
              </w:rPr>
            </w:pPr>
            <w:r>
              <w:rPr>
                <w:snapToGrid w:val="0"/>
                <w:color w:val="auto"/>
                <w:w w:val="90"/>
                <w:szCs w:val="21"/>
              </w:rPr>
              <w:t>3#</w:t>
            </w:r>
          </w:p>
        </w:tc>
        <w:tc>
          <w:tcPr>
            <w:tcW w:w="822" w:type="dxa"/>
            <w:vAlign w:val="center"/>
          </w:tcPr>
          <w:p>
            <w:pPr>
              <w:pStyle w:val="164"/>
              <w:rPr>
                <w:snapToGrid w:val="0"/>
                <w:color w:val="auto"/>
                <w:w w:val="90"/>
                <w:szCs w:val="21"/>
              </w:rPr>
            </w:pPr>
            <w:r>
              <w:rPr>
                <w:snapToGrid w:val="0"/>
                <w:color w:val="auto"/>
                <w:w w:val="90"/>
                <w:szCs w:val="21"/>
              </w:rPr>
              <w:t>厂址东南</w:t>
            </w:r>
          </w:p>
        </w:tc>
        <w:tc>
          <w:tcPr>
            <w:tcW w:w="1288" w:type="dxa"/>
            <w:vAlign w:val="center"/>
          </w:tcPr>
          <w:p>
            <w:pPr>
              <w:pStyle w:val="164"/>
              <w:rPr>
                <w:snapToGrid w:val="0"/>
                <w:color w:val="auto"/>
                <w:w w:val="90"/>
                <w:szCs w:val="21"/>
              </w:rPr>
            </w:pPr>
            <w:r>
              <w:rPr>
                <w:snapToGrid w:val="0"/>
                <w:color w:val="auto"/>
                <w:w w:val="90"/>
                <w:szCs w:val="21"/>
              </w:rPr>
              <w:t>E105°15'29.95"</w:t>
            </w:r>
          </w:p>
          <w:p>
            <w:pPr>
              <w:pStyle w:val="164"/>
              <w:rPr>
                <w:snapToGrid w:val="0"/>
                <w:color w:val="auto"/>
                <w:w w:val="90"/>
                <w:szCs w:val="21"/>
              </w:rPr>
            </w:pPr>
            <w:r>
              <w:rPr>
                <w:snapToGrid w:val="0"/>
                <w:color w:val="auto"/>
                <w:w w:val="90"/>
                <w:szCs w:val="21"/>
              </w:rPr>
              <w:t>N37°26'30.06"</w:t>
            </w:r>
          </w:p>
        </w:tc>
        <w:tc>
          <w:tcPr>
            <w:tcW w:w="859" w:type="dxa"/>
            <w:vAlign w:val="center"/>
          </w:tcPr>
          <w:p>
            <w:pPr>
              <w:pStyle w:val="164"/>
              <w:rPr>
                <w:bCs/>
                <w:snapToGrid w:val="0"/>
                <w:color w:val="auto"/>
                <w:w w:val="90"/>
                <w:szCs w:val="21"/>
              </w:rPr>
            </w:pPr>
            <w:r>
              <w:rPr>
                <w:snapToGrid w:val="0"/>
                <w:color w:val="auto"/>
                <w:w w:val="90"/>
                <w:szCs w:val="21"/>
              </w:rPr>
              <w:t>0~0.2m</w:t>
            </w:r>
          </w:p>
        </w:tc>
        <w:tc>
          <w:tcPr>
            <w:tcW w:w="715" w:type="dxa"/>
            <w:vMerge w:val="continue"/>
            <w:vAlign w:val="center"/>
          </w:tcPr>
          <w:p>
            <w:pPr>
              <w:pStyle w:val="164"/>
              <w:rPr>
                <w:bCs/>
                <w:snapToGrid w:val="0"/>
                <w:color w:val="auto"/>
                <w:w w:val="90"/>
                <w:szCs w:val="21"/>
              </w:rPr>
            </w:pPr>
          </w:p>
        </w:tc>
        <w:tc>
          <w:tcPr>
            <w:tcW w:w="2149" w:type="dxa"/>
            <w:vMerge w:val="continue"/>
            <w:vAlign w:val="center"/>
          </w:tcPr>
          <w:p>
            <w:pPr>
              <w:pStyle w:val="164"/>
              <w:rPr>
                <w:bCs/>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Merge w:val="restart"/>
            <w:vAlign w:val="center"/>
          </w:tcPr>
          <w:p>
            <w:pPr>
              <w:pStyle w:val="164"/>
              <w:rPr>
                <w:snapToGrid w:val="0"/>
                <w:color w:val="auto"/>
                <w:w w:val="90"/>
                <w:szCs w:val="21"/>
              </w:rPr>
            </w:pPr>
            <w:r>
              <w:rPr>
                <w:snapToGrid w:val="0"/>
                <w:color w:val="auto"/>
                <w:w w:val="90"/>
                <w:szCs w:val="21"/>
              </w:rPr>
              <w:t>4#</w:t>
            </w:r>
          </w:p>
        </w:tc>
        <w:tc>
          <w:tcPr>
            <w:tcW w:w="822" w:type="dxa"/>
            <w:vMerge w:val="restart"/>
            <w:vAlign w:val="center"/>
          </w:tcPr>
          <w:p>
            <w:pPr>
              <w:pStyle w:val="164"/>
              <w:rPr>
                <w:snapToGrid w:val="0"/>
                <w:color w:val="auto"/>
                <w:w w:val="90"/>
                <w:szCs w:val="21"/>
              </w:rPr>
            </w:pPr>
            <w:r>
              <w:rPr>
                <w:snapToGrid w:val="0"/>
                <w:color w:val="auto"/>
                <w:w w:val="90"/>
                <w:szCs w:val="21"/>
              </w:rPr>
              <w:t>厂址西南</w:t>
            </w:r>
          </w:p>
        </w:tc>
        <w:tc>
          <w:tcPr>
            <w:tcW w:w="1288" w:type="dxa"/>
            <w:vMerge w:val="restart"/>
            <w:vAlign w:val="center"/>
          </w:tcPr>
          <w:p>
            <w:pPr>
              <w:pStyle w:val="164"/>
              <w:rPr>
                <w:snapToGrid w:val="0"/>
                <w:color w:val="auto"/>
                <w:w w:val="90"/>
                <w:szCs w:val="21"/>
              </w:rPr>
            </w:pPr>
            <w:r>
              <w:rPr>
                <w:snapToGrid w:val="0"/>
                <w:color w:val="auto"/>
                <w:w w:val="90"/>
                <w:szCs w:val="21"/>
              </w:rPr>
              <w:t>E105°15'27.60"</w:t>
            </w:r>
          </w:p>
          <w:p>
            <w:pPr>
              <w:pStyle w:val="164"/>
              <w:rPr>
                <w:snapToGrid w:val="0"/>
                <w:color w:val="auto"/>
                <w:w w:val="90"/>
                <w:szCs w:val="21"/>
              </w:rPr>
            </w:pPr>
            <w:r>
              <w:rPr>
                <w:snapToGrid w:val="0"/>
                <w:color w:val="auto"/>
                <w:w w:val="90"/>
                <w:szCs w:val="21"/>
              </w:rPr>
              <w:t>N37°26'30.58"</w:t>
            </w:r>
          </w:p>
        </w:tc>
        <w:tc>
          <w:tcPr>
            <w:tcW w:w="859" w:type="dxa"/>
            <w:vAlign w:val="center"/>
          </w:tcPr>
          <w:p>
            <w:pPr>
              <w:pStyle w:val="164"/>
              <w:rPr>
                <w:snapToGrid w:val="0"/>
                <w:color w:val="auto"/>
                <w:w w:val="90"/>
                <w:szCs w:val="21"/>
              </w:rPr>
            </w:pPr>
            <w:r>
              <w:rPr>
                <w:snapToGrid w:val="0"/>
                <w:color w:val="auto"/>
                <w:w w:val="90"/>
                <w:szCs w:val="21"/>
              </w:rPr>
              <w:t>0~0.5m</w:t>
            </w:r>
          </w:p>
        </w:tc>
        <w:tc>
          <w:tcPr>
            <w:tcW w:w="715" w:type="dxa"/>
            <w:vMerge w:val="continue"/>
            <w:vAlign w:val="center"/>
          </w:tcPr>
          <w:p>
            <w:pPr>
              <w:pStyle w:val="164"/>
              <w:rPr>
                <w:bCs/>
                <w:snapToGrid w:val="0"/>
                <w:color w:val="auto"/>
                <w:w w:val="90"/>
                <w:szCs w:val="21"/>
              </w:rPr>
            </w:pPr>
          </w:p>
        </w:tc>
        <w:tc>
          <w:tcPr>
            <w:tcW w:w="2149" w:type="dxa"/>
            <w:vMerge w:val="continue"/>
            <w:vAlign w:val="center"/>
          </w:tcPr>
          <w:p>
            <w:pPr>
              <w:pStyle w:val="164"/>
              <w:rPr>
                <w:bCs/>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0.5~1.5m</w:t>
            </w:r>
          </w:p>
        </w:tc>
        <w:tc>
          <w:tcPr>
            <w:tcW w:w="715" w:type="dxa"/>
            <w:vMerge w:val="continue"/>
            <w:vAlign w:val="center"/>
          </w:tcPr>
          <w:p>
            <w:pPr>
              <w:pStyle w:val="164"/>
              <w:rPr>
                <w:bCs/>
                <w:snapToGrid w:val="0"/>
                <w:color w:val="auto"/>
                <w:w w:val="90"/>
                <w:szCs w:val="21"/>
              </w:rPr>
            </w:pPr>
          </w:p>
        </w:tc>
        <w:tc>
          <w:tcPr>
            <w:tcW w:w="2149" w:type="dxa"/>
            <w:vMerge w:val="continue"/>
            <w:vAlign w:val="center"/>
          </w:tcPr>
          <w:p>
            <w:pPr>
              <w:pStyle w:val="164"/>
              <w:rPr>
                <w:bCs/>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1.5~3.0m</w:t>
            </w:r>
          </w:p>
        </w:tc>
        <w:tc>
          <w:tcPr>
            <w:tcW w:w="715" w:type="dxa"/>
            <w:vMerge w:val="continue"/>
            <w:vAlign w:val="center"/>
          </w:tcPr>
          <w:p>
            <w:pPr>
              <w:pStyle w:val="164"/>
              <w:rPr>
                <w:bCs/>
                <w:snapToGrid w:val="0"/>
                <w:color w:val="auto"/>
                <w:w w:val="90"/>
                <w:szCs w:val="21"/>
              </w:rPr>
            </w:pPr>
          </w:p>
        </w:tc>
        <w:tc>
          <w:tcPr>
            <w:tcW w:w="2149" w:type="dxa"/>
            <w:vMerge w:val="continue"/>
            <w:vAlign w:val="center"/>
          </w:tcPr>
          <w:p>
            <w:pPr>
              <w:pStyle w:val="164"/>
              <w:rPr>
                <w:bCs/>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575" w:hRule="atLeast"/>
          <w:jc w:val="center"/>
        </w:trPr>
        <w:tc>
          <w:tcPr>
            <w:tcW w:w="515" w:type="dxa"/>
            <w:vAlign w:val="center"/>
          </w:tcPr>
          <w:p>
            <w:pPr>
              <w:pStyle w:val="164"/>
              <w:rPr>
                <w:snapToGrid w:val="0"/>
                <w:color w:val="auto"/>
                <w:w w:val="90"/>
                <w:szCs w:val="21"/>
              </w:rPr>
            </w:pPr>
            <w:r>
              <w:rPr>
                <w:snapToGrid w:val="0"/>
                <w:color w:val="auto"/>
                <w:w w:val="90"/>
                <w:szCs w:val="21"/>
              </w:rPr>
              <w:t>5#</w:t>
            </w:r>
          </w:p>
        </w:tc>
        <w:tc>
          <w:tcPr>
            <w:tcW w:w="822" w:type="dxa"/>
            <w:vAlign w:val="center"/>
          </w:tcPr>
          <w:p>
            <w:pPr>
              <w:pStyle w:val="164"/>
              <w:rPr>
                <w:snapToGrid w:val="0"/>
                <w:color w:val="auto"/>
                <w:w w:val="90"/>
                <w:szCs w:val="21"/>
              </w:rPr>
            </w:pPr>
            <w:r>
              <w:rPr>
                <w:snapToGrid w:val="0"/>
                <w:color w:val="auto"/>
                <w:w w:val="90"/>
                <w:szCs w:val="21"/>
              </w:rPr>
              <w:t>阳沟村二队</w:t>
            </w:r>
          </w:p>
        </w:tc>
        <w:tc>
          <w:tcPr>
            <w:tcW w:w="1288" w:type="dxa"/>
            <w:vAlign w:val="center"/>
          </w:tcPr>
          <w:p>
            <w:pPr>
              <w:pStyle w:val="164"/>
              <w:rPr>
                <w:snapToGrid w:val="0"/>
                <w:color w:val="auto"/>
                <w:w w:val="90"/>
                <w:szCs w:val="21"/>
              </w:rPr>
            </w:pPr>
            <w:r>
              <w:rPr>
                <w:snapToGrid w:val="0"/>
                <w:color w:val="auto"/>
                <w:w w:val="90"/>
                <w:szCs w:val="21"/>
              </w:rPr>
              <w:t>E105°15'19.36"</w:t>
            </w:r>
          </w:p>
          <w:p>
            <w:pPr>
              <w:pStyle w:val="164"/>
              <w:rPr>
                <w:snapToGrid w:val="0"/>
                <w:color w:val="auto"/>
                <w:w w:val="90"/>
                <w:szCs w:val="21"/>
              </w:rPr>
            </w:pPr>
            <w:r>
              <w:rPr>
                <w:snapToGrid w:val="0"/>
                <w:color w:val="auto"/>
                <w:w w:val="90"/>
                <w:szCs w:val="21"/>
              </w:rPr>
              <w:t>N37°26'30.58"</w:t>
            </w:r>
          </w:p>
        </w:tc>
        <w:tc>
          <w:tcPr>
            <w:tcW w:w="859" w:type="dxa"/>
            <w:vAlign w:val="center"/>
          </w:tcPr>
          <w:p>
            <w:pPr>
              <w:pStyle w:val="164"/>
              <w:rPr>
                <w:snapToGrid w:val="0"/>
                <w:color w:val="auto"/>
                <w:w w:val="90"/>
                <w:szCs w:val="21"/>
              </w:rPr>
            </w:pPr>
            <w:r>
              <w:rPr>
                <w:snapToGrid w:val="0"/>
                <w:color w:val="auto"/>
                <w:w w:val="90"/>
                <w:szCs w:val="21"/>
              </w:rPr>
              <w:t>0~0.2m</w:t>
            </w:r>
          </w:p>
        </w:tc>
        <w:tc>
          <w:tcPr>
            <w:tcW w:w="715" w:type="dxa"/>
            <w:vMerge w:val="continue"/>
            <w:vAlign w:val="center"/>
          </w:tcPr>
          <w:p>
            <w:pPr>
              <w:pStyle w:val="164"/>
              <w:rPr>
                <w:bCs/>
                <w:snapToGrid w:val="0"/>
                <w:color w:val="auto"/>
                <w:w w:val="90"/>
                <w:szCs w:val="21"/>
              </w:rPr>
            </w:pPr>
          </w:p>
        </w:tc>
        <w:tc>
          <w:tcPr>
            <w:tcW w:w="2149" w:type="dxa"/>
            <w:vMerge w:val="continue"/>
            <w:vAlign w:val="center"/>
          </w:tcPr>
          <w:p>
            <w:pPr>
              <w:pStyle w:val="164"/>
              <w:rPr>
                <w:bCs/>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Align w:val="center"/>
          </w:tcPr>
          <w:p>
            <w:pPr>
              <w:pStyle w:val="164"/>
              <w:rPr>
                <w:snapToGrid w:val="0"/>
                <w:color w:val="auto"/>
                <w:w w:val="90"/>
                <w:szCs w:val="21"/>
              </w:rPr>
            </w:pPr>
            <w:r>
              <w:rPr>
                <w:snapToGrid w:val="0"/>
                <w:color w:val="auto"/>
                <w:w w:val="90"/>
                <w:szCs w:val="21"/>
              </w:rPr>
              <w:t>6#</w:t>
            </w:r>
          </w:p>
        </w:tc>
        <w:tc>
          <w:tcPr>
            <w:tcW w:w="822" w:type="dxa"/>
            <w:vAlign w:val="center"/>
          </w:tcPr>
          <w:p>
            <w:pPr>
              <w:pStyle w:val="164"/>
              <w:rPr>
                <w:snapToGrid w:val="0"/>
                <w:color w:val="auto"/>
                <w:w w:val="90"/>
                <w:szCs w:val="21"/>
              </w:rPr>
            </w:pPr>
            <w:r>
              <w:rPr>
                <w:snapToGrid w:val="0"/>
                <w:color w:val="auto"/>
                <w:w w:val="90"/>
                <w:szCs w:val="21"/>
              </w:rPr>
              <w:t>项目周边农田</w:t>
            </w:r>
          </w:p>
        </w:tc>
        <w:tc>
          <w:tcPr>
            <w:tcW w:w="1288" w:type="dxa"/>
            <w:vAlign w:val="center"/>
          </w:tcPr>
          <w:p>
            <w:pPr>
              <w:pStyle w:val="164"/>
              <w:rPr>
                <w:snapToGrid w:val="0"/>
                <w:color w:val="auto"/>
                <w:w w:val="90"/>
                <w:szCs w:val="21"/>
              </w:rPr>
            </w:pPr>
            <w:r>
              <w:rPr>
                <w:snapToGrid w:val="0"/>
                <w:color w:val="auto"/>
                <w:w w:val="90"/>
                <w:szCs w:val="21"/>
              </w:rPr>
              <w:t>E105°15'21.14"</w:t>
            </w:r>
          </w:p>
          <w:p>
            <w:pPr>
              <w:pStyle w:val="164"/>
              <w:rPr>
                <w:snapToGrid w:val="0"/>
                <w:color w:val="auto"/>
                <w:w w:val="90"/>
                <w:szCs w:val="21"/>
              </w:rPr>
            </w:pPr>
            <w:r>
              <w:rPr>
                <w:snapToGrid w:val="0"/>
                <w:color w:val="auto"/>
                <w:w w:val="90"/>
                <w:szCs w:val="21"/>
              </w:rPr>
              <w:t>N37°26'32.22"</w:t>
            </w:r>
          </w:p>
        </w:tc>
        <w:tc>
          <w:tcPr>
            <w:tcW w:w="859" w:type="dxa"/>
            <w:vAlign w:val="center"/>
          </w:tcPr>
          <w:p>
            <w:pPr>
              <w:pStyle w:val="164"/>
              <w:rPr>
                <w:snapToGrid w:val="0"/>
                <w:color w:val="auto"/>
                <w:w w:val="90"/>
                <w:szCs w:val="21"/>
              </w:rPr>
            </w:pPr>
            <w:r>
              <w:rPr>
                <w:snapToGrid w:val="0"/>
                <w:color w:val="auto"/>
                <w:w w:val="90"/>
                <w:szCs w:val="21"/>
              </w:rPr>
              <w:t>0~0.2m</w:t>
            </w:r>
          </w:p>
        </w:tc>
        <w:tc>
          <w:tcPr>
            <w:tcW w:w="715" w:type="dxa"/>
            <w:vMerge w:val="continue"/>
            <w:vAlign w:val="center"/>
          </w:tcPr>
          <w:p>
            <w:pPr>
              <w:pStyle w:val="164"/>
              <w:rPr>
                <w:snapToGrid w:val="0"/>
                <w:color w:val="auto"/>
                <w:w w:val="90"/>
                <w:szCs w:val="21"/>
              </w:rPr>
            </w:pPr>
          </w:p>
        </w:tc>
        <w:tc>
          <w:tcPr>
            <w:tcW w:w="2149" w:type="dxa"/>
            <w:vAlign w:val="center"/>
          </w:tcPr>
          <w:p>
            <w:pPr>
              <w:pStyle w:val="164"/>
              <w:rPr>
                <w:bCs/>
                <w:snapToGrid w:val="0"/>
                <w:color w:val="auto"/>
                <w:w w:val="90"/>
                <w:szCs w:val="21"/>
              </w:rPr>
            </w:pPr>
            <w:r>
              <w:rPr>
                <w:snapToGrid w:val="0"/>
                <w:color w:val="auto"/>
                <w:w w:val="90"/>
                <w:szCs w:val="21"/>
              </w:rPr>
              <w:t>砷、镉、铬、锌、铜、铅、汞、镍。</w:t>
            </w: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Merge w:val="restart"/>
            <w:vAlign w:val="center"/>
          </w:tcPr>
          <w:p>
            <w:pPr>
              <w:pStyle w:val="164"/>
              <w:rPr>
                <w:snapToGrid w:val="0"/>
                <w:color w:val="auto"/>
                <w:w w:val="90"/>
                <w:szCs w:val="21"/>
              </w:rPr>
            </w:pPr>
            <w:r>
              <w:rPr>
                <w:snapToGrid w:val="0"/>
                <w:color w:val="auto"/>
                <w:w w:val="90"/>
                <w:szCs w:val="21"/>
              </w:rPr>
              <w:t>7#</w:t>
            </w:r>
          </w:p>
        </w:tc>
        <w:tc>
          <w:tcPr>
            <w:tcW w:w="822" w:type="dxa"/>
            <w:vMerge w:val="restart"/>
            <w:vAlign w:val="center"/>
          </w:tcPr>
          <w:p>
            <w:pPr>
              <w:pStyle w:val="164"/>
              <w:rPr>
                <w:snapToGrid w:val="0"/>
                <w:color w:val="auto"/>
                <w:w w:val="90"/>
                <w:szCs w:val="21"/>
              </w:rPr>
            </w:pPr>
            <w:r>
              <w:rPr>
                <w:snapToGrid w:val="0"/>
                <w:color w:val="auto"/>
                <w:w w:val="90"/>
                <w:szCs w:val="21"/>
              </w:rPr>
              <w:t>厂址东北距外墙 3m 处</w:t>
            </w:r>
          </w:p>
        </w:tc>
        <w:tc>
          <w:tcPr>
            <w:tcW w:w="1288" w:type="dxa"/>
            <w:vMerge w:val="restart"/>
            <w:vAlign w:val="center"/>
          </w:tcPr>
          <w:p>
            <w:pPr>
              <w:pStyle w:val="164"/>
              <w:rPr>
                <w:snapToGrid w:val="0"/>
                <w:color w:val="auto"/>
                <w:w w:val="90"/>
                <w:szCs w:val="21"/>
              </w:rPr>
            </w:pPr>
            <w:r>
              <w:rPr>
                <w:snapToGrid w:val="0"/>
                <w:color w:val="auto"/>
                <w:w w:val="90"/>
                <w:szCs w:val="21"/>
              </w:rPr>
              <w:t>E105°15'30"</w:t>
            </w:r>
          </w:p>
          <w:p>
            <w:pPr>
              <w:pStyle w:val="164"/>
              <w:rPr>
                <w:snapToGrid w:val="0"/>
                <w:color w:val="auto"/>
                <w:w w:val="90"/>
                <w:szCs w:val="21"/>
              </w:rPr>
            </w:pPr>
            <w:r>
              <w:rPr>
                <w:snapToGrid w:val="0"/>
                <w:color w:val="auto"/>
                <w:w w:val="90"/>
                <w:szCs w:val="21"/>
              </w:rPr>
              <w:t>N37°26'31"</w:t>
            </w:r>
          </w:p>
        </w:tc>
        <w:tc>
          <w:tcPr>
            <w:tcW w:w="859" w:type="dxa"/>
            <w:vAlign w:val="center"/>
          </w:tcPr>
          <w:p>
            <w:pPr>
              <w:pStyle w:val="164"/>
              <w:rPr>
                <w:snapToGrid w:val="0"/>
                <w:color w:val="auto"/>
                <w:w w:val="90"/>
                <w:szCs w:val="21"/>
              </w:rPr>
            </w:pPr>
            <w:r>
              <w:rPr>
                <w:snapToGrid w:val="0"/>
                <w:color w:val="auto"/>
                <w:w w:val="90"/>
                <w:szCs w:val="21"/>
              </w:rPr>
              <w:t>0~0.5m</w:t>
            </w:r>
          </w:p>
        </w:tc>
        <w:tc>
          <w:tcPr>
            <w:tcW w:w="715" w:type="dxa"/>
            <w:vMerge w:val="restart"/>
            <w:vAlign w:val="center"/>
          </w:tcPr>
          <w:p>
            <w:pPr>
              <w:pStyle w:val="164"/>
              <w:rPr>
                <w:snapToGrid w:val="0"/>
                <w:color w:val="auto"/>
                <w:w w:val="90"/>
                <w:szCs w:val="21"/>
              </w:rPr>
            </w:pPr>
            <w:r>
              <w:rPr>
                <w:snapToGrid w:val="0"/>
                <w:color w:val="auto"/>
                <w:w w:val="90"/>
                <w:szCs w:val="21"/>
              </w:rPr>
              <w:t>2020年8月21日</w:t>
            </w:r>
          </w:p>
        </w:tc>
        <w:tc>
          <w:tcPr>
            <w:tcW w:w="2149" w:type="dxa"/>
            <w:vMerge w:val="restart"/>
            <w:vAlign w:val="center"/>
          </w:tcPr>
          <w:p>
            <w:pPr>
              <w:pStyle w:val="164"/>
              <w:rPr>
                <w:snapToGrid w:val="0"/>
                <w:color w:val="auto"/>
                <w:w w:val="90"/>
                <w:szCs w:val="21"/>
              </w:rPr>
            </w:pPr>
            <w:r>
              <w:rPr>
                <w:snapToGrid w:val="0"/>
                <w:color w:val="auto"/>
                <w:w w:val="90"/>
                <w:szCs w:val="21"/>
              </w:rPr>
              <w:t>汞、砷、镍、镉、六价铬、铅、铜</w:t>
            </w:r>
          </w:p>
          <w:p>
            <w:pPr>
              <w:pStyle w:val="164"/>
              <w:rPr>
                <w:snapToGrid w:val="0"/>
                <w:color w:val="auto"/>
                <w:w w:val="90"/>
                <w:szCs w:val="21"/>
              </w:rPr>
            </w:pPr>
            <w:r>
              <w:rPr>
                <w:snapToGrid w:val="0"/>
                <w:color w:val="auto"/>
                <w:w w:val="90"/>
                <w:szCs w:val="21"/>
              </w:rPr>
              <w:t>理化性质：pH、阳离子交换量、氧化还原电位、饱和导水率、土壤容重、孔隙度。</w:t>
            </w:r>
          </w:p>
        </w:tc>
        <w:tc>
          <w:tcPr>
            <w:tcW w:w="1936" w:type="dxa"/>
            <w:vMerge w:val="restart"/>
            <w:vAlign w:val="center"/>
          </w:tcPr>
          <w:p>
            <w:pPr>
              <w:pStyle w:val="164"/>
              <w:rPr>
                <w:bCs/>
                <w:snapToGrid w:val="0"/>
                <w:color w:val="auto"/>
                <w:w w:val="90"/>
                <w:szCs w:val="21"/>
              </w:rPr>
            </w:pPr>
            <w:r>
              <w:rPr>
                <w:snapToGrid w:val="0"/>
                <w:color w:val="auto"/>
                <w:w w:val="90"/>
                <w:szCs w:val="21"/>
              </w:rPr>
              <w:t>宁夏盛世绿源环境检测有限责任公司</w:t>
            </w: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0.5~1.5m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1.5~3.0m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Merge w:val="restart"/>
            <w:vAlign w:val="center"/>
          </w:tcPr>
          <w:p>
            <w:pPr>
              <w:pStyle w:val="164"/>
              <w:rPr>
                <w:snapToGrid w:val="0"/>
                <w:color w:val="auto"/>
                <w:w w:val="90"/>
                <w:szCs w:val="21"/>
              </w:rPr>
            </w:pPr>
            <w:r>
              <w:rPr>
                <w:snapToGrid w:val="0"/>
                <w:color w:val="auto"/>
                <w:w w:val="90"/>
                <w:szCs w:val="21"/>
              </w:rPr>
              <w:t>8#</w:t>
            </w:r>
          </w:p>
        </w:tc>
        <w:tc>
          <w:tcPr>
            <w:tcW w:w="822" w:type="dxa"/>
            <w:vMerge w:val="restart"/>
            <w:vAlign w:val="center"/>
          </w:tcPr>
          <w:p>
            <w:pPr>
              <w:pStyle w:val="164"/>
              <w:rPr>
                <w:snapToGrid w:val="0"/>
                <w:color w:val="auto"/>
                <w:w w:val="90"/>
                <w:szCs w:val="21"/>
              </w:rPr>
            </w:pPr>
            <w:r>
              <w:rPr>
                <w:snapToGrid w:val="0"/>
                <w:color w:val="auto"/>
                <w:w w:val="90"/>
                <w:szCs w:val="21"/>
              </w:rPr>
              <w:t>厂址东距外墙</w:t>
            </w:r>
          </w:p>
          <w:p>
            <w:pPr>
              <w:pStyle w:val="164"/>
              <w:rPr>
                <w:snapToGrid w:val="0"/>
                <w:color w:val="auto"/>
                <w:w w:val="90"/>
                <w:szCs w:val="21"/>
              </w:rPr>
            </w:pPr>
            <w:r>
              <w:rPr>
                <w:snapToGrid w:val="0"/>
                <w:color w:val="auto"/>
                <w:w w:val="90"/>
                <w:szCs w:val="21"/>
              </w:rPr>
              <w:t>3m处</w:t>
            </w:r>
          </w:p>
        </w:tc>
        <w:tc>
          <w:tcPr>
            <w:tcW w:w="1288" w:type="dxa"/>
            <w:vMerge w:val="restart"/>
            <w:vAlign w:val="center"/>
          </w:tcPr>
          <w:p>
            <w:pPr>
              <w:pStyle w:val="164"/>
              <w:rPr>
                <w:snapToGrid w:val="0"/>
                <w:color w:val="auto"/>
                <w:w w:val="90"/>
                <w:szCs w:val="21"/>
              </w:rPr>
            </w:pPr>
            <w:r>
              <w:rPr>
                <w:snapToGrid w:val="0"/>
                <w:color w:val="auto"/>
                <w:w w:val="90"/>
                <w:szCs w:val="21"/>
              </w:rPr>
              <w:t>E105°15'29"</w:t>
            </w:r>
          </w:p>
          <w:p>
            <w:pPr>
              <w:pStyle w:val="164"/>
              <w:rPr>
                <w:snapToGrid w:val="0"/>
                <w:color w:val="auto"/>
                <w:w w:val="90"/>
                <w:szCs w:val="21"/>
              </w:rPr>
            </w:pPr>
            <w:r>
              <w:rPr>
                <w:snapToGrid w:val="0"/>
                <w:color w:val="auto"/>
                <w:w w:val="90"/>
                <w:szCs w:val="21"/>
              </w:rPr>
              <w:t>N37°26'31"</w:t>
            </w:r>
          </w:p>
        </w:tc>
        <w:tc>
          <w:tcPr>
            <w:tcW w:w="859" w:type="dxa"/>
            <w:vAlign w:val="center"/>
          </w:tcPr>
          <w:p>
            <w:pPr>
              <w:pStyle w:val="164"/>
              <w:rPr>
                <w:snapToGrid w:val="0"/>
                <w:color w:val="auto"/>
                <w:w w:val="90"/>
                <w:szCs w:val="21"/>
              </w:rPr>
            </w:pPr>
            <w:r>
              <w:rPr>
                <w:snapToGrid w:val="0"/>
                <w:color w:val="auto"/>
                <w:w w:val="90"/>
                <w:szCs w:val="21"/>
              </w:rPr>
              <w:t>0~0.5m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0.5~1.5m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Merge w:val="continue"/>
            <w:vAlign w:val="center"/>
          </w:tcPr>
          <w:p>
            <w:pPr>
              <w:pStyle w:val="164"/>
              <w:rPr>
                <w:snapToGrid w:val="0"/>
                <w:color w:val="auto"/>
                <w:w w:val="90"/>
                <w:szCs w:val="21"/>
              </w:rPr>
            </w:pPr>
          </w:p>
        </w:tc>
        <w:tc>
          <w:tcPr>
            <w:tcW w:w="822" w:type="dxa"/>
            <w:vMerge w:val="continue"/>
            <w:vAlign w:val="center"/>
          </w:tcPr>
          <w:p>
            <w:pPr>
              <w:pStyle w:val="164"/>
              <w:rPr>
                <w:snapToGrid w:val="0"/>
                <w:color w:val="auto"/>
                <w:w w:val="90"/>
                <w:szCs w:val="21"/>
              </w:rPr>
            </w:pPr>
          </w:p>
        </w:tc>
        <w:tc>
          <w:tcPr>
            <w:tcW w:w="1288" w:type="dxa"/>
            <w:vMerge w:val="continue"/>
            <w:vAlign w:val="center"/>
          </w:tcPr>
          <w:p>
            <w:pPr>
              <w:pStyle w:val="164"/>
              <w:rPr>
                <w:snapToGrid w:val="0"/>
                <w:color w:val="auto"/>
                <w:w w:val="90"/>
                <w:szCs w:val="21"/>
              </w:rPr>
            </w:pPr>
          </w:p>
        </w:tc>
        <w:tc>
          <w:tcPr>
            <w:tcW w:w="859" w:type="dxa"/>
            <w:vAlign w:val="center"/>
          </w:tcPr>
          <w:p>
            <w:pPr>
              <w:pStyle w:val="164"/>
              <w:rPr>
                <w:snapToGrid w:val="0"/>
                <w:color w:val="auto"/>
                <w:w w:val="90"/>
                <w:szCs w:val="21"/>
              </w:rPr>
            </w:pPr>
            <w:r>
              <w:rPr>
                <w:snapToGrid w:val="0"/>
                <w:color w:val="auto"/>
                <w:w w:val="90"/>
                <w:szCs w:val="21"/>
              </w:rPr>
              <w:t>1.5~3.0m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Align w:val="center"/>
          </w:tcPr>
          <w:p>
            <w:pPr>
              <w:pStyle w:val="164"/>
              <w:rPr>
                <w:snapToGrid w:val="0"/>
                <w:color w:val="auto"/>
                <w:w w:val="90"/>
                <w:szCs w:val="21"/>
              </w:rPr>
            </w:pPr>
            <w:r>
              <w:rPr>
                <w:snapToGrid w:val="0"/>
                <w:color w:val="auto"/>
                <w:w w:val="90"/>
                <w:szCs w:val="21"/>
              </w:rPr>
              <w:t>9#</w:t>
            </w:r>
          </w:p>
        </w:tc>
        <w:tc>
          <w:tcPr>
            <w:tcW w:w="822" w:type="dxa"/>
            <w:vAlign w:val="center"/>
          </w:tcPr>
          <w:p>
            <w:pPr>
              <w:pStyle w:val="164"/>
              <w:rPr>
                <w:snapToGrid w:val="0"/>
                <w:color w:val="auto"/>
                <w:w w:val="90"/>
                <w:szCs w:val="21"/>
              </w:rPr>
            </w:pPr>
            <w:r>
              <w:rPr>
                <w:snapToGrid w:val="0"/>
                <w:color w:val="auto"/>
                <w:w w:val="90"/>
                <w:szCs w:val="21"/>
              </w:rPr>
              <w:t>厂址西侧墙外</w:t>
            </w:r>
          </w:p>
          <w:p>
            <w:pPr>
              <w:pStyle w:val="164"/>
              <w:rPr>
                <w:snapToGrid w:val="0"/>
                <w:color w:val="auto"/>
                <w:w w:val="90"/>
                <w:szCs w:val="21"/>
              </w:rPr>
            </w:pPr>
            <w:r>
              <w:rPr>
                <w:snapToGrid w:val="0"/>
                <w:color w:val="auto"/>
                <w:w w:val="90"/>
                <w:szCs w:val="21"/>
              </w:rPr>
              <w:t>10m处</w:t>
            </w:r>
          </w:p>
        </w:tc>
        <w:tc>
          <w:tcPr>
            <w:tcW w:w="1288" w:type="dxa"/>
            <w:vAlign w:val="center"/>
          </w:tcPr>
          <w:p>
            <w:pPr>
              <w:pStyle w:val="164"/>
              <w:rPr>
                <w:snapToGrid w:val="0"/>
                <w:color w:val="auto"/>
                <w:w w:val="90"/>
                <w:szCs w:val="21"/>
              </w:rPr>
            </w:pPr>
            <w:r>
              <w:rPr>
                <w:snapToGrid w:val="0"/>
                <w:color w:val="auto"/>
                <w:w w:val="90"/>
                <w:szCs w:val="21"/>
              </w:rPr>
              <w:t>E105°15'26"</w:t>
            </w:r>
          </w:p>
          <w:p>
            <w:pPr>
              <w:pStyle w:val="164"/>
              <w:rPr>
                <w:snapToGrid w:val="0"/>
                <w:color w:val="auto"/>
                <w:w w:val="90"/>
                <w:szCs w:val="21"/>
              </w:rPr>
            </w:pPr>
            <w:r>
              <w:rPr>
                <w:snapToGrid w:val="0"/>
                <w:color w:val="auto"/>
                <w:w w:val="90"/>
                <w:szCs w:val="21"/>
              </w:rPr>
              <w:t>N37°26'32"</w:t>
            </w:r>
          </w:p>
        </w:tc>
        <w:tc>
          <w:tcPr>
            <w:tcW w:w="859" w:type="dxa"/>
            <w:vAlign w:val="center"/>
          </w:tcPr>
          <w:p>
            <w:pPr>
              <w:pStyle w:val="164"/>
              <w:rPr>
                <w:snapToGrid w:val="0"/>
                <w:color w:val="auto"/>
                <w:w w:val="90"/>
                <w:szCs w:val="21"/>
              </w:rPr>
            </w:pPr>
            <w:r>
              <w:rPr>
                <w:snapToGrid w:val="0"/>
                <w:color w:val="auto"/>
                <w:w w:val="90"/>
                <w:szCs w:val="21"/>
              </w:rPr>
              <w:t>0~0.2m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Align w:val="center"/>
          </w:tcPr>
          <w:p>
            <w:pPr>
              <w:pStyle w:val="164"/>
              <w:rPr>
                <w:snapToGrid w:val="0"/>
                <w:color w:val="auto"/>
                <w:w w:val="90"/>
                <w:szCs w:val="21"/>
              </w:rPr>
            </w:pPr>
            <w:r>
              <w:rPr>
                <w:snapToGrid w:val="0"/>
                <w:color w:val="auto"/>
                <w:w w:val="90"/>
                <w:szCs w:val="21"/>
              </w:rPr>
              <w:t>10#</w:t>
            </w:r>
          </w:p>
        </w:tc>
        <w:tc>
          <w:tcPr>
            <w:tcW w:w="822" w:type="dxa"/>
            <w:vAlign w:val="center"/>
          </w:tcPr>
          <w:p>
            <w:pPr>
              <w:pStyle w:val="164"/>
              <w:rPr>
                <w:snapToGrid w:val="0"/>
                <w:color w:val="auto"/>
                <w:w w:val="90"/>
                <w:szCs w:val="21"/>
              </w:rPr>
            </w:pPr>
            <w:r>
              <w:rPr>
                <w:snapToGrid w:val="0"/>
                <w:color w:val="auto"/>
                <w:w w:val="90"/>
                <w:szCs w:val="21"/>
              </w:rPr>
              <w:t>厂址外东侧距墙外 10m处</w:t>
            </w:r>
          </w:p>
        </w:tc>
        <w:tc>
          <w:tcPr>
            <w:tcW w:w="1288" w:type="dxa"/>
            <w:vAlign w:val="center"/>
          </w:tcPr>
          <w:p>
            <w:pPr>
              <w:pStyle w:val="164"/>
              <w:rPr>
                <w:snapToGrid w:val="0"/>
                <w:color w:val="auto"/>
                <w:w w:val="90"/>
                <w:szCs w:val="21"/>
              </w:rPr>
            </w:pPr>
            <w:r>
              <w:rPr>
                <w:snapToGrid w:val="0"/>
                <w:color w:val="auto"/>
                <w:w w:val="90"/>
                <w:szCs w:val="21"/>
              </w:rPr>
              <w:t>E105°15'25"</w:t>
            </w:r>
          </w:p>
          <w:p>
            <w:pPr>
              <w:pStyle w:val="164"/>
              <w:rPr>
                <w:snapToGrid w:val="0"/>
                <w:color w:val="auto"/>
                <w:w w:val="90"/>
                <w:szCs w:val="21"/>
              </w:rPr>
            </w:pPr>
            <w:r>
              <w:rPr>
                <w:snapToGrid w:val="0"/>
                <w:color w:val="auto"/>
                <w:w w:val="90"/>
                <w:szCs w:val="21"/>
              </w:rPr>
              <w:t>N37°26'31"</w:t>
            </w:r>
          </w:p>
        </w:tc>
        <w:tc>
          <w:tcPr>
            <w:tcW w:w="859" w:type="dxa"/>
            <w:vAlign w:val="center"/>
          </w:tcPr>
          <w:p>
            <w:pPr>
              <w:pStyle w:val="164"/>
              <w:rPr>
                <w:snapToGrid w:val="0"/>
                <w:color w:val="auto"/>
                <w:w w:val="90"/>
                <w:szCs w:val="21"/>
              </w:rPr>
            </w:pPr>
            <w:r>
              <w:rPr>
                <w:snapToGrid w:val="0"/>
                <w:color w:val="auto"/>
                <w:w w:val="90"/>
                <w:szCs w:val="21"/>
              </w:rPr>
              <w:t>0~0.2m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283" w:hRule="atLeast"/>
          <w:jc w:val="center"/>
        </w:trPr>
        <w:tc>
          <w:tcPr>
            <w:tcW w:w="515" w:type="dxa"/>
            <w:vAlign w:val="center"/>
          </w:tcPr>
          <w:p>
            <w:pPr>
              <w:pStyle w:val="164"/>
              <w:rPr>
                <w:snapToGrid w:val="0"/>
                <w:color w:val="auto"/>
                <w:w w:val="90"/>
                <w:szCs w:val="21"/>
              </w:rPr>
            </w:pPr>
            <w:r>
              <w:rPr>
                <w:snapToGrid w:val="0"/>
                <w:color w:val="auto"/>
                <w:w w:val="90"/>
                <w:szCs w:val="21"/>
              </w:rPr>
              <w:t>11#</w:t>
            </w:r>
          </w:p>
        </w:tc>
        <w:tc>
          <w:tcPr>
            <w:tcW w:w="822" w:type="dxa"/>
            <w:vAlign w:val="center"/>
          </w:tcPr>
          <w:p>
            <w:pPr>
              <w:pStyle w:val="164"/>
              <w:rPr>
                <w:snapToGrid w:val="0"/>
                <w:color w:val="auto"/>
                <w:w w:val="90"/>
                <w:szCs w:val="21"/>
              </w:rPr>
            </w:pPr>
            <w:r>
              <w:rPr>
                <w:snapToGrid w:val="0"/>
                <w:color w:val="auto"/>
                <w:w w:val="90"/>
                <w:szCs w:val="21"/>
              </w:rPr>
              <w:t>厂址西南侧墙外 8m处</w:t>
            </w:r>
          </w:p>
        </w:tc>
        <w:tc>
          <w:tcPr>
            <w:tcW w:w="1288" w:type="dxa"/>
            <w:vAlign w:val="center"/>
          </w:tcPr>
          <w:p>
            <w:pPr>
              <w:pStyle w:val="164"/>
              <w:rPr>
                <w:snapToGrid w:val="0"/>
                <w:color w:val="auto"/>
                <w:w w:val="90"/>
                <w:szCs w:val="21"/>
              </w:rPr>
            </w:pPr>
            <w:r>
              <w:rPr>
                <w:snapToGrid w:val="0"/>
                <w:color w:val="auto"/>
                <w:w w:val="90"/>
                <w:szCs w:val="21"/>
              </w:rPr>
              <w:t>E105°15'31"</w:t>
            </w:r>
          </w:p>
          <w:p>
            <w:pPr>
              <w:pStyle w:val="164"/>
              <w:rPr>
                <w:snapToGrid w:val="0"/>
                <w:color w:val="auto"/>
                <w:w w:val="90"/>
                <w:szCs w:val="21"/>
              </w:rPr>
            </w:pPr>
            <w:r>
              <w:rPr>
                <w:snapToGrid w:val="0"/>
                <w:color w:val="auto"/>
                <w:w w:val="90"/>
                <w:szCs w:val="21"/>
              </w:rPr>
              <w:t>N 37°26'29"</w:t>
            </w:r>
          </w:p>
        </w:tc>
        <w:tc>
          <w:tcPr>
            <w:tcW w:w="859" w:type="dxa"/>
            <w:vAlign w:val="center"/>
          </w:tcPr>
          <w:p>
            <w:pPr>
              <w:pStyle w:val="164"/>
              <w:rPr>
                <w:snapToGrid w:val="0"/>
                <w:color w:val="auto"/>
                <w:w w:val="90"/>
                <w:szCs w:val="21"/>
              </w:rPr>
            </w:pPr>
            <w:r>
              <w:rPr>
                <w:snapToGrid w:val="0"/>
                <w:color w:val="auto"/>
                <w:w w:val="90"/>
                <w:szCs w:val="21"/>
              </w:rPr>
              <w:t>0~0.2m</w:t>
            </w:r>
          </w:p>
        </w:tc>
        <w:tc>
          <w:tcPr>
            <w:tcW w:w="715" w:type="dxa"/>
            <w:vMerge w:val="continue"/>
            <w:vAlign w:val="center"/>
          </w:tcPr>
          <w:p>
            <w:pPr>
              <w:pStyle w:val="164"/>
              <w:rPr>
                <w:snapToGrid w:val="0"/>
                <w:color w:val="auto"/>
                <w:w w:val="90"/>
                <w:szCs w:val="21"/>
              </w:rPr>
            </w:pPr>
          </w:p>
        </w:tc>
        <w:tc>
          <w:tcPr>
            <w:tcW w:w="2149" w:type="dxa"/>
            <w:vMerge w:val="continue"/>
            <w:vAlign w:val="center"/>
          </w:tcPr>
          <w:p>
            <w:pPr>
              <w:pStyle w:val="164"/>
              <w:rPr>
                <w:snapToGrid w:val="0"/>
                <w:color w:val="auto"/>
                <w:w w:val="90"/>
                <w:szCs w:val="21"/>
              </w:rPr>
            </w:pPr>
          </w:p>
        </w:tc>
        <w:tc>
          <w:tcPr>
            <w:tcW w:w="1936" w:type="dxa"/>
            <w:vMerge w:val="continue"/>
            <w:vAlign w:val="center"/>
          </w:tcPr>
          <w:p>
            <w:pPr>
              <w:pStyle w:val="164"/>
              <w:rPr>
                <w:bCs/>
                <w:snapToGrid w:val="0"/>
                <w:color w:val="auto"/>
                <w:w w:val="90"/>
                <w:szCs w:val="21"/>
              </w:rPr>
            </w:pPr>
          </w:p>
        </w:tc>
        <w:tc>
          <w:tcPr>
            <w:tcW w:w="482" w:type="dxa"/>
            <w:vMerge w:val="continue"/>
            <w:vAlign w:val="center"/>
          </w:tcPr>
          <w:p>
            <w:pPr>
              <w:pStyle w:val="164"/>
              <w:rPr>
                <w:bCs/>
                <w:snapToGrid w:val="0"/>
                <w:color w:val="auto"/>
                <w:w w:val="90"/>
                <w:szCs w:val="21"/>
              </w:rPr>
            </w:pPr>
          </w:p>
        </w:tc>
      </w:tr>
    </w:tbl>
    <w:p>
      <w:pPr>
        <w:pStyle w:val="5"/>
        <w:numPr>
          <w:ilvl w:val="2"/>
          <w:numId w:val="0"/>
        </w:numPr>
        <w:spacing w:before="120" w:beforeLines="50"/>
        <w:ind w:left="-720" w:leftChars="-343" w:firstLine="723" w:firstLineChars="300"/>
        <w:rPr>
          <w:color w:val="auto"/>
        </w:rPr>
      </w:pPr>
      <w:bookmarkStart w:id="374" w:name="_Toc11595378"/>
      <w:bookmarkStart w:id="375" w:name="_Toc109398658"/>
      <w:r>
        <w:rPr>
          <w:color w:val="auto"/>
        </w:rPr>
        <w:t>6.5.2监测分析方法</w:t>
      </w:r>
      <w:bookmarkEnd w:id="374"/>
      <w:bookmarkEnd w:id="375"/>
    </w:p>
    <w:p>
      <w:pPr>
        <w:pStyle w:val="130"/>
        <w:ind w:firstLine="480"/>
        <w:rPr>
          <w:color w:val="auto"/>
        </w:rPr>
      </w:pPr>
      <w:r>
        <w:rPr>
          <w:color w:val="auto"/>
        </w:rPr>
        <w:t>土壤现状监测分析方法详见下表。</w:t>
      </w:r>
    </w:p>
    <w:p>
      <w:pPr>
        <w:pStyle w:val="114"/>
        <w:spacing w:before="0" w:beforeLines="0"/>
        <w:rPr>
          <w:color w:val="auto"/>
        </w:rPr>
      </w:pPr>
      <w:r>
        <w:rPr>
          <w:color w:val="auto"/>
        </w:rPr>
        <w:t>表6.5-2  土壤现状监测分析方法</w:t>
      </w:r>
    </w:p>
    <w:tbl>
      <w:tblPr>
        <w:tblStyle w:val="74"/>
        <w:tblW w:w="8923"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1501"/>
        <w:gridCol w:w="4540"/>
        <w:gridCol w:w="1299"/>
        <w:gridCol w:w="864"/>
        <w:gridCol w:w="7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trHeight w:val="341" w:hRule="atLeast"/>
          <w:tblHeader/>
          <w:jc w:val="center"/>
        </w:trPr>
        <w:tc>
          <w:tcPr>
            <w:tcW w:w="1501" w:type="dxa"/>
            <w:vAlign w:val="center"/>
          </w:tcPr>
          <w:p>
            <w:pPr>
              <w:pStyle w:val="164"/>
              <w:rPr>
                <w:color w:val="auto"/>
                <w:w w:val="90"/>
              </w:rPr>
            </w:pPr>
            <w:r>
              <w:rPr>
                <w:color w:val="auto"/>
                <w:w w:val="90"/>
              </w:rPr>
              <w:t>项目</w:t>
            </w:r>
          </w:p>
        </w:tc>
        <w:tc>
          <w:tcPr>
            <w:tcW w:w="4540" w:type="dxa"/>
            <w:vAlign w:val="center"/>
          </w:tcPr>
          <w:p>
            <w:pPr>
              <w:pStyle w:val="164"/>
              <w:rPr>
                <w:color w:val="auto"/>
                <w:w w:val="90"/>
              </w:rPr>
            </w:pPr>
            <w:r>
              <w:rPr>
                <w:color w:val="auto"/>
                <w:w w:val="90"/>
              </w:rPr>
              <w:t>方法名称</w:t>
            </w:r>
          </w:p>
        </w:tc>
        <w:tc>
          <w:tcPr>
            <w:tcW w:w="1299" w:type="dxa"/>
            <w:vAlign w:val="center"/>
          </w:tcPr>
          <w:p>
            <w:pPr>
              <w:pStyle w:val="164"/>
              <w:rPr>
                <w:color w:val="auto"/>
                <w:w w:val="90"/>
              </w:rPr>
            </w:pPr>
            <w:r>
              <w:rPr>
                <w:color w:val="auto"/>
                <w:w w:val="90"/>
              </w:rPr>
              <w:t>方法依据</w:t>
            </w:r>
          </w:p>
        </w:tc>
        <w:tc>
          <w:tcPr>
            <w:tcW w:w="864" w:type="dxa"/>
            <w:vAlign w:val="center"/>
          </w:tcPr>
          <w:p>
            <w:pPr>
              <w:pStyle w:val="164"/>
              <w:rPr>
                <w:color w:val="auto"/>
                <w:w w:val="90"/>
              </w:rPr>
            </w:pPr>
            <w:r>
              <w:rPr>
                <w:color w:val="auto"/>
                <w:w w:val="90"/>
              </w:rPr>
              <w:t>单位</w:t>
            </w:r>
          </w:p>
        </w:tc>
        <w:tc>
          <w:tcPr>
            <w:tcW w:w="719" w:type="dxa"/>
            <w:vAlign w:val="center"/>
          </w:tcPr>
          <w:p>
            <w:pPr>
              <w:pStyle w:val="164"/>
              <w:rPr>
                <w:color w:val="auto"/>
                <w:w w:val="90"/>
              </w:rPr>
            </w:pPr>
            <w:r>
              <w:rPr>
                <w:color w:val="auto"/>
                <w:w w:val="90"/>
              </w:rPr>
              <w:t>检出限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8923" w:type="dxa"/>
            <w:gridSpan w:val="5"/>
            <w:vAlign w:val="center"/>
          </w:tcPr>
          <w:p>
            <w:pPr>
              <w:pStyle w:val="164"/>
              <w:rPr>
                <w:color w:val="auto"/>
                <w:w w:val="90"/>
              </w:rPr>
            </w:pPr>
            <w:r>
              <w:rPr>
                <w:bCs/>
                <w:color w:val="auto"/>
                <w:w w:val="90"/>
              </w:rPr>
              <w:t>金属和无机物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砷</w:t>
            </w:r>
          </w:p>
        </w:tc>
        <w:tc>
          <w:tcPr>
            <w:tcW w:w="4540" w:type="dxa"/>
            <w:vAlign w:val="center"/>
          </w:tcPr>
          <w:p>
            <w:pPr>
              <w:pStyle w:val="164"/>
              <w:rPr>
                <w:color w:val="auto"/>
                <w:w w:val="90"/>
              </w:rPr>
            </w:pPr>
            <w:r>
              <w:rPr>
                <w:color w:val="auto"/>
                <w:w w:val="90"/>
              </w:rPr>
              <w:t>《土壤质量 总汞、总砷、总铅的测定 原子荧光法 第2部分：土壤总砷的测定》</w:t>
            </w:r>
          </w:p>
        </w:tc>
        <w:tc>
          <w:tcPr>
            <w:tcW w:w="1299" w:type="dxa"/>
            <w:vAlign w:val="center"/>
          </w:tcPr>
          <w:p>
            <w:pPr>
              <w:pStyle w:val="164"/>
              <w:rPr>
                <w:color w:val="auto"/>
                <w:w w:val="90"/>
              </w:rPr>
            </w:pPr>
            <w:r>
              <w:rPr>
                <w:color w:val="auto"/>
                <w:w w:val="90"/>
              </w:rPr>
              <w:t>GB/T 22105.2-2008</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镉</w:t>
            </w:r>
          </w:p>
        </w:tc>
        <w:tc>
          <w:tcPr>
            <w:tcW w:w="4540" w:type="dxa"/>
            <w:vAlign w:val="center"/>
          </w:tcPr>
          <w:p>
            <w:pPr>
              <w:pStyle w:val="164"/>
              <w:rPr>
                <w:color w:val="auto"/>
                <w:w w:val="90"/>
              </w:rPr>
            </w:pPr>
            <w:r>
              <w:rPr>
                <w:color w:val="auto"/>
                <w:w w:val="90"/>
              </w:rPr>
              <w:t>《土壤质量 铅、镉的测定 石墨炉原子吸收分光光度法》</w:t>
            </w:r>
          </w:p>
        </w:tc>
        <w:tc>
          <w:tcPr>
            <w:tcW w:w="1299" w:type="dxa"/>
            <w:vAlign w:val="center"/>
          </w:tcPr>
          <w:p>
            <w:pPr>
              <w:pStyle w:val="164"/>
              <w:rPr>
                <w:color w:val="auto"/>
                <w:w w:val="90"/>
              </w:rPr>
            </w:pPr>
            <w:r>
              <w:rPr>
                <w:color w:val="auto"/>
                <w:w w:val="90"/>
              </w:rPr>
              <w:t>GB/T 17141-1997</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铬（六价）</w:t>
            </w:r>
          </w:p>
        </w:tc>
        <w:tc>
          <w:tcPr>
            <w:tcW w:w="4540" w:type="dxa"/>
            <w:vAlign w:val="center"/>
          </w:tcPr>
          <w:p>
            <w:pPr>
              <w:pStyle w:val="164"/>
              <w:rPr>
                <w:color w:val="auto"/>
                <w:w w:val="90"/>
              </w:rPr>
            </w:pPr>
            <w:r>
              <w:rPr>
                <w:color w:val="auto"/>
                <w:w w:val="90"/>
              </w:rPr>
              <w:t>《固体废物 铬（六价）的测定 碱消解火焰原子分光光度法》</w:t>
            </w:r>
          </w:p>
        </w:tc>
        <w:tc>
          <w:tcPr>
            <w:tcW w:w="1299" w:type="dxa"/>
            <w:vAlign w:val="center"/>
          </w:tcPr>
          <w:p>
            <w:pPr>
              <w:pStyle w:val="164"/>
              <w:rPr>
                <w:color w:val="auto"/>
                <w:w w:val="90"/>
              </w:rPr>
            </w:pPr>
            <w:r>
              <w:rPr>
                <w:color w:val="auto"/>
                <w:w w:val="90"/>
              </w:rPr>
              <w:t>HJ 687-2014</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铜</w:t>
            </w:r>
          </w:p>
        </w:tc>
        <w:tc>
          <w:tcPr>
            <w:tcW w:w="4540" w:type="dxa"/>
            <w:vAlign w:val="center"/>
          </w:tcPr>
          <w:p>
            <w:pPr>
              <w:pStyle w:val="164"/>
              <w:rPr>
                <w:color w:val="auto"/>
                <w:w w:val="90"/>
              </w:rPr>
            </w:pPr>
            <w:r>
              <w:rPr>
                <w:color w:val="auto"/>
                <w:w w:val="90"/>
              </w:rPr>
              <w:t>《土壤和沉积物 铜、锌、铅、镍、铬的测定 火焰原子吸收分光光度法》</w:t>
            </w:r>
          </w:p>
        </w:tc>
        <w:tc>
          <w:tcPr>
            <w:tcW w:w="1299" w:type="dxa"/>
            <w:vAlign w:val="center"/>
          </w:tcPr>
          <w:p>
            <w:pPr>
              <w:pStyle w:val="164"/>
              <w:rPr>
                <w:color w:val="auto"/>
                <w:w w:val="90"/>
              </w:rPr>
            </w:pPr>
            <w:r>
              <w:rPr>
                <w:color w:val="auto"/>
                <w:w w:val="90"/>
              </w:rPr>
              <w:t>HJ491-2019</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铅</w:t>
            </w:r>
          </w:p>
        </w:tc>
        <w:tc>
          <w:tcPr>
            <w:tcW w:w="4540" w:type="dxa"/>
            <w:vAlign w:val="center"/>
          </w:tcPr>
          <w:p>
            <w:pPr>
              <w:pStyle w:val="164"/>
              <w:rPr>
                <w:color w:val="auto"/>
                <w:w w:val="90"/>
              </w:rPr>
            </w:pPr>
            <w:r>
              <w:rPr>
                <w:color w:val="auto"/>
                <w:w w:val="90"/>
              </w:rPr>
              <w:t>《土壤和沉积物 铜、锌、铅、镍、铬的测定 火焰原子吸收分光光度法》</w:t>
            </w:r>
          </w:p>
        </w:tc>
        <w:tc>
          <w:tcPr>
            <w:tcW w:w="1299" w:type="dxa"/>
            <w:vAlign w:val="center"/>
          </w:tcPr>
          <w:p>
            <w:pPr>
              <w:pStyle w:val="164"/>
              <w:rPr>
                <w:color w:val="auto"/>
                <w:w w:val="90"/>
              </w:rPr>
            </w:pPr>
            <w:r>
              <w:rPr>
                <w:color w:val="auto"/>
                <w:w w:val="90"/>
              </w:rPr>
              <w:t>HJ 491-2019</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汞</w:t>
            </w:r>
          </w:p>
        </w:tc>
        <w:tc>
          <w:tcPr>
            <w:tcW w:w="4540" w:type="dxa"/>
            <w:vAlign w:val="center"/>
          </w:tcPr>
          <w:p>
            <w:pPr>
              <w:pStyle w:val="164"/>
              <w:rPr>
                <w:color w:val="auto"/>
                <w:w w:val="90"/>
              </w:rPr>
            </w:pPr>
            <w:r>
              <w:rPr>
                <w:color w:val="auto"/>
                <w:w w:val="90"/>
              </w:rPr>
              <w:t>《土壤质量 总汞、总砷、总铅的测定 原子荧光法 第1部分：土壤总汞的测定》</w:t>
            </w:r>
          </w:p>
        </w:tc>
        <w:tc>
          <w:tcPr>
            <w:tcW w:w="1299" w:type="dxa"/>
            <w:vAlign w:val="center"/>
          </w:tcPr>
          <w:p>
            <w:pPr>
              <w:pStyle w:val="164"/>
              <w:rPr>
                <w:color w:val="auto"/>
                <w:w w:val="90"/>
              </w:rPr>
            </w:pPr>
            <w:r>
              <w:rPr>
                <w:color w:val="auto"/>
                <w:w w:val="90"/>
              </w:rPr>
              <w:t>GB/T 22105.1-2008</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snapToGrid w:val="0"/>
                <w:color w:val="auto"/>
                <w:w w:val="90"/>
                <w:kern w:val="0"/>
              </w:rPr>
            </w:pPr>
            <w:r>
              <w:rPr>
                <w:snapToGrid w:val="0"/>
                <w:color w:val="auto"/>
                <w:w w:val="90"/>
                <w:kern w:val="0"/>
              </w:rPr>
              <w:t>镍</w:t>
            </w:r>
          </w:p>
        </w:tc>
        <w:tc>
          <w:tcPr>
            <w:tcW w:w="4540" w:type="dxa"/>
            <w:vAlign w:val="center"/>
          </w:tcPr>
          <w:p>
            <w:pPr>
              <w:pStyle w:val="164"/>
              <w:rPr>
                <w:snapToGrid w:val="0"/>
                <w:color w:val="auto"/>
                <w:w w:val="90"/>
              </w:rPr>
            </w:pPr>
            <w:r>
              <w:rPr>
                <w:snapToGrid w:val="0"/>
                <w:color w:val="auto"/>
                <w:w w:val="90"/>
              </w:rPr>
              <w:t>《土壤和沉积物 铜、锌、铅、镍、铬的测定 火焰原子吸收分光光度法》</w:t>
            </w:r>
          </w:p>
        </w:tc>
        <w:tc>
          <w:tcPr>
            <w:tcW w:w="1299" w:type="dxa"/>
            <w:vAlign w:val="center"/>
          </w:tcPr>
          <w:p>
            <w:pPr>
              <w:pStyle w:val="164"/>
              <w:rPr>
                <w:snapToGrid w:val="0"/>
                <w:color w:val="auto"/>
                <w:w w:val="90"/>
                <w:kern w:val="0"/>
              </w:rPr>
            </w:pPr>
            <w:r>
              <w:rPr>
                <w:snapToGrid w:val="0"/>
                <w:color w:val="auto"/>
                <w:w w:val="90"/>
                <w:kern w:val="0"/>
              </w:rPr>
              <w:t>HJ 491-2019</w:t>
            </w:r>
          </w:p>
        </w:tc>
        <w:tc>
          <w:tcPr>
            <w:tcW w:w="864" w:type="dxa"/>
            <w:vAlign w:val="center"/>
          </w:tcPr>
          <w:p>
            <w:pPr>
              <w:pStyle w:val="164"/>
              <w:rPr>
                <w:snapToGrid w:val="0"/>
                <w:color w:val="auto"/>
                <w:w w:val="90"/>
                <w:kern w:val="0"/>
              </w:rPr>
            </w:pPr>
            <w:r>
              <w:rPr>
                <w:snapToGrid w:val="0"/>
                <w:color w:val="auto"/>
                <w:w w:val="90"/>
                <w:kern w:val="0"/>
              </w:rPr>
              <w:t>mg/kg</w:t>
            </w:r>
          </w:p>
        </w:tc>
        <w:tc>
          <w:tcPr>
            <w:tcW w:w="719" w:type="dxa"/>
            <w:vAlign w:val="center"/>
          </w:tcPr>
          <w:p>
            <w:pPr>
              <w:pStyle w:val="164"/>
              <w:rPr>
                <w:snapToGrid w:val="0"/>
                <w:color w:val="auto"/>
                <w:w w:val="90"/>
                <w:kern w:val="0"/>
              </w:rPr>
            </w:pPr>
            <w:r>
              <w:rPr>
                <w:snapToGrid w:val="0"/>
                <w:color w:val="auto"/>
                <w:w w:val="90"/>
                <w:kern w:val="0"/>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snapToGrid w:val="0"/>
                <w:color w:val="auto"/>
                <w:w w:val="90"/>
                <w:kern w:val="0"/>
              </w:rPr>
            </w:pPr>
            <w:r>
              <w:rPr>
                <w:snapToGrid w:val="0"/>
                <w:color w:val="auto"/>
                <w:w w:val="90"/>
                <w:kern w:val="0"/>
              </w:rPr>
              <w:t>锌</w:t>
            </w:r>
          </w:p>
        </w:tc>
        <w:tc>
          <w:tcPr>
            <w:tcW w:w="4540" w:type="dxa"/>
            <w:vAlign w:val="center"/>
          </w:tcPr>
          <w:p>
            <w:pPr>
              <w:pStyle w:val="164"/>
              <w:rPr>
                <w:color w:val="auto"/>
                <w:szCs w:val="21"/>
              </w:rPr>
            </w:pPr>
            <w:r>
              <w:rPr>
                <w:snapToGrid w:val="0"/>
                <w:color w:val="auto"/>
                <w:w w:val="90"/>
                <w:kern w:val="0"/>
              </w:rPr>
              <w:t>《土壤和沉积物 铜、锌、铅、镍、铬的测定 火焰原子吸收分光光度法》</w:t>
            </w:r>
          </w:p>
        </w:tc>
        <w:tc>
          <w:tcPr>
            <w:tcW w:w="1299" w:type="dxa"/>
            <w:vAlign w:val="center"/>
          </w:tcPr>
          <w:p>
            <w:pPr>
              <w:pStyle w:val="164"/>
              <w:rPr>
                <w:color w:val="auto"/>
                <w:szCs w:val="21"/>
              </w:rPr>
            </w:pPr>
            <w:r>
              <w:rPr>
                <w:color w:val="auto"/>
                <w:w w:val="90"/>
              </w:rPr>
              <w:t>HJ 491-2019</w:t>
            </w:r>
          </w:p>
        </w:tc>
        <w:tc>
          <w:tcPr>
            <w:tcW w:w="864" w:type="dxa"/>
            <w:vAlign w:val="center"/>
          </w:tcPr>
          <w:p>
            <w:pPr>
              <w:pStyle w:val="164"/>
              <w:rPr>
                <w:snapToGrid w:val="0"/>
                <w:color w:val="auto"/>
                <w:w w:val="90"/>
                <w:kern w:val="0"/>
              </w:rPr>
            </w:pPr>
            <w:r>
              <w:rPr>
                <w:snapToGrid w:val="0"/>
                <w:color w:val="auto"/>
                <w:w w:val="90"/>
                <w:kern w:val="0"/>
              </w:rPr>
              <w:t>mg/kg</w:t>
            </w:r>
          </w:p>
        </w:tc>
        <w:tc>
          <w:tcPr>
            <w:tcW w:w="719" w:type="dxa"/>
            <w:vAlign w:val="center"/>
          </w:tcPr>
          <w:p>
            <w:pPr>
              <w:pStyle w:val="164"/>
              <w:rPr>
                <w:snapToGrid w:val="0"/>
                <w:color w:val="auto"/>
                <w:w w:val="90"/>
                <w:kern w:val="0"/>
              </w:rPr>
            </w:pPr>
            <w:r>
              <w:rPr>
                <w:snapToGrid w:val="0"/>
                <w:color w:val="auto"/>
                <w:w w:val="90"/>
                <w:kern w:val="0"/>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snapToGrid w:val="0"/>
                <w:color w:val="auto"/>
                <w:w w:val="90"/>
                <w:kern w:val="0"/>
              </w:rPr>
            </w:pPr>
            <w:r>
              <w:rPr>
                <w:snapToGrid w:val="0"/>
                <w:color w:val="auto"/>
                <w:w w:val="90"/>
                <w:kern w:val="0"/>
              </w:rPr>
              <w:t>铬</w:t>
            </w:r>
          </w:p>
        </w:tc>
        <w:tc>
          <w:tcPr>
            <w:tcW w:w="4540" w:type="dxa"/>
            <w:vAlign w:val="center"/>
          </w:tcPr>
          <w:p>
            <w:pPr>
              <w:pStyle w:val="164"/>
              <w:rPr>
                <w:snapToGrid w:val="0"/>
                <w:color w:val="auto"/>
                <w:w w:val="90"/>
                <w:kern w:val="0"/>
              </w:rPr>
            </w:pPr>
            <w:r>
              <w:rPr>
                <w:snapToGrid w:val="0"/>
                <w:color w:val="auto"/>
                <w:w w:val="90"/>
                <w:kern w:val="0"/>
              </w:rPr>
              <w:t>《土壤和沉积物 铜、锌、铅、镍、铬的测定 火焰原子吸收分光光度法》</w:t>
            </w:r>
          </w:p>
        </w:tc>
        <w:tc>
          <w:tcPr>
            <w:tcW w:w="1299" w:type="dxa"/>
            <w:vAlign w:val="center"/>
          </w:tcPr>
          <w:p>
            <w:pPr>
              <w:pStyle w:val="164"/>
              <w:rPr>
                <w:color w:val="auto"/>
                <w:w w:val="90"/>
              </w:rPr>
            </w:pPr>
            <w:r>
              <w:rPr>
                <w:color w:val="auto"/>
                <w:w w:val="90"/>
              </w:rPr>
              <w:t>HJ 491-2019</w:t>
            </w:r>
          </w:p>
        </w:tc>
        <w:tc>
          <w:tcPr>
            <w:tcW w:w="864" w:type="dxa"/>
            <w:vAlign w:val="center"/>
          </w:tcPr>
          <w:p>
            <w:pPr>
              <w:pStyle w:val="164"/>
              <w:rPr>
                <w:snapToGrid w:val="0"/>
                <w:color w:val="auto"/>
                <w:w w:val="90"/>
                <w:kern w:val="0"/>
              </w:rPr>
            </w:pPr>
            <w:r>
              <w:rPr>
                <w:snapToGrid w:val="0"/>
                <w:color w:val="auto"/>
                <w:w w:val="90"/>
                <w:kern w:val="0"/>
              </w:rPr>
              <w:t>mg/kg</w:t>
            </w:r>
          </w:p>
        </w:tc>
        <w:tc>
          <w:tcPr>
            <w:tcW w:w="719" w:type="dxa"/>
            <w:vAlign w:val="center"/>
          </w:tcPr>
          <w:p>
            <w:pPr>
              <w:pStyle w:val="164"/>
              <w:rPr>
                <w:snapToGrid w:val="0"/>
                <w:color w:val="auto"/>
                <w:w w:val="90"/>
                <w:kern w:val="0"/>
              </w:rPr>
            </w:pPr>
            <w:r>
              <w:rPr>
                <w:snapToGrid w:val="0"/>
                <w:color w:val="auto"/>
                <w:w w:val="90"/>
                <w:kern w:val="0"/>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trHeight w:val="362" w:hRule="atLeast"/>
          <w:jc w:val="center"/>
        </w:trPr>
        <w:tc>
          <w:tcPr>
            <w:tcW w:w="8923" w:type="dxa"/>
            <w:gridSpan w:val="5"/>
            <w:vAlign w:val="center"/>
          </w:tcPr>
          <w:p>
            <w:pPr>
              <w:pStyle w:val="164"/>
              <w:rPr>
                <w:color w:val="auto"/>
                <w:w w:val="90"/>
              </w:rPr>
            </w:pPr>
            <w:r>
              <w:rPr>
                <w:bCs/>
                <w:color w:val="auto"/>
                <w:w w:val="90"/>
              </w:rPr>
              <w:t>挥发性有机物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四氯化碳</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氯仿</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氯甲烷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1,1-二氯乙烷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1,2-二氯乙烷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1,1-二氯乙烯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顺-1,2-二氯乙烯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反-1,2-二氯乙烯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二氯甲烷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1,2-二氯丙烷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1,1,1,2-四氯乙烷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1,1,2,2-四氯乙烷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四氯乙烯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1,1,1-三氯乙烷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1,1,2-三氯乙烷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trHeight w:val="623" w:hRule="atLeast"/>
          <w:jc w:val="center"/>
        </w:trPr>
        <w:tc>
          <w:tcPr>
            <w:tcW w:w="1501" w:type="dxa"/>
            <w:vAlign w:val="center"/>
          </w:tcPr>
          <w:p>
            <w:pPr>
              <w:pStyle w:val="164"/>
              <w:rPr>
                <w:color w:val="auto"/>
                <w:w w:val="90"/>
              </w:rPr>
            </w:pPr>
            <w:r>
              <w:rPr>
                <w:color w:val="auto"/>
                <w:w w:val="90"/>
              </w:rPr>
              <w:t>三氯乙烯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1,2,3-三氯丙烷</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氯乙烯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shd w:val="clear" w:color="auto" w:fill="FFFFFF"/>
              </w:rPr>
              <w:t>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氯苯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1,2-二氯苯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1,4-二氯苯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乙苯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苯乙烯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甲苯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间二甲苯+对二甲苯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邻二甲苯</w:t>
            </w:r>
          </w:p>
        </w:tc>
        <w:tc>
          <w:tcPr>
            <w:tcW w:w="4540" w:type="dxa"/>
            <w:vAlign w:val="center"/>
          </w:tcPr>
          <w:p>
            <w:pPr>
              <w:pStyle w:val="164"/>
              <w:rPr>
                <w:color w:val="auto"/>
                <w:w w:val="90"/>
              </w:rPr>
            </w:pPr>
            <w:r>
              <w:rPr>
                <w:color w:val="auto"/>
                <w:w w:val="90"/>
              </w:rPr>
              <w:t>《土壤 挥发性有机物的测定 吹扫捕集/气相色谱-质谱法》</w:t>
            </w:r>
          </w:p>
        </w:tc>
        <w:tc>
          <w:tcPr>
            <w:tcW w:w="1299" w:type="dxa"/>
            <w:vAlign w:val="center"/>
          </w:tcPr>
          <w:p>
            <w:pPr>
              <w:pStyle w:val="164"/>
              <w:rPr>
                <w:color w:val="auto"/>
                <w:w w:val="90"/>
              </w:rPr>
            </w:pPr>
            <w:r>
              <w:rPr>
                <w:color w:val="auto"/>
                <w:w w:val="90"/>
              </w:rPr>
              <w:t>HJ 605-2011</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trHeight w:val="366" w:hRule="atLeast"/>
          <w:jc w:val="center"/>
        </w:trPr>
        <w:tc>
          <w:tcPr>
            <w:tcW w:w="8923" w:type="dxa"/>
            <w:gridSpan w:val="5"/>
            <w:vAlign w:val="center"/>
          </w:tcPr>
          <w:p>
            <w:pPr>
              <w:pStyle w:val="164"/>
              <w:rPr>
                <w:color w:val="auto"/>
                <w:w w:val="90"/>
              </w:rPr>
            </w:pPr>
            <w:r>
              <w:rPr>
                <w:bCs/>
                <w:color w:val="auto"/>
                <w:w w:val="90"/>
              </w:rPr>
              <w:t>半挥发性有机物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硝基苯</w:t>
            </w:r>
          </w:p>
        </w:tc>
        <w:tc>
          <w:tcPr>
            <w:tcW w:w="4540" w:type="dxa"/>
            <w:vAlign w:val="center"/>
          </w:tcPr>
          <w:p>
            <w:pPr>
              <w:pStyle w:val="164"/>
              <w:rPr>
                <w:color w:val="auto"/>
                <w:w w:val="90"/>
              </w:rPr>
            </w:pPr>
            <w:r>
              <w:rPr>
                <w:color w:val="auto"/>
                <w:w w:val="90"/>
              </w:rPr>
              <w:t>《土壤和沉积物 半挥发性有机物的测定 气相色谱-质谱法》</w:t>
            </w:r>
          </w:p>
        </w:tc>
        <w:tc>
          <w:tcPr>
            <w:tcW w:w="1299" w:type="dxa"/>
            <w:vAlign w:val="center"/>
          </w:tcPr>
          <w:p>
            <w:pPr>
              <w:pStyle w:val="164"/>
              <w:rPr>
                <w:color w:val="auto"/>
                <w:w w:val="90"/>
              </w:rPr>
            </w:pPr>
            <w:r>
              <w:rPr>
                <w:color w:val="auto"/>
                <w:w w:val="90"/>
              </w:rPr>
              <w:t>HJ 834-2017</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kern w:val="0"/>
              </w:rPr>
            </w:pPr>
            <w:r>
              <w:rPr>
                <w:color w:val="auto"/>
                <w:w w:val="90"/>
                <w:kern w:val="0"/>
              </w:rPr>
              <w:t>0.09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苯胺</w:t>
            </w:r>
          </w:p>
        </w:tc>
        <w:tc>
          <w:tcPr>
            <w:tcW w:w="4540" w:type="dxa"/>
            <w:vAlign w:val="center"/>
          </w:tcPr>
          <w:p>
            <w:pPr>
              <w:pStyle w:val="164"/>
              <w:rPr>
                <w:color w:val="auto"/>
                <w:w w:val="90"/>
              </w:rPr>
            </w:pPr>
            <w:r>
              <w:rPr>
                <w:color w:val="auto"/>
                <w:w w:val="90"/>
              </w:rPr>
              <w:t>《土壤和沉积物 半挥发性有机物的测定 气相色谱-质谱法》</w:t>
            </w:r>
          </w:p>
        </w:tc>
        <w:tc>
          <w:tcPr>
            <w:tcW w:w="1299" w:type="dxa"/>
            <w:vAlign w:val="center"/>
          </w:tcPr>
          <w:p>
            <w:pPr>
              <w:pStyle w:val="164"/>
              <w:rPr>
                <w:color w:val="auto"/>
                <w:w w:val="90"/>
              </w:rPr>
            </w:pPr>
            <w:r>
              <w:rPr>
                <w:color w:val="auto"/>
                <w:w w:val="90"/>
              </w:rPr>
              <w:t>HJ 834-2017</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kern w:val="0"/>
              </w:rPr>
            </w:pPr>
            <w:r>
              <w:rPr>
                <w:color w:val="auto"/>
                <w:w w:val="90"/>
                <w:kern w:val="0"/>
              </w:rPr>
              <w:t>0.08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2-氯酚</w:t>
            </w:r>
          </w:p>
        </w:tc>
        <w:tc>
          <w:tcPr>
            <w:tcW w:w="4540" w:type="dxa"/>
            <w:vAlign w:val="center"/>
          </w:tcPr>
          <w:p>
            <w:pPr>
              <w:pStyle w:val="164"/>
              <w:rPr>
                <w:color w:val="auto"/>
                <w:w w:val="90"/>
              </w:rPr>
            </w:pPr>
            <w:r>
              <w:rPr>
                <w:color w:val="auto"/>
                <w:w w:val="90"/>
              </w:rPr>
              <w:t>《土壤和沉积物 半挥发性有机物的测定 气相色谱-质谱法》</w:t>
            </w:r>
          </w:p>
        </w:tc>
        <w:tc>
          <w:tcPr>
            <w:tcW w:w="1299" w:type="dxa"/>
            <w:vAlign w:val="center"/>
          </w:tcPr>
          <w:p>
            <w:pPr>
              <w:pStyle w:val="164"/>
              <w:rPr>
                <w:color w:val="auto"/>
                <w:w w:val="90"/>
              </w:rPr>
            </w:pPr>
            <w:r>
              <w:rPr>
                <w:color w:val="auto"/>
                <w:w w:val="90"/>
              </w:rPr>
              <w:t>HJ 834-2017</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kern w:val="0"/>
              </w:rPr>
            </w:pPr>
            <w:r>
              <w:rPr>
                <w:color w:val="auto"/>
                <w:w w:val="90"/>
                <w:kern w:val="0"/>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苯并[a]蒽</w:t>
            </w:r>
          </w:p>
        </w:tc>
        <w:tc>
          <w:tcPr>
            <w:tcW w:w="4540" w:type="dxa"/>
            <w:vAlign w:val="center"/>
          </w:tcPr>
          <w:p>
            <w:pPr>
              <w:pStyle w:val="164"/>
              <w:rPr>
                <w:color w:val="auto"/>
                <w:w w:val="90"/>
              </w:rPr>
            </w:pPr>
            <w:r>
              <w:rPr>
                <w:color w:val="auto"/>
                <w:w w:val="90"/>
              </w:rPr>
              <w:t>《土壤和沉积物 多环芳烃的测定 高效液相色谱法》</w:t>
            </w:r>
          </w:p>
        </w:tc>
        <w:tc>
          <w:tcPr>
            <w:tcW w:w="1299" w:type="dxa"/>
            <w:vAlign w:val="center"/>
          </w:tcPr>
          <w:p>
            <w:pPr>
              <w:pStyle w:val="164"/>
              <w:rPr>
                <w:color w:val="auto"/>
                <w:w w:val="90"/>
              </w:rPr>
            </w:pPr>
            <w:r>
              <w:rPr>
                <w:color w:val="auto"/>
                <w:w w:val="90"/>
              </w:rPr>
              <w:t>HJ 784-2016</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苯并[a]芘</w:t>
            </w:r>
          </w:p>
        </w:tc>
        <w:tc>
          <w:tcPr>
            <w:tcW w:w="4540" w:type="dxa"/>
            <w:vAlign w:val="center"/>
          </w:tcPr>
          <w:p>
            <w:pPr>
              <w:pStyle w:val="164"/>
              <w:rPr>
                <w:color w:val="auto"/>
                <w:w w:val="90"/>
              </w:rPr>
            </w:pPr>
            <w:r>
              <w:rPr>
                <w:color w:val="auto"/>
                <w:w w:val="90"/>
              </w:rPr>
              <w:t>《土壤和沉积物 多环芳烃的测定 高效液相色谱法》</w:t>
            </w:r>
          </w:p>
        </w:tc>
        <w:tc>
          <w:tcPr>
            <w:tcW w:w="1299" w:type="dxa"/>
            <w:vAlign w:val="center"/>
          </w:tcPr>
          <w:p>
            <w:pPr>
              <w:pStyle w:val="164"/>
              <w:rPr>
                <w:color w:val="auto"/>
                <w:w w:val="90"/>
              </w:rPr>
            </w:pPr>
            <w:r>
              <w:rPr>
                <w:color w:val="auto"/>
                <w:w w:val="90"/>
              </w:rPr>
              <w:t>HJ 784-2016</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苯并[b]荧蒽</w:t>
            </w:r>
          </w:p>
        </w:tc>
        <w:tc>
          <w:tcPr>
            <w:tcW w:w="4540" w:type="dxa"/>
            <w:vAlign w:val="center"/>
          </w:tcPr>
          <w:p>
            <w:pPr>
              <w:pStyle w:val="164"/>
              <w:rPr>
                <w:color w:val="auto"/>
                <w:w w:val="90"/>
              </w:rPr>
            </w:pPr>
            <w:r>
              <w:rPr>
                <w:color w:val="auto"/>
                <w:w w:val="90"/>
              </w:rPr>
              <w:t>《土壤和沉积物 多环芳烃的测定 高效液相色谱法》</w:t>
            </w:r>
          </w:p>
        </w:tc>
        <w:tc>
          <w:tcPr>
            <w:tcW w:w="1299" w:type="dxa"/>
            <w:vAlign w:val="center"/>
          </w:tcPr>
          <w:p>
            <w:pPr>
              <w:pStyle w:val="164"/>
              <w:rPr>
                <w:color w:val="auto"/>
                <w:w w:val="90"/>
              </w:rPr>
            </w:pPr>
            <w:r>
              <w:rPr>
                <w:color w:val="auto"/>
                <w:w w:val="90"/>
              </w:rPr>
              <w:t>HJ 784-2016</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苯并[k]荧蒽</w:t>
            </w:r>
          </w:p>
        </w:tc>
        <w:tc>
          <w:tcPr>
            <w:tcW w:w="4540" w:type="dxa"/>
            <w:vAlign w:val="center"/>
          </w:tcPr>
          <w:p>
            <w:pPr>
              <w:pStyle w:val="164"/>
              <w:rPr>
                <w:color w:val="auto"/>
                <w:w w:val="90"/>
              </w:rPr>
            </w:pPr>
            <w:r>
              <w:rPr>
                <w:color w:val="auto"/>
                <w:w w:val="90"/>
              </w:rPr>
              <w:t>《土壤和沉积物 多环芳烃的测定 高效液相色谱法》</w:t>
            </w:r>
          </w:p>
        </w:tc>
        <w:tc>
          <w:tcPr>
            <w:tcW w:w="1299" w:type="dxa"/>
            <w:vAlign w:val="center"/>
          </w:tcPr>
          <w:p>
            <w:pPr>
              <w:pStyle w:val="164"/>
              <w:rPr>
                <w:color w:val="auto"/>
                <w:w w:val="90"/>
              </w:rPr>
            </w:pPr>
            <w:r>
              <w:rPr>
                <w:color w:val="auto"/>
                <w:w w:val="90"/>
              </w:rPr>
              <w:t>HJ 784-2016</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shd w:val="clear" w:color="auto" w:fill="FFFFFF"/>
              </w:rPr>
              <w:t>䓛</w:t>
            </w:r>
          </w:p>
        </w:tc>
        <w:tc>
          <w:tcPr>
            <w:tcW w:w="4540" w:type="dxa"/>
            <w:vAlign w:val="center"/>
          </w:tcPr>
          <w:p>
            <w:pPr>
              <w:pStyle w:val="164"/>
              <w:rPr>
                <w:color w:val="auto"/>
                <w:w w:val="90"/>
              </w:rPr>
            </w:pPr>
            <w:r>
              <w:rPr>
                <w:color w:val="auto"/>
                <w:w w:val="90"/>
              </w:rPr>
              <w:t>《土壤和沉积物 多环芳烃的测定 高效液相色谱法》</w:t>
            </w:r>
          </w:p>
        </w:tc>
        <w:tc>
          <w:tcPr>
            <w:tcW w:w="1299" w:type="dxa"/>
            <w:vAlign w:val="center"/>
          </w:tcPr>
          <w:p>
            <w:pPr>
              <w:pStyle w:val="164"/>
              <w:rPr>
                <w:color w:val="auto"/>
                <w:w w:val="90"/>
              </w:rPr>
            </w:pPr>
            <w:r>
              <w:rPr>
                <w:color w:val="auto"/>
                <w:w w:val="90"/>
              </w:rPr>
              <w:t>HJ 784-2016</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二苯并[a,h]蒽</w:t>
            </w:r>
          </w:p>
        </w:tc>
        <w:tc>
          <w:tcPr>
            <w:tcW w:w="4540" w:type="dxa"/>
            <w:vAlign w:val="center"/>
          </w:tcPr>
          <w:p>
            <w:pPr>
              <w:pStyle w:val="164"/>
              <w:rPr>
                <w:color w:val="auto"/>
                <w:w w:val="90"/>
              </w:rPr>
            </w:pPr>
            <w:r>
              <w:rPr>
                <w:color w:val="auto"/>
                <w:w w:val="90"/>
              </w:rPr>
              <w:t>《土壤和沉积物 多环芳烃的测定 高效液相色谱法》</w:t>
            </w:r>
          </w:p>
        </w:tc>
        <w:tc>
          <w:tcPr>
            <w:tcW w:w="1299" w:type="dxa"/>
            <w:vAlign w:val="center"/>
          </w:tcPr>
          <w:p>
            <w:pPr>
              <w:pStyle w:val="164"/>
              <w:rPr>
                <w:color w:val="auto"/>
                <w:w w:val="90"/>
              </w:rPr>
            </w:pPr>
            <w:r>
              <w:rPr>
                <w:color w:val="auto"/>
                <w:w w:val="90"/>
              </w:rPr>
              <w:t>HJ 784-2016</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茚并[1,2,3-cd]芘</w:t>
            </w:r>
          </w:p>
        </w:tc>
        <w:tc>
          <w:tcPr>
            <w:tcW w:w="4540" w:type="dxa"/>
            <w:vAlign w:val="center"/>
          </w:tcPr>
          <w:p>
            <w:pPr>
              <w:pStyle w:val="164"/>
              <w:rPr>
                <w:color w:val="auto"/>
                <w:w w:val="90"/>
              </w:rPr>
            </w:pPr>
            <w:r>
              <w:rPr>
                <w:color w:val="auto"/>
                <w:w w:val="90"/>
              </w:rPr>
              <w:t>《土壤和沉积物 多环芳烃的测定 高效液相色谱法》</w:t>
            </w:r>
          </w:p>
        </w:tc>
        <w:tc>
          <w:tcPr>
            <w:tcW w:w="1299" w:type="dxa"/>
            <w:vAlign w:val="center"/>
          </w:tcPr>
          <w:p>
            <w:pPr>
              <w:pStyle w:val="164"/>
              <w:rPr>
                <w:color w:val="auto"/>
                <w:w w:val="90"/>
              </w:rPr>
            </w:pPr>
            <w:r>
              <w:rPr>
                <w:color w:val="auto"/>
                <w:w w:val="90"/>
              </w:rPr>
              <w:t>HJ 784-2016</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shd w:val="clear" w:color="auto" w:fill="FFFFFF"/>
              </w:rPr>
              <w:t>萘</w:t>
            </w:r>
          </w:p>
        </w:tc>
        <w:tc>
          <w:tcPr>
            <w:tcW w:w="4540" w:type="dxa"/>
            <w:vAlign w:val="center"/>
          </w:tcPr>
          <w:p>
            <w:pPr>
              <w:pStyle w:val="164"/>
              <w:rPr>
                <w:color w:val="auto"/>
                <w:w w:val="90"/>
              </w:rPr>
            </w:pPr>
            <w:r>
              <w:rPr>
                <w:color w:val="auto"/>
                <w:w w:val="90"/>
              </w:rPr>
              <w:t>《土壤和沉积物 多环芳烃的测定 高效液相色谱法》</w:t>
            </w:r>
          </w:p>
        </w:tc>
        <w:tc>
          <w:tcPr>
            <w:tcW w:w="1299" w:type="dxa"/>
            <w:vAlign w:val="center"/>
          </w:tcPr>
          <w:p>
            <w:pPr>
              <w:pStyle w:val="164"/>
              <w:rPr>
                <w:color w:val="auto"/>
                <w:w w:val="90"/>
              </w:rPr>
            </w:pPr>
            <w:r>
              <w:rPr>
                <w:color w:val="auto"/>
                <w:w w:val="90"/>
              </w:rPr>
              <w:t>HJ 784-2016</w:t>
            </w:r>
          </w:p>
        </w:tc>
        <w:tc>
          <w:tcPr>
            <w:tcW w:w="864" w:type="dxa"/>
            <w:vAlign w:val="center"/>
          </w:tcPr>
          <w:p>
            <w:pPr>
              <w:pStyle w:val="164"/>
              <w:rPr>
                <w:color w:val="auto"/>
                <w:w w:val="90"/>
              </w:rPr>
            </w:pPr>
            <w:r>
              <w:rPr>
                <w:color w:val="auto"/>
                <w:w w:val="90"/>
              </w:rPr>
              <w:t>mg/kg</w:t>
            </w:r>
          </w:p>
        </w:tc>
        <w:tc>
          <w:tcPr>
            <w:tcW w:w="719" w:type="dxa"/>
            <w:vAlign w:val="center"/>
          </w:tcPr>
          <w:p>
            <w:pPr>
              <w:pStyle w:val="164"/>
              <w:rPr>
                <w:color w:val="auto"/>
                <w:w w:val="90"/>
              </w:rPr>
            </w:pPr>
            <w:r>
              <w:rPr>
                <w:color w:val="auto"/>
                <w:w w:val="90"/>
              </w:rPr>
              <w:t>0.0003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8923" w:type="dxa"/>
            <w:gridSpan w:val="5"/>
            <w:vAlign w:val="center"/>
          </w:tcPr>
          <w:p>
            <w:pPr>
              <w:pStyle w:val="164"/>
              <w:rPr>
                <w:color w:val="auto"/>
                <w:w w:val="90"/>
              </w:rPr>
            </w:pPr>
            <w:r>
              <w:rPr>
                <w:color w:val="auto"/>
                <w:w w:val="90"/>
                <w:shd w:val="clear" w:color="auto" w:fill="FFFFFF"/>
              </w:rPr>
              <w:t>理化性质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pH</w:t>
            </w:r>
          </w:p>
        </w:tc>
        <w:tc>
          <w:tcPr>
            <w:tcW w:w="4540" w:type="dxa"/>
            <w:vAlign w:val="center"/>
          </w:tcPr>
          <w:p>
            <w:pPr>
              <w:pStyle w:val="164"/>
              <w:rPr>
                <w:color w:val="auto"/>
                <w:w w:val="90"/>
              </w:rPr>
            </w:pPr>
            <w:r>
              <w:rPr>
                <w:color w:val="auto"/>
                <w:w w:val="90"/>
              </w:rPr>
              <w:t>《土壤 pH值的测定 电位法》</w:t>
            </w:r>
          </w:p>
        </w:tc>
        <w:tc>
          <w:tcPr>
            <w:tcW w:w="1299" w:type="dxa"/>
            <w:vAlign w:val="center"/>
          </w:tcPr>
          <w:p>
            <w:pPr>
              <w:pStyle w:val="164"/>
              <w:rPr>
                <w:color w:val="auto"/>
                <w:w w:val="90"/>
              </w:rPr>
            </w:pPr>
            <w:r>
              <w:rPr>
                <w:color w:val="auto"/>
                <w:w w:val="90"/>
              </w:rPr>
              <w:t>HJ 962-2018</w:t>
            </w:r>
          </w:p>
        </w:tc>
        <w:tc>
          <w:tcPr>
            <w:tcW w:w="864" w:type="dxa"/>
            <w:vAlign w:val="center"/>
          </w:tcPr>
          <w:p>
            <w:pPr>
              <w:pStyle w:val="164"/>
              <w:rPr>
                <w:color w:val="auto"/>
                <w:w w:val="90"/>
              </w:rPr>
            </w:pPr>
            <w:r>
              <w:rPr>
                <w:color w:val="auto"/>
                <w:w w:val="90"/>
              </w:rPr>
              <w:t>无量纲</w:t>
            </w:r>
          </w:p>
        </w:tc>
        <w:tc>
          <w:tcPr>
            <w:tcW w:w="719" w:type="dxa"/>
            <w:vAlign w:val="center"/>
          </w:tcPr>
          <w:p>
            <w:pPr>
              <w:pStyle w:val="164"/>
              <w:rPr>
                <w:color w:val="auto"/>
                <w:w w:val="90"/>
              </w:rPr>
            </w:pPr>
            <w:r>
              <w:rPr>
                <w:color w:val="auto"/>
                <w:w w:val="90"/>
              </w:rPr>
              <w:t>0.01pH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阳离子交换量</w:t>
            </w:r>
          </w:p>
        </w:tc>
        <w:tc>
          <w:tcPr>
            <w:tcW w:w="4540" w:type="dxa"/>
            <w:vAlign w:val="center"/>
          </w:tcPr>
          <w:p>
            <w:pPr>
              <w:pStyle w:val="164"/>
              <w:rPr>
                <w:color w:val="auto"/>
                <w:w w:val="90"/>
              </w:rPr>
            </w:pPr>
            <w:r>
              <w:rPr>
                <w:color w:val="auto"/>
                <w:w w:val="90"/>
              </w:rPr>
              <w:t>《土壤 阳离子交换量的测定 三氯化六氨合钴浸提-分光光度法》</w:t>
            </w:r>
          </w:p>
        </w:tc>
        <w:tc>
          <w:tcPr>
            <w:tcW w:w="1299" w:type="dxa"/>
            <w:vAlign w:val="center"/>
          </w:tcPr>
          <w:p>
            <w:pPr>
              <w:pStyle w:val="164"/>
              <w:rPr>
                <w:color w:val="auto"/>
                <w:w w:val="90"/>
              </w:rPr>
            </w:pPr>
            <w:r>
              <w:rPr>
                <w:color w:val="auto"/>
                <w:w w:val="90"/>
              </w:rPr>
              <w:t>HJ 889-2017</w:t>
            </w:r>
          </w:p>
        </w:tc>
        <w:tc>
          <w:tcPr>
            <w:tcW w:w="864" w:type="dxa"/>
            <w:vAlign w:val="center"/>
          </w:tcPr>
          <w:p>
            <w:pPr>
              <w:pStyle w:val="164"/>
              <w:rPr>
                <w:snapToGrid w:val="0"/>
                <w:color w:val="auto"/>
                <w:w w:val="90"/>
                <w:kern w:val="0"/>
              </w:rPr>
            </w:pPr>
            <w:r>
              <w:rPr>
                <w:snapToGrid w:val="0"/>
                <w:color w:val="auto"/>
                <w:w w:val="90"/>
                <w:kern w:val="0"/>
              </w:rPr>
              <w:t>cmol</w:t>
            </w:r>
            <w:r>
              <w:rPr>
                <w:snapToGrid w:val="0"/>
                <w:color w:val="auto"/>
                <w:w w:val="90"/>
                <w:kern w:val="0"/>
                <w:vertAlign w:val="superscript"/>
              </w:rPr>
              <w:t>+</w:t>
            </w:r>
            <w:r>
              <w:rPr>
                <w:snapToGrid w:val="0"/>
                <w:color w:val="auto"/>
                <w:w w:val="90"/>
                <w:kern w:val="0"/>
              </w:rPr>
              <w:t>/kg</w:t>
            </w:r>
          </w:p>
        </w:tc>
        <w:tc>
          <w:tcPr>
            <w:tcW w:w="719" w:type="dxa"/>
            <w:vAlign w:val="center"/>
          </w:tcPr>
          <w:p>
            <w:pPr>
              <w:pStyle w:val="164"/>
              <w:rPr>
                <w:color w:val="auto"/>
                <w:w w:val="90"/>
              </w:rPr>
            </w:pPr>
            <w:r>
              <w:rPr>
                <w:color w:val="auto"/>
                <w:w w:val="90"/>
              </w:rPr>
              <w:t>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氧化还原电位</w:t>
            </w:r>
          </w:p>
        </w:tc>
        <w:tc>
          <w:tcPr>
            <w:tcW w:w="4540" w:type="dxa"/>
            <w:vAlign w:val="center"/>
          </w:tcPr>
          <w:p>
            <w:pPr>
              <w:pStyle w:val="164"/>
              <w:rPr>
                <w:color w:val="auto"/>
                <w:w w:val="90"/>
              </w:rPr>
            </w:pPr>
            <w:r>
              <w:rPr>
                <w:color w:val="auto"/>
                <w:w w:val="90"/>
              </w:rPr>
              <w:t>《土壤 氧化还原电位的测定 电位法》</w:t>
            </w:r>
          </w:p>
        </w:tc>
        <w:tc>
          <w:tcPr>
            <w:tcW w:w="1299" w:type="dxa"/>
            <w:vAlign w:val="center"/>
          </w:tcPr>
          <w:p>
            <w:pPr>
              <w:pStyle w:val="164"/>
              <w:rPr>
                <w:color w:val="auto"/>
                <w:w w:val="90"/>
              </w:rPr>
            </w:pPr>
            <w:r>
              <w:rPr>
                <w:color w:val="auto"/>
                <w:w w:val="90"/>
              </w:rPr>
              <w:t>HJ 746-2015</w:t>
            </w:r>
          </w:p>
        </w:tc>
        <w:tc>
          <w:tcPr>
            <w:tcW w:w="864" w:type="dxa"/>
            <w:vAlign w:val="center"/>
          </w:tcPr>
          <w:p>
            <w:pPr>
              <w:pStyle w:val="164"/>
              <w:rPr>
                <w:snapToGrid w:val="0"/>
                <w:color w:val="auto"/>
                <w:w w:val="90"/>
                <w:kern w:val="0"/>
              </w:rPr>
            </w:pPr>
            <w:r>
              <w:rPr>
                <w:snapToGrid w:val="0"/>
                <w:color w:val="auto"/>
                <w:w w:val="90"/>
                <w:kern w:val="0"/>
              </w:rPr>
              <w:t>mV</w:t>
            </w:r>
          </w:p>
        </w:tc>
        <w:tc>
          <w:tcPr>
            <w:tcW w:w="719" w:type="dxa"/>
            <w:vAlign w:val="center"/>
          </w:tcPr>
          <w:p>
            <w:pPr>
              <w:pStyle w:val="164"/>
              <w:rPr>
                <w:color w:val="auto"/>
                <w:w w:val="90"/>
              </w:rPr>
            </w:pPr>
            <w:r>
              <w:rPr>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饱和导水率</w:t>
            </w:r>
          </w:p>
        </w:tc>
        <w:tc>
          <w:tcPr>
            <w:tcW w:w="4540" w:type="dxa"/>
            <w:vAlign w:val="center"/>
          </w:tcPr>
          <w:p>
            <w:pPr>
              <w:pStyle w:val="164"/>
              <w:rPr>
                <w:color w:val="auto"/>
                <w:w w:val="90"/>
              </w:rPr>
            </w:pPr>
            <w:r>
              <w:rPr>
                <w:color w:val="auto"/>
                <w:w w:val="90"/>
              </w:rPr>
              <w:t>《森林土壤 渗滤率的测定》</w:t>
            </w:r>
          </w:p>
        </w:tc>
        <w:tc>
          <w:tcPr>
            <w:tcW w:w="1299" w:type="dxa"/>
            <w:vAlign w:val="center"/>
          </w:tcPr>
          <w:p>
            <w:pPr>
              <w:pStyle w:val="164"/>
              <w:rPr>
                <w:color w:val="auto"/>
                <w:w w:val="90"/>
              </w:rPr>
            </w:pPr>
            <w:r>
              <w:rPr>
                <w:color w:val="auto"/>
                <w:w w:val="90"/>
              </w:rPr>
              <w:t>LY/T 1218-1999</w:t>
            </w:r>
          </w:p>
        </w:tc>
        <w:tc>
          <w:tcPr>
            <w:tcW w:w="864" w:type="dxa"/>
            <w:vAlign w:val="center"/>
          </w:tcPr>
          <w:p>
            <w:pPr>
              <w:pStyle w:val="164"/>
              <w:rPr>
                <w:snapToGrid w:val="0"/>
                <w:color w:val="auto"/>
                <w:w w:val="90"/>
                <w:kern w:val="0"/>
              </w:rPr>
            </w:pPr>
            <w:r>
              <w:rPr>
                <w:snapToGrid w:val="0"/>
                <w:color w:val="auto"/>
                <w:w w:val="90"/>
                <w:kern w:val="0"/>
              </w:rPr>
              <w:t>cm/s</w:t>
            </w:r>
          </w:p>
        </w:tc>
        <w:tc>
          <w:tcPr>
            <w:tcW w:w="719" w:type="dxa"/>
            <w:vAlign w:val="center"/>
          </w:tcPr>
          <w:p>
            <w:pPr>
              <w:pStyle w:val="164"/>
              <w:rPr>
                <w:color w:val="auto"/>
                <w:w w:val="90"/>
              </w:rPr>
            </w:pPr>
            <w:r>
              <w:rPr>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trHeight w:val="657" w:hRule="atLeast"/>
          <w:jc w:val="center"/>
        </w:trPr>
        <w:tc>
          <w:tcPr>
            <w:tcW w:w="1501" w:type="dxa"/>
            <w:vAlign w:val="center"/>
          </w:tcPr>
          <w:p>
            <w:pPr>
              <w:pStyle w:val="164"/>
              <w:rPr>
                <w:color w:val="auto"/>
                <w:w w:val="90"/>
              </w:rPr>
            </w:pPr>
            <w:r>
              <w:rPr>
                <w:color w:val="auto"/>
                <w:w w:val="90"/>
              </w:rPr>
              <w:t>土壤容重</w:t>
            </w:r>
          </w:p>
        </w:tc>
        <w:tc>
          <w:tcPr>
            <w:tcW w:w="4540" w:type="dxa"/>
            <w:vAlign w:val="center"/>
          </w:tcPr>
          <w:p>
            <w:pPr>
              <w:pStyle w:val="164"/>
              <w:rPr>
                <w:color w:val="auto"/>
                <w:w w:val="90"/>
              </w:rPr>
            </w:pPr>
            <w:r>
              <w:rPr>
                <w:color w:val="auto"/>
                <w:w w:val="90"/>
              </w:rPr>
              <w:t>《容重 环刀法》</w:t>
            </w:r>
          </w:p>
        </w:tc>
        <w:tc>
          <w:tcPr>
            <w:tcW w:w="1299" w:type="dxa"/>
            <w:vMerge w:val="restart"/>
            <w:vAlign w:val="center"/>
          </w:tcPr>
          <w:p>
            <w:pPr>
              <w:pStyle w:val="164"/>
              <w:rPr>
                <w:color w:val="auto"/>
                <w:w w:val="90"/>
              </w:rPr>
            </w:pPr>
            <w:r>
              <w:rPr>
                <w:color w:val="auto"/>
                <w:w w:val="90"/>
              </w:rPr>
              <w:t>《全国土壤污染状况调查样品分析测试技术规定》国家环境保护总局（2006年）</w:t>
            </w:r>
          </w:p>
        </w:tc>
        <w:tc>
          <w:tcPr>
            <w:tcW w:w="864" w:type="dxa"/>
            <w:vAlign w:val="center"/>
          </w:tcPr>
          <w:p>
            <w:pPr>
              <w:pStyle w:val="164"/>
              <w:rPr>
                <w:snapToGrid w:val="0"/>
                <w:color w:val="auto"/>
                <w:w w:val="90"/>
                <w:kern w:val="0"/>
              </w:rPr>
            </w:pPr>
            <w:r>
              <w:rPr>
                <w:snapToGrid w:val="0"/>
                <w:color w:val="auto"/>
                <w:w w:val="90"/>
                <w:kern w:val="0"/>
              </w:rPr>
              <w:t>g/cm³</w:t>
            </w:r>
          </w:p>
        </w:tc>
        <w:tc>
          <w:tcPr>
            <w:tcW w:w="719" w:type="dxa"/>
            <w:vAlign w:val="center"/>
          </w:tcPr>
          <w:p>
            <w:pPr>
              <w:pStyle w:val="164"/>
              <w:rPr>
                <w:color w:val="auto"/>
                <w:w w:val="90"/>
              </w:rPr>
            </w:pPr>
            <w:r>
              <w:rPr>
                <w:color w:val="auto"/>
                <w:w w:val="90"/>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jc w:val="center"/>
        </w:trPr>
        <w:tc>
          <w:tcPr>
            <w:tcW w:w="1501" w:type="dxa"/>
            <w:vAlign w:val="center"/>
          </w:tcPr>
          <w:p>
            <w:pPr>
              <w:pStyle w:val="164"/>
              <w:rPr>
                <w:color w:val="auto"/>
                <w:w w:val="90"/>
              </w:rPr>
            </w:pPr>
            <w:r>
              <w:rPr>
                <w:color w:val="auto"/>
                <w:w w:val="90"/>
              </w:rPr>
              <w:t>孔隙度</w:t>
            </w:r>
          </w:p>
        </w:tc>
        <w:tc>
          <w:tcPr>
            <w:tcW w:w="4540" w:type="dxa"/>
            <w:vAlign w:val="center"/>
          </w:tcPr>
          <w:p>
            <w:pPr>
              <w:pStyle w:val="164"/>
              <w:rPr>
                <w:color w:val="auto"/>
                <w:w w:val="90"/>
              </w:rPr>
            </w:pPr>
            <w:r>
              <w:rPr>
                <w:color w:val="auto"/>
                <w:w w:val="90"/>
              </w:rPr>
              <w:t>《容重 环刀法》</w:t>
            </w:r>
          </w:p>
        </w:tc>
        <w:tc>
          <w:tcPr>
            <w:tcW w:w="1299" w:type="dxa"/>
            <w:vMerge w:val="continue"/>
            <w:vAlign w:val="center"/>
          </w:tcPr>
          <w:p>
            <w:pPr>
              <w:pStyle w:val="164"/>
              <w:rPr>
                <w:color w:val="auto"/>
                <w:w w:val="90"/>
              </w:rPr>
            </w:pPr>
          </w:p>
        </w:tc>
        <w:tc>
          <w:tcPr>
            <w:tcW w:w="864" w:type="dxa"/>
            <w:vAlign w:val="center"/>
          </w:tcPr>
          <w:p>
            <w:pPr>
              <w:pStyle w:val="164"/>
              <w:rPr>
                <w:snapToGrid w:val="0"/>
                <w:color w:val="auto"/>
                <w:w w:val="90"/>
                <w:kern w:val="0"/>
              </w:rPr>
            </w:pPr>
            <w:r>
              <w:rPr>
                <w:snapToGrid w:val="0"/>
                <w:color w:val="auto"/>
                <w:w w:val="90"/>
                <w:kern w:val="0"/>
              </w:rPr>
              <w:t>%</w:t>
            </w:r>
          </w:p>
        </w:tc>
        <w:tc>
          <w:tcPr>
            <w:tcW w:w="719" w:type="dxa"/>
            <w:vAlign w:val="center"/>
          </w:tcPr>
          <w:p>
            <w:pPr>
              <w:pStyle w:val="164"/>
              <w:rPr>
                <w:color w:val="auto"/>
                <w:w w:val="90"/>
              </w:rPr>
            </w:pPr>
            <w:r>
              <w:rPr>
                <w:color w:val="auto"/>
                <w:w w:val="90"/>
              </w:rPr>
              <w:t>/</w:t>
            </w:r>
          </w:p>
        </w:tc>
      </w:tr>
    </w:tbl>
    <w:p>
      <w:pPr>
        <w:pStyle w:val="5"/>
        <w:numPr>
          <w:ilvl w:val="2"/>
          <w:numId w:val="0"/>
        </w:numPr>
        <w:spacing w:before="120" w:beforeLines="50"/>
        <w:ind w:left="-720" w:leftChars="-343" w:firstLine="723" w:firstLineChars="300"/>
        <w:rPr>
          <w:color w:val="auto"/>
        </w:rPr>
      </w:pPr>
      <w:bookmarkStart w:id="376" w:name="_Toc11595379"/>
      <w:bookmarkStart w:id="377" w:name="_Toc109398659"/>
      <w:r>
        <w:rPr>
          <w:color w:val="auto"/>
        </w:rPr>
        <w:t>6.5.3监测结果统计</w:t>
      </w:r>
      <w:bookmarkEnd w:id="376"/>
      <w:bookmarkEnd w:id="377"/>
    </w:p>
    <w:p>
      <w:pPr>
        <w:pStyle w:val="130"/>
        <w:ind w:firstLine="480"/>
        <w:rPr>
          <w:color w:val="auto"/>
        </w:rPr>
      </w:pPr>
      <w:bookmarkStart w:id="378" w:name="_Toc11595380"/>
      <w:r>
        <w:rPr>
          <w:color w:val="auto"/>
        </w:rPr>
        <w:t>土壤检测结果见表6.5-3~表6.5-6。</w:t>
      </w:r>
    </w:p>
    <w:p>
      <w:pPr>
        <w:jc w:val="center"/>
        <w:rPr>
          <w:b/>
          <w:bCs/>
          <w:color w:val="auto"/>
          <w:sz w:val="24"/>
          <w:szCs w:val="24"/>
        </w:rPr>
      </w:pPr>
      <w:r>
        <w:rPr>
          <w:b/>
          <w:bCs/>
          <w:color w:val="auto"/>
          <w:sz w:val="24"/>
          <w:szCs w:val="24"/>
        </w:rPr>
        <w:t>表6.5-3  土壤检测结果一览表  单位：mg/kg</w:t>
      </w:r>
    </w:p>
    <w:tbl>
      <w:tblPr>
        <w:tblStyle w:val="75"/>
        <w:tblW w:w="8730" w:type="dxa"/>
        <w:jc w:val="center"/>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847"/>
        <w:gridCol w:w="1734"/>
        <w:gridCol w:w="1734"/>
        <w:gridCol w:w="1744"/>
        <w:gridCol w:w="786"/>
        <w:gridCol w:w="885"/>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66" w:hRule="atLeast"/>
          <w:jc w:val="center"/>
        </w:trPr>
        <w:tc>
          <w:tcPr>
            <w:tcW w:w="1847" w:type="dxa"/>
            <w:vMerge w:val="restart"/>
            <w:tcBorders>
              <w:top w:val="single" w:color="000000" w:themeColor="text1" w:sz="12" w:space="0"/>
              <w:bottom w:val="single" w:color="000000" w:themeColor="text1" w:sz="6" w:space="0"/>
              <w:tl2br w:val="single" w:color="000000" w:themeColor="text1" w:sz="6" w:space="0"/>
            </w:tcBorders>
            <w:vAlign w:val="center"/>
          </w:tcPr>
          <w:p>
            <w:pPr>
              <w:pStyle w:val="164"/>
              <w:rPr>
                <w:snapToGrid w:val="0"/>
                <w:color w:val="auto"/>
                <w:w w:val="90"/>
              </w:rPr>
            </w:pPr>
            <w:r>
              <w:rPr>
                <w:snapToGrid w:val="0"/>
                <w:color w:val="auto"/>
                <w:w w:val="90"/>
              </w:rPr>
              <w:t xml:space="preserve">           点位</w:t>
            </w:r>
          </w:p>
          <w:p>
            <w:pPr>
              <w:pStyle w:val="164"/>
              <w:jc w:val="both"/>
              <w:rPr>
                <w:snapToGrid w:val="0"/>
                <w:color w:val="auto"/>
                <w:w w:val="90"/>
              </w:rPr>
            </w:pPr>
            <w:r>
              <w:rPr>
                <w:snapToGrid w:val="0"/>
                <w:color w:val="auto"/>
                <w:w w:val="90"/>
              </w:rPr>
              <w:t>项目</w:t>
            </w:r>
          </w:p>
        </w:tc>
        <w:tc>
          <w:tcPr>
            <w:tcW w:w="5212" w:type="dxa"/>
            <w:gridSpan w:val="3"/>
          </w:tcPr>
          <w:p>
            <w:pPr>
              <w:pStyle w:val="164"/>
              <w:rPr>
                <w:snapToGrid w:val="0"/>
                <w:color w:val="auto"/>
                <w:w w:val="90"/>
              </w:rPr>
            </w:pPr>
            <w:r>
              <w:rPr>
                <w:bCs/>
                <w:color w:val="auto"/>
                <w:w w:val="90"/>
              </w:rPr>
              <w:t>1#厂址中心（2020年4月16日）</w:t>
            </w:r>
          </w:p>
        </w:tc>
        <w:tc>
          <w:tcPr>
            <w:tcW w:w="786" w:type="dxa"/>
            <w:vMerge w:val="restart"/>
            <w:vAlign w:val="center"/>
          </w:tcPr>
          <w:p>
            <w:pPr>
              <w:pStyle w:val="164"/>
              <w:rPr>
                <w:snapToGrid w:val="0"/>
                <w:color w:val="auto"/>
                <w:w w:val="90"/>
              </w:rPr>
            </w:pPr>
            <w:r>
              <w:rPr>
                <w:snapToGrid w:val="0"/>
                <w:color w:val="auto"/>
                <w:w w:val="90"/>
              </w:rPr>
              <w:t>标准</w:t>
            </w:r>
          </w:p>
          <w:p>
            <w:pPr>
              <w:pStyle w:val="164"/>
              <w:rPr>
                <w:snapToGrid w:val="0"/>
                <w:color w:val="auto"/>
                <w:w w:val="90"/>
              </w:rPr>
            </w:pPr>
            <w:r>
              <w:rPr>
                <w:snapToGrid w:val="0"/>
                <w:color w:val="auto"/>
                <w:w w:val="90"/>
              </w:rPr>
              <w:t>限值</w:t>
            </w:r>
          </w:p>
        </w:tc>
        <w:tc>
          <w:tcPr>
            <w:tcW w:w="885" w:type="dxa"/>
            <w:vMerge w:val="restart"/>
            <w:vAlign w:val="center"/>
          </w:tcPr>
          <w:p>
            <w:pPr>
              <w:pStyle w:val="164"/>
              <w:rPr>
                <w:snapToGrid w:val="0"/>
                <w:color w:val="auto"/>
                <w:w w:val="90"/>
              </w:rPr>
            </w:pPr>
            <w:r>
              <w:rPr>
                <w:snapToGrid w:val="0"/>
                <w:color w:val="auto"/>
                <w:w w:val="90"/>
              </w:rPr>
              <w:t>达标</w:t>
            </w:r>
          </w:p>
          <w:p>
            <w:pPr>
              <w:pStyle w:val="164"/>
              <w:rPr>
                <w:snapToGrid w:val="0"/>
                <w:color w:val="auto"/>
                <w:w w:val="90"/>
              </w:rPr>
            </w:pPr>
            <w:r>
              <w:rPr>
                <w:snapToGrid w:val="0"/>
                <w:color w:val="auto"/>
                <w:w w:val="90"/>
              </w:rPr>
              <w:t>情况</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66" w:hRule="atLeast"/>
          <w:jc w:val="center"/>
        </w:trPr>
        <w:tc>
          <w:tcPr>
            <w:tcW w:w="1847" w:type="dxa"/>
            <w:vMerge w:val="continue"/>
            <w:tcBorders>
              <w:top w:val="single" w:color="000000" w:themeColor="text1" w:sz="6" w:space="0"/>
              <w:bottom w:val="single" w:color="000000" w:themeColor="text1" w:sz="6" w:space="0"/>
              <w:tl2br w:val="single" w:color="000000" w:themeColor="text1" w:sz="6" w:space="0"/>
            </w:tcBorders>
            <w:vAlign w:val="center"/>
          </w:tcPr>
          <w:p>
            <w:pPr>
              <w:pStyle w:val="164"/>
              <w:rPr>
                <w:snapToGrid w:val="0"/>
                <w:color w:val="auto"/>
                <w:w w:val="90"/>
              </w:rPr>
            </w:pPr>
          </w:p>
        </w:tc>
        <w:tc>
          <w:tcPr>
            <w:tcW w:w="1734" w:type="dxa"/>
            <w:vAlign w:val="center"/>
          </w:tcPr>
          <w:p>
            <w:pPr>
              <w:pStyle w:val="164"/>
              <w:spacing w:line="240" w:lineRule="auto"/>
              <w:rPr>
                <w:bCs/>
                <w:color w:val="auto"/>
                <w:w w:val="90"/>
              </w:rPr>
            </w:pPr>
            <w:r>
              <w:rPr>
                <w:bCs/>
                <w:color w:val="auto"/>
                <w:w w:val="90"/>
              </w:rPr>
              <w:t>表层</w:t>
            </w:r>
          </w:p>
          <w:p>
            <w:pPr>
              <w:pStyle w:val="164"/>
              <w:spacing w:line="240" w:lineRule="auto"/>
              <w:rPr>
                <w:bCs/>
                <w:color w:val="auto"/>
                <w:w w:val="90"/>
              </w:rPr>
            </w:pPr>
            <w:r>
              <w:rPr>
                <w:bCs/>
                <w:color w:val="auto"/>
                <w:w w:val="90"/>
              </w:rPr>
              <w:t>（0～0.5m）</w:t>
            </w:r>
          </w:p>
        </w:tc>
        <w:tc>
          <w:tcPr>
            <w:tcW w:w="1734" w:type="dxa"/>
            <w:vAlign w:val="center"/>
          </w:tcPr>
          <w:p>
            <w:pPr>
              <w:pStyle w:val="164"/>
              <w:spacing w:line="240" w:lineRule="auto"/>
              <w:rPr>
                <w:bCs/>
                <w:color w:val="auto"/>
                <w:w w:val="90"/>
              </w:rPr>
            </w:pPr>
            <w:r>
              <w:rPr>
                <w:bCs/>
                <w:color w:val="auto"/>
                <w:w w:val="90"/>
              </w:rPr>
              <w:t>中层</w:t>
            </w:r>
          </w:p>
          <w:p>
            <w:pPr>
              <w:pStyle w:val="164"/>
              <w:spacing w:line="240" w:lineRule="auto"/>
              <w:rPr>
                <w:bCs/>
                <w:color w:val="auto"/>
                <w:w w:val="90"/>
              </w:rPr>
            </w:pPr>
            <w:r>
              <w:rPr>
                <w:bCs/>
                <w:color w:val="auto"/>
                <w:w w:val="90"/>
              </w:rPr>
              <w:t>（0.5～1.5m）</w:t>
            </w:r>
          </w:p>
        </w:tc>
        <w:tc>
          <w:tcPr>
            <w:tcW w:w="1744" w:type="dxa"/>
            <w:vAlign w:val="center"/>
          </w:tcPr>
          <w:p>
            <w:pPr>
              <w:pStyle w:val="164"/>
              <w:spacing w:line="240" w:lineRule="auto"/>
              <w:rPr>
                <w:bCs/>
                <w:color w:val="auto"/>
                <w:w w:val="90"/>
              </w:rPr>
            </w:pPr>
            <w:r>
              <w:rPr>
                <w:bCs/>
                <w:color w:val="auto"/>
                <w:w w:val="90"/>
              </w:rPr>
              <w:t>深层</w:t>
            </w:r>
          </w:p>
          <w:p>
            <w:pPr>
              <w:pStyle w:val="164"/>
              <w:spacing w:line="240" w:lineRule="auto"/>
              <w:rPr>
                <w:bCs/>
                <w:color w:val="auto"/>
                <w:w w:val="90"/>
              </w:rPr>
            </w:pPr>
            <w:r>
              <w:rPr>
                <w:bCs/>
                <w:color w:val="auto"/>
                <w:w w:val="90"/>
              </w:rPr>
              <w:t>（1.5～3m）</w:t>
            </w:r>
          </w:p>
        </w:tc>
        <w:tc>
          <w:tcPr>
            <w:tcW w:w="786" w:type="dxa"/>
            <w:vMerge w:val="continue"/>
            <w:vAlign w:val="center"/>
          </w:tcPr>
          <w:p>
            <w:pPr>
              <w:pStyle w:val="164"/>
              <w:rPr>
                <w:bCs/>
                <w:snapToGrid w:val="0"/>
                <w:color w:val="auto"/>
                <w:w w:val="90"/>
              </w:rPr>
            </w:pPr>
          </w:p>
        </w:tc>
        <w:tc>
          <w:tcPr>
            <w:tcW w:w="885" w:type="dxa"/>
            <w:vMerge w:val="continue"/>
            <w:vAlign w:val="center"/>
          </w:tcPr>
          <w:p>
            <w:pPr>
              <w:pStyle w:val="164"/>
              <w:rPr>
                <w:bCs/>
                <w:snapToGrid w:val="0"/>
                <w:color w:val="auto"/>
                <w:w w:val="90"/>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8730" w:type="dxa"/>
            <w:gridSpan w:val="6"/>
            <w:vAlign w:val="center"/>
          </w:tcPr>
          <w:p>
            <w:pPr>
              <w:pStyle w:val="164"/>
              <w:rPr>
                <w:bCs/>
                <w:snapToGrid w:val="0"/>
                <w:color w:val="auto"/>
                <w:w w:val="90"/>
              </w:rPr>
            </w:pPr>
            <w:r>
              <w:rPr>
                <w:bCs/>
                <w:snapToGrid w:val="0"/>
                <w:color w:val="auto"/>
                <w:w w:val="90"/>
              </w:rPr>
              <w:t>金属和无机物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铜</w:t>
            </w:r>
          </w:p>
        </w:tc>
        <w:tc>
          <w:tcPr>
            <w:tcW w:w="1734" w:type="dxa"/>
            <w:vAlign w:val="bottom"/>
          </w:tcPr>
          <w:p>
            <w:pPr>
              <w:pStyle w:val="164"/>
              <w:rPr>
                <w:snapToGrid w:val="0"/>
                <w:color w:val="auto"/>
                <w:w w:val="90"/>
              </w:rPr>
            </w:pPr>
            <w:r>
              <w:rPr>
                <w:snapToGrid w:val="0"/>
                <w:color w:val="auto"/>
                <w:w w:val="90"/>
              </w:rPr>
              <w:t>16</w:t>
            </w:r>
          </w:p>
        </w:tc>
        <w:tc>
          <w:tcPr>
            <w:tcW w:w="1734" w:type="dxa"/>
            <w:vAlign w:val="bottom"/>
          </w:tcPr>
          <w:p>
            <w:pPr>
              <w:pStyle w:val="164"/>
              <w:rPr>
                <w:snapToGrid w:val="0"/>
                <w:color w:val="auto"/>
                <w:w w:val="90"/>
              </w:rPr>
            </w:pPr>
            <w:r>
              <w:rPr>
                <w:snapToGrid w:val="0"/>
                <w:color w:val="auto"/>
                <w:w w:val="90"/>
              </w:rPr>
              <w:t>17</w:t>
            </w:r>
          </w:p>
        </w:tc>
        <w:tc>
          <w:tcPr>
            <w:tcW w:w="1744" w:type="dxa"/>
            <w:vAlign w:val="bottom"/>
          </w:tcPr>
          <w:p>
            <w:pPr>
              <w:pStyle w:val="164"/>
              <w:rPr>
                <w:snapToGrid w:val="0"/>
                <w:color w:val="auto"/>
                <w:w w:val="90"/>
              </w:rPr>
            </w:pPr>
            <w:r>
              <w:rPr>
                <w:snapToGrid w:val="0"/>
                <w:color w:val="auto"/>
                <w:w w:val="90"/>
              </w:rPr>
              <w:t>17</w:t>
            </w:r>
          </w:p>
        </w:tc>
        <w:tc>
          <w:tcPr>
            <w:tcW w:w="786" w:type="dxa"/>
            <w:vAlign w:val="center"/>
          </w:tcPr>
          <w:p>
            <w:pPr>
              <w:pStyle w:val="164"/>
              <w:rPr>
                <w:snapToGrid w:val="0"/>
                <w:color w:val="auto"/>
                <w:w w:val="90"/>
              </w:rPr>
            </w:pPr>
            <w:r>
              <w:rPr>
                <w:snapToGrid w:val="0"/>
                <w:color w:val="auto"/>
                <w:w w:val="90"/>
              </w:rPr>
              <w:t>18000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镍</w:t>
            </w:r>
          </w:p>
        </w:tc>
        <w:tc>
          <w:tcPr>
            <w:tcW w:w="1734" w:type="dxa"/>
            <w:vAlign w:val="bottom"/>
          </w:tcPr>
          <w:p>
            <w:pPr>
              <w:pStyle w:val="164"/>
              <w:rPr>
                <w:snapToGrid w:val="0"/>
                <w:color w:val="auto"/>
                <w:w w:val="90"/>
              </w:rPr>
            </w:pPr>
            <w:r>
              <w:rPr>
                <w:snapToGrid w:val="0"/>
                <w:color w:val="auto"/>
                <w:w w:val="90"/>
              </w:rPr>
              <w:t>38</w:t>
            </w:r>
          </w:p>
        </w:tc>
        <w:tc>
          <w:tcPr>
            <w:tcW w:w="1734" w:type="dxa"/>
            <w:vAlign w:val="bottom"/>
          </w:tcPr>
          <w:p>
            <w:pPr>
              <w:pStyle w:val="164"/>
              <w:rPr>
                <w:snapToGrid w:val="0"/>
                <w:color w:val="auto"/>
                <w:w w:val="90"/>
              </w:rPr>
            </w:pPr>
            <w:r>
              <w:rPr>
                <w:snapToGrid w:val="0"/>
                <w:color w:val="auto"/>
                <w:w w:val="90"/>
              </w:rPr>
              <w:t>30</w:t>
            </w:r>
          </w:p>
        </w:tc>
        <w:tc>
          <w:tcPr>
            <w:tcW w:w="1744" w:type="dxa"/>
            <w:vAlign w:val="bottom"/>
          </w:tcPr>
          <w:p>
            <w:pPr>
              <w:pStyle w:val="164"/>
              <w:rPr>
                <w:snapToGrid w:val="0"/>
                <w:color w:val="auto"/>
                <w:w w:val="90"/>
              </w:rPr>
            </w:pPr>
            <w:r>
              <w:rPr>
                <w:snapToGrid w:val="0"/>
                <w:color w:val="auto"/>
                <w:w w:val="90"/>
              </w:rPr>
              <w:t>23</w:t>
            </w:r>
          </w:p>
        </w:tc>
        <w:tc>
          <w:tcPr>
            <w:tcW w:w="786" w:type="dxa"/>
            <w:vAlign w:val="center"/>
          </w:tcPr>
          <w:p>
            <w:pPr>
              <w:pStyle w:val="164"/>
              <w:rPr>
                <w:snapToGrid w:val="0"/>
                <w:color w:val="auto"/>
                <w:w w:val="90"/>
              </w:rPr>
            </w:pPr>
            <w:r>
              <w:rPr>
                <w:snapToGrid w:val="0"/>
                <w:color w:val="auto"/>
                <w:w w:val="90"/>
              </w:rPr>
              <w:t>900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铅</w:t>
            </w:r>
          </w:p>
        </w:tc>
        <w:tc>
          <w:tcPr>
            <w:tcW w:w="1734" w:type="dxa"/>
            <w:vAlign w:val="bottom"/>
          </w:tcPr>
          <w:p>
            <w:pPr>
              <w:pStyle w:val="164"/>
              <w:rPr>
                <w:snapToGrid w:val="0"/>
                <w:color w:val="auto"/>
                <w:w w:val="90"/>
              </w:rPr>
            </w:pPr>
            <w:r>
              <w:rPr>
                <w:snapToGrid w:val="0"/>
                <w:color w:val="auto"/>
                <w:w w:val="90"/>
              </w:rPr>
              <w:t>16</w:t>
            </w:r>
          </w:p>
        </w:tc>
        <w:tc>
          <w:tcPr>
            <w:tcW w:w="1734" w:type="dxa"/>
            <w:vAlign w:val="bottom"/>
          </w:tcPr>
          <w:p>
            <w:pPr>
              <w:pStyle w:val="164"/>
              <w:rPr>
                <w:snapToGrid w:val="0"/>
                <w:color w:val="auto"/>
                <w:w w:val="90"/>
              </w:rPr>
            </w:pPr>
            <w:r>
              <w:rPr>
                <w:snapToGrid w:val="0"/>
                <w:color w:val="auto"/>
                <w:w w:val="90"/>
              </w:rPr>
              <w:t>18</w:t>
            </w:r>
          </w:p>
        </w:tc>
        <w:tc>
          <w:tcPr>
            <w:tcW w:w="1744" w:type="dxa"/>
            <w:vAlign w:val="bottom"/>
          </w:tcPr>
          <w:p>
            <w:pPr>
              <w:pStyle w:val="164"/>
              <w:rPr>
                <w:snapToGrid w:val="0"/>
                <w:color w:val="auto"/>
                <w:w w:val="90"/>
              </w:rPr>
            </w:pPr>
            <w:r>
              <w:rPr>
                <w:snapToGrid w:val="0"/>
                <w:color w:val="auto"/>
                <w:w w:val="90"/>
              </w:rPr>
              <w:t>15</w:t>
            </w:r>
          </w:p>
        </w:tc>
        <w:tc>
          <w:tcPr>
            <w:tcW w:w="786" w:type="dxa"/>
            <w:vAlign w:val="center"/>
          </w:tcPr>
          <w:p>
            <w:pPr>
              <w:pStyle w:val="164"/>
              <w:rPr>
                <w:snapToGrid w:val="0"/>
                <w:color w:val="auto"/>
                <w:w w:val="90"/>
              </w:rPr>
            </w:pPr>
            <w:r>
              <w:rPr>
                <w:snapToGrid w:val="0"/>
                <w:color w:val="auto"/>
                <w:w w:val="90"/>
              </w:rPr>
              <w:t>800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镉</w:t>
            </w:r>
          </w:p>
        </w:tc>
        <w:tc>
          <w:tcPr>
            <w:tcW w:w="1734" w:type="dxa"/>
            <w:vAlign w:val="bottom"/>
          </w:tcPr>
          <w:p>
            <w:pPr>
              <w:pStyle w:val="164"/>
              <w:rPr>
                <w:snapToGrid w:val="0"/>
                <w:color w:val="auto"/>
                <w:w w:val="90"/>
              </w:rPr>
            </w:pPr>
            <w:r>
              <w:rPr>
                <w:snapToGrid w:val="0"/>
                <w:color w:val="auto"/>
                <w:w w:val="90"/>
              </w:rPr>
              <w:t>0.14</w:t>
            </w:r>
          </w:p>
        </w:tc>
        <w:tc>
          <w:tcPr>
            <w:tcW w:w="1734" w:type="dxa"/>
            <w:vAlign w:val="bottom"/>
          </w:tcPr>
          <w:p>
            <w:pPr>
              <w:pStyle w:val="164"/>
              <w:rPr>
                <w:snapToGrid w:val="0"/>
                <w:color w:val="auto"/>
                <w:w w:val="90"/>
              </w:rPr>
            </w:pPr>
            <w:r>
              <w:rPr>
                <w:snapToGrid w:val="0"/>
                <w:color w:val="auto"/>
                <w:w w:val="90"/>
              </w:rPr>
              <w:t>0.18</w:t>
            </w:r>
          </w:p>
        </w:tc>
        <w:tc>
          <w:tcPr>
            <w:tcW w:w="1744" w:type="dxa"/>
            <w:vAlign w:val="bottom"/>
          </w:tcPr>
          <w:p>
            <w:pPr>
              <w:pStyle w:val="164"/>
              <w:rPr>
                <w:snapToGrid w:val="0"/>
                <w:color w:val="auto"/>
                <w:w w:val="90"/>
              </w:rPr>
            </w:pPr>
            <w:r>
              <w:rPr>
                <w:snapToGrid w:val="0"/>
                <w:color w:val="auto"/>
                <w:w w:val="90"/>
              </w:rPr>
              <w:t>0.18</w:t>
            </w:r>
          </w:p>
        </w:tc>
        <w:tc>
          <w:tcPr>
            <w:tcW w:w="786" w:type="dxa"/>
            <w:vAlign w:val="center"/>
          </w:tcPr>
          <w:p>
            <w:pPr>
              <w:pStyle w:val="164"/>
              <w:rPr>
                <w:snapToGrid w:val="0"/>
                <w:color w:val="auto"/>
                <w:w w:val="90"/>
              </w:rPr>
            </w:pPr>
            <w:r>
              <w:rPr>
                <w:snapToGrid w:val="0"/>
                <w:color w:val="auto"/>
                <w:w w:val="90"/>
              </w:rPr>
              <w:t>65</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汞</w:t>
            </w:r>
          </w:p>
        </w:tc>
        <w:tc>
          <w:tcPr>
            <w:tcW w:w="1734" w:type="dxa"/>
            <w:vAlign w:val="bottom"/>
          </w:tcPr>
          <w:p>
            <w:pPr>
              <w:pStyle w:val="164"/>
              <w:rPr>
                <w:snapToGrid w:val="0"/>
                <w:color w:val="auto"/>
                <w:w w:val="90"/>
              </w:rPr>
            </w:pPr>
            <w:r>
              <w:rPr>
                <w:snapToGrid w:val="0"/>
                <w:color w:val="auto"/>
                <w:w w:val="90"/>
              </w:rPr>
              <w:t>0.183</w:t>
            </w:r>
          </w:p>
        </w:tc>
        <w:tc>
          <w:tcPr>
            <w:tcW w:w="1734" w:type="dxa"/>
            <w:vAlign w:val="bottom"/>
          </w:tcPr>
          <w:p>
            <w:pPr>
              <w:pStyle w:val="164"/>
              <w:rPr>
                <w:snapToGrid w:val="0"/>
                <w:color w:val="auto"/>
                <w:w w:val="90"/>
              </w:rPr>
            </w:pPr>
            <w:r>
              <w:rPr>
                <w:snapToGrid w:val="0"/>
                <w:color w:val="auto"/>
                <w:w w:val="90"/>
              </w:rPr>
              <w:t>0.193</w:t>
            </w:r>
          </w:p>
        </w:tc>
        <w:tc>
          <w:tcPr>
            <w:tcW w:w="1744" w:type="dxa"/>
            <w:vAlign w:val="bottom"/>
          </w:tcPr>
          <w:p>
            <w:pPr>
              <w:pStyle w:val="164"/>
              <w:rPr>
                <w:snapToGrid w:val="0"/>
                <w:color w:val="auto"/>
                <w:w w:val="90"/>
              </w:rPr>
            </w:pPr>
            <w:r>
              <w:rPr>
                <w:snapToGrid w:val="0"/>
                <w:color w:val="auto"/>
                <w:w w:val="90"/>
              </w:rPr>
              <w:t>0.180</w:t>
            </w:r>
          </w:p>
        </w:tc>
        <w:tc>
          <w:tcPr>
            <w:tcW w:w="786" w:type="dxa"/>
            <w:vAlign w:val="center"/>
          </w:tcPr>
          <w:p>
            <w:pPr>
              <w:pStyle w:val="164"/>
              <w:rPr>
                <w:snapToGrid w:val="0"/>
                <w:color w:val="auto"/>
                <w:w w:val="90"/>
              </w:rPr>
            </w:pPr>
            <w:r>
              <w:rPr>
                <w:snapToGrid w:val="0"/>
                <w:color w:val="auto"/>
                <w:w w:val="90"/>
              </w:rPr>
              <w:t>38</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66" w:hRule="atLeast"/>
          <w:jc w:val="center"/>
        </w:trPr>
        <w:tc>
          <w:tcPr>
            <w:tcW w:w="1847" w:type="dxa"/>
            <w:vAlign w:val="center"/>
          </w:tcPr>
          <w:p>
            <w:pPr>
              <w:pStyle w:val="164"/>
              <w:rPr>
                <w:snapToGrid w:val="0"/>
                <w:color w:val="auto"/>
                <w:w w:val="90"/>
              </w:rPr>
            </w:pPr>
            <w:r>
              <w:rPr>
                <w:snapToGrid w:val="0"/>
                <w:color w:val="auto"/>
                <w:w w:val="90"/>
              </w:rPr>
              <w:t>砷</w:t>
            </w:r>
          </w:p>
        </w:tc>
        <w:tc>
          <w:tcPr>
            <w:tcW w:w="1734" w:type="dxa"/>
            <w:vAlign w:val="bottom"/>
          </w:tcPr>
          <w:p>
            <w:pPr>
              <w:pStyle w:val="164"/>
              <w:rPr>
                <w:snapToGrid w:val="0"/>
                <w:color w:val="auto"/>
                <w:w w:val="90"/>
              </w:rPr>
            </w:pPr>
            <w:r>
              <w:rPr>
                <w:snapToGrid w:val="0"/>
                <w:color w:val="auto"/>
                <w:w w:val="90"/>
              </w:rPr>
              <w:t>11.3</w:t>
            </w:r>
          </w:p>
        </w:tc>
        <w:tc>
          <w:tcPr>
            <w:tcW w:w="1734" w:type="dxa"/>
            <w:vAlign w:val="bottom"/>
          </w:tcPr>
          <w:p>
            <w:pPr>
              <w:pStyle w:val="164"/>
              <w:rPr>
                <w:snapToGrid w:val="0"/>
                <w:color w:val="auto"/>
                <w:w w:val="90"/>
              </w:rPr>
            </w:pPr>
            <w:r>
              <w:rPr>
                <w:snapToGrid w:val="0"/>
                <w:color w:val="auto"/>
                <w:w w:val="90"/>
              </w:rPr>
              <w:t>9.86</w:t>
            </w:r>
          </w:p>
        </w:tc>
        <w:tc>
          <w:tcPr>
            <w:tcW w:w="1744" w:type="dxa"/>
            <w:vAlign w:val="bottom"/>
          </w:tcPr>
          <w:p>
            <w:pPr>
              <w:pStyle w:val="164"/>
              <w:rPr>
                <w:snapToGrid w:val="0"/>
                <w:color w:val="auto"/>
                <w:w w:val="90"/>
              </w:rPr>
            </w:pPr>
            <w:r>
              <w:rPr>
                <w:snapToGrid w:val="0"/>
                <w:color w:val="auto"/>
                <w:w w:val="90"/>
              </w:rPr>
              <w:t>9.90</w:t>
            </w:r>
          </w:p>
        </w:tc>
        <w:tc>
          <w:tcPr>
            <w:tcW w:w="786" w:type="dxa"/>
            <w:vAlign w:val="center"/>
          </w:tcPr>
          <w:p>
            <w:pPr>
              <w:pStyle w:val="164"/>
              <w:rPr>
                <w:snapToGrid w:val="0"/>
                <w:color w:val="auto"/>
                <w:w w:val="90"/>
              </w:rPr>
            </w:pPr>
            <w:r>
              <w:rPr>
                <w:snapToGrid w:val="0"/>
                <w:color w:val="auto"/>
                <w:w w:val="90"/>
              </w:rPr>
              <w:t>60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铬（六价）</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5.7</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8730" w:type="dxa"/>
            <w:gridSpan w:val="6"/>
            <w:vAlign w:val="center"/>
          </w:tcPr>
          <w:p>
            <w:pPr>
              <w:pStyle w:val="164"/>
              <w:rPr>
                <w:bCs/>
                <w:snapToGrid w:val="0"/>
                <w:color w:val="auto"/>
                <w:w w:val="90"/>
              </w:rPr>
            </w:pPr>
            <w:r>
              <w:rPr>
                <w:bCs/>
                <w:snapToGrid w:val="0"/>
                <w:color w:val="auto"/>
                <w:w w:val="90"/>
              </w:rPr>
              <w:t>挥发性有机物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氯甲烷</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37</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氯乙烯</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0.43</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1,1-二氯乙烯</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66</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二氯甲烷</w:t>
            </w:r>
          </w:p>
        </w:tc>
        <w:tc>
          <w:tcPr>
            <w:tcW w:w="1734" w:type="dxa"/>
          </w:tcPr>
          <w:p>
            <w:pPr>
              <w:pStyle w:val="164"/>
              <w:rPr>
                <w:snapToGrid w:val="0"/>
                <w:color w:val="auto"/>
                <w:w w:val="90"/>
              </w:rPr>
            </w:pPr>
            <w:r>
              <w:rPr>
                <w:snapToGrid w:val="0"/>
                <w:color w:val="auto"/>
                <w:w w:val="90"/>
              </w:rPr>
              <w:t>0.0046</w:t>
            </w:r>
          </w:p>
        </w:tc>
        <w:tc>
          <w:tcPr>
            <w:tcW w:w="1734" w:type="dxa"/>
          </w:tcPr>
          <w:p>
            <w:pPr>
              <w:pStyle w:val="164"/>
              <w:rPr>
                <w:snapToGrid w:val="0"/>
                <w:color w:val="auto"/>
                <w:w w:val="90"/>
              </w:rPr>
            </w:pPr>
            <w:r>
              <w:rPr>
                <w:snapToGrid w:val="0"/>
                <w:color w:val="auto"/>
                <w:w w:val="90"/>
              </w:rPr>
              <w:t>0.0046</w:t>
            </w:r>
          </w:p>
        </w:tc>
        <w:tc>
          <w:tcPr>
            <w:tcW w:w="1744" w:type="dxa"/>
          </w:tcPr>
          <w:p>
            <w:pPr>
              <w:pStyle w:val="164"/>
              <w:rPr>
                <w:snapToGrid w:val="0"/>
                <w:color w:val="auto"/>
                <w:w w:val="90"/>
              </w:rPr>
            </w:pPr>
            <w:r>
              <w:rPr>
                <w:snapToGrid w:val="0"/>
                <w:color w:val="auto"/>
                <w:w w:val="90"/>
              </w:rPr>
              <w:t>0.0041</w:t>
            </w:r>
          </w:p>
        </w:tc>
        <w:tc>
          <w:tcPr>
            <w:tcW w:w="786" w:type="dxa"/>
          </w:tcPr>
          <w:p>
            <w:pPr>
              <w:pStyle w:val="164"/>
              <w:rPr>
                <w:snapToGrid w:val="0"/>
                <w:color w:val="auto"/>
                <w:w w:val="90"/>
              </w:rPr>
            </w:pPr>
            <w:r>
              <w:rPr>
                <w:snapToGrid w:val="0"/>
                <w:color w:val="auto"/>
                <w:w w:val="90"/>
              </w:rPr>
              <w:t>616</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反式-1,2-二氯乙烯</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54</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1,1-二氯乙烷</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9</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顺式-1,2-二氯乙烯</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596</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氯仿</w:t>
            </w:r>
          </w:p>
        </w:tc>
        <w:tc>
          <w:tcPr>
            <w:tcW w:w="1734" w:type="dxa"/>
          </w:tcPr>
          <w:p>
            <w:pPr>
              <w:pStyle w:val="164"/>
              <w:rPr>
                <w:snapToGrid w:val="0"/>
                <w:color w:val="auto"/>
                <w:w w:val="90"/>
              </w:rPr>
            </w:pPr>
            <w:r>
              <w:rPr>
                <w:snapToGrid w:val="0"/>
                <w:color w:val="auto"/>
                <w:w w:val="90"/>
              </w:rPr>
              <w:t>0.0098</w:t>
            </w:r>
          </w:p>
        </w:tc>
        <w:tc>
          <w:tcPr>
            <w:tcW w:w="1734" w:type="dxa"/>
          </w:tcPr>
          <w:p>
            <w:pPr>
              <w:pStyle w:val="164"/>
              <w:rPr>
                <w:snapToGrid w:val="0"/>
                <w:color w:val="auto"/>
                <w:w w:val="90"/>
              </w:rPr>
            </w:pPr>
            <w:r>
              <w:rPr>
                <w:snapToGrid w:val="0"/>
                <w:color w:val="auto"/>
                <w:w w:val="90"/>
              </w:rPr>
              <w:t>0.0095</w:t>
            </w:r>
          </w:p>
        </w:tc>
        <w:tc>
          <w:tcPr>
            <w:tcW w:w="1744" w:type="dxa"/>
          </w:tcPr>
          <w:p>
            <w:pPr>
              <w:pStyle w:val="164"/>
              <w:rPr>
                <w:snapToGrid w:val="0"/>
                <w:color w:val="auto"/>
                <w:w w:val="90"/>
              </w:rPr>
            </w:pPr>
            <w:r>
              <w:rPr>
                <w:snapToGrid w:val="0"/>
                <w:color w:val="auto"/>
                <w:w w:val="90"/>
              </w:rPr>
              <w:t>0.0094</w:t>
            </w:r>
          </w:p>
        </w:tc>
        <w:tc>
          <w:tcPr>
            <w:tcW w:w="786" w:type="dxa"/>
          </w:tcPr>
          <w:p>
            <w:pPr>
              <w:pStyle w:val="164"/>
              <w:rPr>
                <w:snapToGrid w:val="0"/>
                <w:color w:val="auto"/>
                <w:w w:val="90"/>
              </w:rPr>
            </w:pPr>
            <w:r>
              <w:rPr>
                <w:snapToGrid w:val="0"/>
                <w:color w:val="auto"/>
                <w:w w:val="90"/>
              </w:rPr>
              <w:t>0.9</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1,1,1-三氯乙烷</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840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四氯化碳</w:t>
            </w:r>
          </w:p>
        </w:tc>
        <w:tc>
          <w:tcPr>
            <w:tcW w:w="1734" w:type="dxa"/>
          </w:tcPr>
          <w:p>
            <w:pPr>
              <w:pStyle w:val="164"/>
              <w:rPr>
                <w:snapToGrid w:val="0"/>
                <w:color w:val="auto"/>
                <w:w w:val="90"/>
              </w:rPr>
            </w:pPr>
            <w:r>
              <w:rPr>
                <w:snapToGrid w:val="0"/>
                <w:color w:val="auto"/>
                <w:w w:val="90"/>
              </w:rPr>
              <w:t>0.0041</w:t>
            </w:r>
          </w:p>
        </w:tc>
        <w:tc>
          <w:tcPr>
            <w:tcW w:w="1734" w:type="dxa"/>
          </w:tcPr>
          <w:p>
            <w:pPr>
              <w:pStyle w:val="164"/>
              <w:rPr>
                <w:snapToGrid w:val="0"/>
                <w:color w:val="auto"/>
                <w:w w:val="90"/>
              </w:rPr>
            </w:pPr>
            <w:r>
              <w:rPr>
                <w:snapToGrid w:val="0"/>
                <w:color w:val="auto"/>
                <w:w w:val="90"/>
              </w:rPr>
              <w:t>0.0039</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2.8</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苯</w:t>
            </w:r>
          </w:p>
        </w:tc>
        <w:tc>
          <w:tcPr>
            <w:tcW w:w="1734" w:type="dxa"/>
          </w:tcPr>
          <w:p>
            <w:pPr>
              <w:pStyle w:val="164"/>
              <w:rPr>
                <w:snapToGrid w:val="0"/>
                <w:color w:val="auto"/>
                <w:w w:val="90"/>
              </w:rPr>
            </w:pPr>
            <w:r>
              <w:rPr>
                <w:snapToGrid w:val="0"/>
                <w:color w:val="auto"/>
                <w:w w:val="90"/>
              </w:rPr>
              <w:t>0.0058</w:t>
            </w:r>
          </w:p>
        </w:tc>
        <w:tc>
          <w:tcPr>
            <w:tcW w:w="1734" w:type="dxa"/>
          </w:tcPr>
          <w:p>
            <w:pPr>
              <w:pStyle w:val="164"/>
              <w:rPr>
                <w:snapToGrid w:val="0"/>
                <w:color w:val="auto"/>
                <w:w w:val="90"/>
              </w:rPr>
            </w:pPr>
            <w:r>
              <w:rPr>
                <w:snapToGrid w:val="0"/>
                <w:color w:val="auto"/>
                <w:w w:val="90"/>
              </w:rPr>
              <w:t>0.0055</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4</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1,2-二氯乙烷</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5</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三氯乙烯</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2.8</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1,2-二氯丙烷</w:t>
            </w:r>
          </w:p>
        </w:tc>
        <w:tc>
          <w:tcPr>
            <w:tcW w:w="1734" w:type="dxa"/>
          </w:tcPr>
          <w:p>
            <w:pPr>
              <w:pStyle w:val="164"/>
              <w:rPr>
                <w:snapToGrid w:val="0"/>
                <w:color w:val="auto"/>
                <w:w w:val="90"/>
              </w:rPr>
            </w:pPr>
            <w:r>
              <w:rPr>
                <w:snapToGrid w:val="0"/>
                <w:color w:val="auto"/>
                <w:w w:val="90"/>
              </w:rPr>
              <w:t>ND</w:t>
            </w:r>
          </w:p>
        </w:tc>
        <w:tc>
          <w:tcPr>
            <w:tcW w:w="1734" w:type="dxa"/>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5</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甲苯</w:t>
            </w:r>
          </w:p>
        </w:tc>
        <w:tc>
          <w:tcPr>
            <w:tcW w:w="1734" w:type="dxa"/>
          </w:tcPr>
          <w:p>
            <w:pPr>
              <w:pStyle w:val="164"/>
              <w:rPr>
                <w:snapToGrid w:val="0"/>
                <w:color w:val="auto"/>
                <w:w w:val="90"/>
              </w:rPr>
            </w:pPr>
            <w:r>
              <w:rPr>
                <w:snapToGrid w:val="0"/>
                <w:color w:val="auto"/>
                <w:w w:val="90"/>
              </w:rPr>
              <w:t>0.0083</w:t>
            </w:r>
          </w:p>
        </w:tc>
        <w:tc>
          <w:tcPr>
            <w:tcW w:w="1734" w:type="dxa"/>
          </w:tcPr>
          <w:p>
            <w:pPr>
              <w:pStyle w:val="164"/>
              <w:rPr>
                <w:snapToGrid w:val="0"/>
                <w:color w:val="auto"/>
                <w:w w:val="90"/>
              </w:rPr>
            </w:pPr>
            <w:r>
              <w:rPr>
                <w:snapToGrid w:val="0"/>
                <w:color w:val="auto"/>
                <w:w w:val="90"/>
              </w:rPr>
              <w:t>0.0080</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1200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66" w:hRule="atLeast"/>
          <w:jc w:val="center"/>
        </w:trPr>
        <w:tc>
          <w:tcPr>
            <w:tcW w:w="1847" w:type="dxa"/>
            <w:vAlign w:val="bottom"/>
          </w:tcPr>
          <w:p>
            <w:pPr>
              <w:pStyle w:val="164"/>
              <w:rPr>
                <w:snapToGrid w:val="0"/>
                <w:color w:val="auto"/>
                <w:w w:val="90"/>
              </w:rPr>
            </w:pPr>
            <w:r>
              <w:rPr>
                <w:snapToGrid w:val="0"/>
                <w:color w:val="auto"/>
                <w:w w:val="90"/>
              </w:rPr>
              <w:t>1,1,2-三氯乙烷</w:t>
            </w:r>
          </w:p>
        </w:tc>
        <w:tc>
          <w:tcPr>
            <w:tcW w:w="1734" w:type="dxa"/>
            <w:vAlign w:val="bottom"/>
          </w:tcPr>
          <w:p>
            <w:pPr>
              <w:pStyle w:val="164"/>
              <w:rPr>
                <w:snapToGrid w:val="0"/>
                <w:color w:val="auto"/>
                <w:w w:val="90"/>
              </w:rPr>
            </w:pPr>
            <w:r>
              <w:rPr>
                <w:snapToGrid w:val="0"/>
                <w:color w:val="auto"/>
                <w:w w:val="90"/>
              </w:rPr>
              <w:t>ND</w:t>
            </w:r>
          </w:p>
        </w:tc>
        <w:tc>
          <w:tcPr>
            <w:tcW w:w="1734" w:type="dxa"/>
            <w:vAlign w:val="bottom"/>
          </w:tcPr>
          <w:p>
            <w:pPr>
              <w:pStyle w:val="164"/>
              <w:rPr>
                <w:snapToGrid w:val="0"/>
                <w:color w:val="auto"/>
                <w:w w:val="90"/>
              </w:rPr>
            </w:pPr>
            <w:r>
              <w:rPr>
                <w:snapToGrid w:val="0"/>
                <w:color w:val="auto"/>
                <w:w w:val="90"/>
              </w:rPr>
              <w:t>ND</w:t>
            </w:r>
          </w:p>
        </w:tc>
        <w:tc>
          <w:tcPr>
            <w:tcW w:w="1744" w:type="dxa"/>
            <w:vAlign w:val="bottom"/>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2.8</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四氯乙烯</w:t>
            </w:r>
          </w:p>
        </w:tc>
        <w:tc>
          <w:tcPr>
            <w:tcW w:w="1734" w:type="dxa"/>
            <w:vAlign w:val="bottom"/>
          </w:tcPr>
          <w:p>
            <w:pPr>
              <w:pStyle w:val="164"/>
              <w:rPr>
                <w:snapToGrid w:val="0"/>
                <w:color w:val="auto"/>
                <w:w w:val="90"/>
              </w:rPr>
            </w:pPr>
            <w:r>
              <w:rPr>
                <w:snapToGrid w:val="0"/>
                <w:color w:val="auto"/>
                <w:w w:val="90"/>
              </w:rPr>
              <w:t>0.0311</w:t>
            </w:r>
          </w:p>
        </w:tc>
        <w:tc>
          <w:tcPr>
            <w:tcW w:w="1734" w:type="dxa"/>
            <w:vAlign w:val="bottom"/>
          </w:tcPr>
          <w:p>
            <w:pPr>
              <w:pStyle w:val="164"/>
              <w:rPr>
                <w:snapToGrid w:val="0"/>
                <w:color w:val="auto"/>
                <w:w w:val="90"/>
              </w:rPr>
            </w:pPr>
            <w:r>
              <w:rPr>
                <w:snapToGrid w:val="0"/>
                <w:color w:val="auto"/>
                <w:w w:val="90"/>
              </w:rPr>
              <w:t>0.0159</w:t>
            </w:r>
          </w:p>
        </w:tc>
        <w:tc>
          <w:tcPr>
            <w:tcW w:w="1744" w:type="dxa"/>
            <w:vAlign w:val="bottom"/>
          </w:tcPr>
          <w:p>
            <w:pPr>
              <w:pStyle w:val="164"/>
              <w:rPr>
                <w:snapToGrid w:val="0"/>
                <w:color w:val="auto"/>
                <w:w w:val="90"/>
              </w:rPr>
            </w:pPr>
            <w:r>
              <w:rPr>
                <w:snapToGrid w:val="0"/>
                <w:color w:val="auto"/>
                <w:w w:val="90"/>
              </w:rPr>
              <w:t>0.0151</w:t>
            </w:r>
          </w:p>
        </w:tc>
        <w:tc>
          <w:tcPr>
            <w:tcW w:w="786" w:type="dxa"/>
          </w:tcPr>
          <w:p>
            <w:pPr>
              <w:pStyle w:val="164"/>
              <w:rPr>
                <w:snapToGrid w:val="0"/>
                <w:color w:val="auto"/>
                <w:w w:val="90"/>
              </w:rPr>
            </w:pPr>
            <w:r>
              <w:rPr>
                <w:snapToGrid w:val="0"/>
                <w:color w:val="auto"/>
                <w:w w:val="90"/>
              </w:rPr>
              <w:t>53</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氯苯</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270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1,1,1,2-四氯乙烷</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10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乙苯</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28</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间，对-二甲苯</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570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66" w:hRule="atLeast"/>
          <w:jc w:val="center"/>
        </w:trPr>
        <w:tc>
          <w:tcPr>
            <w:tcW w:w="1847" w:type="dxa"/>
            <w:vAlign w:val="bottom"/>
          </w:tcPr>
          <w:p>
            <w:pPr>
              <w:pStyle w:val="164"/>
              <w:rPr>
                <w:snapToGrid w:val="0"/>
                <w:color w:val="auto"/>
                <w:w w:val="90"/>
              </w:rPr>
            </w:pPr>
            <w:r>
              <w:rPr>
                <w:snapToGrid w:val="0"/>
                <w:color w:val="auto"/>
                <w:w w:val="90"/>
              </w:rPr>
              <w:t>邻-二甲苯</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640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苯乙烯</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1290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1,1,2,2-四氯乙烷</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6.8</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1,2,3-三氯丙烷</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0.5</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1,4-二氯苯</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20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bottom"/>
          </w:tcPr>
          <w:p>
            <w:pPr>
              <w:pStyle w:val="164"/>
              <w:rPr>
                <w:snapToGrid w:val="0"/>
                <w:color w:val="auto"/>
                <w:w w:val="90"/>
              </w:rPr>
            </w:pPr>
            <w:r>
              <w:rPr>
                <w:snapToGrid w:val="0"/>
                <w:color w:val="auto"/>
                <w:w w:val="90"/>
              </w:rPr>
              <w:t>1,2-二氯苯</w:t>
            </w:r>
          </w:p>
        </w:tc>
        <w:tc>
          <w:tcPr>
            <w:tcW w:w="1734" w:type="dxa"/>
            <w:vAlign w:val="bottom"/>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tcPr>
          <w:p>
            <w:pPr>
              <w:pStyle w:val="164"/>
              <w:rPr>
                <w:snapToGrid w:val="0"/>
                <w:color w:val="auto"/>
                <w:w w:val="90"/>
              </w:rPr>
            </w:pPr>
            <w:r>
              <w:rPr>
                <w:snapToGrid w:val="0"/>
                <w:color w:val="auto"/>
                <w:w w:val="90"/>
              </w:rPr>
              <w:t>560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8730" w:type="dxa"/>
            <w:gridSpan w:val="6"/>
            <w:vAlign w:val="center"/>
          </w:tcPr>
          <w:p>
            <w:pPr>
              <w:pStyle w:val="164"/>
              <w:rPr>
                <w:snapToGrid w:val="0"/>
                <w:color w:val="auto"/>
                <w:w w:val="90"/>
              </w:rPr>
            </w:pPr>
            <w:r>
              <w:rPr>
                <w:snapToGrid w:val="0"/>
                <w:color w:val="auto"/>
                <w:w w:val="90"/>
              </w:rPr>
              <w:t>半挥发性有机物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硝基苯</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76</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苯胺</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260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2-氯酚</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2256</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苯并[a]蒽</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15</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苯并[a]芘</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1.5</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苯并[b]荧蒽</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15</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66" w:hRule="atLeast"/>
          <w:jc w:val="center"/>
        </w:trPr>
        <w:tc>
          <w:tcPr>
            <w:tcW w:w="1847" w:type="dxa"/>
            <w:vAlign w:val="center"/>
          </w:tcPr>
          <w:p>
            <w:pPr>
              <w:pStyle w:val="164"/>
              <w:rPr>
                <w:snapToGrid w:val="0"/>
                <w:color w:val="auto"/>
                <w:w w:val="90"/>
              </w:rPr>
            </w:pPr>
            <w:r>
              <w:rPr>
                <w:snapToGrid w:val="0"/>
                <w:color w:val="auto"/>
                <w:w w:val="90"/>
              </w:rPr>
              <w:t>苯并[k]荧蒽</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151</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䓛</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1293</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二苯并[a,h]蒽</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1.5</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茚并[1,2,3-cd]芘</w:t>
            </w:r>
          </w:p>
        </w:tc>
        <w:tc>
          <w:tcPr>
            <w:tcW w:w="1734" w:type="dxa"/>
            <w:vAlign w:val="center"/>
          </w:tcPr>
          <w:p>
            <w:pPr>
              <w:pStyle w:val="164"/>
              <w:rPr>
                <w:snapToGrid w:val="0"/>
                <w:color w:val="auto"/>
                <w:w w:val="90"/>
              </w:rPr>
            </w:pPr>
            <w:r>
              <w:rPr>
                <w:snapToGrid w:val="0"/>
                <w:color w:val="auto"/>
                <w:w w:val="90"/>
              </w:rPr>
              <w:t>ND</w:t>
            </w:r>
          </w:p>
        </w:tc>
        <w:tc>
          <w:tcPr>
            <w:tcW w:w="1734" w:type="dxa"/>
            <w:vAlign w:val="center"/>
          </w:tcPr>
          <w:p>
            <w:pPr>
              <w:pStyle w:val="164"/>
              <w:rPr>
                <w:snapToGrid w:val="0"/>
                <w:color w:val="auto"/>
                <w:w w:val="90"/>
              </w:rPr>
            </w:pPr>
            <w:r>
              <w:rPr>
                <w:snapToGrid w:val="0"/>
                <w:color w:val="auto"/>
                <w:w w:val="90"/>
              </w:rPr>
              <w:t>ND</w:t>
            </w:r>
          </w:p>
        </w:tc>
        <w:tc>
          <w:tcPr>
            <w:tcW w:w="1744" w:type="dxa"/>
            <w:vAlign w:val="center"/>
          </w:tcPr>
          <w:p>
            <w:pPr>
              <w:pStyle w:val="164"/>
              <w:rPr>
                <w:snapToGrid w:val="0"/>
                <w:color w:val="auto"/>
                <w:w w:val="90"/>
              </w:rPr>
            </w:pPr>
            <w:r>
              <w:rPr>
                <w:snapToGrid w:val="0"/>
                <w:color w:val="auto"/>
                <w:w w:val="90"/>
              </w:rPr>
              <w:t>ND</w:t>
            </w:r>
          </w:p>
        </w:tc>
        <w:tc>
          <w:tcPr>
            <w:tcW w:w="786" w:type="dxa"/>
            <w:vAlign w:val="center"/>
          </w:tcPr>
          <w:p>
            <w:pPr>
              <w:pStyle w:val="164"/>
              <w:rPr>
                <w:snapToGrid w:val="0"/>
                <w:color w:val="auto"/>
                <w:w w:val="90"/>
              </w:rPr>
            </w:pPr>
            <w:r>
              <w:rPr>
                <w:snapToGrid w:val="0"/>
                <w:color w:val="auto"/>
                <w:w w:val="90"/>
              </w:rPr>
              <w:t>15</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萘</w:t>
            </w:r>
          </w:p>
        </w:tc>
        <w:tc>
          <w:tcPr>
            <w:tcW w:w="1734" w:type="dxa"/>
            <w:vAlign w:val="center"/>
          </w:tcPr>
          <w:p>
            <w:pPr>
              <w:pStyle w:val="164"/>
              <w:rPr>
                <w:snapToGrid w:val="0"/>
                <w:color w:val="auto"/>
                <w:w w:val="90"/>
              </w:rPr>
            </w:pPr>
            <w:r>
              <w:rPr>
                <w:snapToGrid w:val="0"/>
                <w:color w:val="auto"/>
                <w:w w:val="90"/>
              </w:rPr>
              <w:t>0.0101</w:t>
            </w:r>
          </w:p>
        </w:tc>
        <w:tc>
          <w:tcPr>
            <w:tcW w:w="1734" w:type="dxa"/>
            <w:vAlign w:val="center"/>
          </w:tcPr>
          <w:p>
            <w:pPr>
              <w:pStyle w:val="164"/>
              <w:rPr>
                <w:snapToGrid w:val="0"/>
                <w:color w:val="auto"/>
                <w:w w:val="90"/>
              </w:rPr>
            </w:pPr>
            <w:r>
              <w:rPr>
                <w:snapToGrid w:val="0"/>
                <w:color w:val="auto"/>
                <w:w w:val="90"/>
              </w:rPr>
              <w:t>0.0098</w:t>
            </w:r>
          </w:p>
        </w:tc>
        <w:tc>
          <w:tcPr>
            <w:tcW w:w="1744" w:type="dxa"/>
            <w:vAlign w:val="center"/>
          </w:tcPr>
          <w:p>
            <w:pPr>
              <w:pStyle w:val="164"/>
              <w:rPr>
                <w:snapToGrid w:val="0"/>
                <w:color w:val="auto"/>
                <w:w w:val="90"/>
              </w:rPr>
            </w:pPr>
            <w:r>
              <w:rPr>
                <w:snapToGrid w:val="0"/>
                <w:color w:val="auto"/>
                <w:w w:val="90"/>
              </w:rPr>
              <w:t>0.0097</w:t>
            </w:r>
          </w:p>
        </w:tc>
        <w:tc>
          <w:tcPr>
            <w:tcW w:w="786" w:type="dxa"/>
            <w:vAlign w:val="center"/>
          </w:tcPr>
          <w:p>
            <w:pPr>
              <w:pStyle w:val="164"/>
              <w:rPr>
                <w:snapToGrid w:val="0"/>
                <w:color w:val="auto"/>
                <w:w w:val="90"/>
              </w:rPr>
            </w:pPr>
            <w:r>
              <w:rPr>
                <w:snapToGrid w:val="0"/>
                <w:color w:val="auto"/>
                <w:w w:val="90"/>
              </w:rPr>
              <w:t>70</w:t>
            </w:r>
          </w:p>
        </w:tc>
        <w:tc>
          <w:tcPr>
            <w:tcW w:w="885"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8730" w:type="dxa"/>
            <w:gridSpan w:val="6"/>
            <w:vAlign w:val="center"/>
          </w:tcPr>
          <w:p>
            <w:pPr>
              <w:pStyle w:val="164"/>
              <w:rPr>
                <w:snapToGrid w:val="0"/>
                <w:color w:val="auto"/>
                <w:w w:val="90"/>
              </w:rPr>
            </w:pPr>
            <w:r>
              <w:rPr>
                <w:snapToGrid w:val="0"/>
                <w:color w:val="auto"/>
                <w:w w:val="90"/>
              </w:rPr>
              <w:t>理化性质</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54" w:hRule="atLeast"/>
          <w:jc w:val="center"/>
        </w:trPr>
        <w:tc>
          <w:tcPr>
            <w:tcW w:w="1847" w:type="dxa"/>
            <w:vAlign w:val="center"/>
          </w:tcPr>
          <w:p>
            <w:pPr>
              <w:pStyle w:val="164"/>
              <w:rPr>
                <w:snapToGrid w:val="0"/>
                <w:color w:val="auto"/>
                <w:w w:val="90"/>
              </w:rPr>
            </w:pPr>
            <w:r>
              <w:rPr>
                <w:snapToGrid w:val="0"/>
                <w:color w:val="auto"/>
                <w:w w:val="90"/>
              </w:rPr>
              <w:t>pH</w:t>
            </w:r>
          </w:p>
        </w:tc>
        <w:tc>
          <w:tcPr>
            <w:tcW w:w="1734" w:type="dxa"/>
            <w:vAlign w:val="center"/>
          </w:tcPr>
          <w:p>
            <w:pPr>
              <w:pStyle w:val="164"/>
              <w:rPr>
                <w:snapToGrid w:val="0"/>
                <w:color w:val="auto"/>
                <w:w w:val="90"/>
              </w:rPr>
            </w:pPr>
            <w:r>
              <w:rPr>
                <w:snapToGrid w:val="0"/>
                <w:color w:val="auto"/>
                <w:w w:val="90"/>
              </w:rPr>
              <w:t>7.86</w:t>
            </w:r>
          </w:p>
        </w:tc>
        <w:tc>
          <w:tcPr>
            <w:tcW w:w="1734" w:type="dxa"/>
            <w:vAlign w:val="center"/>
          </w:tcPr>
          <w:p>
            <w:pPr>
              <w:pStyle w:val="164"/>
              <w:rPr>
                <w:snapToGrid w:val="0"/>
                <w:color w:val="auto"/>
                <w:w w:val="90"/>
              </w:rPr>
            </w:pPr>
            <w:r>
              <w:rPr>
                <w:snapToGrid w:val="0"/>
                <w:color w:val="auto"/>
                <w:w w:val="90"/>
              </w:rPr>
              <w:t>/</w:t>
            </w:r>
          </w:p>
        </w:tc>
        <w:tc>
          <w:tcPr>
            <w:tcW w:w="1744" w:type="dxa"/>
            <w:vAlign w:val="center"/>
          </w:tcPr>
          <w:p>
            <w:pPr>
              <w:pStyle w:val="164"/>
              <w:rPr>
                <w:snapToGrid w:val="0"/>
                <w:color w:val="auto"/>
                <w:w w:val="90"/>
              </w:rPr>
            </w:pPr>
            <w:r>
              <w:rPr>
                <w:snapToGrid w:val="0"/>
                <w:color w:val="auto"/>
                <w:w w:val="90"/>
              </w:rPr>
              <w:t>/</w:t>
            </w:r>
          </w:p>
        </w:tc>
        <w:tc>
          <w:tcPr>
            <w:tcW w:w="786" w:type="dxa"/>
            <w:vAlign w:val="center"/>
          </w:tcPr>
          <w:p>
            <w:pPr>
              <w:pStyle w:val="164"/>
              <w:rPr>
                <w:snapToGrid w:val="0"/>
                <w:color w:val="auto"/>
                <w:w w:val="90"/>
              </w:rPr>
            </w:pPr>
            <w:r>
              <w:rPr>
                <w:snapToGrid w:val="0"/>
                <w:color w:val="auto"/>
                <w:w w:val="90"/>
              </w:rPr>
              <w:t>/</w:t>
            </w:r>
          </w:p>
        </w:tc>
        <w:tc>
          <w:tcPr>
            <w:tcW w:w="885" w:type="dxa"/>
            <w:vAlign w:val="center"/>
          </w:tcPr>
          <w:p>
            <w:pPr>
              <w:pStyle w:val="164"/>
              <w:rPr>
                <w:snapToGrid w:val="0"/>
                <w:color w:val="auto"/>
                <w:w w:val="90"/>
              </w:rPr>
            </w:pPr>
            <w:r>
              <w:rPr>
                <w:snapToGrid w:val="0"/>
                <w:color w:val="auto"/>
                <w:w w:val="90"/>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阳离子交换量</w:t>
            </w:r>
          </w:p>
        </w:tc>
        <w:tc>
          <w:tcPr>
            <w:tcW w:w="1734" w:type="dxa"/>
            <w:vAlign w:val="center"/>
          </w:tcPr>
          <w:p>
            <w:pPr>
              <w:pStyle w:val="164"/>
              <w:rPr>
                <w:snapToGrid w:val="0"/>
                <w:color w:val="auto"/>
                <w:w w:val="90"/>
              </w:rPr>
            </w:pPr>
            <w:r>
              <w:rPr>
                <w:snapToGrid w:val="0"/>
                <w:color w:val="auto"/>
                <w:w w:val="90"/>
              </w:rPr>
              <w:t>47.8</w:t>
            </w:r>
            <w:r>
              <w:rPr>
                <w:rFonts w:eastAsia="微软雅黑"/>
                <w:color w:val="auto"/>
                <w:sz w:val="20"/>
                <w:szCs w:val="20"/>
                <w:shd w:val="clear" w:color="auto" w:fill="FFFFFF"/>
              </w:rPr>
              <w:t xml:space="preserve"> </w:t>
            </w:r>
            <w:r>
              <w:rPr>
                <w:snapToGrid w:val="0"/>
                <w:color w:val="auto"/>
                <w:w w:val="90"/>
              </w:rPr>
              <w:t>mol/kg</w:t>
            </w:r>
          </w:p>
        </w:tc>
        <w:tc>
          <w:tcPr>
            <w:tcW w:w="1734" w:type="dxa"/>
            <w:vAlign w:val="center"/>
          </w:tcPr>
          <w:p>
            <w:pPr>
              <w:pStyle w:val="164"/>
              <w:rPr>
                <w:snapToGrid w:val="0"/>
                <w:color w:val="auto"/>
                <w:w w:val="90"/>
              </w:rPr>
            </w:pPr>
            <w:r>
              <w:rPr>
                <w:snapToGrid w:val="0"/>
                <w:color w:val="auto"/>
                <w:w w:val="90"/>
              </w:rPr>
              <w:t>/</w:t>
            </w:r>
          </w:p>
        </w:tc>
        <w:tc>
          <w:tcPr>
            <w:tcW w:w="1744" w:type="dxa"/>
            <w:vAlign w:val="center"/>
          </w:tcPr>
          <w:p>
            <w:pPr>
              <w:pStyle w:val="164"/>
              <w:rPr>
                <w:snapToGrid w:val="0"/>
                <w:color w:val="auto"/>
                <w:w w:val="90"/>
              </w:rPr>
            </w:pPr>
            <w:r>
              <w:rPr>
                <w:snapToGrid w:val="0"/>
                <w:color w:val="auto"/>
                <w:w w:val="90"/>
              </w:rPr>
              <w:t>/</w:t>
            </w:r>
          </w:p>
        </w:tc>
        <w:tc>
          <w:tcPr>
            <w:tcW w:w="786" w:type="dxa"/>
            <w:vAlign w:val="center"/>
          </w:tcPr>
          <w:p>
            <w:pPr>
              <w:pStyle w:val="164"/>
              <w:rPr>
                <w:snapToGrid w:val="0"/>
                <w:color w:val="auto"/>
                <w:w w:val="90"/>
              </w:rPr>
            </w:pPr>
            <w:r>
              <w:rPr>
                <w:snapToGrid w:val="0"/>
                <w:color w:val="auto"/>
                <w:w w:val="90"/>
              </w:rPr>
              <w:t>/</w:t>
            </w:r>
          </w:p>
        </w:tc>
        <w:tc>
          <w:tcPr>
            <w:tcW w:w="885" w:type="dxa"/>
            <w:vAlign w:val="center"/>
          </w:tcPr>
          <w:p>
            <w:pPr>
              <w:pStyle w:val="164"/>
              <w:rPr>
                <w:snapToGrid w:val="0"/>
                <w:color w:val="auto"/>
                <w:w w:val="90"/>
              </w:rPr>
            </w:pPr>
            <w:r>
              <w:rPr>
                <w:snapToGrid w:val="0"/>
                <w:color w:val="auto"/>
                <w:w w:val="90"/>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66" w:hRule="atLeast"/>
          <w:jc w:val="center"/>
        </w:trPr>
        <w:tc>
          <w:tcPr>
            <w:tcW w:w="1847" w:type="dxa"/>
            <w:vAlign w:val="center"/>
          </w:tcPr>
          <w:p>
            <w:pPr>
              <w:pStyle w:val="164"/>
              <w:rPr>
                <w:snapToGrid w:val="0"/>
                <w:color w:val="auto"/>
                <w:w w:val="90"/>
              </w:rPr>
            </w:pPr>
            <w:r>
              <w:rPr>
                <w:snapToGrid w:val="0"/>
                <w:color w:val="auto"/>
                <w:w w:val="90"/>
              </w:rPr>
              <w:t>氧化还原电位</w:t>
            </w:r>
          </w:p>
        </w:tc>
        <w:tc>
          <w:tcPr>
            <w:tcW w:w="1734" w:type="dxa"/>
            <w:vAlign w:val="center"/>
          </w:tcPr>
          <w:p>
            <w:pPr>
              <w:pStyle w:val="164"/>
              <w:rPr>
                <w:snapToGrid w:val="0"/>
                <w:color w:val="auto"/>
                <w:w w:val="90"/>
              </w:rPr>
            </w:pPr>
            <w:r>
              <w:rPr>
                <w:snapToGrid w:val="0"/>
                <w:color w:val="auto"/>
                <w:w w:val="90"/>
              </w:rPr>
              <w:t>283.5</w:t>
            </w:r>
          </w:p>
        </w:tc>
        <w:tc>
          <w:tcPr>
            <w:tcW w:w="1734" w:type="dxa"/>
            <w:vAlign w:val="center"/>
          </w:tcPr>
          <w:p>
            <w:pPr>
              <w:pStyle w:val="164"/>
              <w:rPr>
                <w:snapToGrid w:val="0"/>
                <w:color w:val="auto"/>
                <w:w w:val="90"/>
              </w:rPr>
            </w:pPr>
            <w:r>
              <w:rPr>
                <w:snapToGrid w:val="0"/>
                <w:color w:val="auto"/>
                <w:w w:val="90"/>
              </w:rPr>
              <w:t>/</w:t>
            </w:r>
          </w:p>
        </w:tc>
        <w:tc>
          <w:tcPr>
            <w:tcW w:w="1744" w:type="dxa"/>
            <w:vAlign w:val="center"/>
          </w:tcPr>
          <w:p>
            <w:pPr>
              <w:pStyle w:val="164"/>
              <w:rPr>
                <w:snapToGrid w:val="0"/>
                <w:color w:val="auto"/>
                <w:w w:val="90"/>
              </w:rPr>
            </w:pPr>
            <w:r>
              <w:rPr>
                <w:snapToGrid w:val="0"/>
                <w:color w:val="auto"/>
                <w:w w:val="90"/>
              </w:rPr>
              <w:t>/</w:t>
            </w:r>
          </w:p>
        </w:tc>
        <w:tc>
          <w:tcPr>
            <w:tcW w:w="786" w:type="dxa"/>
            <w:vAlign w:val="center"/>
          </w:tcPr>
          <w:p>
            <w:pPr>
              <w:pStyle w:val="164"/>
              <w:rPr>
                <w:snapToGrid w:val="0"/>
                <w:color w:val="auto"/>
                <w:w w:val="90"/>
              </w:rPr>
            </w:pPr>
            <w:r>
              <w:rPr>
                <w:snapToGrid w:val="0"/>
                <w:color w:val="auto"/>
                <w:w w:val="90"/>
              </w:rPr>
              <w:t>/</w:t>
            </w:r>
          </w:p>
        </w:tc>
        <w:tc>
          <w:tcPr>
            <w:tcW w:w="885" w:type="dxa"/>
            <w:vAlign w:val="center"/>
          </w:tcPr>
          <w:p>
            <w:pPr>
              <w:pStyle w:val="164"/>
              <w:rPr>
                <w:snapToGrid w:val="0"/>
                <w:color w:val="auto"/>
                <w:w w:val="90"/>
              </w:rPr>
            </w:pPr>
            <w:r>
              <w:rPr>
                <w:snapToGrid w:val="0"/>
                <w:color w:val="auto"/>
                <w:w w:val="90"/>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饱和导水率</w:t>
            </w:r>
          </w:p>
        </w:tc>
        <w:tc>
          <w:tcPr>
            <w:tcW w:w="1734" w:type="dxa"/>
            <w:vAlign w:val="center"/>
          </w:tcPr>
          <w:p>
            <w:pPr>
              <w:pStyle w:val="164"/>
              <w:rPr>
                <w:snapToGrid w:val="0"/>
                <w:color w:val="auto"/>
                <w:w w:val="90"/>
              </w:rPr>
            </w:pPr>
            <w:r>
              <w:rPr>
                <w:snapToGrid w:val="0"/>
                <w:color w:val="auto"/>
                <w:w w:val="90"/>
              </w:rPr>
              <w:t>2.76%</w:t>
            </w:r>
          </w:p>
        </w:tc>
        <w:tc>
          <w:tcPr>
            <w:tcW w:w="1734" w:type="dxa"/>
            <w:vAlign w:val="center"/>
          </w:tcPr>
          <w:p>
            <w:pPr>
              <w:pStyle w:val="164"/>
              <w:rPr>
                <w:snapToGrid w:val="0"/>
                <w:color w:val="auto"/>
                <w:w w:val="90"/>
              </w:rPr>
            </w:pPr>
            <w:r>
              <w:rPr>
                <w:snapToGrid w:val="0"/>
                <w:color w:val="auto"/>
                <w:w w:val="90"/>
              </w:rPr>
              <w:t>/</w:t>
            </w:r>
          </w:p>
        </w:tc>
        <w:tc>
          <w:tcPr>
            <w:tcW w:w="1744" w:type="dxa"/>
            <w:vAlign w:val="center"/>
          </w:tcPr>
          <w:p>
            <w:pPr>
              <w:pStyle w:val="164"/>
              <w:rPr>
                <w:snapToGrid w:val="0"/>
                <w:color w:val="auto"/>
                <w:w w:val="90"/>
              </w:rPr>
            </w:pPr>
            <w:r>
              <w:rPr>
                <w:snapToGrid w:val="0"/>
                <w:color w:val="auto"/>
                <w:w w:val="90"/>
              </w:rPr>
              <w:t>/</w:t>
            </w:r>
          </w:p>
        </w:tc>
        <w:tc>
          <w:tcPr>
            <w:tcW w:w="786" w:type="dxa"/>
            <w:vAlign w:val="center"/>
          </w:tcPr>
          <w:p>
            <w:pPr>
              <w:pStyle w:val="164"/>
              <w:rPr>
                <w:snapToGrid w:val="0"/>
                <w:color w:val="auto"/>
                <w:w w:val="90"/>
              </w:rPr>
            </w:pPr>
            <w:r>
              <w:rPr>
                <w:snapToGrid w:val="0"/>
                <w:color w:val="auto"/>
                <w:w w:val="90"/>
              </w:rPr>
              <w:t>/</w:t>
            </w:r>
          </w:p>
        </w:tc>
        <w:tc>
          <w:tcPr>
            <w:tcW w:w="885" w:type="dxa"/>
            <w:vAlign w:val="center"/>
          </w:tcPr>
          <w:p>
            <w:pPr>
              <w:pStyle w:val="164"/>
              <w:rPr>
                <w:snapToGrid w:val="0"/>
                <w:color w:val="auto"/>
                <w:w w:val="90"/>
              </w:rPr>
            </w:pPr>
            <w:r>
              <w:rPr>
                <w:snapToGrid w:val="0"/>
                <w:color w:val="auto"/>
                <w:w w:val="90"/>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土壤容重</w:t>
            </w:r>
          </w:p>
        </w:tc>
        <w:tc>
          <w:tcPr>
            <w:tcW w:w="1734" w:type="dxa"/>
            <w:vAlign w:val="center"/>
          </w:tcPr>
          <w:p>
            <w:pPr>
              <w:pStyle w:val="164"/>
              <w:rPr>
                <w:snapToGrid w:val="0"/>
                <w:color w:val="auto"/>
                <w:w w:val="90"/>
              </w:rPr>
            </w:pPr>
            <w:r>
              <w:rPr>
                <w:snapToGrid w:val="0"/>
                <w:color w:val="auto"/>
                <w:w w:val="90"/>
              </w:rPr>
              <w:t>1.64g/cm³</w:t>
            </w:r>
          </w:p>
        </w:tc>
        <w:tc>
          <w:tcPr>
            <w:tcW w:w="1734" w:type="dxa"/>
            <w:vAlign w:val="center"/>
          </w:tcPr>
          <w:p>
            <w:pPr>
              <w:pStyle w:val="164"/>
              <w:rPr>
                <w:snapToGrid w:val="0"/>
                <w:color w:val="auto"/>
                <w:w w:val="90"/>
              </w:rPr>
            </w:pPr>
            <w:r>
              <w:rPr>
                <w:snapToGrid w:val="0"/>
                <w:color w:val="auto"/>
                <w:w w:val="90"/>
              </w:rPr>
              <w:t>/</w:t>
            </w:r>
          </w:p>
        </w:tc>
        <w:tc>
          <w:tcPr>
            <w:tcW w:w="1744" w:type="dxa"/>
            <w:vAlign w:val="center"/>
          </w:tcPr>
          <w:p>
            <w:pPr>
              <w:pStyle w:val="164"/>
              <w:rPr>
                <w:snapToGrid w:val="0"/>
                <w:color w:val="auto"/>
                <w:w w:val="90"/>
              </w:rPr>
            </w:pPr>
            <w:r>
              <w:rPr>
                <w:snapToGrid w:val="0"/>
                <w:color w:val="auto"/>
                <w:w w:val="90"/>
              </w:rPr>
              <w:t>/</w:t>
            </w:r>
          </w:p>
        </w:tc>
        <w:tc>
          <w:tcPr>
            <w:tcW w:w="786" w:type="dxa"/>
            <w:vAlign w:val="center"/>
          </w:tcPr>
          <w:p>
            <w:pPr>
              <w:pStyle w:val="164"/>
              <w:rPr>
                <w:snapToGrid w:val="0"/>
                <w:color w:val="auto"/>
                <w:w w:val="90"/>
              </w:rPr>
            </w:pPr>
            <w:r>
              <w:rPr>
                <w:snapToGrid w:val="0"/>
                <w:color w:val="auto"/>
                <w:w w:val="90"/>
              </w:rPr>
              <w:t>/</w:t>
            </w:r>
          </w:p>
        </w:tc>
        <w:tc>
          <w:tcPr>
            <w:tcW w:w="885" w:type="dxa"/>
            <w:vAlign w:val="center"/>
          </w:tcPr>
          <w:p>
            <w:pPr>
              <w:pStyle w:val="164"/>
              <w:rPr>
                <w:snapToGrid w:val="0"/>
                <w:color w:val="auto"/>
                <w:w w:val="90"/>
              </w:rPr>
            </w:pPr>
            <w:r>
              <w:rPr>
                <w:snapToGrid w:val="0"/>
                <w:color w:val="auto"/>
                <w:w w:val="90"/>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8" w:hRule="atLeast"/>
          <w:jc w:val="center"/>
        </w:trPr>
        <w:tc>
          <w:tcPr>
            <w:tcW w:w="1847" w:type="dxa"/>
            <w:vAlign w:val="center"/>
          </w:tcPr>
          <w:p>
            <w:pPr>
              <w:pStyle w:val="164"/>
              <w:rPr>
                <w:snapToGrid w:val="0"/>
                <w:color w:val="auto"/>
                <w:w w:val="90"/>
              </w:rPr>
            </w:pPr>
            <w:r>
              <w:rPr>
                <w:snapToGrid w:val="0"/>
                <w:color w:val="auto"/>
                <w:w w:val="90"/>
              </w:rPr>
              <w:t>孔隙度</w:t>
            </w:r>
          </w:p>
        </w:tc>
        <w:tc>
          <w:tcPr>
            <w:tcW w:w="1734" w:type="dxa"/>
            <w:vAlign w:val="center"/>
          </w:tcPr>
          <w:p>
            <w:pPr>
              <w:pStyle w:val="164"/>
              <w:rPr>
                <w:snapToGrid w:val="0"/>
                <w:color w:val="auto"/>
                <w:w w:val="90"/>
              </w:rPr>
            </w:pPr>
            <w:r>
              <w:rPr>
                <w:snapToGrid w:val="0"/>
                <w:color w:val="auto"/>
                <w:w w:val="90"/>
              </w:rPr>
              <w:t>42.9%</w:t>
            </w:r>
          </w:p>
        </w:tc>
        <w:tc>
          <w:tcPr>
            <w:tcW w:w="1734" w:type="dxa"/>
            <w:vAlign w:val="center"/>
          </w:tcPr>
          <w:p>
            <w:pPr>
              <w:pStyle w:val="164"/>
              <w:rPr>
                <w:snapToGrid w:val="0"/>
                <w:color w:val="auto"/>
                <w:w w:val="90"/>
              </w:rPr>
            </w:pPr>
            <w:r>
              <w:rPr>
                <w:snapToGrid w:val="0"/>
                <w:color w:val="auto"/>
                <w:w w:val="90"/>
              </w:rPr>
              <w:t>/</w:t>
            </w:r>
          </w:p>
        </w:tc>
        <w:tc>
          <w:tcPr>
            <w:tcW w:w="1744" w:type="dxa"/>
            <w:vAlign w:val="center"/>
          </w:tcPr>
          <w:p>
            <w:pPr>
              <w:pStyle w:val="164"/>
              <w:rPr>
                <w:snapToGrid w:val="0"/>
                <w:color w:val="auto"/>
                <w:w w:val="90"/>
              </w:rPr>
            </w:pPr>
            <w:r>
              <w:rPr>
                <w:snapToGrid w:val="0"/>
                <w:color w:val="auto"/>
                <w:w w:val="90"/>
              </w:rPr>
              <w:t>/</w:t>
            </w:r>
          </w:p>
        </w:tc>
        <w:tc>
          <w:tcPr>
            <w:tcW w:w="786" w:type="dxa"/>
            <w:vAlign w:val="center"/>
          </w:tcPr>
          <w:p>
            <w:pPr>
              <w:pStyle w:val="164"/>
              <w:rPr>
                <w:snapToGrid w:val="0"/>
                <w:color w:val="auto"/>
                <w:w w:val="90"/>
              </w:rPr>
            </w:pPr>
            <w:r>
              <w:rPr>
                <w:snapToGrid w:val="0"/>
                <w:color w:val="auto"/>
                <w:w w:val="90"/>
              </w:rPr>
              <w:t>/</w:t>
            </w:r>
          </w:p>
        </w:tc>
        <w:tc>
          <w:tcPr>
            <w:tcW w:w="885" w:type="dxa"/>
            <w:vAlign w:val="center"/>
          </w:tcPr>
          <w:p>
            <w:pPr>
              <w:pStyle w:val="164"/>
              <w:rPr>
                <w:snapToGrid w:val="0"/>
                <w:color w:val="auto"/>
                <w:w w:val="90"/>
              </w:rPr>
            </w:pPr>
            <w:r>
              <w:rPr>
                <w:snapToGrid w:val="0"/>
                <w:color w:val="auto"/>
                <w:w w:val="90"/>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1103" w:hRule="atLeast"/>
          <w:jc w:val="center"/>
        </w:trPr>
        <w:tc>
          <w:tcPr>
            <w:tcW w:w="8730" w:type="dxa"/>
            <w:gridSpan w:val="6"/>
            <w:vAlign w:val="center"/>
          </w:tcPr>
          <w:p>
            <w:pPr>
              <w:pStyle w:val="164"/>
              <w:rPr>
                <w:color w:val="auto"/>
                <w:w w:val="90"/>
                <w:szCs w:val="21"/>
              </w:rPr>
            </w:pPr>
            <w:r>
              <w:rPr>
                <w:color w:val="auto"/>
                <w:w w:val="90"/>
                <w:szCs w:val="21"/>
              </w:rPr>
              <w:t>备注： ND表示未检出或小于检出限，检出限见表3-6。铬（六价）参照《固体废物铬（六价）的测定 碱消解/火焰原子吸收分光光度法》（HJ687-2014）进行测定。土壤检测因子（理化性质除外）参照执行《土壤环境质量建设用地土壤污染风险管控标准》（试行）（GB 36600-2018）表1第二类用地筛选值，标准由委托单位提供。</w:t>
            </w:r>
          </w:p>
        </w:tc>
      </w:tr>
    </w:tbl>
    <w:p>
      <w:pPr>
        <w:spacing w:line="500" w:lineRule="exact"/>
        <w:jc w:val="center"/>
        <w:rPr>
          <w:b/>
          <w:bCs/>
          <w:color w:val="auto"/>
          <w:sz w:val="24"/>
          <w:szCs w:val="24"/>
        </w:rPr>
      </w:pPr>
      <w:r>
        <w:rPr>
          <w:b/>
          <w:bCs/>
          <w:color w:val="auto"/>
          <w:sz w:val="24"/>
          <w:szCs w:val="24"/>
        </w:rPr>
        <w:t>表6.5-4  土壤检测结果一览表  单位：mg/kg</w:t>
      </w:r>
    </w:p>
    <w:tbl>
      <w:tblPr>
        <w:tblStyle w:val="75"/>
        <w:tblW w:w="8854" w:type="dxa"/>
        <w:jc w:val="center"/>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876"/>
        <w:gridCol w:w="1755"/>
        <w:gridCol w:w="1755"/>
        <w:gridCol w:w="1780"/>
        <w:gridCol w:w="792"/>
        <w:gridCol w:w="896"/>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12" w:hRule="atLeast"/>
          <w:jc w:val="center"/>
        </w:trPr>
        <w:tc>
          <w:tcPr>
            <w:tcW w:w="1876" w:type="dxa"/>
            <w:vMerge w:val="restart"/>
            <w:tcBorders>
              <w:top w:val="single" w:color="000000" w:themeColor="text1" w:sz="12" w:space="0"/>
              <w:bottom w:val="single" w:color="000000" w:themeColor="text1" w:sz="6" w:space="0"/>
              <w:tl2br w:val="single" w:color="000000" w:themeColor="text1" w:sz="6" w:space="0"/>
            </w:tcBorders>
            <w:vAlign w:val="center"/>
          </w:tcPr>
          <w:p>
            <w:pPr>
              <w:pStyle w:val="164"/>
              <w:rPr>
                <w:snapToGrid w:val="0"/>
                <w:color w:val="auto"/>
                <w:w w:val="90"/>
              </w:rPr>
            </w:pPr>
            <w:r>
              <w:rPr>
                <w:snapToGrid w:val="0"/>
                <w:color w:val="auto"/>
                <w:w w:val="90"/>
              </w:rPr>
              <w:t xml:space="preserve">           点位</w:t>
            </w:r>
          </w:p>
          <w:p>
            <w:pPr>
              <w:pStyle w:val="164"/>
              <w:jc w:val="both"/>
              <w:rPr>
                <w:snapToGrid w:val="0"/>
                <w:color w:val="auto"/>
                <w:w w:val="90"/>
              </w:rPr>
            </w:pPr>
            <w:r>
              <w:rPr>
                <w:snapToGrid w:val="0"/>
                <w:color w:val="auto"/>
                <w:w w:val="90"/>
              </w:rPr>
              <w:t>项目</w:t>
            </w:r>
          </w:p>
        </w:tc>
        <w:tc>
          <w:tcPr>
            <w:tcW w:w="5290" w:type="dxa"/>
            <w:gridSpan w:val="3"/>
          </w:tcPr>
          <w:p>
            <w:pPr>
              <w:pStyle w:val="164"/>
              <w:rPr>
                <w:snapToGrid w:val="0"/>
                <w:color w:val="auto"/>
                <w:w w:val="90"/>
              </w:rPr>
            </w:pPr>
            <w:r>
              <w:rPr>
                <w:bCs/>
                <w:color w:val="auto"/>
                <w:w w:val="90"/>
              </w:rPr>
              <w:t>2#厂址西北（2020年4月16日）</w:t>
            </w:r>
          </w:p>
        </w:tc>
        <w:tc>
          <w:tcPr>
            <w:tcW w:w="792" w:type="dxa"/>
            <w:vMerge w:val="restart"/>
            <w:vAlign w:val="center"/>
          </w:tcPr>
          <w:p>
            <w:pPr>
              <w:pStyle w:val="164"/>
              <w:rPr>
                <w:snapToGrid w:val="0"/>
                <w:color w:val="auto"/>
                <w:w w:val="90"/>
              </w:rPr>
            </w:pPr>
            <w:r>
              <w:rPr>
                <w:snapToGrid w:val="0"/>
                <w:color w:val="auto"/>
                <w:w w:val="90"/>
              </w:rPr>
              <w:t>标准</w:t>
            </w:r>
          </w:p>
          <w:p>
            <w:pPr>
              <w:pStyle w:val="164"/>
              <w:rPr>
                <w:snapToGrid w:val="0"/>
                <w:color w:val="auto"/>
                <w:w w:val="90"/>
              </w:rPr>
            </w:pPr>
            <w:r>
              <w:rPr>
                <w:snapToGrid w:val="0"/>
                <w:color w:val="auto"/>
                <w:w w:val="90"/>
              </w:rPr>
              <w:t>限值</w:t>
            </w:r>
          </w:p>
        </w:tc>
        <w:tc>
          <w:tcPr>
            <w:tcW w:w="896" w:type="dxa"/>
            <w:vMerge w:val="restart"/>
            <w:vAlign w:val="center"/>
          </w:tcPr>
          <w:p>
            <w:pPr>
              <w:pStyle w:val="164"/>
              <w:rPr>
                <w:snapToGrid w:val="0"/>
                <w:color w:val="auto"/>
                <w:w w:val="90"/>
              </w:rPr>
            </w:pPr>
            <w:r>
              <w:rPr>
                <w:snapToGrid w:val="0"/>
                <w:color w:val="auto"/>
                <w:w w:val="90"/>
              </w:rPr>
              <w:t>达标</w:t>
            </w:r>
          </w:p>
          <w:p>
            <w:pPr>
              <w:pStyle w:val="164"/>
              <w:rPr>
                <w:snapToGrid w:val="0"/>
                <w:color w:val="auto"/>
                <w:w w:val="90"/>
              </w:rPr>
            </w:pPr>
            <w:r>
              <w:rPr>
                <w:snapToGrid w:val="0"/>
                <w:color w:val="auto"/>
                <w:w w:val="90"/>
              </w:rPr>
              <w:t>情况</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579" w:hRule="atLeast"/>
          <w:jc w:val="center"/>
        </w:trPr>
        <w:tc>
          <w:tcPr>
            <w:tcW w:w="1876" w:type="dxa"/>
            <w:vMerge w:val="continue"/>
            <w:tcBorders>
              <w:top w:val="single" w:color="000000" w:themeColor="text1" w:sz="6" w:space="0"/>
              <w:bottom w:val="single" w:color="000000" w:themeColor="text1" w:sz="6" w:space="0"/>
              <w:tl2br w:val="single" w:color="000000" w:themeColor="text1" w:sz="6" w:space="0"/>
            </w:tcBorders>
            <w:vAlign w:val="center"/>
          </w:tcPr>
          <w:p>
            <w:pPr>
              <w:pStyle w:val="164"/>
              <w:rPr>
                <w:snapToGrid w:val="0"/>
                <w:color w:val="auto"/>
                <w:w w:val="90"/>
              </w:rPr>
            </w:pPr>
          </w:p>
        </w:tc>
        <w:tc>
          <w:tcPr>
            <w:tcW w:w="1755" w:type="dxa"/>
            <w:vAlign w:val="center"/>
          </w:tcPr>
          <w:p>
            <w:pPr>
              <w:pStyle w:val="164"/>
              <w:rPr>
                <w:bCs/>
                <w:color w:val="auto"/>
                <w:w w:val="90"/>
              </w:rPr>
            </w:pPr>
            <w:r>
              <w:rPr>
                <w:bCs/>
                <w:color w:val="auto"/>
                <w:w w:val="90"/>
              </w:rPr>
              <w:t>表层</w:t>
            </w:r>
          </w:p>
          <w:p>
            <w:pPr>
              <w:pStyle w:val="164"/>
              <w:rPr>
                <w:bCs/>
                <w:color w:val="auto"/>
                <w:w w:val="90"/>
              </w:rPr>
            </w:pPr>
            <w:r>
              <w:rPr>
                <w:bCs/>
                <w:color w:val="auto"/>
                <w:w w:val="90"/>
              </w:rPr>
              <w:t>（0～0.5m）</w:t>
            </w:r>
          </w:p>
        </w:tc>
        <w:tc>
          <w:tcPr>
            <w:tcW w:w="1755" w:type="dxa"/>
            <w:vAlign w:val="center"/>
          </w:tcPr>
          <w:p>
            <w:pPr>
              <w:pStyle w:val="164"/>
              <w:rPr>
                <w:bCs/>
                <w:color w:val="auto"/>
                <w:w w:val="90"/>
              </w:rPr>
            </w:pPr>
            <w:r>
              <w:rPr>
                <w:bCs/>
                <w:color w:val="auto"/>
                <w:w w:val="90"/>
              </w:rPr>
              <w:t>中层</w:t>
            </w:r>
          </w:p>
          <w:p>
            <w:pPr>
              <w:pStyle w:val="164"/>
              <w:rPr>
                <w:bCs/>
                <w:color w:val="auto"/>
                <w:w w:val="90"/>
              </w:rPr>
            </w:pPr>
            <w:r>
              <w:rPr>
                <w:bCs/>
                <w:color w:val="auto"/>
                <w:w w:val="90"/>
              </w:rPr>
              <w:t>（0.5～1.5m）</w:t>
            </w:r>
          </w:p>
        </w:tc>
        <w:tc>
          <w:tcPr>
            <w:tcW w:w="1780" w:type="dxa"/>
            <w:vAlign w:val="center"/>
          </w:tcPr>
          <w:p>
            <w:pPr>
              <w:pStyle w:val="164"/>
              <w:rPr>
                <w:bCs/>
                <w:color w:val="auto"/>
                <w:w w:val="90"/>
              </w:rPr>
            </w:pPr>
            <w:r>
              <w:rPr>
                <w:bCs/>
                <w:color w:val="auto"/>
                <w:w w:val="90"/>
              </w:rPr>
              <w:t>深层</w:t>
            </w:r>
          </w:p>
          <w:p>
            <w:pPr>
              <w:pStyle w:val="164"/>
              <w:rPr>
                <w:bCs/>
                <w:color w:val="auto"/>
                <w:w w:val="90"/>
              </w:rPr>
            </w:pPr>
            <w:r>
              <w:rPr>
                <w:bCs/>
                <w:color w:val="auto"/>
                <w:w w:val="90"/>
              </w:rPr>
              <w:t>（1.5～3m）</w:t>
            </w:r>
          </w:p>
        </w:tc>
        <w:tc>
          <w:tcPr>
            <w:tcW w:w="792" w:type="dxa"/>
            <w:vMerge w:val="continue"/>
            <w:vAlign w:val="center"/>
          </w:tcPr>
          <w:p>
            <w:pPr>
              <w:pStyle w:val="164"/>
              <w:rPr>
                <w:bCs/>
                <w:snapToGrid w:val="0"/>
                <w:color w:val="auto"/>
                <w:w w:val="90"/>
              </w:rPr>
            </w:pPr>
          </w:p>
        </w:tc>
        <w:tc>
          <w:tcPr>
            <w:tcW w:w="896" w:type="dxa"/>
            <w:vMerge w:val="continue"/>
            <w:vAlign w:val="center"/>
          </w:tcPr>
          <w:p>
            <w:pPr>
              <w:pStyle w:val="164"/>
              <w:rPr>
                <w:bCs/>
                <w:snapToGrid w:val="0"/>
                <w:color w:val="auto"/>
                <w:w w:val="90"/>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8854" w:type="dxa"/>
            <w:gridSpan w:val="6"/>
            <w:vAlign w:val="center"/>
          </w:tcPr>
          <w:p>
            <w:pPr>
              <w:pStyle w:val="164"/>
              <w:rPr>
                <w:bCs/>
                <w:snapToGrid w:val="0"/>
                <w:color w:val="auto"/>
                <w:w w:val="90"/>
              </w:rPr>
            </w:pPr>
            <w:r>
              <w:rPr>
                <w:bCs/>
                <w:snapToGrid w:val="0"/>
                <w:color w:val="auto"/>
                <w:w w:val="90"/>
              </w:rPr>
              <w:t>金属和无机物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铜</w:t>
            </w:r>
          </w:p>
        </w:tc>
        <w:tc>
          <w:tcPr>
            <w:tcW w:w="1755" w:type="dxa"/>
            <w:vAlign w:val="bottom"/>
          </w:tcPr>
          <w:p>
            <w:pPr>
              <w:pStyle w:val="164"/>
              <w:rPr>
                <w:snapToGrid w:val="0"/>
                <w:color w:val="auto"/>
                <w:w w:val="90"/>
              </w:rPr>
            </w:pPr>
            <w:r>
              <w:rPr>
                <w:snapToGrid w:val="0"/>
                <w:color w:val="auto"/>
                <w:w w:val="90"/>
              </w:rPr>
              <w:t>17</w:t>
            </w:r>
          </w:p>
        </w:tc>
        <w:tc>
          <w:tcPr>
            <w:tcW w:w="1755" w:type="dxa"/>
            <w:vAlign w:val="bottom"/>
          </w:tcPr>
          <w:p>
            <w:pPr>
              <w:pStyle w:val="164"/>
              <w:rPr>
                <w:snapToGrid w:val="0"/>
                <w:color w:val="auto"/>
                <w:w w:val="90"/>
              </w:rPr>
            </w:pPr>
            <w:r>
              <w:rPr>
                <w:snapToGrid w:val="0"/>
                <w:color w:val="auto"/>
                <w:w w:val="90"/>
              </w:rPr>
              <w:t>14</w:t>
            </w:r>
          </w:p>
        </w:tc>
        <w:tc>
          <w:tcPr>
            <w:tcW w:w="1780" w:type="dxa"/>
            <w:vAlign w:val="bottom"/>
          </w:tcPr>
          <w:p>
            <w:pPr>
              <w:pStyle w:val="164"/>
              <w:rPr>
                <w:snapToGrid w:val="0"/>
                <w:color w:val="auto"/>
                <w:w w:val="90"/>
              </w:rPr>
            </w:pPr>
            <w:r>
              <w:rPr>
                <w:snapToGrid w:val="0"/>
                <w:color w:val="auto"/>
                <w:w w:val="90"/>
              </w:rPr>
              <w:t>17</w:t>
            </w:r>
          </w:p>
        </w:tc>
        <w:tc>
          <w:tcPr>
            <w:tcW w:w="792" w:type="dxa"/>
            <w:vAlign w:val="center"/>
          </w:tcPr>
          <w:p>
            <w:pPr>
              <w:pStyle w:val="164"/>
              <w:rPr>
                <w:snapToGrid w:val="0"/>
                <w:color w:val="auto"/>
                <w:w w:val="90"/>
              </w:rPr>
            </w:pPr>
            <w:r>
              <w:rPr>
                <w:snapToGrid w:val="0"/>
                <w:color w:val="auto"/>
                <w:w w:val="90"/>
              </w:rPr>
              <w:t>18000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镍</w:t>
            </w:r>
          </w:p>
        </w:tc>
        <w:tc>
          <w:tcPr>
            <w:tcW w:w="1755" w:type="dxa"/>
            <w:vAlign w:val="bottom"/>
          </w:tcPr>
          <w:p>
            <w:pPr>
              <w:pStyle w:val="164"/>
              <w:rPr>
                <w:snapToGrid w:val="0"/>
                <w:color w:val="auto"/>
                <w:w w:val="90"/>
              </w:rPr>
            </w:pPr>
            <w:r>
              <w:rPr>
                <w:snapToGrid w:val="0"/>
                <w:color w:val="auto"/>
                <w:w w:val="90"/>
              </w:rPr>
              <w:t>30</w:t>
            </w:r>
          </w:p>
        </w:tc>
        <w:tc>
          <w:tcPr>
            <w:tcW w:w="1755" w:type="dxa"/>
            <w:vAlign w:val="bottom"/>
          </w:tcPr>
          <w:p>
            <w:pPr>
              <w:pStyle w:val="164"/>
              <w:rPr>
                <w:snapToGrid w:val="0"/>
                <w:color w:val="auto"/>
                <w:w w:val="90"/>
              </w:rPr>
            </w:pPr>
            <w:r>
              <w:rPr>
                <w:snapToGrid w:val="0"/>
                <w:color w:val="auto"/>
                <w:w w:val="90"/>
              </w:rPr>
              <w:t>25</w:t>
            </w:r>
          </w:p>
        </w:tc>
        <w:tc>
          <w:tcPr>
            <w:tcW w:w="1780" w:type="dxa"/>
            <w:vAlign w:val="bottom"/>
          </w:tcPr>
          <w:p>
            <w:pPr>
              <w:pStyle w:val="164"/>
              <w:rPr>
                <w:snapToGrid w:val="0"/>
                <w:color w:val="auto"/>
                <w:w w:val="90"/>
              </w:rPr>
            </w:pPr>
            <w:r>
              <w:rPr>
                <w:snapToGrid w:val="0"/>
                <w:color w:val="auto"/>
                <w:w w:val="90"/>
              </w:rPr>
              <w:t>30</w:t>
            </w:r>
          </w:p>
        </w:tc>
        <w:tc>
          <w:tcPr>
            <w:tcW w:w="792" w:type="dxa"/>
            <w:vAlign w:val="center"/>
          </w:tcPr>
          <w:p>
            <w:pPr>
              <w:pStyle w:val="164"/>
              <w:rPr>
                <w:snapToGrid w:val="0"/>
                <w:color w:val="auto"/>
                <w:w w:val="90"/>
              </w:rPr>
            </w:pPr>
            <w:r>
              <w:rPr>
                <w:snapToGrid w:val="0"/>
                <w:color w:val="auto"/>
                <w:w w:val="90"/>
              </w:rPr>
              <w:t>900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铅</w:t>
            </w:r>
          </w:p>
        </w:tc>
        <w:tc>
          <w:tcPr>
            <w:tcW w:w="1755" w:type="dxa"/>
            <w:vAlign w:val="bottom"/>
          </w:tcPr>
          <w:p>
            <w:pPr>
              <w:pStyle w:val="164"/>
              <w:rPr>
                <w:snapToGrid w:val="0"/>
                <w:color w:val="auto"/>
                <w:w w:val="90"/>
              </w:rPr>
            </w:pPr>
            <w:r>
              <w:rPr>
                <w:snapToGrid w:val="0"/>
                <w:color w:val="auto"/>
                <w:w w:val="90"/>
              </w:rPr>
              <w:t>22</w:t>
            </w:r>
          </w:p>
        </w:tc>
        <w:tc>
          <w:tcPr>
            <w:tcW w:w="1755" w:type="dxa"/>
            <w:vAlign w:val="bottom"/>
          </w:tcPr>
          <w:p>
            <w:pPr>
              <w:pStyle w:val="164"/>
              <w:rPr>
                <w:snapToGrid w:val="0"/>
                <w:color w:val="auto"/>
                <w:w w:val="90"/>
              </w:rPr>
            </w:pPr>
            <w:r>
              <w:rPr>
                <w:snapToGrid w:val="0"/>
                <w:color w:val="auto"/>
                <w:w w:val="90"/>
              </w:rPr>
              <w:t>19</w:t>
            </w:r>
          </w:p>
        </w:tc>
        <w:tc>
          <w:tcPr>
            <w:tcW w:w="1780" w:type="dxa"/>
            <w:vAlign w:val="bottom"/>
          </w:tcPr>
          <w:p>
            <w:pPr>
              <w:pStyle w:val="164"/>
              <w:rPr>
                <w:snapToGrid w:val="0"/>
                <w:color w:val="auto"/>
                <w:w w:val="90"/>
              </w:rPr>
            </w:pPr>
            <w:r>
              <w:rPr>
                <w:snapToGrid w:val="0"/>
                <w:color w:val="auto"/>
                <w:w w:val="90"/>
              </w:rPr>
              <w:t>39</w:t>
            </w:r>
          </w:p>
        </w:tc>
        <w:tc>
          <w:tcPr>
            <w:tcW w:w="792" w:type="dxa"/>
            <w:vAlign w:val="center"/>
          </w:tcPr>
          <w:p>
            <w:pPr>
              <w:pStyle w:val="164"/>
              <w:rPr>
                <w:snapToGrid w:val="0"/>
                <w:color w:val="auto"/>
                <w:w w:val="90"/>
              </w:rPr>
            </w:pPr>
            <w:r>
              <w:rPr>
                <w:snapToGrid w:val="0"/>
                <w:color w:val="auto"/>
                <w:w w:val="90"/>
              </w:rPr>
              <w:t>800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镉</w:t>
            </w:r>
          </w:p>
        </w:tc>
        <w:tc>
          <w:tcPr>
            <w:tcW w:w="1755" w:type="dxa"/>
            <w:vAlign w:val="bottom"/>
          </w:tcPr>
          <w:p>
            <w:pPr>
              <w:pStyle w:val="164"/>
              <w:rPr>
                <w:snapToGrid w:val="0"/>
                <w:color w:val="auto"/>
                <w:w w:val="90"/>
              </w:rPr>
            </w:pPr>
            <w:r>
              <w:rPr>
                <w:snapToGrid w:val="0"/>
                <w:color w:val="auto"/>
                <w:w w:val="90"/>
              </w:rPr>
              <w:t>0.23</w:t>
            </w:r>
          </w:p>
        </w:tc>
        <w:tc>
          <w:tcPr>
            <w:tcW w:w="1755" w:type="dxa"/>
            <w:vAlign w:val="bottom"/>
          </w:tcPr>
          <w:p>
            <w:pPr>
              <w:pStyle w:val="164"/>
              <w:rPr>
                <w:snapToGrid w:val="0"/>
                <w:color w:val="auto"/>
                <w:w w:val="90"/>
              </w:rPr>
            </w:pPr>
            <w:r>
              <w:rPr>
                <w:snapToGrid w:val="0"/>
                <w:color w:val="auto"/>
                <w:w w:val="90"/>
              </w:rPr>
              <w:t>0.16</w:t>
            </w:r>
          </w:p>
        </w:tc>
        <w:tc>
          <w:tcPr>
            <w:tcW w:w="1780" w:type="dxa"/>
            <w:vAlign w:val="bottom"/>
          </w:tcPr>
          <w:p>
            <w:pPr>
              <w:pStyle w:val="164"/>
              <w:rPr>
                <w:snapToGrid w:val="0"/>
                <w:color w:val="auto"/>
                <w:w w:val="90"/>
              </w:rPr>
            </w:pPr>
            <w:r>
              <w:rPr>
                <w:snapToGrid w:val="0"/>
                <w:color w:val="auto"/>
                <w:w w:val="90"/>
              </w:rPr>
              <w:t>0.16</w:t>
            </w:r>
          </w:p>
        </w:tc>
        <w:tc>
          <w:tcPr>
            <w:tcW w:w="792" w:type="dxa"/>
            <w:vAlign w:val="center"/>
          </w:tcPr>
          <w:p>
            <w:pPr>
              <w:pStyle w:val="164"/>
              <w:rPr>
                <w:snapToGrid w:val="0"/>
                <w:color w:val="auto"/>
                <w:w w:val="90"/>
              </w:rPr>
            </w:pPr>
            <w:r>
              <w:rPr>
                <w:snapToGrid w:val="0"/>
                <w:color w:val="auto"/>
                <w:w w:val="90"/>
              </w:rPr>
              <w:t>65</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汞</w:t>
            </w:r>
          </w:p>
        </w:tc>
        <w:tc>
          <w:tcPr>
            <w:tcW w:w="1755" w:type="dxa"/>
            <w:vAlign w:val="bottom"/>
          </w:tcPr>
          <w:p>
            <w:pPr>
              <w:pStyle w:val="164"/>
              <w:rPr>
                <w:snapToGrid w:val="0"/>
                <w:color w:val="auto"/>
                <w:w w:val="90"/>
              </w:rPr>
            </w:pPr>
            <w:r>
              <w:rPr>
                <w:snapToGrid w:val="0"/>
                <w:color w:val="auto"/>
                <w:w w:val="90"/>
              </w:rPr>
              <w:t>0.202</w:t>
            </w:r>
          </w:p>
        </w:tc>
        <w:tc>
          <w:tcPr>
            <w:tcW w:w="1755" w:type="dxa"/>
            <w:vAlign w:val="bottom"/>
          </w:tcPr>
          <w:p>
            <w:pPr>
              <w:pStyle w:val="164"/>
              <w:rPr>
                <w:snapToGrid w:val="0"/>
                <w:color w:val="auto"/>
                <w:w w:val="90"/>
              </w:rPr>
            </w:pPr>
            <w:r>
              <w:rPr>
                <w:snapToGrid w:val="0"/>
                <w:color w:val="auto"/>
                <w:w w:val="90"/>
              </w:rPr>
              <w:t>0.182</w:t>
            </w:r>
          </w:p>
        </w:tc>
        <w:tc>
          <w:tcPr>
            <w:tcW w:w="1780" w:type="dxa"/>
            <w:vAlign w:val="bottom"/>
          </w:tcPr>
          <w:p>
            <w:pPr>
              <w:pStyle w:val="164"/>
              <w:rPr>
                <w:snapToGrid w:val="0"/>
                <w:color w:val="auto"/>
                <w:w w:val="90"/>
              </w:rPr>
            </w:pPr>
            <w:r>
              <w:rPr>
                <w:snapToGrid w:val="0"/>
                <w:color w:val="auto"/>
                <w:w w:val="90"/>
              </w:rPr>
              <w:t>0.190</w:t>
            </w:r>
          </w:p>
        </w:tc>
        <w:tc>
          <w:tcPr>
            <w:tcW w:w="792" w:type="dxa"/>
            <w:vAlign w:val="center"/>
          </w:tcPr>
          <w:p>
            <w:pPr>
              <w:pStyle w:val="164"/>
              <w:rPr>
                <w:snapToGrid w:val="0"/>
                <w:color w:val="auto"/>
                <w:w w:val="90"/>
              </w:rPr>
            </w:pPr>
            <w:r>
              <w:rPr>
                <w:snapToGrid w:val="0"/>
                <w:color w:val="auto"/>
                <w:w w:val="90"/>
              </w:rPr>
              <w:t>38</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砷</w:t>
            </w:r>
          </w:p>
        </w:tc>
        <w:tc>
          <w:tcPr>
            <w:tcW w:w="1755" w:type="dxa"/>
            <w:vAlign w:val="bottom"/>
          </w:tcPr>
          <w:p>
            <w:pPr>
              <w:pStyle w:val="164"/>
              <w:rPr>
                <w:snapToGrid w:val="0"/>
                <w:color w:val="auto"/>
                <w:w w:val="90"/>
              </w:rPr>
            </w:pPr>
            <w:r>
              <w:rPr>
                <w:snapToGrid w:val="0"/>
                <w:color w:val="auto"/>
                <w:w w:val="90"/>
              </w:rPr>
              <w:t>12.3</w:t>
            </w:r>
          </w:p>
        </w:tc>
        <w:tc>
          <w:tcPr>
            <w:tcW w:w="1755" w:type="dxa"/>
            <w:vAlign w:val="bottom"/>
          </w:tcPr>
          <w:p>
            <w:pPr>
              <w:pStyle w:val="164"/>
              <w:rPr>
                <w:snapToGrid w:val="0"/>
                <w:color w:val="auto"/>
                <w:w w:val="90"/>
              </w:rPr>
            </w:pPr>
            <w:r>
              <w:rPr>
                <w:snapToGrid w:val="0"/>
                <w:color w:val="auto"/>
                <w:w w:val="90"/>
              </w:rPr>
              <w:t>9.78</w:t>
            </w:r>
          </w:p>
        </w:tc>
        <w:tc>
          <w:tcPr>
            <w:tcW w:w="1780" w:type="dxa"/>
            <w:vAlign w:val="bottom"/>
          </w:tcPr>
          <w:p>
            <w:pPr>
              <w:pStyle w:val="164"/>
              <w:rPr>
                <w:snapToGrid w:val="0"/>
                <w:color w:val="auto"/>
                <w:w w:val="90"/>
              </w:rPr>
            </w:pPr>
            <w:r>
              <w:rPr>
                <w:snapToGrid w:val="0"/>
                <w:color w:val="auto"/>
                <w:w w:val="90"/>
              </w:rPr>
              <w:t>10.1</w:t>
            </w:r>
          </w:p>
        </w:tc>
        <w:tc>
          <w:tcPr>
            <w:tcW w:w="792" w:type="dxa"/>
            <w:vAlign w:val="center"/>
          </w:tcPr>
          <w:p>
            <w:pPr>
              <w:pStyle w:val="164"/>
              <w:rPr>
                <w:snapToGrid w:val="0"/>
                <w:color w:val="auto"/>
                <w:w w:val="90"/>
              </w:rPr>
            </w:pPr>
            <w:r>
              <w:rPr>
                <w:snapToGrid w:val="0"/>
                <w:color w:val="auto"/>
                <w:w w:val="90"/>
              </w:rPr>
              <w:t>60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铬（六价）</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5.7</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7166" w:type="dxa"/>
            <w:gridSpan w:val="4"/>
            <w:vAlign w:val="center"/>
          </w:tcPr>
          <w:p>
            <w:pPr>
              <w:pStyle w:val="164"/>
              <w:rPr>
                <w:bCs/>
                <w:snapToGrid w:val="0"/>
                <w:color w:val="auto"/>
                <w:w w:val="90"/>
              </w:rPr>
            </w:pPr>
            <w:r>
              <w:rPr>
                <w:bCs/>
                <w:snapToGrid w:val="0"/>
                <w:color w:val="auto"/>
                <w:w w:val="90"/>
              </w:rPr>
              <w:t>挥发性有机物</w:t>
            </w:r>
          </w:p>
        </w:tc>
        <w:tc>
          <w:tcPr>
            <w:tcW w:w="1688" w:type="dxa"/>
            <w:gridSpan w:val="2"/>
            <w:vAlign w:val="center"/>
          </w:tcPr>
          <w:p>
            <w:pPr>
              <w:pStyle w:val="164"/>
              <w:rPr>
                <w:bCs/>
                <w:snapToGrid w:val="0"/>
                <w:color w:val="auto"/>
                <w:w w:val="90"/>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12" w:hRule="atLeast"/>
          <w:jc w:val="center"/>
        </w:trPr>
        <w:tc>
          <w:tcPr>
            <w:tcW w:w="1876" w:type="dxa"/>
            <w:vAlign w:val="bottom"/>
          </w:tcPr>
          <w:p>
            <w:pPr>
              <w:pStyle w:val="164"/>
              <w:rPr>
                <w:snapToGrid w:val="0"/>
                <w:color w:val="auto"/>
                <w:w w:val="90"/>
              </w:rPr>
            </w:pPr>
            <w:r>
              <w:rPr>
                <w:snapToGrid w:val="0"/>
                <w:color w:val="auto"/>
                <w:w w:val="90"/>
              </w:rPr>
              <w:t>氯甲烷</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37</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氯乙烯</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0.43</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1,1-二氯乙烯</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66</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二氯甲烷</w:t>
            </w:r>
          </w:p>
        </w:tc>
        <w:tc>
          <w:tcPr>
            <w:tcW w:w="1755" w:type="dxa"/>
          </w:tcPr>
          <w:p>
            <w:pPr>
              <w:pStyle w:val="164"/>
              <w:rPr>
                <w:snapToGrid w:val="0"/>
                <w:color w:val="auto"/>
                <w:w w:val="90"/>
              </w:rPr>
            </w:pPr>
            <w:r>
              <w:rPr>
                <w:snapToGrid w:val="0"/>
                <w:color w:val="auto"/>
                <w:w w:val="90"/>
              </w:rPr>
              <w:t>0.0047</w:t>
            </w:r>
          </w:p>
        </w:tc>
        <w:tc>
          <w:tcPr>
            <w:tcW w:w="1755" w:type="dxa"/>
          </w:tcPr>
          <w:p>
            <w:pPr>
              <w:pStyle w:val="164"/>
              <w:rPr>
                <w:snapToGrid w:val="0"/>
                <w:color w:val="auto"/>
                <w:w w:val="90"/>
              </w:rPr>
            </w:pPr>
            <w:r>
              <w:rPr>
                <w:snapToGrid w:val="0"/>
                <w:color w:val="auto"/>
                <w:w w:val="90"/>
              </w:rPr>
              <w:t>0.0046</w:t>
            </w:r>
          </w:p>
        </w:tc>
        <w:tc>
          <w:tcPr>
            <w:tcW w:w="1780" w:type="dxa"/>
          </w:tcPr>
          <w:p>
            <w:pPr>
              <w:pStyle w:val="164"/>
              <w:rPr>
                <w:snapToGrid w:val="0"/>
                <w:color w:val="auto"/>
                <w:w w:val="90"/>
              </w:rPr>
            </w:pPr>
            <w:r>
              <w:rPr>
                <w:snapToGrid w:val="0"/>
                <w:color w:val="auto"/>
                <w:w w:val="90"/>
              </w:rPr>
              <w:t>0.0044</w:t>
            </w:r>
          </w:p>
        </w:tc>
        <w:tc>
          <w:tcPr>
            <w:tcW w:w="792" w:type="dxa"/>
          </w:tcPr>
          <w:p>
            <w:pPr>
              <w:pStyle w:val="164"/>
              <w:rPr>
                <w:snapToGrid w:val="0"/>
                <w:color w:val="auto"/>
                <w:w w:val="90"/>
              </w:rPr>
            </w:pPr>
            <w:r>
              <w:rPr>
                <w:snapToGrid w:val="0"/>
                <w:color w:val="auto"/>
                <w:w w:val="90"/>
              </w:rPr>
              <w:t>616</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反式-1,2-二氯乙烯</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54</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1,1-二氯乙烷</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9</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顺式-1,2-二氯乙烯</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596</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氯仿</w:t>
            </w:r>
          </w:p>
        </w:tc>
        <w:tc>
          <w:tcPr>
            <w:tcW w:w="1755" w:type="dxa"/>
          </w:tcPr>
          <w:p>
            <w:pPr>
              <w:pStyle w:val="164"/>
              <w:rPr>
                <w:snapToGrid w:val="0"/>
                <w:color w:val="auto"/>
                <w:w w:val="90"/>
              </w:rPr>
            </w:pPr>
            <w:r>
              <w:rPr>
                <w:snapToGrid w:val="0"/>
                <w:color w:val="auto"/>
                <w:w w:val="90"/>
              </w:rPr>
              <w:t>0.0099</w:t>
            </w:r>
          </w:p>
        </w:tc>
        <w:tc>
          <w:tcPr>
            <w:tcW w:w="1755" w:type="dxa"/>
          </w:tcPr>
          <w:p>
            <w:pPr>
              <w:pStyle w:val="164"/>
              <w:rPr>
                <w:snapToGrid w:val="0"/>
                <w:color w:val="auto"/>
                <w:w w:val="90"/>
              </w:rPr>
            </w:pPr>
            <w:r>
              <w:rPr>
                <w:snapToGrid w:val="0"/>
                <w:color w:val="auto"/>
                <w:w w:val="90"/>
              </w:rPr>
              <w:t>0.0097</w:t>
            </w:r>
          </w:p>
        </w:tc>
        <w:tc>
          <w:tcPr>
            <w:tcW w:w="1780" w:type="dxa"/>
          </w:tcPr>
          <w:p>
            <w:pPr>
              <w:pStyle w:val="164"/>
              <w:rPr>
                <w:snapToGrid w:val="0"/>
                <w:color w:val="auto"/>
                <w:w w:val="90"/>
              </w:rPr>
            </w:pPr>
            <w:r>
              <w:rPr>
                <w:snapToGrid w:val="0"/>
                <w:color w:val="auto"/>
                <w:w w:val="90"/>
              </w:rPr>
              <w:t>0.0093</w:t>
            </w:r>
          </w:p>
        </w:tc>
        <w:tc>
          <w:tcPr>
            <w:tcW w:w="792" w:type="dxa"/>
          </w:tcPr>
          <w:p>
            <w:pPr>
              <w:pStyle w:val="164"/>
              <w:rPr>
                <w:snapToGrid w:val="0"/>
                <w:color w:val="auto"/>
                <w:w w:val="90"/>
              </w:rPr>
            </w:pPr>
            <w:r>
              <w:rPr>
                <w:snapToGrid w:val="0"/>
                <w:color w:val="auto"/>
                <w:w w:val="90"/>
              </w:rPr>
              <w:t>0.9</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1,1,1-三氯乙烷</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840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四氯化碳</w:t>
            </w:r>
          </w:p>
        </w:tc>
        <w:tc>
          <w:tcPr>
            <w:tcW w:w="1755" w:type="dxa"/>
          </w:tcPr>
          <w:p>
            <w:pPr>
              <w:pStyle w:val="164"/>
              <w:rPr>
                <w:snapToGrid w:val="0"/>
                <w:color w:val="auto"/>
                <w:w w:val="90"/>
              </w:rPr>
            </w:pPr>
            <w:r>
              <w:rPr>
                <w:snapToGrid w:val="0"/>
                <w:color w:val="auto"/>
                <w:w w:val="90"/>
              </w:rPr>
              <w:t>0.0040</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2.8</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苯</w:t>
            </w:r>
          </w:p>
        </w:tc>
        <w:tc>
          <w:tcPr>
            <w:tcW w:w="1755" w:type="dxa"/>
          </w:tcPr>
          <w:p>
            <w:pPr>
              <w:pStyle w:val="164"/>
              <w:rPr>
                <w:snapToGrid w:val="0"/>
                <w:color w:val="auto"/>
                <w:w w:val="90"/>
              </w:rPr>
            </w:pPr>
            <w:r>
              <w:rPr>
                <w:snapToGrid w:val="0"/>
                <w:color w:val="auto"/>
                <w:w w:val="90"/>
              </w:rPr>
              <w:t>0.0058</w:t>
            </w:r>
          </w:p>
        </w:tc>
        <w:tc>
          <w:tcPr>
            <w:tcW w:w="1755" w:type="dxa"/>
          </w:tcPr>
          <w:p>
            <w:pPr>
              <w:pStyle w:val="164"/>
              <w:rPr>
                <w:snapToGrid w:val="0"/>
                <w:color w:val="auto"/>
                <w:w w:val="90"/>
              </w:rPr>
            </w:pPr>
            <w:r>
              <w:rPr>
                <w:snapToGrid w:val="0"/>
                <w:color w:val="auto"/>
                <w:w w:val="90"/>
              </w:rPr>
              <w:t>0.0057</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4</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1,2-二氯乙烷</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5</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三氯乙烯</w:t>
            </w:r>
          </w:p>
        </w:tc>
        <w:tc>
          <w:tcPr>
            <w:tcW w:w="1755" w:type="dxa"/>
          </w:tcPr>
          <w:p>
            <w:pPr>
              <w:pStyle w:val="164"/>
              <w:rPr>
                <w:snapToGrid w:val="0"/>
                <w:color w:val="auto"/>
                <w:w w:val="90"/>
              </w:rPr>
            </w:pPr>
            <w:r>
              <w:rPr>
                <w:snapToGrid w:val="0"/>
                <w:color w:val="auto"/>
                <w:w w:val="90"/>
              </w:rPr>
              <w:t>ND</w:t>
            </w:r>
          </w:p>
        </w:tc>
        <w:tc>
          <w:tcPr>
            <w:tcW w:w="1755" w:type="dxa"/>
            <w:vAlign w:val="bottom"/>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2.8</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1,2-二氯丙烷</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5</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甲苯</w:t>
            </w:r>
          </w:p>
        </w:tc>
        <w:tc>
          <w:tcPr>
            <w:tcW w:w="1755" w:type="dxa"/>
          </w:tcPr>
          <w:p>
            <w:pPr>
              <w:pStyle w:val="164"/>
              <w:rPr>
                <w:snapToGrid w:val="0"/>
                <w:color w:val="auto"/>
                <w:w w:val="90"/>
              </w:rPr>
            </w:pPr>
            <w:r>
              <w:rPr>
                <w:snapToGrid w:val="0"/>
                <w:color w:val="auto"/>
                <w:w w:val="90"/>
              </w:rPr>
              <w:t>0.0085</w:t>
            </w:r>
          </w:p>
        </w:tc>
        <w:tc>
          <w:tcPr>
            <w:tcW w:w="1755" w:type="dxa"/>
          </w:tcPr>
          <w:p>
            <w:pPr>
              <w:pStyle w:val="164"/>
              <w:rPr>
                <w:snapToGrid w:val="0"/>
                <w:color w:val="auto"/>
                <w:w w:val="90"/>
              </w:rPr>
            </w:pPr>
            <w:r>
              <w:rPr>
                <w:snapToGrid w:val="0"/>
                <w:color w:val="auto"/>
                <w:w w:val="90"/>
              </w:rPr>
              <w:t>0.0083</w:t>
            </w:r>
          </w:p>
        </w:tc>
        <w:tc>
          <w:tcPr>
            <w:tcW w:w="1780" w:type="dxa"/>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1200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1,1,2-三氯乙烷</w:t>
            </w:r>
          </w:p>
        </w:tc>
        <w:tc>
          <w:tcPr>
            <w:tcW w:w="1755" w:type="dxa"/>
            <w:vAlign w:val="bottom"/>
          </w:tcPr>
          <w:p>
            <w:pPr>
              <w:pStyle w:val="164"/>
              <w:rPr>
                <w:snapToGrid w:val="0"/>
                <w:color w:val="auto"/>
                <w:w w:val="90"/>
              </w:rPr>
            </w:pPr>
            <w:r>
              <w:rPr>
                <w:snapToGrid w:val="0"/>
                <w:color w:val="auto"/>
                <w:w w:val="90"/>
              </w:rPr>
              <w:t>ND</w:t>
            </w:r>
          </w:p>
        </w:tc>
        <w:tc>
          <w:tcPr>
            <w:tcW w:w="1755" w:type="dxa"/>
            <w:vAlign w:val="bottom"/>
          </w:tcPr>
          <w:p>
            <w:pPr>
              <w:pStyle w:val="164"/>
              <w:rPr>
                <w:snapToGrid w:val="0"/>
                <w:color w:val="auto"/>
                <w:w w:val="90"/>
              </w:rPr>
            </w:pPr>
            <w:r>
              <w:rPr>
                <w:snapToGrid w:val="0"/>
                <w:color w:val="auto"/>
                <w:w w:val="90"/>
              </w:rPr>
              <w:t>ND</w:t>
            </w:r>
          </w:p>
        </w:tc>
        <w:tc>
          <w:tcPr>
            <w:tcW w:w="1780" w:type="dxa"/>
            <w:vAlign w:val="bottom"/>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2.8</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四氯乙烯</w:t>
            </w:r>
          </w:p>
        </w:tc>
        <w:tc>
          <w:tcPr>
            <w:tcW w:w="1755" w:type="dxa"/>
            <w:vAlign w:val="bottom"/>
          </w:tcPr>
          <w:p>
            <w:pPr>
              <w:pStyle w:val="164"/>
              <w:rPr>
                <w:snapToGrid w:val="0"/>
                <w:color w:val="auto"/>
                <w:w w:val="90"/>
              </w:rPr>
            </w:pPr>
            <w:r>
              <w:rPr>
                <w:snapToGrid w:val="0"/>
                <w:color w:val="auto"/>
                <w:w w:val="90"/>
              </w:rPr>
              <w:t>0.0297</w:t>
            </w:r>
          </w:p>
        </w:tc>
        <w:tc>
          <w:tcPr>
            <w:tcW w:w="1755" w:type="dxa"/>
            <w:vAlign w:val="bottom"/>
          </w:tcPr>
          <w:p>
            <w:pPr>
              <w:pStyle w:val="164"/>
              <w:rPr>
                <w:snapToGrid w:val="0"/>
                <w:color w:val="auto"/>
                <w:w w:val="90"/>
              </w:rPr>
            </w:pPr>
            <w:r>
              <w:rPr>
                <w:snapToGrid w:val="0"/>
                <w:color w:val="auto"/>
                <w:w w:val="90"/>
              </w:rPr>
              <w:t>0.0238</w:t>
            </w:r>
          </w:p>
        </w:tc>
        <w:tc>
          <w:tcPr>
            <w:tcW w:w="1780" w:type="dxa"/>
            <w:vAlign w:val="bottom"/>
          </w:tcPr>
          <w:p>
            <w:pPr>
              <w:pStyle w:val="164"/>
              <w:rPr>
                <w:snapToGrid w:val="0"/>
                <w:color w:val="auto"/>
                <w:w w:val="90"/>
              </w:rPr>
            </w:pPr>
            <w:r>
              <w:rPr>
                <w:snapToGrid w:val="0"/>
                <w:color w:val="auto"/>
                <w:w w:val="90"/>
              </w:rPr>
              <w:t>0.0028</w:t>
            </w:r>
          </w:p>
        </w:tc>
        <w:tc>
          <w:tcPr>
            <w:tcW w:w="792" w:type="dxa"/>
          </w:tcPr>
          <w:p>
            <w:pPr>
              <w:pStyle w:val="164"/>
              <w:rPr>
                <w:snapToGrid w:val="0"/>
                <w:color w:val="auto"/>
                <w:w w:val="90"/>
              </w:rPr>
            </w:pPr>
            <w:r>
              <w:rPr>
                <w:snapToGrid w:val="0"/>
                <w:color w:val="auto"/>
                <w:w w:val="90"/>
              </w:rPr>
              <w:t>53</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氯苯</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270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1,1,1,2-四氯乙烷</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10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乙苯</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28</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间，对-COD</w:t>
            </w:r>
          </w:p>
        </w:tc>
        <w:tc>
          <w:tcPr>
            <w:tcW w:w="1755" w:type="dxa"/>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570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邻-COD</w:t>
            </w:r>
          </w:p>
        </w:tc>
        <w:tc>
          <w:tcPr>
            <w:tcW w:w="1755" w:type="dxa"/>
            <w:vAlign w:val="bottom"/>
          </w:tcPr>
          <w:p>
            <w:pPr>
              <w:pStyle w:val="164"/>
              <w:rPr>
                <w:snapToGrid w:val="0"/>
                <w:color w:val="auto"/>
                <w:w w:val="90"/>
              </w:rPr>
            </w:pPr>
            <w:r>
              <w:rPr>
                <w:snapToGrid w:val="0"/>
                <w:color w:val="auto"/>
                <w:w w:val="90"/>
              </w:rPr>
              <w:t>ND</w:t>
            </w:r>
          </w:p>
        </w:tc>
        <w:tc>
          <w:tcPr>
            <w:tcW w:w="1755" w:type="dxa"/>
            <w:vAlign w:val="bottom"/>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640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苯乙烯</w:t>
            </w:r>
          </w:p>
        </w:tc>
        <w:tc>
          <w:tcPr>
            <w:tcW w:w="1755" w:type="dxa"/>
            <w:vAlign w:val="bottom"/>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1290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1,1,2,2-四氯乙烷</w:t>
            </w:r>
          </w:p>
        </w:tc>
        <w:tc>
          <w:tcPr>
            <w:tcW w:w="1755" w:type="dxa"/>
            <w:vAlign w:val="bottom"/>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6.8</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1,2,3-三氯丙烷</w:t>
            </w:r>
          </w:p>
        </w:tc>
        <w:tc>
          <w:tcPr>
            <w:tcW w:w="1755" w:type="dxa"/>
            <w:vAlign w:val="bottom"/>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0.5</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1,4-二氯苯</w:t>
            </w:r>
          </w:p>
        </w:tc>
        <w:tc>
          <w:tcPr>
            <w:tcW w:w="1755" w:type="dxa"/>
            <w:vAlign w:val="bottom"/>
          </w:tcPr>
          <w:p>
            <w:pPr>
              <w:pStyle w:val="164"/>
              <w:rPr>
                <w:snapToGrid w:val="0"/>
                <w:color w:val="auto"/>
                <w:w w:val="90"/>
              </w:rPr>
            </w:pPr>
            <w:r>
              <w:rPr>
                <w:snapToGrid w:val="0"/>
                <w:color w:val="auto"/>
                <w:w w:val="90"/>
              </w:rPr>
              <w:t>ND</w:t>
            </w:r>
          </w:p>
        </w:tc>
        <w:tc>
          <w:tcPr>
            <w:tcW w:w="1755" w:type="dxa"/>
          </w:tcPr>
          <w:p>
            <w:pPr>
              <w:pStyle w:val="164"/>
              <w:rPr>
                <w:snapToGrid w:val="0"/>
                <w:color w:val="auto"/>
                <w:w w:val="90"/>
              </w:rPr>
            </w:pPr>
            <w:r>
              <w:rPr>
                <w:snapToGrid w:val="0"/>
                <w:color w:val="auto"/>
                <w:w w:val="90"/>
              </w:rPr>
              <w:t>ND</w:t>
            </w:r>
          </w:p>
        </w:tc>
        <w:tc>
          <w:tcPr>
            <w:tcW w:w="1780" w:type="dxa"/>
            <w:vAlign w:val="bottom"/>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20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bottom"/>
          </w:tcPr>
          <w:p>
            <w:pPr>
              <w:pStyle w:val="164"/>
              <w:rPr>
                <w:snapToGrid w:val="0"/>
                <w:color w:val="auto"/>
                <w:w w:val="90"/>
              </w:rPr>
            </w:pPr>
            <w:r>
              <w:rPr>
                <w:snapToGrid w:val="0"/>
                <w:color w:val="auto"/>
                <w:w w:val="90"/>
              </w:rPr>
              <w:t>1,2-二氯苯</w:t>
            </w:r>
          </w:p>
        </w:tc>
        <w:tc>
          <w:tcPr>
            <w:tcW w:w="1755" w:type="dxa"/>
            <w:vAlign w:val="bottom"/>
          </w:tcPr>
          <w:p>
            <w:pPr>
              <w:pStyle w:val="164"/>
              <w:rPr>
                <w:snapToGrid w:val="0"/>
                <w:color w:val="auto"/>
                <w:w w:val="90"/>
              </w:rPr>
            </w:pPr>
            <w:r>
              <w:rPr>
                <w:snapToGrid w:val="0"/>
                <w:color w:val="auto"/>
                <w:w w:val="90"/>
              </w:rPr>
              <w:t>ND</w:t>
            </w:r>
          </w:p>
        </w:tc>
        <w:tc>
          <w:tcPr>
            <w:tcW w:w="1755" w:type="dxa"/>
            <w:vAlign w:val="bottom"/>
          </w:tcPr>
          <w:p>
            <w:pPr>
              <w:pStyle w:val="164"/>
              <w:rPr>
                <w:snapToGrid w:val="0"/>
                <w:color w:val="auto"/>
                <w:w w:val="90"/>
              </w:rPr>
            </w:pPr>
            <w:r>
              <w:rPr>
                <w:snapToGrid w:val="0"/>
                <w:color w:val="auto"/>
                <w:w w:val="90"/>
              </w:rPr>
              <w:t>ND</w:t>
            </w:r>
          </w:p>
        </w:tc>
        <w:tc>
          <w:tcPr>
            <w:tcW w:w="1780" w:type="dxa"/>
            <w:vAlign w:val="bottom"/>
          </w:tcPr>
          <w:p>
            <w:pPr>
              <w:pStyle w:val="164"/>
              <w:rPr>
                <w:snapToGrid w:val="0"/>
                <w:color w:val="auto"/>
                <w:w w:val="90"/>
              </w:rPr>
            </w:pPr>
            <w:r>
              <w:rPr>
                <w:snapToGrid w:val="0"/>
                <w:color w:val="auto"/>
                <w:w w:val="90"/>
              </w:rPr>
              <w:t>ND</w:t>
            </w:r>
          </w:p>
        </w:tc>
        <w:tc>
          <w:tcPr>
            <w:tcW w:w="792" w:type="dxa"/>
          </w:tcPr>
          <w:p>
            <w:pPr>
              <w:pStyle w:val="164"/>
              <w:rPr>
                <w:snapToGrid w:val="0"/>
                <w:color w:val="auto"/>
                <w:w w:val="90"/>
              </w:rPr>
            </w:pPr>
            <w:r>
              <w:rPr>
                <w:snapToGrid w:val="0"/>
                <w:color w:val="auto"/>
                <w:w w:val="90"/>
              </w:rPr>
              <w:t>560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8854" w:type="dxa"/>
            <w:gridSpan w:val="6"/>
            <w:vAlign w:val="center"/>
          </w:tcPr>
          <w:p>
            <w:pPr>
              <w:pStyle w:val="164"/>
              <w:rPr>
                <w:snapToGrid w:val="0"/>
                <w:color w:val="auto"/>
                <w:w w:val="90"/>
              </w:rPr>
            </w:pPr>
            <w:r>
              <w:rPr>
                <w:snapToGrid w:val="0"/>
                <w:color w:val="auto"/>
                <w:w w:val="90"/>
              </w:rPr>
              <w:t>半挥发性有机物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硝基苯</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76</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苯胺</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260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2-氯酚</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2256</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苯并[a]蒽</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15</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苯并[a]芘</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1.5</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苯并[b]荧蒽</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15</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苯并[k]荧蒽</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151</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䓛</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1293</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二苯并[a,h]蒽</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1.5</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茚并[1,2,3-cd]芘</w:t>
            </w:r>
          </w:p>
        </w:tc>
        <w:tc>
          <w:tcPr>
            <w:tcW w:w="1755" w:type="dxa"/>
            <w:vAlign w:val="center"/>
          </w:tcPr>
          <w:p>
            <w:pPr>
              <w:pStyle w:val="164"/>
              <w:rPr>
                <w:snapToGrid w:val="0"/>
                <w:color w:val="auto"/>
                <w:w w:val="90"/>
              </w:rPr>
            </w:pPr>
            <w:r>
              <w:rPr>
                <w:snapToGrid w:val="0"/>
                <w:color w:val="auto"/>
                <w:w w:val="90"/>
              </w:rPr>
              <w:t>ND</w:t>
            </w:r>
          </w:p>
        </w:tc>
        <w:tc>
          <w:tcPr>
            <w:tcW w:w="1755" w:type="dxa"/>
            <w:vAlign w:val="center"/>
          </w:tcPr>
          <w:p>
            <w:pPr>
              <w:pStyle w:val="164"/>
              <w:rPr>
                <w:snapToGrid w:val="0"/>
                <w:color w:val="auto"/>
                <w:w w:val="90"/>
              </w:rPr>
            </w:pPr>
            <w:r>
              <w:rPr>
                <w:snapToGrid w:val="0"/>
                <w:color w:val="auto"/>
                <w:w w:val="90"/>
              </w:rPr>
              <w:t>ND</w:t>
            </w:r>
          </w:p>
        </w:tc>
        <w:tc>
          <w:tcPr>
            <w:tcW w:w="1780" w:type="dxa"/>
            <w:vAlign w:val="center"/>
          </w:tcPr>
          <w:p>
            <w:pPr>
              <w:pStyle w:val="164"/>
              <w:rPr>
                <w:snapToGrid w:val="0"/>
                <w:color w:val="auto"/>
                <w:w w:val="90"/>
              </w:rPr>
            </w:pPr>
            <w:r>
              <w:rPr>
                <w:snapToGrid w:val="0"/>
                <w:color w:val="auto"/>
                <w:w w:val="90"/>
              </w:rPr>
              <w:t>ND</w:t>
            </w:r>
          </w:p>
        </w:tc>
        <w:tc>
          <w:tcPr>
            <w:tcW w:w="792" w:type="dxa"/>
            <w:vAlign w:val="center"/>
          </w:tcPr>
          <w:p>
            <w:pPr>
              <w:pStyle w:val="164"/>
              <w:rPr>
                <w:snapToGrid w:val="0"/>
                <w:color w:val="auto"/>
                <w:w w:val="90"/>
              </w:rPr>
            </w:pPr>
            <w:r>
              <w:rPr>
                <w:snapToGrid w:val="0"/>
                <w:color w:val="auto"/>
                <w:w w:val="90"/>
              </w:rPr>
              <w:t>15</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7" w:hRule="atLeast"/>
          <w:jc w:val="center"/>
        </w:trPr>
        <w:tc>
          <w:tcPr>
            <w:tcW w:w="1876" w:type="dxa"/>
            <w:vAlign w:val="center"/>
          </w:tcPr>
          <w:p>
            <w:pPr>
              <w:pStyle w:val="164"/>
              <w:rPr>
                <w:snapToGrid w:val="0"/>
                <w:color w:val="auto"/>
                <w:w w:val="90"/>
              </w:rPr>
            </w:pPr>
            <w:r>
              <w:rPr>
                <w:snapToGrid w:val="0"/>
                <w:color w:val="auto"/>
                <w:w w:val="90"/>
              </w:rPr>
              <w:t>萘</w:t>
            </w:r>
          </w:p>
        </w:tc>
        <w:tc>
          <w:tcPr>
            <w:tcW w:w="1755" w:type="dxa"/>
            <w:vAlign w:val="center"/>
          </w:tcPr>
          <w:p>
            <w:pPr>
              <w:pStyle w:val="164"/>
              <w:rPr>
                <w:snapToGrid w:val="0"/>
                <w:color w:val="auto"/>
                <w:w w:val="90"/>
              </w:rPr>
            </w:pPr>
            <w:r>
              <w:rPr>
                <w:snapToGrid w:val="0"/>
                <w:color w:val="auto"/>
                <w:w w:val="90"/>
              </w:rPr>
              <w:t>0.0102</w:t>
            </w:r>
          </w:p>
        </w:tc>
        <w:tc>
          <w:tcPr>
            <w:tcW w:w="1755" w:type="dxa"/>
            <w:vAlign w:val="center"/>
          </w:tcPr>
          <w:p>
            <w:pPr>
              <w:pStyle w:val="164"/>
              <w:rPr>
                <w:snapToGrid w:val="0"/>
                <w:color w:val="auto"/>
                <w:w w:val="90"/>
              </w:rPr>
            </w:pPr>
            <w:r>
              <w:rPr>
                <w:snapToGrid w:val="0"/>
                <w:color w:val="auto"/>
                <w:w w:val="90"/>
              </w:rPr>
              <w:t>0.0101</w:t>
            </w:r>
          </w:p>
        </w:tc>
        <w:tc>
          <w:tcPr>
            <w:tcW w:w="1780" w:type="dxa"/>
            <w:vAlign w:val="center"/>
          </w:tcPr>
          <w:p>
            <w:pPr>
              <w:pStyle w:val="164"/>
              <w:rPr>
                <w:snapToGrid w:val="0"/>
                <w:color w:val="auto"/>
                <w:w w:val="90"/>
              </w:rPr>
            </w:pPr>
            <w:r>
              <w:rPr>
                <w:snapToGrid w:val="0"/>
                <w:color w:val="auto"/>
                <w:w w:val="90"/>
              </w:rPr>
              <w:t>0.0100</w:t>
            </w:r>
          </w:p>
        </w:tc>
        <w:tc>
          <w:tcPr>
            <w:tcW w:w="792" w:type="dxa"/>
            <w:vAlign w:val="center"/>
          </w:tcPr>
          <w:p>
            <w:pPr>
              <w:pStyle w:val="164"/>
              <w:rPr>
                <w:snapToGrid w:val="0"/>
                <w:color w:val="auto"/>
                <w:w w:val="90"/>
              </w:rPr>
            </w:pPr>
            <w:r>
              <w:rPr>
                <w:snapToGrid w:val="0"/>
                <w:color w:val="auto"/>
                <w:w w:val="90"/>
              </w:rPr>
              <w:t>70</w:t>
            </w:r>
          </w:p>
        </w:tc>
        <w:tc>
          <w:tcPr>
            <w:tcW w:w="896"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892" w:hRule="atLeast"/>
          <w:jc w:val="center"/>
        </w:trPr>
        <w:tc>
          <w:tcPr>
            <w:tcW w:w="8854" w:type="dxa"/>
            <w:gridSpan w:val="6"/>
            <w:vAlign w:val="center"/>
          </w:tcPr>
          <w:p>
            <w:pPr>
              <w:pStyle w:val="164"/>
              <w:rPr>
                <w:color w:val="auto"/>
                <w:w w:val="90"/>
                <w:szCs w:val="21"/>
              </w:rPr>
            </w:pPr>
            <w:r>
              <w:rPr>
                <w:color w:val="auto"/>
                <w:w w:val="90"/>
                <w:szCs w:val="21"/>
              </w:rPr>
              <w:t>备注： ND表示未检出或小于检出限，检出限见表3-6。铬（六价）参照《固体废物铬（六价）的测定 碱消解/火焰原子吸收分光光度法》（HJ687-2014）进行测定。土壤检测因子参照执行《土壤环境质量建设用地土壤污染风险管控标准》（试行）（GB 36600-2018）表1第二类用地筛选值，标准由委托单位提供。</w:t>
            </w:r>
          </w:p>
        </w:tc>
      </w:tr>
    </w:tbl>
    <w:p>
      <w:pPr>
        <w:adjustRightInd w:val="0"/>
        <w:snapToGrid w:val="0"/>
        <w:spacing w:before="120" w:beforeLines="50"/>
        <w:jc w:val="center"/>
        <w:rPr>
          <w:b/>
          <w:bCs/>
          <w:color w:val="auto"/>
          <w:sz w:val="24"/>
          <w:szCs w:val="24"/>
        </w:rPr>
      </w:pPr>
      <w:r>
        <w:rPr>
          <w:b/>
          <w:bCs/>
          <w:color w:val="auto"/>
          <w:sz w:val="24"/>
          <w:szCs w:val="24"/>
        </w:rPr>
        <w:t>表6.5-5  土壤检测结果一览表  单位：mg/kg</w:t>
      </w:r>
    </w:p>
    <w:tbl>
      <w:tblPr>
        <w:tblStyle w:val="75"/>
        <w:tblW w:w="8720" w:type="dxa"/>
        <w:jc w:val="center"/>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873"/>
        <w:gridCol w:w="5195"/>
        <w:gridCol w:w="780"/>
        <w:gridCol w:w="872"/>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Merge w:val="restart"/>
            <w:tcBorders>
              <w:top w:val="single" w:color="000000" w:themeColor="text1" w:sz="12" w:space="0"/>
              <w:bottom w:val="single" w:color="000000" w:themeColor="text1" w:sz="6" w:space="0"/>
              <w:tl2br w:val="single" w:color="000000" w:themeColor="text1" w:sz="4" w:space="0"/>
            </w:tcBorders>
            <w:vAlign w:val="center"/>
          </w:tcPr>
          <w:p>
            <w:pPr>
              <w:pStyle w:val="164"/>
              <w:rPr>
                <w:snapToGrid w:val="0"/>
                <w:color w:val="auto"/>
                <w:w w:val="90"/>
              </w:rPr>
            </w:pPr>
            <w:r>
              <w:rPr>
                <w:snapToGrid w:val="0"/>
                <w:color w:val="auto"/>
                <w:w w:val="90"/>
              </w:rPr>
              <w:t xml:space="preserve">            点位</w:t>
            </w:r>
          </w:p>
          <w:p>
            <w:pPr>
              <w:pStyle w:val="164"/>
              <w:jc w:val="both"/>
              <w:rPr>
                <w:snapToGrid w:val="0"/>
                <w:color w:val="auto"/>
                <w:w w:val="90"/>
              </w:rPr>
            </w:pPr>
            <w:r>
              <w:rPr>
                <w:snapToGrid w:val="0"/>
                <w:color w:val="auto"/>
                <w:w w:val="90"/>
              </w:rPr>
              <w:t>项目</w:t>
            </w:r>
          </w:p>
        </w:tc>
        <w:tc>
          <w:tcPr>
            <w:tcW w:w="5195" w:type="dxa"/>
          </w:tcPr>
          <w:p>
            <w:pPr>
              <w:pStyle w:val="164"/>
              <w:rPr>
                <w:snapToGrid w:val="0"/>
                <w:color w:val="auto"/>
                <w:w w:val="90"/>
              </w:rPr>
            </w:pPr>
            <w:r>
              <w:rPr>
                <w:bCs/>
                <w:color w:val="auto"/>
                <w:w w:val="90"/>
              </w:rPr>
              <w:t>3#厂址东南（2020年4月16日）</w:t>
            </w:r>
          </w:p>
        </w:tc>
        <w:tc>
          <w:tcPr>
            <w:tcW w:w="780" w:type="dxa"/>
            <w:vMerge w:val="restart"/>
            <w:vAlign w:val="center"/>
          </w:tcPr>
          <w:p>
            <w:pPr>
              <w:pStyle w:val="164"/>
              <w:rPr>
                <w:snapToGrid w:val="0"/>
                <w:color w:val="auto"/>
                <w:w w:val="90"/>
              </w:rPr>
            </w:pPr>
            <w:r>
              <w:rPr>
                <w:snapToGrid w:val="0"/>
                <w:color w:val="auto"/>
                <w:w w:val="90"/>
              </w:rPr>
              <w:t>标准</w:t>
            </w:r>
          </w:p>
          <w:p>
            <w:pPr>
              <w:pStyle w:val="164"/>
              <w:rPr>
                <w:snapToGrid w:val="0"/>
                <w:color w:val="auto"/>
                <w:w w:val="90"/>
              </w:rPr>
            </w:pPr>
            <w:r>
              <w:rPr>
                <w:snapToGrid w:val="0"/>
                <w:color w:val="auto"/>
                <w:w w:val="90"/>
              </w:rPr>
              <w:t>限值</w:t>
            </w:r>
          </w:p>
        </w:tc>
        <w:tc>
          <w:tcPr>
            <w:tcW w:w="872" w:type="dxa"/>
            <w:vMerge w:val="restart"/>
            <w:vAlign w:val="center"/>
          </w:tcPr>
          <w:p>
            <w:pPr>
              <w:pStyle w:val="164"/>
              <w:rPr>
                <w:snapToGrid w:val="0"/>
                <w:color w:val="auto"/>
                <w:w w:val="90"/>
              </w:rPr>
            </w:pPr>
            <w:r>
              <w:rPr>
                <w:snapToGrid w:val="0"/>
                <w:color w:val="auto"/>
                <w:w w:val="90"/>
              </w:rPr>
              <w:t>达标</w:t>
            </w:r>
          </w:p>
          <w:p>
            <w:pPr>
              <w:pStyle w:val="164"/>
              <w:rPr>
                <w:snapToGrid w:val="0"/>
                <w:color w:val="auto"/>
                <w:w w:val="90"/>
              </w:rPr>
            </w:pPr>
            <w:r>
              <w:rPr>
                <w:snapToGrid w:val="0"/>
                <w:color w:val="auto"/>
                <w:w w:val="90"/>
              </w:rPr>
              <w:t>情况</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Merge w:val="continue"/>
            <w:tcBorders>
              <w:top w:val="single" w:color="000000" w:themeColor="text1" w:sz="6" w:space="0"/>
              <w:bottom w:val="single" w:color="000000" w:themeColor="text1" w:sz="6" w:space="0"/>
              <w:tl2br w:val="single" w:color="000000" w:themeColor="text1" w:sz="4" w:space="0"/>
            </w:tcBorders>
            <w:vAlign w:val="center"/>
          </w:tcPr>
          <w:p>
            <w:pPr>
              <w:pStyle w:val="164"/>
              <w:rPr>
                <w:snapToGrid w:val="0"/>
                <w:color w:val="auto"/>
                <w:w w:val="90"/>
              </w:rPr>
            </w:pPr>
          </w:p>
        </w:tc>
        <w:tc>
          <w:tcPr>
            <w:tcW w:w="5195" w:type="dxa"/>
          </w:tcPr>
          <w:p>
            <w:pPr>
              <w:pStyle w:val="164"/>
              <w:rPr>
                <w:bCs/>
                <w:color w:val="auto"/>
                <w:w w:val="90"/>
              </w:rPr>
            </w:pPr>
            <w:r>
              <w:rPr>
                <w:bCs/>
                <w:color w:val="auto"/>
                <w:w w:val="90"/>
              </w:rPr>
              <w:t>表层（0～0.2m）</w:t>
            </w:r>
          </w:p>
        </w:tc>
        <w:tc>
          <w:tcPr>
            <w:tcW w:w="780" w:type="dxa"/>
            <w:vMerge w:val="continue"/>
            <w:vAlign w:val="center"/>
          </w:tcPr>
          <w:p>
            <w:pPr>
              <w:pStyle w:val="164"/>
              <w:rPr>
                <w:bCs/>
                <w:snapToGrid w:val="0"/>
                <w:color w:val="auto"/>
                <w:w w:val="90"/>
              </w:rPr>
            </w:pPr>
          </w:p>
        </w:tc>
        <w:tc>
          <w:tcPr>
            <w:tcW w:w="872" w:type="dxa"/>
            <w:vMerge w:val="continue"/>
            <w:vAlign w:val="center"/>
          </w:tcPr>
          <w:p>
            <w:pPr>
              <w:pStyle w:val="164"/>
              <w:rPr>
                <w:bCs/>
                <w:snapToGrid w:val="0"/>
                <w:color w:val="auto"/>
                <w:w w:val="90"/>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8720" w:type="dxa"/>
            <w:gridSpan w:val="4"/>
            <w:vAlign w:val="center"/>
          </w:tcPr>
          <w:p>
            <w:pPr>
              <w:pStyle w:val="164"/>
              <w:rPr>
                <w:bCs/>
                <w:snapToGrid w:val="0"/>
                <w:color w:val="auto"/>
                <w:w w:val="90"/>
              </w:rPr>
            </w:pPr>
            <w:r>
              <w:rPr>
                <w:bCs/>
                <w:snapToGrid w:val="0"/>
                <w:color w:val="auto"/>
                <w:w w:val="90"/>
              </w:rPr>
              <w:t>金属和无机物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铜</w:t>
            </w:r>
          </w:p>
        </w:tc>
        <w:tc>
          <w:tcPr>
            <w:tcW w:w="5195" w:type="dxa"/>
            <w:vAlign w:val="bottom"/>
          </w:tcPr>
          <w:p>
            <w:pPr>
              <w:pStyle w:val="164"/>
              <w:rPr>
                <w:snapToGrid w:val="0"/>
                <w:color w:val="auto"/>
                <w:w w:val="90"/>
              </w:rPr>
            </w:pPr>
            <w:r>
              <w:rPr>
                <w:snapToGrid w:val="0"/>
                <w:color w:val="auto"/>
                <w:w w:val="90"/>
              </w:rPr>
              <w:t>12</w:t>
            </w:r>
          </w:p>
        </w:tc>
        <w:tc>
          <w:tcPr>
            <w:tcW w:w="780" w:type="dxa"/>
            <w:vAlign w:val="center"/>
          </w:tcPr>
          <w:p>
            <w:pPr>
              <w:pStyle w:val="164"/>
              <w:rPr>
                <w:snapToGrid w:val="0"/>
                <w:color w:val="auto"/>
                <w:w w:val="90"/>
              </w:rPr>
            </w:pPr>
            <w:r>
              <w:rPr>
                <w:snapToGrid w:val="0"/>
                <w:color w:val="auto"/>
                <w:w w:val="90"/>
              </w:rPr>
              <w:t>18000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镍</w:t>
            </w:r>
          </w:p>
        </w:tc>
        <w:tc>
          <w:tcPr>
            <w:tcW w:w="5195" w:type="dxa"/>
            <w:vAlign w:val="bottom"/>
          </w:tcPr>
          <w:p>
            <w:pPr>
              <w:pStyle w:val="164"/>
              <w:rPr>
                <w:snapToGrid w:val="0"/>
                <w:color w:val="auto"/>
                <w:w w:val="90"/>
              </w:rPr>
            </w:pPr>
            <w:r>
              <w:rPr>
                <w:snapToGrid w:val="0"/>
                <w:color w:val="auto"/>
                <w:w w:val="90"/>
              </w:rPr>
              <w:t>26</w:t>
            </w:r>
          </w:p>
        </w:tc>
        <w:tc>
          <w:tcPr>
            <w:tcW w:w="780" w:type="dxa"/>
            <w:vAlign w:val="center"/>
          </w:tcPr>
          <w:p>
            <w:pPr>
              <w:pStyle w:val="164"/>
              <w:rPr>
                <w:snapToGrid w:val="0"/>
                <w:color w:val="auto"/>
                <w:w w:val="90"/>
              </w:rPr>
            </w:pPr>
            <w:r>
              <w:rPr>
                <w:snapToGrid w:val="0"/>
                <w:color w:val="auto"/>
                <w:w w:val="90"/>
              </w:rPr>
              <w:t>900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铅</w:t>
            </w:r>
          </w:p>
        </w:tc>
        <w:tc>
          <w:tcPr>
            <w:tcW w:w="5195" w:type="dxa"/>
            <w:vAlign w:val="bottom"/>
          </w:tcPr>
          <w:p>
            <w:pPr>
              <w:pStyle w:val="164"/>
              <w:rPr>
                <w:snapToGrid w:val="0"/>
                <w:color w:val="auto"/>
                <w:w w:val="90"/>
              </w:rPr>
            </w:pPr>
            <w:r>
              <w:rPr>
                <w:snapToGrid w:val="0"/>
                <w:color w:val="auto"/>
                <w:w w:val="90"/>
              </w:rPr>
              <w:t>13</w:t>
            </w:r>
          </w:p>
        </w:tc>
        <w:tc>
          <w:tcPr>
            <w:tcW w:w="780" w:type="dxa"/>
            <w:vAlign w:val="center"/>
          </w:tcPr>
          <w:p>
            <w:pPr>
              <w:pStyle w:val="164"/>
              <w:rPr>
                <w:snapToGrid w:val="0"/>
                <w:color w:val="auto"/>
                <w:w w:val="90"/>
              </w:rPr>
            </w:pPr>
            <w:r>
              <w:rPr>
                <w:snapToGrid w:val="0"/>
                <w:color w:val="auto"/>
                <w:w w:val="90"/>
              </w:rPr>
              <w:t>800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镉</w:t>
            </w:r>
          </w:p>
        </w:tc>
        <w:tc>
          <w:tcPr>
            <w:tcW w:w="5195" w:type="dxa"/>
            <w:vAlign w:val="bottom"/>
          </w:tcPr>
          <w:p>
            <w:pPr>
              <w:pStyle w:val="164"/>
              <w:rPr>
                <w:snapToGrid w:val="0"/>
                <w:color w:val="auto"/>
                <w:w w:val="90"/>
              </w:rPr>
            </w:pPr>
            <w:r>
              <w:rPr>
                <w:snapToGrid w:val="0"/>
                <w:color w:val="auto"/>
                <w:w w:val="90"/>
              </w:rPr>
              <w:t>0.22</w:t>
            </w:r>
          </w:p>
        </w:tc>
        <w:tc>
          <w:tcPr>
            <w:tcW w:w="780" w:type="dxa"/>
            <w:vAlign w:val="center"/>
          </w:tcPr>
          <w:p>
            <w:pPr>
              <w:pStyle w:val="164"/>
              <w:rPr>
                <w:snapToGrid w:val="0"/>
                <w:color w:val="auto"/>
                <w:w w:val="90"/>
              </w:rPr>
            </w:pPr>
            <w:r>
              <w:rPr>
                <w:snapToGrid w:val="0"/>
                <w:color w:val="auto"/>
                <w:w w:val="90"/>
              </w:rPr>
              <w:t>65</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汞</w:t>
            </w:r>
          </w:p>
        </w:tc>
        <w:tc>
          <w:tcPr>
            <w:tcW w:w="5195" w:type="dxa"/>
            <w:vAlign w:val="bottom"/>
          </w:tcPr>
          <w:p>
            <w:pPr>
              <w:pStyle w:val="164"/>
              <w:rPr>
                <w:snapToGrid w:val="0"/>
                <w:color w:val="auto"/>
                <w:w w:val="90"/>
              </w:rPr>
            </w:pPr>
            <w:r>
              <w:rPr>
                <w:snapToGrid w:val="0"/>
                <w:color w:val="auto"/>
                <w:w w:val="90"/>
              </w:rPr>
              <w:t>0.119</w:t>
            </w:r>
          </w:p>
        </w:tc>
        <w:tc>
          <w:tcPr>
            <w:tcW w:w="780" w:type="dxa"/>
            <w:vAlign w:val="center"/>
          </w:tcPr>
          <w:p>
            <w:pPr>
              <w:pStyle w:val="164"/>
              <w:rPr>
                <w:snapToGrid w:val="0"/>
                <w:color w:val="auto"/>
                <w:w w:val="90"/>
              </w:rPr>
            </w:pPr>
            <w:r>
              <w:rPr>
                <w:snapToGrid w:val="0"/>
                <w:color w:val="auto"/>
                <w:w w:val="90"/>
              </w:rPr>
              <w:t>38</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砷</w:t>
            </w:r>
          </w:p>
        </w:tc>
        <w:tc>
          <w:tcPr>
            <w:tcW w:w="5195" w:type="dxa"/>
            <w:vAlign w:val="bottom"/>
          </w:tcPr>
          <w:p>
            <w:pPr>
              <w:pStyle w:val="164"/>
              <w:rPr>
                <w:snapToGrid w:val="0"/>
                <w:color w:val="auto"/>
                <w:w w:val="90"/>
              </w:rPr>
            </w:pPr>
            <w:r>
              <w:rPr>
                <w:snapToGrid w:val="0"/>
                <w:color w:val="auto"/>
                <w:w w:val="90"/>
              </w:rPr>
              <w:t>10.3</w:t>
            </w:r>
          </w:p>
        </w:tc>
        <w:tc>
          <w:tcPr>
            <w:tcW w:w="780" w:type="dxa"/>
            <w:vAlign w:val="center"/>
          </w:tcPr>
          <w:p>
            <w:pPr>
              <w:pStyle w:val="164"/>
              <w:rPr>
                <w:snapToGrid w:val="0"/>
                <w:color w:val="auto"/>
                <w:w w:val="90"/>
              </w:rPr>
            </w:pPr>
            <w:r>
              <w:rPr>
                <w:snapToGrid w:val="0"/>
                <w:color w:val="auto"/>
                <w:w w:val="90"/>
              </w:rPr>
              <w:t>60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铬（六价）</w:t>
            </w:r>
          </w:p>
        </w:tc>
        <w:tc>
          <w:tcPr>
            <w:tcW w:w="5195" w:type="dxa"/>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5.7</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8720" w:type="dxa"/>
            <w:gridSpan w:val="4"/>
            <w:vAlign w:val="center"/>
          </w:tcPr>
          <w:p>
            <w:pPr>
              <w:pStyle w:val="164"/>
              <w:rPr>
                <w:bCs/>
                <w:snapToGrid w:val="0"/>
                <w:color w:val="auto"/>
                <w:w w:val="90"/>
              </w:rPr>
            </w:pPr>
            <w:r>
              <w:rPr>
                <w:bCs/>
                <w:snapToGrid w:val="0"/>
                <w:color w:val="auto"/>
                <w:w w:val="90"/>
              </w:rPr>
              <w:t>挥发性有机物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氯甲烷</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37</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氯乙烯</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0.43</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1,1-二氯乙烯</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66</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二氯甲烷</w:t>
            </w:r>
          </w:p>
        </w:tc>
        <w:tc>
          <w:tcPr>
            <w:tcW w:w="5195" w:type="dxa"/>
          </w:tcPr>
          <w:p>
            <w:pPr>
              <w:pStyle w:val="164"/>
              <w:rPr>
                <w:snapToGrid w:val="0"/>
                <w:color w:val="auto"/>
                <w:w w:val="90"/>
              </w:rPr>
            </w:pPr>
            <w:r>
              <w:rPr>
                <w:snapToGrid w:val="0"/>
                <w:color w:val="auto"/>
                <w:w w:val="90"/>
              </w:rPr>
              <w:t>0.0044</w:t>
            </w:r>
          </w:p>
        </w:tc>
        <w:tc>
          <w:tcPr>
            <w:tcW w:w="780" w:type="dxa"/>
          </w:tcPr>
          <w:p>
            <w:pPr>
              <w:pStyle w:val="164"/>
              <w:rPr>
                <w:snapToGrid w:val="0"/>
                <w:color w:val="auto"/>
                <w:w w:val="90"/>
              </w:rPr>
            </w:pPr>
            <w:r>
              <w:rPr>
                <w:snapToGrid w:val="0"/>
                <w:color w:val="auto"/>
                <w:w w:val="90"/>
              </w:rPr>
              <w:t>616</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反式-1,2-二氯乙烯</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54</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1,1-二氯乙烷</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9</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顺式-1,2-二氯乙烯</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596</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氯仿</w:t>
            </w:r>
          </w:p>
        </w:tc>
        <w:tc>
          <w:tcPr>
            <w:tcW w:w="5195" w:type="dxa"/>
          </w:tcPr>
          <w:p>
            <w:pPr>
              <w:pStyle w:val="164"/>
              <w:rPr>
                <w:snapToGrid w:val="0"/>
                <w:color w:val="auto"/>
                <w:w w:val="90"/>
              </w:rPr>
            </w:pPr>
            <w:r>
              <w:rPr>
                <w:snapToGrid w:val="0"/>
                <w:color w:val="auto"/>
                <w:w w:val="90"/>
              </w:rPr>
              <w:t>0.0089</w:t>
            </w:r>
          </w:p>
        </w:tc>
        <w:tc>
          <w:tcPr>
            <w:tcW w:w="780" w:type="dxa"/>
          </w:tcPr>
          <w:p>
            <w:pPr>
              <w:pStyle w:val="164"/>
              <w:rPr>
                <w:snapToGrid w:val="0"/>
                <w:color w:val="auto"/>
                <w:w w:val="90"/>
              </w:rPr>
            </w:pPr>
            <w:r>
              <w:rPr>
                <w:snapToGrid w:val="0"/>
                <w:color w:val="auto"/>
                <w:w w:val="90"/>
              </w:rPr>
              <w:t>0.9</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1,1,1-三氯乙烷</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840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四氯化碳</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2.8</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苯</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4</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1,2-二氯乙烷</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三氯乙烯</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2.8</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1,2-二氯丙烷</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甲苯</w:t>
            </w:r>
          </w:p>
        </w:tc>
        <w:tc>
          <w:tcPr>
            <w:tcW w:w="5195" w:type="dxa"/>
          </w:tcPr>
          <w:p>
            <w:pPr>
              <w:pStyle w:val="164"/>
              <w:rPr>
                <w:snapToGrid w:val="0"/>
                <w:color w:val="auto"/>
                <w:w w:val="90"/>
              </w:rPr>
            </w:pPr>
            <w:r>
              <w:rPr>
                <w:snapToGrid w:val="0"/>
                <w:color w:val="auto"/>
                <w:w w:val="90"/>
              </w:rPr>
              <w:t>0.0077</w:t>
            </w:r>
          </w:p>
        </w:tc>
        <w:tc>
          <w:tcPr>
            <w:tcW w:w="780" w:type="dxa"/>
          </w:tcPr>
          <w:p>
            <w:pPr>
              <w:pStyle w:val="164"/>
              <w:rPr>
                <w:snapToGrid w:val="0"/>
                <w:color w:val="auto"/>
                <w:w w:val="90"/>
              </w:rPr>
            </w:pPr>
            <w:r>
              <w:rPr>
                <w:snapToGrid w:val="0"/>
                <w:color w:val="auto"/>
                <w:w w:val="90"/>
              </w:rPr>
              <w:t>1200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1,1,2-三氯乙烷</w:t>
            </w:r>
          </w:p>
        </w:tc>
        <w:tc>
          <w:tcPr>
            <w:tcW w:w="5195" w:type="dxa"/>
            <w:vAlign w:val="bottom"/>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2.8</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四氯乙烯</w:t>
            </w:r>
          </w:p>
        </w:tc>
        <w:tc>
          <w:tcPr>
            <w:tcW w:w="5195" w:type="dxa"/>
            <w:vAlign w:val="bottom"/>
          </w:tcPr>
          <w:p>
            <w:pPr>
              <w:pStyle w:val="164"/>
              <w:rPr>
                <w:snapToGrid w:val="0"/>
                <w:color w:val="auto"/>
                <w:w w:val="90"/>
              </w:rPr>
            </w:pPr>
            <w:r>
              <w:rPr>
                <w:snapToGrid w:val="0"/>
                <w:color w:val="auto"/>
                <w:w w:val="90"/>
              </w:rPr>
              <w:t>0.0089</w:t>
            </w:r>
          </w:p>
        </w:tc>
        <w:tc>
          <w:tcPr>
            <w:tcW w:w="780" w:type="dxa"/>
          </w:tcPr>
          <w:p>
            <w:pPr>
              <w:pStyle w:val="164"/>
              <w:rPr>
                <w:snapToGrid w:val="0"/>
                <w:color w:val="auto"/>
                <w:w w:val="90"/>
              </w:rPr>
            </w:pPr>
            <w:r>
              <w:rPr>
                <w:snapToGrid w:val="0"/>
                <w:color w:val="auto"/>
                <w:w w:val="90"/>
              </w:rPr>
              <w:t>53</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氯苯</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270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1,1,1,2-四氯乙烷</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10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乙苯</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28</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间，对-COD</w:t>
            </w:r>
          </w:p>
        </w:tc>
        <w:tc>
          <w:tcPr>
            <w:tcW w:w="5195"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570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邻-COD</w:t>
            </w:r>
          </w:p>
        </w:tc>
        <w:tc>
          <w:tcPr>
            <w:tcW w:w="5195" w:type="dxa"/>
            <w:vAlign w:val="bottom"/>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640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苯乙烯</w:t>
            </w:r>
          </w:p>
        </w:tc>
        <w:tc>
          <w:tcPr>
            <w:tcW w:w="5195" w:type="dxa"/>
            <w:vAlign w:val="bottom"/>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1290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1,1,2,2-四氯乙烷</w:t>
            </w:r>
          </w:p>
        </w:tc>
        <w:tc>
          <w:tcPr>
            <w:tcW w:w="5195" w:type="dxa"/>
            <w:vAlign w:val="bottom"/>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6.8</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1,2,3-三氯丙烷</w:t>
            </w:r>
          </w:p>
        </w:tc>
        <w:tc>
          <w:tcPr>
            <w:tcW w:w="5195" w:type="dxa"/>
            <w:vAlign w:val="bottom"/>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0.5</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1,4-二氯苯</w:t>
            </w:r>
          </w:p>
        </w:tc>
        <w:tc>
          <w:tcPr>
            <w:tcW w:w="5195" w:type="dxa"/>
            <w:vAlign w:val="bottom"/>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bottom"/>
          </w:tcPr>
          <w:p>
            <w:pPr>
              <w:pStyle w:val="164"/>
              <w:rPr>
                <w:snapToGrid w:val="0"/>
                <w:color w:val="auto"/>
                <w:w w:val="90"/>
              </w:rPr>
            </w:pPr>
            <w:r>
              <w:rPr>
                <w:snapToGrid w:val="0"/>
                <w:color w:val="auto"/>
                <w:w w:val="90"/>
              </w:rPr>
              <w:t>1,2-二氯苯</w:t>
            </w:r>
          </w:p>
        </w:tc>
        <w:tc>
          <w:tcPr>
            <w:tcW w:w="5195" w:type="dxa"/>
            <w:vAlign w:val="bottom"/>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560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8720" w:type="dxa"/>
            <w:gridSpan w:val="4"/>
            <w:vAlign w:val="center"/>
          </w:tcPr>
          <w:p>
            <w:pPr>
              <w:pStyle w:val="164"/>
              <w:rPr>
                <w:snapToGrid w:val="0"/>
                <w:color w:val="auto"/>
                <w:w w:val="90"/>
              </w:rPr>
            </w:pPr>
            <w:r>
              <w:rPr>
                <w:snapToGrid w:val="0"/>
                <w:color w:val="auto"/>
                <w:w w:val="90"/>
              </w:rPr>
              <w:t>半挥发性有机物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硝基苯</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76</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苯胺</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260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2-氯酚</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2256</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苯并[a]蒽</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苯并[a]芘</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苯并[b]荧蒽</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苯并[k]荧蒽</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151</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䓛</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1293</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二苯并[a,h]蒽</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茚并[1,2,3-cd]芘</w:t>
            </w:r>
          </w:p>
        </w:tc>
        <w:tc>
          <w:tcPr>
            <w:tcW w:w="5195"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73" w:type="dxa"/>
            <w:vAlign w:val="center"/>
          </w:tcPr>
          <w:p>
            <w:pPr>
              <w:pStyle w:val="164"/>
              <w:rPr>
                <w:snapToGrid w:val="0"/>
                <w:color w:val="auto"/>
                <w:w w:val="90"/>
              </w:rPr>
            </w:pPr>
            <w:r>
              <w:rPr>
                <w:snapToGrid w:val="0"/>
                <w:color w:val="auto"/>
                <w:w w:val="90"/>
              </w:rPr>
              <w:t>萘</w:t>
            </w:r>
          </w:p>
        </w:tc>
        <w:tc>
          <w:tcPr>
            <w:tcW w:w="5195" w:type="dxa"/>
            <w:vAlign w:val="center"/>
          </w:tcPr>
          <w:p>
            <w:pPr>
              <w:pStyle w:val="164"/>
              <w:rPr>
                <w:snapToGrid w:val="0"/>
                <w:color w:val="auto"/>
                <w:w w:val="90"/>
              </w:rPr>
            </w:pPr>
            <w:r>
              <w:rPr>
                <w:snapToGrid w:val="0"/>
                <w:color w:val="auto"/>
                <w:w w:val="90"/>
              </w:rPr>
              <w:t>0.0093</w:t>
            </w:r>
          </w:p>
        </w:tc>
        <w:tc>
          <w:tcPr>
            <w:tcW w:w="780" w:type="dxa"/>
            <w:vAlign w:val="center"/>
          </w:tcPr>
          <w:p>
            <w:pPr>
              <w:pStyle w:val="164"/>
              <w:rPr>
                <w:snapToGrid w:val="0"/>
                <w:color w:val="auto"/>
                <w:w w:val="90"/>
              </w:rPr>
            </w:pPr>
            <w:r>
              <w:rPr>
                <w:snapToGrid w:val="0"/>
                <w:color w:val="auto"/>
                <w:w w:val="90"/>
              </w:rPr>
              <w:t>70</w:t>
            </w:r>
          </w:p>
        </w:tc>
        <w:tc>
          <w:tcPr>
            <w:tcW w:w="872"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8720" w:type="dxa"/>
            <w:gridSpan w:val="4"/>
            <w:vAlign w:val="center"/>
          </w:tcPr>
          <w:p>
            <w:pPr>
              <w:pStyle w:val="164"/>
              <w:rPr>
                <w:color w:val="auto"/>
                <w:w w:val="90"/>
                <w:szCs w:val="21"/>
              </w:rPr>
            </w:pPr>
            <w:r>
              <w:rPr>
                <w:color w:val="auto"/>
                <w:w w:val="90"/>
                <w:szCs w:val="21"/>
              </w:rPr>
              <w:t>备注： ND表示未检出或小于检出限，检出限见表3-6。铬（六价）参照《固体废物铬（六价）的测定 碱消解/火焰原子吸收分光光度法》（HJ687-2014）进行测定。土壤检测因子参照执行《土壤环境质量建设用地土壤污染风险管控标准》（试行）（GB 36600-2018）表1第二类用地筛选值，标准由委托单位提供。</w:t>
            </w:r>
          </w:p>
        </w:tc>
      </w:tr>
    </w:tbl>
    <w:p>
      <w:pPr>
        <w:spacing w:line="500" w:lineRule="exact"/>
        <w:jc w:val="center"/>
        <w:rPr>
          <w:b/>
          <w:bCs/>
          <w:color w:val="auto"/>
          <w:sz w:val="24"/>
          <w:szCs w:val="24"/>
        </w:rPr>
      </w:pPr>
      <w:r>
        <w:rPr>
          <w:b/>
          <w:bCs/>
          <w:color w:val="auto"/>
          <w:sz w:val="24"/>
          <w:szCs w:val="24"/>
        </w:rPr>
        <w:t>表6.5-6 土壤检测结果一览表  单位：mg/kg</w:t>
      </w:r>
    </w:p>
    <w:tbl>
      <w:tblPr>
        <w:tblStyle w:val="75"/>
        <w:tblW w:w="8720" w:type="dxa"/>
        <w:jc w:val="center"/>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848"/>
        <w:gridCol w:w="1734"/>
        <w:gridCol w:w="1732"/>
        <w:gridCol w:w="1742"/>
        <w:gridCol w:w="780"/>
        <w:gridCol w:w="884"/>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Merge w:val="restart"/>
            <w:tcBorders>
              <w:top w:val="single" w:color="000000" w:themeColor="text1" w:sz="12" w:space="0"/>
              <w:bottom w:val="single" w:color="000000" w:themeColor="text1" w:sz="6" w:space="0"/>
              <w:tl2br w:val="single" w:color="000000" w:themeColor="text1" w:sz="6" w:space="0"/>
            </w:tcBorders>
            <w:vAlign w:val="center"/>
          </w:tcPr>
          <w:p>
            <w:pPr>
              <w:pStyle w:val="164"/>
              <w:rPr>
                <w:snapToGrid w:val="0"/>
                <w:color w:val="auto"/>
                <w:w w:val="90"/>
              </w:rPr>
            </w:pPr>
            <w:r>
              <w:rPr>
                <w:snapToGrid w:val="0"/>
                <w:color w:val="auto"/>
                <w:w w:val="90"/>
              </w:rPr>
              <w:t xml:space="preserve">           点位</w:t>
            </w:r>
          </w:p>
          <w:p>
            <w:pPr>
              <w:pStyle w:val="164"/>
              <w:jc w:val="both"/>
              <w:rPr>
                <w:snapToGrid w:val="0"/>
                <w:color w:val="auto"/>
                <w:w w:val="90"/>
              </w:rPr>
            </w:pPr>
            <w:r>
              <w:rPr>
                <w:snapToGrid w:val="0"/>
                <w:color w:val="auto"/>
                <w:w w:val="90"/>
              </w:rPr>
              <w:t>项目</w:t>
            </w:r>
          </w:p>
        </w:tc>
        <w:tc>
          <w:tcPr>
            <w:tcW w:w="5208" w:type="dxa"/>
            <w:gridSpan w:val="3"/>
          </w:tcPr>
          <w:p>
            <w:pPr>
              <w:pStyle w:val="164"/>
              <w:rPr>
                <w:snapToGrid w:val="0"/>
                <w:color w:val="auto"/>
                <w:w w:val="90"/>
              </w:rPr>
            </w:pPr>
            <w:r>
              <w:rPr>
                <w:bCs/>
                <w:color w:val="auto"/>
                <w:w w:val="90"/>
              </w:rPr>
              <w:t>4#厂址西南（2020年4月16日）</w:t>
            </w:r>
          </w:p>
        </w:tc>
        <w:tc>
          <w:tcPr>
            <w:tcW w:w="780" w:type="dxa"/>
            <w:vMerge w:val="restart"/>
            <w:vAlign w:val="center"/>
          </w:tcPr>
          <w:p>
            <w:pPr>
              <w:pStyle w:val="164"/>
              <w:rPr>
                <w:snapToGrid w:val="0"/>
                <w:color w:val="auto"/>
                <w:w w:val="90"/>
              </w:rPr>
            </w:pPr>
            <w:r>
              <w:rPr>
                <w:snapToGrid w:val="0"/>
                <w:color w:val="auto"/>
                <w:w w:val="90"/>
              </w:rPr>
              <w:t>标准</w:t>
            </w:r>
          </w:p>
          <w:p>
            <w:pPr>
              <w:pStyle w:val="164"/>
              <w:rPr>
                <w:snapToGrid w:val="0"/>
                <w:color w:val="auto"/>
                <w:w w:val="90"/>
              </w:rPr>
            </w:pPr>
            <w:r>
              <w:rPr>
                <w:snapToGrid w:val="0"/>
                <w:color w:val="auto"/>
                <w:w w:val="90"/>
              </w:rPr>
              <w:t>限值</w:t>
            </w:r>
          </w:p>
        </w:tc>
        <w:tc>
          <w:tcPr>
            <w:tcW w:w="884" w:type="dxa"/>
            <w:vMerge w:val="restart"/>
            <w:vAlign w:val="center"/>
          </w:tcPr>
          <w:p>
            <w:pPr>
              <w:pStyle w:val="164"/>
              <w:rPr>
                <w:snapToGrid w:val="0"/>
                <w:color w:val="auto"/>
                <w:w w:val="90"/>
              </w:rPr>
            </w:pPr>
            <w:r>
              <w:rPr>
                <w:snapToGrid w:val="0"/>
                <w:color w:val="auto"/>
                <w:w w:val="90"/>
              </w:rPr>
              <w:t>达标</w:t>
            </w:r>
          </w:p>
          <w:p>
            <w:pPr>
              <w:pStyle w:val="164"/>
              <w:rPr>
                <w:snapToGrid w:val="0"/>
                <w:color w:val="auto"/>
                <w:w w:val="90"/>
              </w:rPr>
            </w:pPr>
            <w:r>
              <w:rPr>
                <w:snapToGrid w:val="0"/>
                <w:color w:val="auto"/>
                <w:w w:val="90"/>
              </w:rPr>
              <w:t>情况</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Merge w:val="continue"/>
            <w:tcBorders>
              <w:top w:val="single" w:color="000000" w:themeColor="text1" w:sz="6" w:space="0"/>
              <w:bottom w:val="single" w:color="000000" w:themeColor="text1" w:sz="6" w:space="0"/>
              <w:tl2br w:val="single" w:color="000000" w:themeColor="text1" w:sz="6" w:space="0"/>
            </w:tcBorders>
            <w:vAlign w:val="center"/>
          </w:tcPr>
          <w:p>
            <w:pPr>
              <w:pStyle w:val="164"/>
              <w:rPr>
                <w:snapToGrid w:val="0"/>
                <w:color w:val="auto"/>
                <w:w w:val="90"/>
              </w:rPr>
            </w:pPr>
          </w:p>
        </w:tc>
        <w:tc>
          <w:tcPr>
            <w:tcW w:w="1734" w:type="dxa"/>
            <w:vAlign w:val="center"/>
          </w:tcPr>
          <w:p>
            <w:pPr>
              <w:pStyle w:val="164"/>
              <w:rPr>
                <w:bCs/>
                <w:color w:val="auto"/>
                <w:w w:val="90"/>
              </w:rPr>
            </w:pPr>
            <w:r>
              <w:rPr>
                <w:bCs/>
                <w:color w:val="auto"/>
                <w:w w:val="90"/>
              </w:rPr>
              <w:t>表层</w:t>
            </w:r>
          </w:p>
          <w:p>
            <w:pPr>
              <w:pStyle w:val="164"/>
              <w:rPr>
                <w:bCs/>
                <w:color w:val="auto"/>
                <w:w w:val="90"/>
              </w:rPr>
            </w:pPr>
            <w:r>
              <w:rPr>
                <w:bCs/>
                <w:color w:val="auto"/>
                <w:w w:val="90"/>
              </w:rPr>
              <w:t>（0～0.5m）</w:t>
            </w:r>
          </w:p>
        </w:tc>
        <w:tc>
          <w:tcPr>
            <w:tcW w:w="1732" w:type="dxa"/>
            <w:vAlign w:val="center"/>
          </w:tcPr>
          <w:p>
            <w:pPr>
              <w:pStyle w:val="164"/>
              <w:rPr>
                <w:bCs/>
                <w:color w:val="auto"/>
                <w:w w:val="90"/>
              </w:rPr>
            </w:pPr>
            <w:r>
              <w:rPr>
                <w:bCs/>
                <w:color w:val="auto"/>
                <w:w w:val="90"/>
              </w:rPr>
              <w:t>中层</w:t>
            </w:r>
          </w:p>
          <w:p>
            <w:pPr>
              <w:pStyle w:val="164"/>
              <w:rPr>
                <w:bCs/>
                <w:color w:val="auto"/>
                <w:w w:val="90"/>
              </w:rPr>
            </w:pPr>
            <w:r>
              <w:rPr>
                <w:bCs/>
                <w:color w:val="auto"/>
                <w:w w:val="90"/>
              </w:rPr>
              <w:t>（0.5～1.5m）</w:t>
            </w:r>
          </w:p>
        </w:tc>
        <w:tc>
          <w:tcPr>
            <w:tcW w:w="1742" w:type="dxa"/>
            <w:vAlign w:val="center"/>
          </w:tcPr>
          <w:p>
            <w:pPr>
              <w:pStyle w:val="164"/>
              <w:rPr>
                <w:bCs/>
                <w:color w:val="auto"/>
                <w:w w:val="90"/>
              </w:rPr>
            </w:pPr>
            <w:r>
              <w:rPr>
                <w:bCs/>
                <w:color w:val="auto"/>
                <w:w w:val="90"/>
              </w:rPr>
              <w:t>深层</w:t>
            </w:r>
          </w:p>
          <w:p>
            <w:pPr>
              <w:pStyle w:val="164"/>
              <w:rPr>
                <w:bCs/>
                <w:color w:val="auto"/>
                <w:w w:val="90"/>
              </w:rPr>
            </w:pPr>
            <w:r>
              <w:rPr>
                <w:bCs/>
                <w:color w:val="auto"/>
                <w:w w:val="90"/>
              </w:rPr>
              <w:t>（1.5～3m）</w:t>
            </w:r>
          </w:p>
        </w:tc>
        <w:tc>
          <w:tcPr>
            <w:tcW w:w="780" w:type="dxa"/>
            <w:vMerge w:val="continue"/>
            <w:vAlign w:val="center"/>
          </w:tcPr>
          <w:p>
            <w:pPr>
              <w:pStyle w:val="164"/>
              <w:rPr>
                <w:bCs/>
                <w:snapToGrid w:val="0"/>
                <w:color w:val="auto"/>
                <w:w w:val="90"/>
              </w:rPr>
            </w:pPr>
          </w:p>
        </w:tc>
        <w:tc>
          <w:tcPr>
            <w:tcW w:w="884" w:type="dxa"/>
            <w:vMerge w:val="continue"/>
            <w:vAlign w:val="center"/>
          </w:tcPr>
          <w:p>
            <w:pPr>
              <w:pStyle w:val="164"/>
              <w:rPr>
                <w:bCs/>
                <w:snapToGrid w:val="0"/>
                <w:color w:val="auto"/>
                <w:w w:val="90"/>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8720" w:type="dxa"/>
            <w:gridSpan w:val="6"/>
            <w:vAlign w:val="center"/>
          </w:tcPr>
          <w:p>
            <w:pPr>
              <w:pStyle w:val="164"/>
              <w:rPr>
                <w:bCs/>
                <w:snapToGrid w:val="0"/>
                <w:color w:val="auto"/>
                <w:w w:val="90"/>
              </w:rPr>
            </w:pPr>
            <w:r>
              <w:rPr>
                <w:bCs/>
                <w:snapToGrid w:val="0"/>
                <w:color w:val="auto"/>
                <w:w w:val="90"/>
              </w:rPr>
              <w:t>金属和无机物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铜</w:t>
            </w:r>
          </w:p>
        </w:tc>
        <w:tc>
          <w:tcPr>
            <w:tcW w:w="1734" w:type="dxa"/>
            <w:vAlign w:val="bottom"/>
          </w:tcPr>
          <w:p>
            <w:pPr>
              <w:pStyle w:val="164"/>
              <w:rPr>
                <w:snapToGrid w:val="0"/>
                <w:color w:val="auto"/>
                <w:w w:val="90"/>
              </w:rPr>
            </w:pPr>
            <w:r>
              <w:rPr>
                <w:snapToGrid w:val="0"/>
                <w:color w:val="auto"/>
                <w:w w:val="90"/>
              </w:rPr>
              <w:t>13</w:t>
            </w:r>
          </w:p>
        </w:tc>
        <w:tc>
          <w:tcPr>
            <w:tcW w:w="1732" w:type="dxa"/>
            <w:vAlign w:val="bottom"/>
          </w:tcPr>
          <w:p>
            <w:pPr>
              <w:pStyle w:val="164"/>
              <w:rPr>
                <w:snapToGrid w:val="0"/>
                <w:color w:val="auto"/>
                <w:w w:val="90"/>
              </w:rPr>
            </w:pPr>
            <w:r>
              <w:rPr>
                <w:snapToGrid w:val="0"/>
                <w:color w:val="auto"/>
                <w:w w:val="90"/>
              </w:rPr>
              <w:t>11</w:t>
            </w:r>
          </w:p>
        </w:tc>
        <w:tc>
          <w:tcPr>
            <w:tcW w:w="1742" w:type="dxa"/>
            <w:vAlign w:val="bottom"/>
          </w:tcPr>
          <w:p>
            <w:pPr>
              <w:pStyle w:val="164"/>
              <w:rPr>
                <w:snapToGrid w:val="0"/>
                <w:color w:val="auto"/>
                <w:w w:val="90"/>
              </w:rPr>
            </w:pPr>
            <w:r>
              <w:rPr>
                <w:snapToGrid w:val="0"/>
                <w:color w:val="auto"/>
                <w:w w:val="90"/>
              </w:rPr>
              <w:t>14</w:t>
            </w:r>
          </w:p>
        </w:tc>
        <w:tc>
          <w:tcPr>
            <w:tcW w:w="780" w:type="dxa"/>
            <w:vAlign w:val="center"/>
          </w:tcPr>
          <w:p>
            <w:pPr>
              <w:pStyle w:val="164"/>
              <w:rPr>
                <w:snapToGrid w:val="0"/>
                <w:color w:val="auto"/>
                <w:w w:val="90"/>
              </w:rPr>
            </w:pPr>
            <w:r>
              <w:rPr>
                <w:snapToGrid w:val="0"/>
                <w:color w:val="auto"/>
                <w:w w:val="90"/>
              </w:rPr>
              <w:t>18000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镍</w:t>
            </w:r>
          </w:p>
        </w:tc>
        <w:tc>
          <w:tcPr>
            <w:tcW w:w="1734" w:type="dxa"/>
            <w:vAlign w:val="bottom"/>
          </w:tcPr>
          <w:p>
            <w:pPr>
              <w:pStyle w:val="164"/>
              <w:rPr>
                <w:snapToGrid w:val="0"/>
                <w:color w:val="auto"/>
                <w:w w:val="90"/>
              </w:rPr>
            </w:pPr>
            <w:r>
              <w:rPr>
                <w:snapToGrid w:val="0"/>
                <w:color w:val="auto"/>
                <w:w w:val="90"/>
              </w:rPr>
              <w:t>18</w:t>
            </w:r>
          </w:p>
        </w:tc>
        <w:tc>
          <w:tcPr>
            <w:tcW w:w="1732" w:type="dxa"/>
            <w:vAlign w:val="bottom"/>
          </w:tcPr>
          <w:p>
            <w:pPr>
              <w:pStyle w:val="164"/>
              <w:rPr>
                <w:snapToGrid w:val="0"/>
                <w:color w:val="auto"/>
                <w:w w:val="90"/>
              </w:rPr>
            </w:pPr>
            <w:r>
              <w:rPr>
                <w:snapToGrid w:val="0"/>
                <w:color w:val="auto"/>
                <w:w w:val="90"/>
              </w:rPr>
              <w:t>25</w:t>
            </w:r>
          </w:p>
        </w:tc>
        <w:tc>
          <w:tcPr>
            <w:tcW w:w="1742" w:type="dxa"/>
            <w:vAlign w:val="bottom"/>
          </w:tcPr>
          <w:p>
            <w:pPr>
              <w:pStyle w:val="164"/>
              <w:rPr>
                <w:snapToGrid w:val="0"/>
                <w:color w:val="auto"/>
                <w:w w:val="90"/>
              </w:rPr>
            </w:pPr>
            <w:r>
              <w:rPr>
                <w:snapToGrid w:val="0"/>
                <w:color w:val="auto"/>
                <w:w w:val="90"/>
              </w:rPr>
              <w:t>20</w:t>
            </w:r>
          </w:p>
        </w:tc>
        <w:tc>
          <w:tcPr>
            <w:tcW w:w="780" w:type="dxa"/>
            <w:vAlign w:val="center"/>
          </w:tcPr>
          <w:p>
            <w:pPr>
              <w:pStyle w:val="164"/>
              <w:rPr>
                <w:snapToGrid w:val="0"/>
                <w:color w:val="auto"/>
                <w:w w:val="90"/>
              </w:rPr>
            </w:pPr>
            <w:r>
              <w:rPr>
                <w:snapToGrid w:val="0"/>
                <w:color w:val="auto"/>
                <w:w w:val="90"/>
              </w:rPr>
              <w:t>900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铅</w:t>
            </w:r>
          </w:p>
        </w:tc>
        <w:tc>
          <w:tcPr>
            <w:tcW w:w="1734" w:type="dxa"/>
            <w:vAlign w:val="bottom"/>
          </w:tcPr>
          <w:p>
            <w:pPr>
              <w:pStyle w:val="164"/>
              <w:rPr>
                <w:snapToGrid w:val="0"/>
                <w:color w:val="auto"/>
                <w:w w:val="90"/>
              </w:rPr>
            </w:pPr>
            <w:r>
              <w:rPr>
                <w:snapToGrid w:val="0"/>
                <w:color w:val="auto"/>
                <w:w w:val="90"/>
              </w:rPr>
              <w:t>19</w:t>
            </w:r>
          </w:p>
        </w:tc>
        <w:tc>
          <w:tcPr>
            <w:tcW w:w="1732" w:type="dxa"/>
            <w:vAlign w:val="bottom"/>
          </w:tcPr>
          <w:p>
            <w:pPr>
              <w:pStyle w:val="164"/>
              <w:rPr>
                <w:snapToGrid w:val="0"/>
                <w:color w:val="auto"/>
                <w:w w:val="90"/>
              </w:rPr>
            </w:pPr>
            <w:r>
              <w:rPr>
                <w:snapToGrid w:val="0"/>
                <w:color w:val="auto"/>
                <w:w w:val="90"/>
              </w:rPr>
              <w:t>19</w:t>
            </w:r>
          </w:p>
        </w:tc>
        <w:tc>
          <w:tcPr>
            <w:tcW w:w="1742" w:type="dxa"/>
            <w:vAlign w:val="bottom"/>
          </w:tcPr>
          <w:p>
            <w:pPr>
              <w:pStyle w:val="164"/>
              <w:rPr>
                <w:snapToGrid w:val="0"/>
                <w:color w:val="auto"/>
                <w:w w:val="90"/>
              </w:rPr>
            </w:pPr>
            <w:r>
              <w:rPr>
                <w:snapToGrid w:val="0"/>
                <w:color w:val="auto"/>
                <w:w w:val="90"/>
              </w:rPr>
              <w:t>21</w:t>
            </w:r>
          </w:p>
        </w:tc>
        <w:tc>
          <w:tcPr>
            <w:tcW w:w="780" w:type="dxa"/>
            <w:vAlign w:val="center"/>
          </w:tcPr>
          <w:p>
            <w:pPr>
              <w:pStyle w:val="164"/>
              <w:rPr>
                <w:snapToGrid w:val="0"/>
                <w:color w:val="auto"/>
                <w:w w:val="90"/>
              </w:rPr>
            </w:pPr>
            <w:r>
              <w:rPr>
                <w:snapToGrid w:val="0"/>
                <w:color w:val="auto"/>
                <w:w w:val="90"/>
              </w:rPr>
              <w:t>800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镉</w:t>
            </w:r>
          </w:p>
        </w:tc>
        <w:tc>
          <w:tcPr>
            <w:tcW w:w="1734" w:type="dxa"/>
            <w:vAlign w:val="bottom"/>
          </w:tcPr>
          <w:p>
            <w:pPr>
              <w:pStyle w:val="164"/>
              <w:rPr>
                <w:snapToGrid w:val="0"/>
                <w:color w:val="auto"/>
                <w:w w:val="90"/>
              </w:rPr>
            </w:pPr>
            <w:r>
              <w:rPr>
                <w:snapToGrid w:val="0"/>
                <w:color w:val="auto"/>
                <w:w w:val="90"/>
              </w:rPr>
              <w:t>0.14</w:t>
            </w:r>
          </w:p>
        </w:tc>
        <w:tc>
          <w:tcPr>
            <w:tcW w:w="1732" w:type="dxa"/>
            <w:vAlign w:val="bottom"/>
          </w:tcPr>
          <w:p>
            <w:pPr>
              <w:pStyle w:val="164"/>
              <w:rPr>
                <w:snapToGrid w:val="0"/>
                <w:color w:val="auto"/>
                <w:w w:val="90"/>
              </w:rPr>
            </w:pPr>
            <w:r>
              <w:rPr>
                <w:snapToGrid w:val="0"/>
                <w:color w:val="auto"/>
                <w:w w:val="90"/>
              </w:rPr>
              <w:t>0.15</w:t>
            </w:r>
          </w:p>
        </w:tc>
        <w:tc>
          <w:tcPr>
            <w:tcW w:w="1742" w:type="dxa"/>
            <w:vAlign w:val="bottom"/>
          </w:tcPr>
          <w:p>
            <w:pPr>
              <w:pStyle w:val="164"/>
              <w:rPr>
                <w:snapToGrid w:val="0"/>
                <w:color w:val="auto"/>
                <w:w w:val="90"/>
              </w:rPr>
            </w:pPr>
            <w:r>
              <w:rPr>
                <w:snapToGrid w:val="0"/>
                <w:color w:val="auto"/>
                <w:w w:val="90"/>
              </w:rPr>
              <w:t>0.21</w:t>
            </w:r>
          </w:p>
        </w:tc>
        <w:tc>
          <w:tcPr>
            <w:tcW w:w="780" w:type="dxa"/>
            <w:vAlign w:val="center"/>
          </w:tcPr>
          <w:p>
            <w:pPr>
              <w:pStyle w:val="164"/>
              <w:rPr>
                <w:snapToGrid w:val="0"/>
                <w:color w:val="auto"/>
                <w:w w:val="90"/>
              </w:rPr>
            </w:pPr>
            <w:r>
              <w:rPr>
                <w:snapToGrid w:val="0"/>
                <w:color w:val="auto"/>
                <w:w w:val="90"/>
              </w:rPr>
              <w:t>65</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汞</w:t>
            </w:r>
          </w:p>
        </w:tc>
        <w:tc>
          <w:tcPr>
            <w:tcW w:w="1734" w:type="dxa"/>
            <w:vAlign w:val="bottom"/>
          </w:tcPr>
          <w:p>
            <w:pPr>
              <w:pStyle w:val="164"/>
              <w:rPr>
                <w:snapToGrid w:val="0"/>
                <w:color w:val="auto"/>
                <w:w w:val="90"/>
              </w:rPr>
            </w:pPr>
            <w:r>
              <w:rPr>
                <w:snapToGrid w:val="0"/>
                <w:color w:val="auto"/>
                <w:w w:val="90"/>
              </w:rPr>
              <w:t>0.116</w:t>
            </w:r>
          </w:p>
        </w:tc>
        <w:tc>
          <w:tcPr>
            <w:tcW w:w="1732" w:type="dxa"/>
            <w:vAlign w:val="bottom"/>
          </w:tcPr>
          <w:p>
            <w:pPr>
              <w:pStyle w:val="164"/>
              <w:rPr>
                <w:snapToGrid w:val="0"/>
                <w:color w:val="auto"/>
                <w:w w:val="90"/>
              </w:rPr>
            </w:pPr>
            <w:r>
              <w:rPr>
                <w:snapToGrid w:val="0"/>
                <w:color w:val="auto"/>
                <w:w w:val="90"/>
              </w:rPr>
              <w:t>0.117</w:t>
            </w:r>
          </w:p>
        </w:tc>
        <w:tc>
          <w:tcPr>
            <w:tcW w:w="1742" w:type="dxa"/>
            <w:vAlign w:val="bottom"/>
          </w:tcPr>
          <w:p>
            <w:pPr>
              <w:pStyle w:val="164"/>
              <w:rPr>
                <w:snapToGrid w:val="0"/>
                <w:color w:val="auto"/>
                <w:w w:val="90"/>
              </w:rPr>
            </w:pPr>
            <w:r>
              <w:rPr>
                <w:snapToGrid w:val="0"/>
                <w:color w:val="auto"/>
                <w:w w:val="90"/>
              </w:rPr>
              <w:t>0.121</w:t>
            </w:r>
          </w:p>
        </w:tc>
        <w:tc>
          <w:tcPr>
            <w:tcW w:w="780" w:type="dxa"/>
            <w:vAlign w:val="center"/>
          </w:tcPr>
          <w:p>
            <w:pPr>
              <w:pStyle w:val="164"/>
              <w:rPr>
                <w:snapToGrid w:val="0"/>
                <w:color w:val="auto"/>
                <w:w w:val="90"/>
              </w:rPr>
            </w:pPr>
            <w:r>
              <w:rPr>
                <w:snapToGrid w:val="0"/>
                <w:color w:val="auto"/>
                <w:w w:val="90"/>
              </w:rPr>
              <w:t>38</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砷</w:t>
            </w:r>
          </w:p>
        </w:tc>
        <w:tc>
          <w:tcPr>
            <w:tcW w:w="1734" w:type="dxa"/>
            <w:vAlign w:val="bottom"/>
          </w:tcPr>
          <w:p>
            <w:pPr>
              <w:pStyle w:val="164"/>
              <w:rPr>
                <w:snapToGrid w:val="0"/>
                <w:color w:val="auto"/>
                <w:w w:val="90"/>
              </w:rPr>
            </w:pPr>
            <w:r>
              <w:rPr>
                <w:snapToGrid w:val="0"/>
                <w:color w:val="auto"/>
                <w:w w:val="90"/>
              </w:rPr>
              <w:t>9.27</w:t>
            </w:r>
          </w:p>
        </w:tc>
        <w:tc>
          <w:tcPr>
            <w:tcW w:w="1732" w:type="dxa"/>
            <w:vAlign w:val="bottom"/>
          </w:tcPr>
          <w:p>
            <w:pPr>
              <w:pStyle w:val="164"/>
              <w:rPr>
                <w:snapToGrid w:val="0"/>
                <w:color w:val="auto"/>
                <w:w w:val="90"/>
              </w:rPr>
            </w:pPr>
            <w:r>
              <w:rPr>
                <w:snapToGrid w:val="0"/>
                <w:color w:val="auto"/>
                <w:w w:val="90"/>
              </w:rPr>
              <w:t>9.06</w:t>
            </w:r>
          </w:p>
        </w:tc>
        <w:tc>
          <w:tcPr>
            <w:tcW w:w="1742" w:type="dxa"/>
            <w:vAlign w:val="bottom"/>
          </w:tcPr>
          <w:p>
            <w:pPr>
              <w:pStyle w:val="164"/>
              <w:rPr>
                <w:snapToGrid w:val="0"/>
                <w:color w:val="auto"/>
                <w:w w:val="90"/>
              </w:rPr>
            </w:pPr>
            <w:r>
              <w:rPr>
                <w:snapToGrid w:val="0"/>
                <w:color w:val="auto"/>
                <w:w w:val="90"/>
              </w:rPr>
              <w:t>9.04</w:t>
            </w:r>
          </w:p>
        </w:tc>
        <w:tc>
          <w:tcPr>
            <w:tcW w:w="780" w:type="dxa"/>
            <w:vAlign w:val="center"/>
          </w:tcPr>
          <w:p>
            <w:pPr>
              <w:pStyle w:val="164"/>
              <w:rPr>
                <w:snapToGrid w:val="0"/>
                <w:color w:val="auto"/>
                <w:w w:val="90"/>
              </w:rPr>
            </w:pPr>
            <w:r>
              <w:rPr>
                <w:snapToGrid w:val="0"/>
                <w:color w:val="auto"/>
                <w:w w:val="90"/>
              </w:rPr>
              <w:t>60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193" w:hRule="atLeast"/>
          <w:jc w:val="center"/>
        </w:trPr>
        <w:tc>
          <w:tcPr>
            <w:tcW w:w="1848" w:type="dxa"/>
            <w:vAlign w:val="center"/>
          </w:tcPr>
          <w:p>
            <w:pPr>
              <w:pStyle w:val="164"/>
              <w:rPr>
                <w:snapToGrid w:val="0"/>
                <w:color w:val="auto"/>
                <w:w w:val="90"/>
              </w:rPr>
            </w:pPr>
            <w:r>
              <w:rPr>
                <w:snapToGrid w:val="0"/>
                <w:color w:val="auto"/>
                <w:w w:val="90"/>
              </w:rPr>
              <w:t>铬（六价）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5.7</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8720" w:type="dxa"/>
            <w:gridSpan w:val="6"/>
            <w:vAlign w:val="center"/>
          </w:tcPr>
          <w:p>
            <w:pPr>
              <w:pStyle w:val="164"/>
              <w:rPr>
                <w:bCs/>
                <w:snapToGrid w:val="0"/>
                <w:color w:val="auto"/>
                <w:w w:val="90"/>
              </w:rPr>
            </w:pPr>
            <w:r>
              <w:rPr>
                <w:bCs/>
                <w:snapToGrid w:val="0"/>
                <w:color w:val="auto"/>
                <w:w w:val="90"/>
              </w:rPr>
              <w:t>挥发性有机物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氯甲烷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37</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氯乙烯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0.43</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1,1-二氯乙烯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66</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二氯甲烷</w:t>
            </w:r>
          </w:p>
        </w:tc>
        <w:tc>
          <w:tcPr>
            <w:tcW w:w="1734" w:type="dxa"/>
          </w:tcPr>
          <w:p>
            <w:pPr>
              <w:pStyle w:val="164"/>
              <w:rPr>
                <w:snapToGrid w:val="0"/>
                <w:color w:val="auto"/>
                <w:w w:val="90"/>
              </w:rPr>
            </w:pPr>
            <w:r>
              <w:rPr>
                <w:snapToGrid w:val="0"/>
                <w:color w:val="auto"/>
                <w:w w:val="90"/>
              </w:rPr>
              <w:t>0.0046</w:t>
            </w:r>
          </w:p>
        </w:tc>
        <w:tc>
          <w:tcPr>
            <w:tcW w:w="1732" w:type="dxa"/>
          </w:tcPr>
          <w:p>
            <w:pPr>
              <w:pStyle w:val="164"/>
              <w:rPr>
                <w:snapToGrid w:val="0"/>
                <w:color w:val="auto"/>
                <w:w w:val="90"/>
              </w:rPr>
            </w:pPr>
            <w:r>
              <w:rPr>
                <w:snapToGrid w:val="0"/>
                <w:color w:val="auto"/>
                <w:w w:val="90"/>
              </w:rPr>
              <w:t>0.0039</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616</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反式-1,2-二氯乙烯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54</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1,1-二氯乙烷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9</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顺式-1,2-二氯乙烯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596</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氯仿</w:t>
            </w:r>
          </w:p>
        </w:tc>
        <w:tc>
          <w:tcPr>
            <w:tcW w:w="1734" w:type="dxa"/>
          </w:tcPr>
          <w:p>
            <w:pPr>
              <w:pStyle w:val="164"/>
              <w:rPr>
                <w:snapToGrid w:val="0"/>
                <w:color w:val="auto"/>
                <w:w w:val="90"/>
              </w:rPr>
            </w:pPr>
            <w:r>
              <w:rPr>
                <w:snapToGrid w:val="0"/>
                <w:color w:val="auto"/>
                <w:w w:val="90"/>
              </w:rPr>
              <w:t>0.0094</w:t>
            </w:r>
          </w:p>
        </w:tc>
        <w:tc>
          <w:tcPr>
            <w:tcW w:w="1732" w:type="dxa"/>
          </w:tcPr>
          <w:p>
            <w:pPr>
              <w:pStyle w:val="164"/>
              <w:rPr>
                <w:snapToGrid w:val="0"/>
                <w:color w:val="auto"/>
                <w:w w:val="90"/>
              </w:rPr>
            </w:pPr>
            <w:r>
              <w:rPr>
                <w:snapToGrid w:val="0"/>
                <w:color w:val="auto"/>
                <w:w w:val="90"/>
              </w:rPr>
              <w:t>0.0093</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0.9</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1,1,1-三氯乙烷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840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四氯化碳</w:t>
            </w:r>
          </w:p>
        </w:tc>
        <w:tc>
          <w:tcPr>
            <w:tcW w:w="1734" w:type="dxa"/>
          </w:tcPr>
          <w:p>
            <w:pPr>
              <w:pStyle w:val="164"/>
              <w:rPr>
                <w:snapToGrid w:val="0"/>
                <w:color w:val="auto"/>
                <w:w w:val="90"/>
              </w:rPr>
            </w:pPr>
            <w:r>
              <w:rPr>
                <w:snapToGrid w:val="0"/>
                <w:color w:val="auto"/>
                <w:w w:val="90"/>
              </w:rPr>
              <w:t>0.0039</w:t>
            </w:r>
          </w:p>
        </w:tc>
        <w:tc>
          <w:tcPr>
            <w:tcW w:w="1732" w:type="dxa"/>
          </w:tcPr>
          <w:p>
            <w:pPr>
              <w:pStyle w:val="164"/>
              <w:rPr>
                <w:snapToGrid w:val="0"/>
                <w:color w:val="auto"/>
                <w:w w:val="90"/>
              </w:rPr>
            </w:pPr>
            <w:r>
              <w:rPr>
                <w:snapToGrid w:val="0"/>
                <w:color w:val="auto"/>
                <w:w w:val="90"/>
              </w:rPr>
              <w:t>0.0038</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2.8</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苯</w:t>
            </w:r>
          </w:p>
        </w:tc>
        <w:tc>
          <w:tcPr>
            <w:tcW w:w="1734" w:type="dxa"/>
          </w:tcPr>
          <w:p>
            <w:pPr>
              <w:pStyle w:val="164"/>
              <w:rPr>
                <w:snapToGrid w:val="0"/>
                <w:color w:val="auto"/>
                <w:w w:val="90"/>
              </w:rPr>
            </w:pPr>
            <w:r>
              <w:rPr>
                <w:snapToGrid w:val="0"/>
                <w:color w:val="auto"/>
                <w:w w:val="90"/>
              </w:rPr>
              <w:t>0.0055</w:t>
            </w:r>
          </w:p>
        </w:tc>
        <w:tc>
          <w:tcPr>
            <w:tcW w:w="1732" w:type="dxa"/>
          </w:tcPr>
          <w:p>
            <w:pPr>
              <w:pStyle w:val="164"/>
              <w:rPr>
                <w:snapToGrid w:val="0"/>
                <w:color w:val="auto"/>
                <w:w w:val="90"/>
              </w:rPr>
            </w:pPr>
            <w:r>
              <w:rPr>
                <w:snapToGrid w:val="0"/>
                <w:color w:val="auto"/>
                <w:w w:val="90"/>
              </w:rPr>
              <w:t>0.0055</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4</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1,2-二氯乙烷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三氯乙烯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2.8</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1,2-二氯丙烷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甲苯</w:t>
            </w:r>
          </w:p>
        </w:tc>
        <w:tc>
          <w:tcPr>
            <w:tcW w:w="1734" w:type="dxa"/>
          </w:tcPr>
          <w:p>
            <w:pPr>
              <w:pStyle w:val="164"/>
              <w:rPr>
                <w:snapToGrid w:val="0"/>
                <w:color w:val="auto"/>
                <w:w w:val="90"/>
              </w:rPr>
            </w:pPr>
            <w:r>
              <w:rPr>
                <w:snapToGrid w:val="0"/>
                <w:color w:val="auto"/>
                <w:w w:val="90"/>
              </w:rPr>
              <w:t>0.0081</w:t>
            </w:r>
          </w:p>
        </w:tc>
        <w:tc>
          <w:tcPr>
            <w:tcW w:w="1732" w:type="dxa"/>
          </w:tcPr>
          <w:p>
            <w:pPr>
              <w:pStyle w:val="164"/>
              <w:rPr>
                <w:snapToGrid w:val="0"/>
                <w:color w:val="auto"/>
                <w:w w:val="90"/>
              </w:rPr>
            </w:pPr>
            <w:r>
              <w:rPr>
                <w:snapToGrid w:val="0"/>
                <w:color w:val="auto"/>
                <w:w w:val="90"/>
              </w:rPr>
              <w:t>0.0079</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1200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1,1,2-三氯乙烷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2.8</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四氯乙烯</w:t>
            </w:r>
          </w:p>
        </w:tc>
        <w:tc>
          <w:tcPr>
            <w:tcW w:w="1734" w:type="dxa"/>
            <w:vAlign w:val="bottom"/>
          </w:tcPr>
          <w:p>
            <w:pPr>
              <w:pStyle w:val="164"/>
              <w:rPr>
                <w:snapToGrid w:val="0"/>
                <w:color w:val="auto"/>
                <w:w w:val="90"/>
              </w:rPr>
            </w:pPr>
            <w:r>
              <w:rPr>
                <w:snapToGrid w:val="0"/>
                <w:color w:val="auto"/>
                <w:w w:val="90"/>
              </w:rPr>
              <w:t>0.0107</w:t>
            </w:r>
          </w:p>
        </w:tc>
        <w:tc>
          <w:tcPr>
            <w:tcW w:w="1732" w:type="dxa"/>
            <w:vAlign w:val="bottom"/>
          </w:tcPr>
          <w:p>
            <w:pPr>
              <w:pStyle w:val="164"/>
              <w:rPr>
                <w:snapToGrid w:val="0"/>
                <w:color w:val="auto"/>
                <w:w w:val="90"/>
              </w:rPr>
            </w:pPr>
            <w:r>
              <w:rPr>
                <w:snapToGrid w:val="0"/>
                <w:color w:val="auto"/>
                <w:w w:val="90"/>
              </w:rPr>
              <w:t>0.0132</w:t>
            </w:r>
          </w:p>
        </w:tc>
        <w:tc>
          <w:tcPr>
            <w:tcW w:w="1742" w:type="dxa"/>
            <w:vAlign w:val="bottom"/>
          </w:tcPr>
          <w:p>
            <w:pPr>
              <w:pStyle w:val="164"/>
              <w:rPr>
                <w:snapToGrid w:val="0"/>
                <w:color w:val="auto"/>
                <w:w w:val="90"/>
              </w:rPr>
            </w:pPr>
            <w:r>
              <w:rPr>
                <w:snapToGrid w:val="0"/>
                <w:color w:val="auto"/>
                <w:w w:val="90"/>
              </w:rPr>
              <w:t>0.0039</w:t>
            </w:r>
          </w:p>
        </w:tc>
        <w:tc>
          <w:tcPr>
            <w:tcW w:w="780" w:type="dxa"/>
          </w:tcPr>
          <w:p>
            <w:pPr>
              <w:pStyle w:val="164"/>
              <w:rPr>
                <w:snapToGrid w:val="0"/>
                <w:color w:val="auto"/>
                <w:w w:val="90"/>
              </w:rPr>
            </w:pPr>
            <w:r>
              <w:rPr>
                <w:snapToGrid w:val="0"/>
                <w:color w:val="auto"/>
                <w:w w:val="90"/>
              </w:rPr>
              <w:t>53</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氯苯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270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1,1,1,2-四氯乙烷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10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乙苯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28</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间，对-COD</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570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邻-COD</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640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苯乙烯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1290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1,1,2,2-四氯乙烷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6.8</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1,2,3-三氯丙烷</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0.5</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1,4-二氯苯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20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bottom"/>
          </w:tcPr>
          <w:p>
            <w:pPr>
              <w:pStyle w:val="164"/>
              <w:rPr>
                <w:snapToGrid w:val="0"/>
                <w:color w:val="auto"/>
                <w:w w:val="90"/>
              </w:rPr>
            </w:pPr>
            <w:r>
              <w:rPr>
                <w:snapToGrid w:val="0"/>
                <w:color w:val="auto"/>
                <w:w w:val="90"/>
              </w:rPr>
              <w:t>1,2-二氯苯</w:t>
            </w:r>
          </w:p>
        </w:tc>
        <w:tc>
          <w:tcPr>
            <w:tcW w:w="1734" w:type="dxa"/>
          </w:tcPr>
          <w:p>
            <w:pPr>
              <w:pStyle w:val="164"/>
              <w:rPr>
                <w:snapToGrid w:val="0"/>
                <w:color w:val="auto"/>
                <w:w w:val="90"/>
              </w:rPr>
            </w:pPr>
            <w:r>
              <w:rPr>
                <w:snapToGrid w:val="0"/>
                <w:color w:val="auto"/>
                <w:w w:val="90"/>
              </w:rPr>
              <w:t>ND</w:t>
            </w:r>
          </w:p>
        </w:tc>
        <w:tc>
          <w:tcPr>
            <w:tcW w:w="1732" w:type="dxa"/>
          </w:tcPr>
          <w:p>
            <w:pPr>
              <w:pStyle w:val="164"/>
              <w:rPr>
                <w:snapToGrid w:val="0"/>
                <w:color w:val="auto"/>
                <w:w w:val="90"/>
              </w:rPr>
            </w:pPr>
            <w:r>
              <w:rPr>
                <w:snapToGrid w:val="0"/>
                <w:color w:val="auto"/>
                <w:w w:val="90"/>
              </w:rPr>
              <w:t>ND</w:t>
            </w:r>
          </w:p>
        </w:tc>
        <w:tc>
          <w:tcPr>
            <w:tcW w:w="1742" w:type="dxa"/>
          </w:tcPr>
          <w:p>
            <w:pPr>
              <w:pStyle w:val="164"/>
              <w:rPr>
                <w:snapToGrid w:val="0"/>
                <w:color w:val="auto"/>
                <w:w w:val="90"/>
              </w:rPr>
            </w:pPr>
            <w:r>
              <w:rPr>
                <w:snapToGrid w:val="0"/>
                <w:color w:val="auto"/>
                <w:w w:val="90"/>
              </w:rPr>
              <w:t>ND</w:t>
            </w:r>
          </w:p>
        </w:tc>
        <w:tc>
          <w:tcPr>
            <w:tcW w:w="780" w:type="dxa"/>
          </w:tcPr>
          <w:p>
            <w:pPr>
              <w:pStyle w:val="164"/>
              <w:rPr>
                <w:snapToGrid w:val="0"/>
                <w:color w:val="auto"/>
                <w:w w:val="90"/>
              </w:rPr>
            </w:pPr>
            <w:r>
              <w:rPr>
                <w:snapToGrid w:val="0"/>
                <w:color w:val="auto"/>
                <w:w w:val="90"/>
              </w:rPr>
              <w:t>560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8720" w:type="dxa"/>
            <w:gridSpan w:val="6"/>
            <w:vAlign w:val="center"/>
          </w:tcPr>
          <w:p>
            <w:pPr>
              <w:pStyle w:val="164"/>
              <w:rPr>
                <w:snapToGrid w:val="0"/>
                <w:color w:val="auto"/>
                <w:w w:val="90"/>
              </w:rPr>
            </w:pPr>
            <w:r>
              <w:rPr>
                <w:snapToGrid w:val="0"/>
                <w:color w:val="auto"/>
                <w:w w:val="90"/>
              </w:rPr>
              <w:t>半挥发性有机物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硝基苯</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76</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苯胺</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260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2-氯酚</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2256</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苯并[a]蒽</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苯并[a]芘</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苯并[b]荧蒽</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苯并[k]荧蒽</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151</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䓛</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1293</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二苯并[a,h]蒽</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茚并[1,2,3-cd]芘</w:t>
            </w:r>
          </w:p>
        </w:tc>
        <w:tc>
          <w:tcPr>
            <w:tcW w:w="1734" w:type="dxa"/>
            <w:vAlign w:val="center"/>
          </w:tcPr>
          <w:p>
            <w:pPr>
              <w:pStyle w:val="164"/>
              <w:rPr>
                <w:snapToGrid w:val="0"/>
                <w:color w:val="auto"/>
                <w:w w:val="90"/>
              </w:rPr>
            </w:pPr>
            <w:r>
              <w:rPr>
                <w:snapToGrid w:val="0"/>
                <w:color w:val="auto"/>
                <w:w w:val="90"/>
              </w:rPr>
              <w:t>ND</w:t>
            </w:r>
          </w:p>
        </w:tc>
        <w:tc>
          <w:tcPr>
            <w:tcW w:w="1732" w:type="dxa"/>
            <w:vAlign w:val="center"/>
          </w:tcPr>
          <w:p>
            <w:pPr>
              <w:pStyle w:val="164"/>
              <w:rPr>
                <w:snapToGrid w:val="0"/>
                <w:color w:val="auto"/>
                <w:w w:val="90"/>
              </w:rPr>
            </w:pPr>
            <w:r>
              <w:rPr>
                <w:snapToGrid w:val="0"/>
                <w:color w:val="auto"/>
                <w:w w:val="90"/>
              </w:rPr>
              <w:t>ND</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15</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1848" w:type="dxa"/>
            <w:vAlign w:val="center"/>
          </w:tcPr>
          <w:p>
            <w:pPr>
              <w:pStyle w:val="164"/>
              <w:rPr>
                <w:snapToGrid w:val="0"/>
                <w:color w:val="auto"/>
                <w:w w:val="90"/>
              </w:rPr>
            </w:pPr>
            <w:r>
              <w:rPr>
                <w:snapToGrid w:val="0"/>
                <w:color w:val="auto"/>
                <w:w w:val="90"/>
              </w:rPr>
              <w:t>萘</w:t>
            </w:r>
          </w:p>
        </w:tc>
        <w:tc>
          <w:tcPr>
            <w:tcW w:w="1734" w:type="dxa"/>
            <w:vAlign w:val="center"/>
          </w:tcPr>
          <w:p>
            <w:pPr>
              <w:pStyle w:val="164"/>
              <w:rPr>
                <w:snapToGrid w:val="0"/>
                <w:color w:val="auto"/>
                <w:w w:val="90"/>
              </w:rPr>
            </w:pPr>
            <w:r>
              <w:rPr>
                <w:snapToGrid w:val="0"/>
                <w:color w:val="auto"/>
                <w:w w:val="90"/>
              </w:rPr>
              <w:t>0.0098</w:t>
            </w:r>
          </w:p>
        </w:tc>
        <w:tc>
          <w:tcPr>
            <w:tcW w:w="1732" w:type="dxa"/>
            <w:vAlign w:val="center"/>
          </w:tcPr>
          <w:p>
            <w:pPr>
              <w:pStyle w:val="164"/>
              <w:rPr>
                <w:snapToGrid w:val="0"/>
                <w:color w:val="auto"/>
                <w:w w:val="90"/>
              </w:rPr>
            </w:pPr>
            <w:r>
              <w:rPr>
                <w:snapToGrid w:val="0"/>
                <w:color w:val="auto"/>
                <w:w w:val="90"/>
              </w:rPr>
              <w:t>0.0097</w:t>
            </w:r>
          </w:p>
        </w:tc>
        <w:tc>
          <w:tcPr>
            <w:tcW w:w="1742" w:type="dxa"/>
            <w:vAlign w:val="center"/>
          </w:tcPr>
          <w:p>
            <w:pPr>
              <w:pStyle w:val="164"/>
              <w:rPr>
                <w:snapToGrid w:val="0"/>
                <w:color w:val="auto"/>
                <w:w w:val="90"/>
              </w:rPr>
            </w:pPr>
            <w:r>
              <w:rPr>
                <w:snapToGrid w:val="0"/>
                <w:color w:val="auto"/>
                <w:w w:val="90"/>
              </w:rPr>
              <w:t>ND</w:t>
            </w:r>
          </w:p>
        </w:tc>
        <w:tc>
          <w:tcPr>
            <w:tcW w:w="780" w:type="dxa"/>
            <w:vAlign w:val="center"/>
          </w:tcPr>
          <w:p>
            <w:pPr>
              <w:pStyle w:val="164"/>
              <w:rPr>
                <w:snapToGrid w:val="0"/>
                <w:color w:val="auto"/>
                <w:w w:val="90"/>
              </w:rPr>
            </w:pPr>
            <w:r>
              <w:rPr>
                <w:snapToGrid w:val="0"/>
                <w:color w:val="auto"/>
                <w:w w:val="90"/>
              </w:rPr>
              <w:t>70</w:t>
            </w:r>
          </w:p>
        </w:tc>
        <w:tc>
          <w:tcPr>
            <w:tcW w:w="884"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jc w:val="center"/>
        </w:trPr>
        <w:tc>
          <w:tcPr>
            <w:tcW w:w="8720" w:type="dxa"/>
            <w:gridSpan w:val="6"/>
            <w:vAlign w:val="center"/>
          </w:tcPr>
          <w:p>
            <w:pPr>
              <w:pStyle w:val="164"/>
              <w:rPr>
                <w:color w:val="auto"/>
                <w:w w:val="90"/>
                <w:szCs w:val="21"/>
              </w:rPr>
            </w:pPr>
            <w:r>
              <w:rPr>
                <w:color w:val="auto"/>
                <w:w w:val="90"/>
                <w:szCs w:val="21"/>
              </w:rPr>
              <w:t>备注： ND表示未检出或小于检出限，检出限见表3-6。铬（六价）参照《固体废物铬（六价）的测定 碱消解/火焰原子吸收分光光度法》（HJ687-2014）进行测定。土壤检测因子参照执行《土壤环境质量建设用地土壤污染风险管控标准》（试行）（GB 36600-2018）表1第二类用地筛选值，标准由委托单位提供。</w:t>
            </w:r>
          </w:p>
        </w:tc>
      </w:tr>
    </w:tbl>
    <w:p>
      <w:pPr>
        <w:spacing w:line="500" w:lineRule="exact"/>
        <w:jc w:val="center"/>
        <w:rPr>
          <w:b/>
          <w:bCs/>
          <w:color w:val="auto"/>
          <w:sz w:val="24"/>
          <w:szCs w:val="24"/>
        </w:rPr>
      </w:pPr>
      <w:r>
        <w:rPr>
          <w:b/>
          <w:bCs/>
          <w:color w:val="auto"/>
          <w:sz w:val="24"/>
          <w:szCs w:val="24"/>
        </w:rPr>
        <w:t>表6.5-7  土壤检测结果一览表  单位：mg/kg</w:t>
      </w:r>
    </w:p>
    <w:tbl>
      <w:tblPr>
        <w:tblStyle w:val="75"/>
        <w:tblW w:w="8778" w:type="dxa"/>
        <w:jc w:val="center"/>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885"/>
        <w:gridCol w:w="5228"/>
        <w:gridCol w:w="778"/>
        <w:gridCol w:w="887"/>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75" w:hRule="atLeast"/>
          <w:jc w:val="center"/>
        </w:trPr>
        <w:tc>
          <w:tcPr>
            <w:tcW w:w="1885" w:type="dxa"/>
            <w:vMerge w:val="restart"/>
            <w:tcBorders>
              <w:top w:val="single" w:color="000000" w:themeColor="text1" w:sz="12" w:space="0"/>
              <w:bottom w:val="single" w:color="000000" w:themeColor="text1" w:sz="6" w:space="0"/>
              <w:tl2br w:val="single" w:color="000000" w:themeColor="text1" w:sz="4" w:space="0"/>
            </w:tcBorders>
            <w:vAlign w:val="center"/>
          </w:tcPr>
          <w:p>
            <w:pPr>
              <w:pStyle w:val="164"/>
              <w:rPr>
                <w:snapToGrid w:val="0"/>
                <w:color w:val="auto"/>
                <w:w w:val="90"/>
              </w:rPr>
            </w:pPr>
            <w:r>
              <w:rPr>
                <w:snapToGrid w:val="0"/>
                <w:color w:val="auto"/>
                <w:w w:val="90"/>
              </w:rPr>
              <w:t xml:space="preserve">            点位</w:t>
            </w:r>
          </w:p>
          <w:p>
            <w:pPr>
              <w:pStyle w:val="164"/>
              <w:jc w:val="both"/>
              <w:rPr>
                <w:snapToGrid w:val="0"/>
                <w:color w:val="auto"/>
                <w:w w:val="90"/>
              </w:rPr>
            </w:pPr>
            <w:r>
              <w:rPr>
                <w:snapToGrid w:val="0"/>
                <w:color w:val="auto"/>
                <w:w w:val="90"/>
              </w:rPr>
              <w:t>项目</w:t>
            </w:r>
          </w:p>
        </w:tc>
        <w:tc>
          <w:tcPr>
            <w:tcW w:w="5228" w:type="dxa"/>
          </w:tcPr>
          <w:p>
            <w:pPr>
              <w:pStyle w:val="164"/>
              <w:rPr>
                <w:snapToGrid w:val="0"/>
                <w:color w:val="auto"/>
                <w:w w:val="90"/>
              </w:rPr>
            </w:pPr>
            <w:r>
              <w:rPr>
                <w:bCs/>
                <w:color w:val="auto"/>
                <w:w w:val="90"/>
              </w:rPr>
              <w:t>5#阳沟村二队（2020年4月16日）</w:t>
            </w:r>
          </w:p>
        </w:tc>
        <w:tc>
          <w:tcPr>
            <w:tcW w:w="778" w:type="dxa"/>
            <w:vMerge w:val="restart"/>
            <w:vAlign w:val="center"/>
          </w:tcPr>
          <w:p>
            <w:pPr>
              <w:pStyle w:val="164"/>
              <w:rPr>
                <w:snapToGrid w:val="0"/>
                <w:color w:val="auto"/>
                <w:w w:val="90"/>
              </w:rPr>
            </w:pPr>
            <w:r>
              <w:rPr>
                <w:snapToGrid w:val="0"/>
                <w:color w:val="auto"/>
                <w:w w:val="90"/>
              </w:rPr>
              <w:t>标准</w:t>
            </w:r>
          </w:p>
          <w:p>
            <w:pPr>
              <w:pStyle w:val="164"/>
              <w:rPr>
                <w:snapToGrid w:val="0"/>
                <w:color w:val="auto"/>
                <w:w w:val="90"/>
              </w:rPr>
            </w:pPr>
            <w:r>
              <w:rPr>
                <w:snapToGrid w:val="0"/>
                <w:color w:val="auto"/>
                <w:w w:val="90"/>
              </w:rPr>
              <w:t>限值</w:t>
            </w:r>
          </w:p>
        </w:tc>
        <w:tc>
          <w:tcPr>
            <w:tcW w:w="887" w:type="dxa"/>
            <w:vMerge w:val="restart"/>
            <w:vAlign w:val="center"/>
          </w:tcPr>
          <w:p>
            <w:pPr>
              <w:pStyle w:val="164"/>
              <w:rPr>
                <w:snapToGrid w:val="0"/>
                <w:color w:val="auto"/>
                <w:w w:val="90"/>
              </w:rPr>
            </w:pPr>
            <w:r>
              <w:rPr>
                <w:snapToGrid w:val="0"/>
                <w:color w:val="auto"/>
                <w:w w:val="90"/>
              </w:rPr>
              <w:t>达标</w:t>
            </w:r>
          </w:p>
          <w:p>
            <w:pPr>
              <w:pStyle w:val="164"/>
              <w:rPr>
                <w:snapToGrid w:val="0"/>
                <w:color w:val="auto"/>
                <w:w w:val="90"/>
              </w:rPr>
            </w:pPr>
            <w:r>
              <w:rPr>
                <w:snapToGrid w:val="0"/>
                <w:color w:val="auto"/>
                <w:w w:val="90"/>
              </w:rPr>
              <w:t>情况</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22" w:hRule="atLeast"/>
          <w:jc w:val="center"/>
        </w:trPr>
        <w:tc>
          <w:tcPr>
            <w:tcW w:w="1885" w:type="dxa"/>
            <w:vMerge w:val="continue"/>
            <w:tcBorders>
              <w:top w:val="single" w:color="000000" w:themeColor="text1" w:sz="6" w:space="0"/>
              <w:bottom w:val="single" w:color="000000" w:themeColor="text1" w:sz="6" w:space="0"/>
              <w:tl2br w:val="single" w:color="000000" w:themeColor="text1" w:sz="4" w:space="0"/>
            </w:tcBorders>
            <w:vAlign w:val="center"/>
          </w:tcPr>
          <w:p>
            <w:pPr>
              <w:pStyle w:val="164"/>
              <w:rPr>
                <w:snapToGrid w:val="0"/>
                <w:color w:val="auto"/>
                <w:w w:val="90"/>
              </w:rPr>
            </w:pPr>
          </w:p>
        </w:tc>
        <w:tc>
          <w:tcPr>
            <w:tcW w:w="5228" w:type="dxa"/>
          </w:tcPr>
          <w:p>
            <w:pPr>
              <w:pStyle w:val="164"/>
              <w:rPr>
                <w:bCs/>
                <w:color w:val="auto"/>
                <w:w w:val="90"/>
              </w:rPr>
            </w:pPr>
            <w:r>
              <w:rPr>
                <w:bCs/>
                <w:color w:val="auto"/>
                <w:w w:val="90"/>
              </w:rPr>
              <w:t>表层（0～0.2m）</w:t>
            </w:r>
          </w:p>
        </w:tc>
        <w:tc>
          <w:tcPr>
            <w:tcW w:w="778" w:type="dxa"/>
            <w:vMerge w:val="continue"/>
            <w:vAlign w:val="center"/>
          </w:tcPr>
          <w:p>
            <w:pPr>
              <w:pStyle w:val="164"/>
              <w:rPr>
                <w:bCs/>
                <w:snapToGrid w:val="0"/>
                <w:color w:val="auto"/>
                <w:w w:val="90"/>
              </w:rPr>
            </w:pPr>
          </w:p>
        </w:tc>
        <w:tc>
          <w:tcPr>
            <w:tcW w:w="887" w:type="dxa"/>
            <w:vMerge w:val="continue"/>
            <w:vAlign w:val="center"/>
          </w:tcPr>
          <w:p>
            <w:pPr>
              <w:pStyle w:val="164"/>
              <w:rPr>
                <w:bCs/>
                <w:snapToGrid w:val="0"/>
                <w:color w:val="auto"/>
                <w:w w:val="90"/>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8778" w:type="dxa"/>
            <w:gridSpan w:val="4"/>
            <w:vAlign w:val="center"/>
          </w:tcPr>
          <w:p>
            <w:pPr>
              <w:pStyle w:val="164"/>
              <w:rPr>
                <w:bCs/>
                <w:snapToGrid w:val="0"/>
                <w:color w:val="auto"/>
                <w:w w:val="90"/>
              </w:rPr>
            </w:pPr>
            <w:r>
              <w:rPr>
                <w:bCs/>
                <w:snapToGrid w:val="0"/>
                <w:color w:val="auto"/>
                <w:w w:val="90"/>
              </w:rPr>
              <w:t>金属和无机物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铜</w:t>
            </w:r>
          </w:p>
        </w:tc>
        <w:tc>
          <w:tcPr>
            <w:tcW w:w="5228" w:type="dxa"/>
            <w:vAlign w:val="center"/>
          </w:tcPr>
          <w:p>
            <w:pPr>
              <w:pStyle w:val="164"/>
              <w:rPr>
                <w:snapToGrid w:val="0"/>
                <w:color w:val="auto"/>
                <w:w w:val="90"/>
              </w:rPr>
            </w:pPr>
            <w:r>
              <w:rPr>
                <w:snapToGrid w:val="0"/>
                <w:color w:val="auto"/>
                <w:w w:val="90"/>
              </w:rPr>
              <w:t>15</w:t>
            </w:r>
          </w:p>
        </w:tc>
        <w:tc>
          <w:tcPr>
            <w:tcW w:w="778" w:type="dxa"/>
            <w:vAlign w:val="center"/>
          </w:tcPr>
          <w:p>
            <w:pPr>
              <w:pStyle w:val="164"/>
              <w:rPr>
                <w:snapToGrid w:val="0"/>
                <w:color w:val="auto"/>
                <w:w w:val="90"/>
              </w:rPr>
            </w:pPr>
            <w:r>
              <w:rPr>
                <w:snapToGrid w:val="0"/>
                <w:color w:val="auto"/>
                <w:w w:val="90"/>
              </w:rPr>
              <w:t>18000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镍</w:t>
            </w:r>
          </w:p>
        </w:tc>
        <w:tc>
          <w:tcPr>
            <w:tcW w:w="5228" w:type="dxa"/>
            <w:vAlign w:val="center"/>
          </w:tcPr>
          <w:p>
            <w:pPr>
              <w:pStyle w:val="164"/>
              <w:rPr>
                <w:snapToGrid w:val="0"/>
                <w:color w:val="auto"/>
                <w:w w:val="90"/>
              </w:rPr>
            </w:pPr>
            <w:r>
              <w:rPr>
                <w:snapToGrid w:val="0"/>
                <w:color w:val="auto"/>
                <w:w w:val="90"/>
              </w:rPr>
              <w:t>19</w:t>
            </w:r>
          </w:p>
        </w:tc>
        <w:tc>
          <w:tcPr>
            <w:tcW w:w="778" w:type="dxa"/>
            <w:vAlign w:val="center"/>
          </w:tcPr>
          <w:p>
            <w:pPr>
              <w:pStyle w:val="164"/>
              <w:rPr>
                <w:snapToGrid w:val="0"/>
                <w:color w:val="auto"/>
                <w:w w:val="90"/>
              </w:rPr>
            </w:pPr>
            <w:r>
              <w:rPr>
                <w:snapToGrid w:val="0"/>
                <w:color w:val="auto"/>
                <w:w w:val="90"/>
              </w:rPr>
              <w:t>900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铅</w:t>
            </w:r>
          </w:p>
        </w:tc>
        <w:tc>
          <w:tcPr>
            <w:tcW w:w="5228" w:type="dxa"/>
            <w:vAlign w:val="center"/>
          </w:tcPr>
          <w:p>
            <w:pPr>
              <w:pStyle w:val="164"/>
              <w:rPr>
                <w:snapToGrid w:val="0"/>
                <w:color w:val="auto"/>
                <w:w w:val="90"/>
              </w:rPr>
            </w:pPr>
            <w:r>
              <w:rPr>
                <w:snapToGrid w:val="0"/>
                <w:color w:val="auto"/>
                <w:w w:val="90"/>
              </w:rPr>
              <w:t>14</w:t>
            </w:r>
          </w:p>
        </w:tc>
        <w:tc>
          <w:tcPr>
            <w:tcW w:w="778" w:type="dxa"/>
            <w:vAlign w:val="center"/>
          </w:tcPr>
          <w:p>
            <w:pPr>
              <w:pStyle w:val="164"/>
              <w:rPr>
                <w:snapToGrid w:val="0"/>
                <w:color w:val="auto"/>
                <w:w w:val="90"/>
              </w:rPr>
            </w:pPr>
            <w:r>
              <w:rPr>
                <w:snapToGrid w:val="0"/>
                <w:color w:val="auto"/>
                <w:w w:val="90"/>
              </w:rPr>
              <w:t>800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镉</w:t>
            </w:r>
          </w:p>
        </w:tc>
        <w:tc>
          <w:tcPr>
            <w:tcW w:w="5228" w:type="dxa"/>
            <w:vAlign w:val="center"/>
          </w:tcPr>
          <w:p>
            <w:pPr>
              <w:pStyle w:val="164"/>
              <w:rPr>
                <w:snapToGrid w:val="0"/>
                <w:color w:val="auto"/>
                <w:w w:val="90"/>
              </w:rPr>
            </w:pPr>
            <w:r>
              <w:rPr>
                <w:snapToGrid w:val="0"/>
                <w:color w:val="auto"/>
                <w:w w:val="90"/>
              </w:rPr>
              <w:t>0.14</w:t>
            </w:r>
          </w:p>
        </w:tc>
        <w:tc>
          <w:tcPr>
            <w:tcW w:w="778" w:type="dxa"/>
            <w:vAlign w:val="center"/>
          </w:tcPr>
          <w:p>
            <w:pPr>
              <w:pStyle w:val="164"/>
              <w:rPr>
                <w:snapToGrid w:val="0"/>
                <w:color w:val="auto"/>
                <w:w w:val="90"/>
              </w:rPr>
            </w:pPr>
            <w:r>
              <w:rPr>
                <w:snapToGrid w:val="0"/>
                <w:color w:val="auto"/>
                <w:w w:val="90"/>
              </w:rPr>
              <w:t>65</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汞</w:t>
            </w:r>
          </w:p>
        </w:tc>
        <w:tc>
          <w:tcPr>
            <w:tcW w:w="5228" w:type="dxa"/>
            <w:vAlign w:val="center"/>
          </w:tcPr>
          <w:p>
            <w:pPr>
              <w:pStyle w:val="164"/>
              <w:rPr>
                <w:snapToGrid w:val="0"/>
                <w:color w:val="auto"/>
                <w:w w:val="90"/>
              </w:rPr>
            </w:pPr>
            <w:r>
              <w:rPr>
                <w:snapToGrid w:val="0"/>
                <w:color w:val="auto"/>
                <w:w w:val="90"/>
              </w:rPr>
              <w:t>0.071</w:t>
            </w:r>
          </w:p>
        </w:tc>
        <w:tc>
          <w:tcPr>
            <w:tcW w:w="778" w:type="dxa"/>
            <w:vAlign w:val="center"/>
          </w:tcPr>
          <w:p>
            <w:pPr>
              <w:pStyle w:val="164"/>
              <w:rPr>
                <w:snapToGrid w:val="0"/>
                <w:color w:val="auto"/>
                <w:w w:val="90"/>
              </w:rPr>
            </w:pPr>
            <w:r>
              <w:rPr>
                <w:snapToGrid w:val="0"/>
                <w:color w:val="auto"/>
                <w:w w:val="90"/>
              </w:rPr>
              <w:t>38</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砷</w:t>
            </w:r>
          </w:p>
        </w:tc>
        <w:tc>
          <w:tcPr>
            <w:tcW w:w="5228" w:type="dxa"/>
            <w:vAlign w:val="center"/>
          </w:tcPr>
          <w:p>
            <w:pPr>
              <w:pStyle w:val="164"/>
              <w:rPr>
                <w:snapToGrid w:val="0"/>
                <w:color w:val="auto"/>
                <w:w w:val="90"/>
              </w:rPr>
            </w:pPr>
            <w:r>
              <w:rPr>
                <w:snapToGrid w:val="0"/>
                <w:color w:val="auto"/>
                <w:w w:val="90"/>
              </w:rPr>
              <w:t>9.99</w:t>
            </w:r>
          </w:p>
        </w:tc>
        <w:tc>
          <w:tcPr>
            <w:tcW w:w="778" w:type="dxa"/>
            <w:vAlign w:val="center"/>
          </w:tcPr>
          <w:p>
            <w:pPr>
              <w:pStyle w:val="164"/>
              <w:rPr>
                <w:snapToGrid w:val="0"/>
                <w:color w:val="auto"/>
                <w:w w:val="90"/>
              </w:rPr>
            </w:pPr>
            <w:r>
              <w:rPr>
                <w:snapToGrid w:val="0"/>
                <w:color w:val="auto"/>
                <w:w w:val="90"/>
              </w:rPr>
              <w:t>60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铬（六价）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5.7</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8778" w:type="dxa"/>
            <w:gridSpan w:val="4"/>
            <w:vAlign w:val="center"/>
          </w:tcPr>
          <w:p>
            <w:pPr>
              <w:pStyle w:val="164"/>
              <w:rPr>
                <w:bCs/>
                <w:snapToGrid w:val="0"/>
                <w:color w:val="auto"/>
                <w:w w:val="90"/>
              </w:rPr>
            </w:pPr>
            <w:r>
              <w:rPr>
                <w:bCs/>
                <w:snapToGrid w:val="0"/>
                <w:color w:val="auto"/>
                <w:w w:val="90"/>
              </w:rPr>
              <w:t>挥发性有机物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氯甲烷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37</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氯乙烯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0.43</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1,1-二氯乙烯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66</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二氯甲烷</w:t>
            </w:r>
          </w:p>
        </w:tc>
        <w:tc>
          <w:tcPr>
            <w:tcW w:w="5228" w:type="dxa"/>
            <w:vAlign w:val="center"/>
          </w:tcPr>
          <w:p>
            <w:pPr>
              <w:pStyle w:val="164"/>
              <w:rPr>
                <w:snapToGrid w:val="0"/>
                <w:color w:val="auto"/>
                <w:w w:val="90"/>
              </w:rPr>
            </w:pPr>
            <w:r>
              <w:rPr>
                <w:snapToGrid w:val="0"/>
                <w:color w:val="auto"/>
                <w:w w:val="90"/>
              </w:rPr>
              <w:t>0.0040</w:t>
            </w:r>
          </w:p>
        </w:tc>
        <w:tc>
          <w:tcPr>
            <w:tcW w:w="778" w:type="dxa"/>
            <w:vAlign w:val="center"/>
          </w:tcPr>
          <w:p>
            <w:pPr>
              <w:pStyle w:val="164"/>
              <w:rPr>
                <w:snapToGrid w:val="0"/>
                <w:color w:val="auto"/>
                <w:w w:val="90"/>
              </w:rPr>
            </w:pPr>
            <w:r>
              <w:rPr>
                <w:snapToGrid w:val="0"/>
                <w:color w:val="auto"/>
                <w:w w:val="90"/>
              </w:rPr>
              <w:t>616</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反式-1,2-二氯乙烯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54</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1,1-二氯乙烷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9</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顺式-1,2-二氯乙烯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596</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氯仿</w:t>
            </w:r>
          </w:p>
        </w:tc>
        <w:tc>
          <w:tcPr>
            <w:tcW w:w="5228" w:type="dxa"/>
            <w:vAlign w:val="center"/>
          </w:tcPr>
          <w:p>
            <w:pPr>
              <w:pStyle w:val="164"/>
              <w:rPr>
                <w:snapToGrid w:val="0"/>
                <w:color w:val="auto"/>
                <w:w w:val="90"/>
              </w:rPr>
            </w:pPr>
            <w:r>
              <w:rPr>
                <w:snapToGrid w:val="0"/>
                <w:color w:val="auto"/>
                <w:w w:val="90"/>
              </w:rPr>
              <w:t>0.0088</w:t>
            </w:r>
          </w:p>
        </w:tc>
        <w:tc>
          <w:tcPr>
            <w:tcW w:w="778" w:type="dxa"/>
            <w:vAlign w:val="center"/>
          </w:tcPr>
          <w:p>
            <w:pPr>
              <w:pStyle w:val="164"/>
              <w:rPr>
                <w:snapToGrid w:val="0"/>
                <w:color w:val="auto"/>
                <w:w w:val="90"/>
              </w:rPr>
            </w:pPr>
            <w:r>
              <w:rPr>
                <w:snapToGrid w:val="0"/>
                <w:color w:val="auto"/>
                <w:w w:val="90"/>
              </w:rPr>
              <w:t>0.9</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1,1,1-三氯乙烷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840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四氯化碳</w:t>
            </w:r>
          </w:p>
        </w:tc>
        <w:tc>
          <w:tcPr>
            <w:tcW w:w="5228" w:type="dxa"/>
            <w:vAlign w:val="center"/>
          </w:tcPr>
          <w:p>
            <w:pPr>
              <w:pStyle w:val="164"/>
              <w:rPr>
                <w:snapToGrid w:val="0"/>
                <w:color w:val="auto"/>
                <w:w w:val="90"/>
              </w:rPr>
            </w:pPr>
            <w:r>
              <w:rPr>
                <w:snapToGrid w:val="0"/>
                <w:color w:val="auto"/>
                <w:w w:val="90"/>
              </w:rPr>
              <w:t>0.0037</w:t>
            </w:r>
          </w:p>
        </w:tc>
        <w:tc>
          <w:tcPr>
            <w:tcW w:w="778" w:type="dxa"/>
            <w:vAlign w:val="center"/>
          </w:tcPr>
          <w:p>
            <w:pPr>
              <w:pStyle w:val="164"/>
              <w:rPr>
                <w:snapToGrid w:val="0"/>
                <w:color w:val="auto"/>
                <w:w w:val="90"/>
              </w:rPr>
            </w:pPr>
            <w:r>
              <w:rPr>
                <w:snapToGrid w:val="0"/>
                <w:color w:val="auto"/>
                <w:w w:val="90"/>
              </w:rPr>
              <w:t>2.8</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苯</w:t>
            </w:r>
          </w:p>
        </w:tc>
        <w:tc>
          <w:tcPr>
            <w:tcW w:w="5228" w:type="dxa"/>
            <w:vAlign w:val="center"/>
          </w:tcPr>
          <w:p>
            <w:pPr>
              <w:pStyle w:val="164"/>
              <w:rPr>
                <w:snapToGrid w:val="0"/>
                <w:color w:val="auto"/>
                <w:w w:val="90"/>
              </w:rPr>
            </w:pPr>
            <w:r>
              <w:rPr>
                <w:snapToGrid w:val="0"/>
                <w:color w:val="auto"/>
                <w:w w:val="90"/>
              </w:rPr>
              <w:t>0.0052</w:t>
            </w:r>
          </w:p>
        </w:tc>
        <w:tc>
          <w:tcPr>
            <w:tcW w:w="778" w:type="dxa"/>
            <w:vAlign w:val="center"/>
          </w:tcPr>
          <w:p>
            <w:pPr>
              <w:pStyle w:val="164"/>
              <w:rPr>
                <w:snapToGrid w:val="0"/>
                <w:color w:val="auto"/>
                <w:w w:val="90"/>
              </w:rPr>
            </w:pPr>
            <w:r>
              <w:rPr>
                <w:snapToGrid w:val="0"/>
                <w:color w:val="auto"/>
                <w:w w:val="90"/>
              </w:rPr>
              <w:t>4</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1,2-二氯乙烷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5</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三氯乙烯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2.8</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1,2-二氯丙烷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5</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甲苯</w:t>
            </w:r>
          </w:p>
        </w:tc>
        <w:tc>
          <w:tcPr>
            <w:tcW w:w="5228" w:type="dxa"/>
            <w:vAlign w:val="center"/>
          </w:tcPr>
          <w:p>
            <w:pPr>
              <w:pStyle w:val="164"/>
              <w:rPr>
                <w:snapToGrid w:val="0"/>
                <w:color w:val="auto"/>
                <w:w w:val="90"/>
              </w:rPr>
            </w:pPr>
            <w:r>
              <w:rPr>
                <w:snapToGrid w:val="0"/>
                <w:color w:val="auto"/>
                <w:w w:val="90"/>
              </w:rPr>
              <w:t>0.0075</w:t>
            </w:r>
          </w:p>
        </w:tc>
        <w:tc>
          <w:tcPr>
            <w:tcW w:w="778" w:type="dxa"/>
            <w:vAlign w:val="center"/>
          </w:tcPr>
          <w:p>
            <w:pPr>
              <w:pStyle w:val="164"/>
              <w:rPr>
                <w:snapToGrid w:val="0"/>
                <w:color w:val="auto"/>
                <w:w w:val="90"/>
              </w:rPr>
            </w:pPr>
            <w:r>
              <w:rPr>
                <w:snapToGrid w:val="0"/>
                <w:color w:val="auto"/>
                <w:w w:val="90"/>
              </w:rPr>
              <w:t>1200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1,1,2-三氯乙烷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2.8</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四氯乙烯</w:t>
            </w:r>
          </w:p>
        </w:tc>
        <w:tc>
          <w:tcPr>
            <w:tcW w:w="5228" w:type="dxa"/>
            <w:vAlign w:val="center"/>
          </w:tcPr>
          <w:p>
            <w:pPr>
              <w:pStyle w:val="164"/>
              <w:rPr>
                <w:snapToGrid w:val="0"/>
                <w:color w:val="auto"/>
                <w:w w:val="90"/>
              </w:rPr>
            </w:pPr>
            <w:r>
              <w:rPr>
                <w:snapToGrid w:val="0"/>
                <w:color w:val="auto"/>
                <w:w w:val="90"/>
              </w:rPr>
              <w:t>0.0119</w:t>
            </w:r>
          </w:p>
        </w:tc>
        <w:tc>
          <w:tcPr>
            <w:tcW w:w="778" w:type="dxa"/>
            <w:vAlign w:val="center"/>
          </w:tcPr>
          <w:p>
            <w:pPr>
              <w:pStyle w:val="164"/>
              <w:rPr>
                <w:snapToGrid w:val="0"/>
                <w:color w:val="auto"/>
                <w:w w:val="90"/>
              </w:rPr>
            </w:pPr>
            <w:r>
              <w:rPr>
                <w:snapToGrid w:val="0"/>
                <w:color w:val="auto"/>
                <w:w w:val="90"/>
              </w:rPr>
              <w:t>53</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氯苯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270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1,1,1,2-四氯乙烷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10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乙苯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28</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间，对-COD</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570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邻-COD</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640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苯乙烯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1290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1,1,2,2-四氯乙烷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6.8</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1,2,3-三氯丙烷</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0.5</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1,4-二氯苯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20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1,2-二氯苯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560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8778" w:type="dxa"/>
            <w:gridSpan w:val="4"/>
            <w:vAlign w:val="center"/>
          </w:tcPr>
          <w:p>
            <w:pPr>
              <w:pStyle w:val="164"/>
              <w:rPr>
                <w:snapToGrid w:val="0"/>
                <w:color w:val="auto"/>
                <w:w w:val="90"/>
              </w:rPr>
            </w:pPr>
            <w:r>
              <w:rPr>
                <w:snapToGrid w:val="0"/>
                <w:color w:val="auto"/>
                <w:w w:val="90"/>
              </w:rPr>
              <w:t>半挥发性有机物</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硝基苯</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76</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苯胺</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260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2-氯酚</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2256</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苯并[a]蒽</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15</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苯并[a]芘</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1.5</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苯并[b]荧蒽</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15</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苯并[k]荧蒽</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151</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䓛</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1293</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二苯并[a,h]蒽</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1.5</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茚并[1,2,3-cd]芘</w:t>
            </w:r>
          </w:p>
        </w:tc>
        <w:tc>
          <w:tcPr>
            <w:tcW w:w="5228" w:type="dxa"/>
            <w:vAlign w:val="center"/>
          </w:tcPr>
          <w:p>
            <w:pPr>
              <w:pStyle w:val="164"/>
              <w:rPr>
                <w:snapToGrid w:val="0"/>
                <w:color w:val="auto"/>
                <w:w w:val="90"/>
              </w:rPr>
            </w:pPr>
            <w:r>
              <w:rPr>
                <w:snapToGrid w:val="0"/>
                <w:color w:val="auto"/>
                <w:w w:val="90"/>
              </w:rPr>
              <w:t>ND</w:t>
            </w:r>
          </w:p>
        </w:tc>
        <w:tc>
          <w:tcPr>
            <w:tcW w:w="778" w:type="dxa"/>
            <w:vAlign w:val="center"/>
          </w:tcPr>
          <w:p>
            <w:pPr>
              <w:pStyle w:val="164"/>
              <w:rPr>
                <w:snapToGrid w:val="0"/>
                <w:color w:val="auto"/>
                <w:w w:val="90"/>
              </w:rPr>
            </w:pPr>
            <w:r>
              <w:rPr>
                <w:snapToGrid w:val="0"/>
                <w:color w:val="auto"/>
                <w:w w:val="90"/>
              </w:rPr>
              <w:t>15</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95" w:hRule="atLeast"/>
          <w:jc w:val="center"/>
        </w:trPr>
        <w:tc>
          <w:tcPr>
            <w:tcW w:w="1885" w:type="dxa"/>
            <w:vAlign w:val="center"/>
          </w:tcPr>
          <w:p>
            <w:pPr>
              <w:pStyle w:val="164"/>
              <w:rPr>
                <w:snapToGrid w:val="0"/>
                <w:color w:val="auto"/>
                <w:w w:val="90"/>
              </w:rPr>
            </w:pPr>
            <w:r>
              <w:rPr>
                <w:snapToGrid w:val="0"/>
                <w:color w:val="auto"/>
                <w:w w:val="90"/>
              </w:rPr>
              <w:t>萘</w:t>
            </w:r>
          </w:p>
        </w:tc>
        <w:tc>
          <w:tcPr>
            <w:tcW w:w="5228" w:type="dxa"/>
            <w:vAlign w:val="center"/>
          </w:tcPr>
          <w:p>
            <w:pPr>
              <w:pStyle w:val="164"/>
              <w:rPr>
                <w:snapToGrid w:val="0"/>
                <w:color w:val="auto"/>
                <w:w w:val="90"/>
              </w:rPr>
            </w:pPr>
            <w:r>
              <w:rPr>
                <w:snapToGrid w:val="0"/>
                <w:color w:val="auto"/>
                <w:w w:val="90"/>
              </w:rPr>
              <w:t>0.0091</w:t>
            </w:r>
          </w:p>
        </w:tc>
        <w:tc>
          <w:tcPr>
            <w:tcW w:w="778" w:type="dxa"/>
            <w:vAlign w:val="center"/>
          </w:tcPr>
          <w:p>
            <w:pPr>
              <w:pStyle w:val="164"/>
              <w:rPr>
                <w:snapToGrid w:val="0"/>
                <w:color w:val="auto"/>
                <w:w w:val="90"/>
              </w:rPr>
            </w:pPr>
            <w:r>
              <w:rPr>
                <w:snapToGrid w:val="0"/>
                <w:color w:val="auto"/>
                <w:w w:val="90"/>
              </w:rPr>
              <w:t>70</w:t>
            </w:r>
          </w:p>
        </w:tc>
        <w:tc>
          <w:tcPr>
            <w:tcW w:w="887"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817" w:hRule="atLeast"/>
          <w:jc w:val="center"/>
        </w:trPr>
        <w:tc>
          <w:tcPr>
            <w:tcW w:w="8778" w:type="dxa"/>
            <w:gridSpan w:val="4"/>
            <w:vAlign w:val="center"/>
          </w:tcPr>
          <w:p>
            <w:pPr>
              <w:pStyle w:val="164"/>
              <w:rPr>
                <w:color w:val="auto"/>
                <w:w w:val="90"/>
                <w:szCs w:val="21"/>
              </w:rPr>
            </w:pPr>
            <w:r>
              <w:rPr>
                <w:color w:val="auto"/>
                <w:w w:val="90"/>
                <w:szCs w:val="21"/>
              </w:rPr>
              <w:t>备注： ND表示未检出或小于检出限，检出限见表3-6。铬（六价）参照《固体废物铬（六价）的测定 碱消解/火焰原子吸收分光光度法》（HJ687-2014）进行测定。土壤检测因子参照执行《土壤环境质量建设用地土壤污染风险管控标准》（试行）（GB 36600-2018）表1第二类用地筛选值，标准由委托单位提供。</w:t>
            </w:r>
          </w:p>
        </w:tc>
      </w:tr>
    </w:tbl>
    <w:p>
      <w:pPr>
        <w:spacing w:line="500" w:lineRule="exact"/>
        <w:jc w:val="center"/>
        <w:rPr>
          <w:b/>
          <w:bCs/>
          <w:color w:val="auto"/>
          <w:sz w:val="24"/>
          <w:szCs w:val="24"/>
        </w:rPr>
      </w:pPr>
      <w:r>
        <w:rPr>
          <w:b/>
          <w:bCs/>
          <w:color w:val="auto"/>
          <w:sz w:val="24"/>
          <w:szCs w:val="24"/>
        </w:rPr>
        <w:t>表6.5-8土壤检测结果一览表  单位：mg/kg</w:t>
      </w:r>
    </w:p>
    <w:tbl>
      <w:tblPr>
        <w:tblStyle w:val="75"/>
        <w:tblW w:w="8697" w:type="dxa"/>
        <w:jc w:val="center"/>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864"/>
        <w:gridCol w:w="5182"/>
        <w:gridCol w:w="778"/>
        <w:gridCol w:w="873"/>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73" w:hRule="atLeast"/>
          <w:jc w:val="center"/>
        </w:trPr>
        <w:tc>
          <w:tcPr>
            <w:tcW w:w="1864" w:type="dxa"/>
            <w:vMerge w:val="restart"/>
            <w:vAlign w:val="center"/>
          </w:tcPr>
          <w:p>
            <w:pPr>
              <w:pStyle w:val="164"/>
              <w:rPr>
                <w:snapToGrid w:val="0"/>
                <w:color w:val="auto"/>
                <w:w w:val="90"/>
              </w:rPr>
            </w:pPr>
            <w:r>
              <w:rPr>
                <w:snapToGrid w:val="0"/>
                <w:color w:val="auto"/>
                <w:w w:val="90"/>
              </w:rPr>
              <w:t xml:space="preserve">           点位</w:t>
            </w:r>
          </w:p>
          <w:p>
            <w:pPr>
              <w:pStyle w:val="164"/>
              <w:jc w:val="both"/>
              <w:rPr>
                <w:snapToGrid w:val="0"/>
                <w:color w:val="auto"/>
                <w:w w:val="90"/>
              </w:rPr>
            </w:pPr>
            <w:r>
              <w:rPr>
                <w:snapToGrid w:val="0"/>
                <w:color w:val="auto"/>
                <w:w w:val="90"/>
              </w:rPr>
              <w:t>项目</w:t>
            </w:r>
          </w:p>
        </w:tc>
        <w:tc>
          <w:tcPr>
            <w:tcW w:w="5182" w:type="dxa"/>
          </w:tcPr>
          <w:p>
            <w:pPr>
              <w:pStyle w:val="164"/>
              <w:rPr>
                <w:snapToGrid w:val="0"/>
                <w:color w:val="auto"/>
                <w:w w:val="90"/>
              </w:rPr>
            </w:pPr>
            <w:r>
              <w:rPr>
                <w:bCs/>
                <w:color w:val="auto"/>
                <w:w w:val="90"/>
              </w:rPr>
              <w:t>6#项目周边农田（2020年4月16日）</w:t>
            </w:r>
          </w:p>
        </w:tc>
        <w:tc>
          <w:tcPr>
            <w:tcW w:w="778" w:type="dxa"/>
            <w:vMerge w:val="restart"/>
            <w:vAlign w:val="center"/>
          </w:tcPr>
          <w:p>
            <w:pPr>
              <w:pStyle w:val="164"/>
              <w:rPr>
                <w:snapToGrid w:val="0"/>
                <w:color w:val="auto"/>
                <w:w w:val="90"/>
              </w:rPr>
            </w:pPr>
            <w:r>
              <w:rPr>
                <w:snapToGrid w:val="0"/>
                <w:color w:val="auto"/>
                <w:w w:val="90"/>
              </w:rPr>
              <w:t>标准</w:t>
            </w:r>
          </w:p>
          <w:p>
            <w:pPr>
              <w:pStyle w:val="164"/>
              <w:rPr>
                <w:snapToGrid w:val="0"/>
                <w:color w:val="auto"/>
                <w:w w:val="90"/>
              </w:rPr>
            </w:pPr>
            <w:r>
              <w:rPr>
                <w:snapToGrid w:val="0"/>
                <w:color w:val="auto"/>
                <w:w w:val="90"/>
              </w:rPr>
              <w:t>限值</w:t>
            </w:r>
          </w:p>
        </w:tc>
        <w:tc>
          <w:tcPr>
            <w:tcW w:w="873" w:type="dxa"/>
            <w:vMerge w:val="restart"/>
            <w:vAlign w:val="center"/>
          </w:tcPr>
          <w:p>
            <w:pPr>
              <w:pStyle w:val="164"/>
              <w:rPr>
                <w:snapToGrid w:val="0"/>
                <w:color w:val="auto"/>
                <w:w w:val="90"/>
              </w:rPr>
            </w:pPr>
            <w:r>
              <w:rPr>
                <w:snapToGrid w:val="0"/>
                <w:color w:val="auto"/>
                <w:w w:val="90"/>
              </w:rPr>
              <w:t>达标</w:t>
            </w:r>
          </w:p>
          <w:p>
            <w:pPr>
              <w:pStyle w:val="164"/>
              <w:rPr>
                <w:snapToGrid w:val="0"/>
                <w:color w:val="auto"/>
                <w:w w:val="90"/>
              </w:rPr>
            </w:pPr>
            <w:r>
              <w:rPr>
                <w:snapToGrid w:val="0"/>
                <w:color w:val="auto"/>
                <w:w w:val="90"/>
              </w:rPr>
              <w:t>情况</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248" w:hRule="atLeast"/>
          <w:jc w:val="center"/>
        </w:trPr>
        <w:tc>
          <w:tcPr>
            <w:tcW w:w="1864" w:type="dxa"/>
            <w:vMerge w:val="continue"/>
            <w:vAlign w:val="center"/>
          </w:tcPr>
          <w:p>
            <w:pPr>
              <w:pStyle w:val="164"/>
              <w:rPr>
                <w:snapToGrid w:val="0"/>
                <w:color w:val="auto"/>
                <w:w w:val="90"/>
              </w:rPr>
            </w:pPr>
          </w:p>
        </w:tc>
        <w:tc>
          <w:tcPr>
            <w:tcW w:w="5182" w:type="dxa"/>
          </w:tcPr>
          <w:p>
            <w:pPr>
              <w:pStyle w:val="164"/>
              <w:rPr>
                <w:bCs/>
                <w:color w:val="auto"/>
                <w:w w:val="90"/>
              </w:rPr>
            </w:pPr>
            <w:r>
              <w:rPr>
                <w:bCs/>
                <w:color w:val="auto"/>
                <w:w w:val="90"/>
              </w:rPr>
              <w:t>表层（0～0.2m）</w:t>
            </w:r>
          </w:p>
        </w:tc>
        <w:tc>
          <w:tcPr>
            <w:tcW w:w="778" w:type="dxa"/>
            <w:vMerge w:val="continue"/>
            <w:vAlign w:val="center"/>
          </w:tcPr>
          <w:p>
            <w:pPr>
              <w:pStyle w:val="164"/>
              <w:rPr>
                <w:bCs/>
                <w:snapToGrid w:val="0"/>
                <w:color w:val="auto"/>
                <w:w w:val="90"/>
              </w:rPr>
            </w:pPr>
          </w:p>
        </w:tc>
        <w:tc>
          <w:tcPr>
            <w:tcW w:w="873" w:type="dxa"/>
            <w:vMerge w:val="continue"/>
            <w:vAlign w:val="center"/>
          </w:tcPr>
          <w:p>
            <w:pPr>
              <w:pStyle w:val="164"/>
              <w:rPr>
                <w:bCs/>
                <w:snapToGrid w:val="0"/>
                <w:color w:val="auto"/>
                <w:w w:val="90"/>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04" w:hRule="atLeast"/>
          <w:jc w:val="center"/>
        </w:trPr>
        <w:tc>
          <w:tcPr>
            <w:tcW w:w="1864" w:type="dxa"/>
            <w:vAlign w:val="center"/>
          </w:tcPr>
          <w:p>
            <w:pPr>
              <w:pStyle w:val="164"/>
              <w:rPr>
                <w:snapToGrid w:val="0"/>
                <w:color w:val="auto"/>
                <w:w w:val="90"/>
              </w:rPr>
            </w:pPr>
            <w:r>
              <w:rPr>
                <w:snapToGrid w:val="0"/>
                <w:color w:val="auto"/>
                <w:w w:val="90"/>
              </w:rPr>
              <w:t>铜</w:t>
            </w:r>
          </w:p>
        </w:tc>
        <w:tc>
          <w:tcPr>
            <w:tcW w:w="5182" w:type="dxa"/>
            <w:vAlign w:val="center"/>
          </w:tcPr>
          <w:p>
            <w:pPr>
              <w:pStyle w:val="164"/>
              <w:rPr>
                <w:snapToGrid w:val="0"/>
                <w:color w:val="auto"/>
                <w:w w:val="90"/>
              </w:rPr>
            </w:pPr>
            <w:r>
              <w:rPr>
                <w:snapToGrid w:val="0"/>
                <w:color w:val="auto"/>
                <w:w w:val="90"/>
              </w:rPr>
              <w:t>14</w:t>
            </w:r>
          </w:p>
        </w:tc>
        <w:tc>
          <w:tcPr>
            <w:tcW w:w="778" w:type="dxa"/>
            <w:vAlign w:val="center"/>
          </w:tcPr>
          <w:p>
            <w:pPr>
              <w:pStyle w:val="164"/>
              <w:rPr>
                <w:snapToGrid w:val="0"/>
                <w:color w:val="auto"/>
                <w:w w:val="90"/>
              </w:rPr>
            </w:pPr>
            <w:r>
              <w:rPr>
                <w:snapToGrid w:val="0"/>
                <w:color w:val="auto"/>
                <w:w w:val="90"/>
              </w:rPr>
              <w:t>100</w:t>
            </w:r>
          </w:p>
        </w:tc>
        <w:tc>
          <w:tcPr>
            <w:tcW w:w="873"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04" w:hRule="atLeast"/>
          <w:jc w:val="center"/>
        </w:trPr>
        <w:tc>
          <w:tcPr>
            <w:tcW w:w="1864" w:type="dxa"/>
            <w:vAlign w:val="center"/>
          </w:tcPr>
          <w:p>
            <w:pPr>
              <w:pStyle w:val="164"/>
              <w:rPr>
                <w:snapToGrid w:val="0"/>
                <w:color w:val="auto"/>
                <w:w w:val="90"/>
              </w:rPr>
            </w:pPr>
            <w:r>
              <w:rPr>
                <w:snapToGrid w:val="0"/>
                <w:color w:val="auto"/>
                <w:w w:val="90"/>
              </w:rPr>
              <w:t>镍</w:t>
            </w:r>
          </w:p>
        </w:tc>
        <w:tc>
          <w:tcPr>
            <w:tcW w:w="5182" w:type="dxa"/>
            <w:vAlign w:val="center"/>
          </w:tcPr>
          <w:p>
            <w:pPr>
              <w:pStyle w:val="164"/>
              <w:rPr>
                <w:snapToGrid w:val="0"/>
                <w:color w:val="auto"/>
                <w:w w:val="90"/>
              </w:rPr>
            </w:pPr>
            <w:r>
              <w:rPr>
                <w:snapToGrid w:val="0"/>
                <w:color w:val="auto"/>
                <w:w w:val="90"/>
              </w:rPr>
              <w:t>18</w:t>
            </w:r>
          </w:p>
        </w:tc>
        <w:tc>
          <w:tcPr>
            <w:tcW w:w="778" w:type="dxa"/>
            <w:vAlign w:val="center"/>
          </w:tcPr>
          <w:p>
            <w:pPr>
              <w:pStyle w:val="164"/>
              <w:rPr>
                <w:snapToGrid w:val="0"/>
                <w:color w:val="auto"/>
                <w:w w:val="90"/>
              </w:rPr>
            </w:pPr>
            <w:r>
              <w:rPr>
                <w:snapToGrid w:val="0"/>
                <w:color w:val="auto"/>
                <w:w w:val="90"/>
              </w:rPr>
              <w:t>190</w:t>
            </w:r>
          </w:p>
        </w:tc>
        <w:tc>
          <w:tcPr>
            <w:tcW w:w="873"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04" w:hRule="atLeast"/>
          <w:jc w:val="center"/>
        </w:trPr>
        <w:tc>
          <w:tcPr>
            <w:tcW w:w="1864" w:type="dxa"/>
            <w:vAlign w:val="center"/>
          </w:tcPr>
          <w:p>
            <w:pPr>
              <w:pStyle w:val="164"/>
              <w:rPr>
                <w:snapToGrid w:val="0"/>
                <w:color w:val="auto"/>
                <w:w w:val="90"/>
              </w:rPr>
            </w:pPr>
            <w:r>
              <w:rPr>
                <w:snapToGrid w:val="0"/>
                <w:color w:val="auto"/>
                <w:w w:val="90"/>
              </w:rPr>
              <w:t>铅</w:t>
            </w:r>
          </w:p>
        </w:tc>
        <w:tc>
          <w:tcPr>
            <w:tcW w:w="5182" w:type="dxa"/>
            <w:vAlign w:val="center"/>
          </w:tcPr>
          <w:p>
            <w:pPr>
              <w:pStyle w:val="164"/>
              <w:rPr>
                <w:snapToGrid w:val="0"/>
                <w:color w:val="auto"/>
                <w:w w:val="90"/>
              </w:rPr>
            </w:pPr>
            <w:r>
              <w:rPr>
                <w:snapToGrid w:val="0"/>
                <w:color w:val="auto"/>
                <w:w w:val="90"/>
              </w:rPr>
              <w:t>16</w:t>
            </w:r>
          </w:p>
        </w:tc>
        <w:tc>
          <w:tcPr>
            <w:tcW w:w="778" w:type="dxa"/>
            <w:vAlign w:val="center"/>
          </w:tcPr>
          <w:p>
            <w:pPr>
              <w:pStyle w:val="164"/>
              <w:rPr>
                <w:snapToGrid w:val="0"/>
                <w:color w:val="auto"/>
                <w:w w:val="90"/>
              </w:rPr>
            </w:pPr>
            <w:r>
              <w:rPr>
                <w:snapToGrid w:val="0"/>
                <w:color w:val="auto"/>
                <w:w w:val="90"/>
              </w:rPr>
              <w:t>170</w:t>
            </w:r>
          </w:p>
        </w:tc>
        <w:tc>
          <w:tcPr>
            <w:tcW w:w="873"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04" w:hRule="atLeast"/>
          <w:jc w:val="center"/>
        </w:trPr>
        <w:tc>
          <w:tcPr>
            <w:tcW w:w="1864" w:type="dxa"/>
            <w:vAlign w:val="center"/>
          </w:tcPr>
          <w:p>
            <w:pPr>
              <w:pStyle w:val="164"/>
              <w:rPr>
                <w:snapToGrid w:val="0"/>
                <w:color w:val="auto"/>
                <w:w w:val="90"/>
              </w:rPr>
            </w:pPr>
            <w:r>
              <w:rPr>
                <w:snapToGrid w:val="0"/>
                <w:color w:val="auto"/>
                <w:w w:val="90"/>
              </w:rPr>
              <w:t>镉</w:t>
            </w:r>
          </w:p>
        </w:tc>
        <w:tc>
          <w:tcPr>
            <w:tcW w:w="5182" w:type="dxa"/>
            <w:vAlign w:val="center"/>
          </w:tcPr>
          <w:p>
            <w:pPr>
              <w:pStyle w:val="164"/>
              <w:rPr>
                <w:snapToGrid w:val="0"/>
                <w:color w:val="auto"/>
                <w:w w:val="90"/>
              </w:rPr>
            </w:pPr>
            <w:r>
              <w:rPr>
                <w:snapToGrid w:val="0"/>
                <w:color w:val="auto"/>
                <w:w w:val="90"/>
              </w:rPr>
              <w:t>0.12</w:t>
            </w:r>
          </w:p>
        </w:tc>
        <w:tc>
          <w:tcPr>
            <w:tcW w:w="778" w:type="dxa"/>
            <w:vAlign w:val="center"/>
          </w:tcPr>
          <w:p>
            <w:pPr>
              <w:pStyle w:val="164"/>
              <w:rPr>
                <w:snapToGrid w:val="0"/>
                <w:color w:val="auto"/>
                <w:w w:val="90"/>
              </w:rPr>
            </w:pPr>
            <w:r>
              <w:rPr>
                <w:snapToGrid w:val="0"/>
                <w:color w:val="auto"/>
                <w:w w:val="90"/>
              </w:rPr>
              <w:t>0.6</w:t>
            </w:r>
          </w:p>
        </w:tc>
        <w:tc>
          <w:tcPr>
            <w:tcW w:w="873"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04" w:hRule="atLeast"/>
          <w:jc w:val="center"/>
        </w:trPr>
        <w:tc>
          <w:tcPr>
            <w:tcW w:w="1864" w:type="dxa"/>
            <w:vAlign w:val="center"/>
          </w:tcPr>
          <w:p>
            <w:pPr>
              <w:pStyle w:val="164"/>
              <w:rPr>
                <w:snapToGrid w:val="0"/>
                <w:color w:val="auto"/>
                <w:w w:val="90"/>
              </w:rPr>
            </w:pPr>
            <w:r>
              <w:rPr>
                <w:snapToGrid w:val="0"/>
                <w:color w:val="auto"/>
                <w:w w:val="90"/>
              </w:rPr>
              <w:t>汞</w:t>
            </w:r>
          </w:p>
        </w:tc>
        <w:tc>
          <w:tcPr>
            <w:tcW w:w="5182" w:type="dxa"/>
            <w:vAlign w:val="center"/>
          </w:tcPr>
          <w:p>
            <w:pPr>
              <w:pStyle w:val="164"/>
              <w:rPr>
                <w:snapToGrid w:val="0"/>
                <w:color w:val="auto"/>
                <w:w w:val="90"/>
              </w:rPr>
            </w:pPr>
            <w:r>
              <w:rPr>
                <w:snapToGrid w:val="0"/>
                <w:color w:val="auto"/>
                <w:w w:val="90"/>
              </w:rPr>
              <w:t>0.070</w:t>
            </w:r>
          </w:p>
        </w:tc>
        <w:tc>
          <w:tcPr>
            <w:tcW w:w="778" w:type="dxa"/>
            <w:vAlign w:val="center"/>
          </w:tcPr>
          <w:p>
            <w:pPr>
              <w:pStyle w:val="164"/>
              <w:rPr>
                <w:snapToGrid w:val="0"/>
                <w:color w:val="auto"/>
                <w:w w:val="90"/>
              </w:rPr>
            </w:pPr>
            <w:r>
              <w:rPr>
                <w:snapToGrid w:val="0"/>
                <w:color w:val="auto"/>
                <w:w w:val="90"/>
              </w:rPr>
              <w:t>3.4</w:t>
            </w:r>
          </w:p>
        </w:tc>
        <w:tc>
          <w:tcPr>
            <w:tcW w:w="873"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04" w:hRule="atLeast"/>
          <w:jc w:val="center"/>
        </w:trPr>
        <w:tc>
          <w:tcPr>
            <w:tcW w:w="1864" w:type="dxa"/>
            <w:vAlign w:val="center"/>
          </w:tcPr>
          <w:p>
            <w:pPr>
              <w:pStyle w:val="164"/>
              <w:rPr>
                <w:snapToGrid w:val="0"/>
                <w:color w:val="auto"/>
                <w:w w:val="90"/>
              </w:rPr>
            </w:pPr>
            <w:r>
              <w:rPr>
                <w:snapToGrid w:val="0"/>
                <w:color w:val="auto"/>
                <w:w w:val="90"/>
              </w:rPr>
              <w:t>砷</w:t>
            </w:r>
          </w:p>
        </w:tc>
        <w:tc>
          <w:tcPr>
            <w:tcW w:w="5182" w:type="dxa"/>
            <w:vAlign w:val="center"/>
          </w:tcPr>
          <w:p>
            <w:pPr>
              <w:pStyle w:val="164"/>
              <w:rPr>
                <w:snapToGrid w:val="0"/>
                <w:color w:val="auto"/>
                <w:w w:val="90"/>
              </w:rPr>
            </w:pPr>
            <w:r>
              <w:rPr>
                <w:snapToGrid w:val="0"/>
                <w:color w:val="auto"/>
                <w:w w:val="90"/>
              </w:rPr>
              <w:t>11.4</w:t>
            </w:r>
          </w:p>
        </w:tc>
        <w:tc>
          <w:tcPr>
            <w:tcW w:w="778" w:type="dxa"/>
            <w:vAlign w:val="center"/>
          </w:tcPr>
          <w:p>
            <w:pPr>
              <w:pStyle w:val="164"/>
              <w:rPr>
                <w:snapToGrid w:val="0"/>
                <w:color w:val="auto"/>
                <w:w w:val="90"/>
              </w:rPr>
            </w:pPr>
            <w:r>
              <w:rPr>
                <w:snapToGrid w:val="0"/>
                <w:color w:val="auto"/>
                <w:w w:val="90"/>
              </w:rPr>
              <w:t>25</w:t>
            </w:r>
          </w:p>
        </w:tc>
        <w:tc>
          <w:tcPr>
            <w:tcW w:w="873"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16" w:hRule="atLeast"/>
          <w:jc w:val="center"/>
        </w:trPr>
        <w:tc>
          <w:tcPr>
            <w:tcW w:w="1864" w:type="dxa"/>
            <w:vAlign w:val="center"/>
          </w:tcPr>
          <w:p>
            <w:pPr>
              <w:pStyle w:val="164"/>
              <w:rPr>
                <w:snapToGrid w:val="0"/>
                <w:color w:val="auto"/>
                <w:w w:val="90"/>
              </w:rPr>
            </w:pPr>
            <w:r>
              <w:rPr>
                <w:snapToGrid w:val="0"/>
                <w:color w:val="auto"/>
                <w:w w:val="90"/>
              </w:rPr>
              <w:t>锌</w:t>
            </w:r>
          </w:p>
        </w:tc>
        <w:tc>
          <w:tcPr>
            <w:tcW w:w="5182" w:type="dxa"/>
            <w:vAlign w:val="center"/>
          </w:tcPr>
          <w:p>
            <w:pPr>
              <w:pStyle w:val="164"/>
              <w:rPr>
                <w:snapToGrid w:val="0"/>
                <w:color w:val="auto"/>
                <w:w w:val="90"/>
              </w:rPr>
            </w:pPr>
            <w:r>
              <w:rPr>
                <w:snapToGrid w:val="0"/>
                <w:color w:val="auto"/>
                <w:w w:val="90"/>
              </w:rPr>
              <w:t>38</w:t>
            </w:r>
          </w:p>
        </w:tc>
        <w:tc>
          <w:tcPr>
            <w:tcW w:w="778" w:type="dxa"/>
            <w:vAlign w:val="center"/>
          </w:tcPr>
          <w:p>
            <w:pPr>
              <w:pStyle w:val="164"/>
              <w:rPr>
                <w:snapToGrid w:val="0"/>
                <w:color w:val="auto"/>
                <w:w w:val="90"/>
              </w:rPr>
            </w:pPr>
            <w:r>
              <w:rPr>
                <w:snapToGrid w:val="0"/>
                <w:color w:val="auto"/>
                <w:w w:val="90"/>
              </w:rPr>
              <w:t>300</w:t>
            </w:r>
          </w:p>
        </w:tc>
        <w:tc>
          <w:tcPr>
            <w:tcW w:w="873"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04" w:hRule="atLeast"/>
          <w:jc w:val="center"/>
        </w:trPr>
        <w:tc>
          <w:tcPr>
            <w:tcW w:w="1864" w:type="dxa"/>
            <w:vAlign w:val="center"/>
          </w:tcPr>
          <w:p>
            <w:pPr>
              <w:pStyle w:val="164"/>
              <w:rPr>
                <w:snapToGrid w:val="0"/>
                <w:color w:val="auto"/>
                <w:w w:val="90"/>
              </w:rPr>
            </w:pPr>
            <w:r>
              <w:rPr>
                <w:snapToGrid w:val="0"/>
                <w:color w:val="auto"/>
                <w:w w:val="90"/>
              </w:rPr>
              <w:t>铬</w:t>
            </w:r>
          </w:p>
        </w:tc>
        <w:tc>
          <w:tcPr>
            <w:tcW w:w="5182" w:type="dxa"/>
            <w:vAlign w:val="center"/>
          </w:tcPr>
          <w:p>
            <w:pPr>
              <w:pStyle w:val="164"/>
              <w:rPr>
                <w:snapToGrid w:val="0"/>
                <w:color w:val="auto"/>
                <w:w w:val="90"/>
              </w:rPr>
            </w:pPr>
            <w:r>
              <w:rPr>
                <w:snapToGrid w:val="0"/>
                <w:color w:val="auto"/>
                <w:w w:val="90"/>
              </w:rPr>
              <w:t>84</w:t>
            </w:r>
          </w:p>
        </w:tc>
        <w:tc>
          <w:tcPr>
            <w:tcW w:w="778" w:type="dxa"/>
            <w:vAlign w:val="center"/>
          </w:tcPr>
          <w:p>
            <w:pPr>
              <w:pStyle w:val="164"/>
              <w:rPr>
                <w:snapToGrid w:val="0"/>
                <w:color w:val="auto"/>
                <w:w w:val="90"/>
              </w:rPr>
            </w:pPr>
            <w:r>
              <w:rPr>
                <w:snapToGrid w:val="0"/>
                <w:color w:val="auto"/>
                <w:w w:val="90"/>
              </w:rPr>
              <w:t>250</w:t>
            </w:r>
          </w:p>
        </w:tc>
        <w:tc>
          <w:tcPr>
            <w:tcW w:w="873" w:type="dxa"/>
            <w:vAlign w:val="center"/>
          </w:tcPr>
          <w:p>
            <w:pPr>
              <w:pStyle w:val="164"/>
              <w:rPr>
                <w:snapToGrid w:val="0"/>
                <w:color w:val="auto"/>
                <w:w w:val="90"/>
              </w:rPr>
            </w:pPr>
            <w:r>
              <w:rPr>
                <w:snapToGrid w:val="0"/>
                <w:color w:val="auto"/>
                <w:w w:val="90"/>
              </w:rPr>
              <w:t>达标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532" w:hRule="atLeast"/>
          <w:jc w:val="center"/>
        </w:trPr>
        <w:tc>
          <w:tcPr>
            <w:tcW w:w="8697" w:type="dxa"/>
            <w:gridSpan w:val="4"/>
            <w:vAlign w:val="center"/>
          </w:tcPr>
          <w:p>
            <w:pPr>
              <w:pStyle w:val="164"/>
              <w:rPr>
                <w:snapToGrid w:val="0"/>
                <w:color w:val="auto"/>
                <w:w w:val="90"/>
              </w:rPr>
            </w:pPr>
            <w:r>
              <w:rPr>
                <w:color w:val="auto"/>
                <w:w w:val="90"/>
                <w:szCs w:val="21"/>
              </w:rPr>
              <w:t>备注：土壤检测因子参照执行《土壤环境质量 农用地土壤污染风险管控标准》（GB 15618-2018）表1中风险筛选值，标准由委托单位提供。</w:t>
            </w:r>
          </w:p>
        </w:tc>
      </w:tr>
    </w:tbl>
    <w:p>
      <w:pPr>
        <w:pStyle w:val="130"/>
        <w:spacing w:before="240" w:line="240" w:lineRule="auto"/>
        <w:ind w:firstLine="482"/>
        <w:jc w:val="center"/>
        <w:rPr>
          <w:color w:val="auto"/>
        </w:rPr>
      </w:pPr>
      <w:r>
        <w:rPr>
          <w:b/>
          <w:bCs w:val="0"/>
          <w:color w:val="auto"/>
        </w:rPr>
        <w:t>表6.5-9土壤检测结果一览表  单位：mg/kg</w:t>
      </w:r>
    </w:p>
    <w:tbl>
      <w:tblPr>
        <w:tblStyle w:val="513"/>
        <w:tblW w:w="896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92"/>
        <w:gridCol w:w="879"/>
        <w:gridCol w:w="909"/>
        <w:gridCol w:w="895"/>
        <w:gridCol w:w="877"/>
        <w:gridCol w:w="909"/>
        <w:gridCol w:w="904"/>
        <w:gridCol w:w="884"/>
        <w:gridCol w:w="893"/>
        <w:gridCol w:w="92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18" w:hRule="atLeast"/>
          <w:jc w:val="center"/>
        </w:trPr>
        <w:tc>
          <w:tcPr>
            <w:tcW w:w="892"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检测</w:t>
            </w:r>
          </w:p>
          <w:p>
            <w:pPr>
              <w:pStyle w:val="164"/>
              <w:rPr>
                <w:rFonts w:ascii="Times New Roman" w:hAnsi="Times New Roman"/>
                <w:color w:val="auto"/>
                <w:szCs w:val="21"/>
                <w:lang w:eastAsia="en-US"/>
              </w:rPr>
            </w:pPr>
            <w:r>
              <w:rPr>
                <w:rFonts w:ascii="Times New Roman" w:hAnsi="Times New Roman"/>
                <w:color w:val="auto"/>
                <w:szCs w:val="21"/>
                <w:lang w:eastAsia="en-US"/>
              </w:rPr>
              <w:t>项目</w:t>
            </w:r>
          </w:p>
        </w:tc>
        <w:tc>
          <w:tcPr>
            <w:tcW w:w="8077" w:type="dxa"/>
            <w:gridSpan w:val="9"/>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监测结果（2020年8月21日）</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1134" w:hRule="atLeast"/>
          <w:jc w:val="center"/>
        </w:trPr>
        <w:tc>
          <w:tcPr>
            <w:tcW w:w="892" w:type="dxa"/>
            <w:vMerge w:val="continue"/>
            <w:vAlign w:val="center"/>
          </w:tcPr>
          <w:p>
            <w:pPr>
              <w:pStyle w:val="164"/>
              <w:rPr>
                <w:rFonts w:ascii="Times New Roman" w:hAnsi="Times New Roman"/>
                <w:color w:val="auto"/>
                <w:szCs w:val="21"/>
                <w:lang w:eastAsia="en-US"/>
              </w:rPr>
            </w:pPr>
          </w:p>
        </w:tc>
        <w:tc>
          <w:tcPr>
            <w:tcW w:w="2683" w:type="dxa"/>
            <w:gridSpan w:val="3"/>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7#厂址东北距外墙3m处</w:t>
            </w:r>
          </w:p>
        </w:tc>
        <w:tc>
          <w:tcPr>
            <w:tcW w:w="2690" w:type="dxa"/>
            <w:gridSpan w:val="3"/>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8#厂址东距外墙3m处</w:t>
            </w:r>
          </w:p>
        </w:tc>
        <w:tc>
          <w:tcPr>
            <w:tcW w:w="88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9#厂址西侧墙外</w:t>
            </w:r>
          </w:p>
          <w:p>
            <w:pPr>
              <w:pStyle w:val="164"/>
              <w:rPr>
                <w:rFonts w:ascii="Times New Roman" w:hAnsi="Times New Roman"/>
                <w:color w:val="auto"/>
                <w:szCs w:val="21"/>
                <w:lang w:eastAsia="en-US"/>
              </w:rPr>
            </w:pPr>
            <w:r>
              <w:rPr>
                <w:rFonts w:ascii="Times New Roman" w:hAnsi="Times New Roman"/>
                <w:color w:val="auto"/>
                <w:szCs w:val="21"/>
                <w:lang w:eastAsia="en-US"/>
              </w:rPr>
              <w:t>10m处</w:t>
            </w:r>
          </w:p>
        </w:tc>
        <w:tc>
          <w:tcPr>
            <w:tcW w:w="893" w:type="dxa"/>
            <w:vAlign w:val="center"/>
          </w:tcPr>
          <w:p>
            <w:pPr>
              <w:pStyle w:val="164"/>
              <w:rPr>
                <w:rFonts w:ascii="Times New Roman" w:hAnsi="Times New Roman"/>
                <w:color w:val="auto"/>
                <w:szCs w:val="21"/>
                <w:lang w:eastAsia="zh-CN"/>
              </w:rPr>
            </w:pPr>
            <w:r>
              <w:rPr>
                <w:rFonts w:ascii="Times New Roman" w:hAnsi="Times New Roman"/>
                <w:color w:val="auto"/>
                <w:szCs w:val="21"/>
                <w:lang w:eastAsia="zh-CN"/>
              </w:rPr>
              <w:t>10#厂址外东侧距墙外10m处</w:t>
            </w:r>
          </w:p>
        </w:tc>
        <w:tc>
          <w:tcPr>
            <w:tcW w:w="92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11#厂址西南侧墙外8m处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677" w:hRule="atLeast"/>
          <w:jc w:val="center"/>
        </w:trPr>
        <w:tc>
          <w:tcPr>
            <w:tcW w:w="892" w:type="dxa"/>
            <w:vMerge w:val="continue"/>
            <w:vAlign w:val="center"/>
          </w:tcPr>
          <w:p>
            <w:pPr>
              <w:pStyle w:val="164"/>
              <w:rPr>
                <w:rFonts w:ascii="Times New Roman" w:hAnsi="Times New Roman"/>
                <w:color w:val="auto"/>
                <w:szCs w:val="21"/>
                <w:lang w:eastAsia="en-US"/>
              </w:rPr>
            </w:pPr>
          </w:p>
        </w:tc>
        <w:tc>
          <w:tcPr>
            <w:tcW w:w="879" w:type="dxa"/>
            <w:vAlign w:val="center"/>
          </w:tcPr>
          <w:p>
            <w:pPr>
              <w:pStyle w:val="164"/>
              <w:rPr>
                <w:rFonts w:ascii="Times New Roman" w:hAnsi="Times New Roman"/>
                <w:bCs/>
                <w:color w:val="auto"/>
                <w:w w:val="90"/>
                <w:lang w:eastAsia="en-US"/>
              </w:rPr>
            </w:pPr>
            <w:r>
              <w:rPr>
                <w:rFonts w:ascii="Times New Roman" w:hAnsi="Times New Roman"/>
                <w:bCs/>
                <w:color w:val="auto"/>
                <w:w w:val="90"/>
                <w:lang w:eastAsia="en-US"/>
              </w:rPr>
              <w:t>表层</w:t>
            </w:r>
          </w:p>
          <w:p>
            <w:pPr>
              <w:pStyle w:val="164"/>
              <w:rPr>
                <w:rFonts w:ascii="Times New Roman" w:hAnsi="Times New Roman"/>
                <w:color w:val="auto"/>
                <w:szCs w:val="21"/>
                <w:lang w:eastAsia="en-US"/>
              </w:rPr>
            </w:pPr>
            <w:r>
              <w:rPr>
                <w:rFonts w:ascii="Times New Roman" w:hAnsi="Times New Roman"/>
                <w:bCs/>
                <w:color w:val="auto"/>
                <w:w w:val="90"/>
                <w:lang w:eastAsia="en-US"/>
              </w:rPr>
              <w:t>(0~0.5m)</w:t>
            </w:r>
          </w:p>
        </w:tc>
        <w:tc>
          <w:tcPr>
            <w:tcW w:w="909" w:type="dxa"/>
            <w:vAlign w:val="center"/>
          </w:tcPr>
          <w:p>
            <w:pPr>
              <w:pStyle w:val="164"/>
              <w:rPr>
                <w:rFonts w:ascii="Times New Roman" w:hAnsi="Times New Roman"/>
                <w:bCs/>
                <w:color w:val="auto"/>
                <w:w w:val="90"/>
                <w:lang w:eastAsia="en-US"/>
              </w:rPr>
            </w:pPr>
            <w:r>
              <w:rPr>
                <w:rFonts w:ascii="Times New Roman" w:hAnsi="Times New Roman"/>
                <w:bCs/>
                <w:color w:val="auto"/>
                <w:w w:val="90"/>
                <w:lang w:eastAsia="en-US"/>
              </w:rPr>
              <w:t>中层</w:t>
            </w:r>
          </w:p>
          <w:p>
            <w:pPr>
              <w:pStyle w:val="164"/>
              <w:rPr>
                <w:rFonts w:ascii="Times New Roman" w:hAnsi="Times New Roman"/>
                <w:color w:val="auto"/>
                <w:szCs w:val="21"/>
                <w:lang w:eastAsia="en-US"/>
              </w:rPr>
            </w:pPr>
            <w:r>
              <w:rPr>
                <w:rFonts w:ascii="Times New Roman" w:hAnsi="Times New Roman"/>
                <w:bCs/>
                <w:color w:val="auto"/>
                <w:w w:val="90"/>
                <w:lang w:eastAsia="en-US"/>
              </w:rPr>
              <w:t>(0.5~1.5m)</w:t>
            </w:r>
          </w:p>
        </w:tc>
        <w:tc>
          <w:tcPr>
            <w:tcW w:w="895" w:type="dxa"/>
            <w:vAlign w:val="center"/>
          </w:tcPr>
          <w:p>
            <w:pPr>
              <w:pStyle w:val="164"/>
              <w:rPr>
                <w:rFonts w:ascii="Times New Roman" w:hAnsi="Times New Roman"/>
                <w:bCs/>
                <w:color w:val="auto"/>
                <w:w w:val="90"/>
                <w:lang w:eastAsia="en-US"/>
              </w:rPr>
            </w:pPr>
            <w:r>
              <w:rPr>
                <w:rFonts w:ascii="Times New Roman" w:hAnsi="Times New Roman"/>
                <w:bCs/>
                <w:color w:val="auto"/>
                <w:w w:val="90"/>
                <w:lang w:eastAsia="en-US"/>
              </w:rPr>
              <w:t>深层</w:t>
            </w:r>
          </w:p>
          <w:p>
            <w:pPr>
              <w:pStyle w:val="164"/>
              <w:rPr>
                <w:rFonts w:ascii="Times New Roman" w:hAnsi="Times New Roman"/>
                <w:color w:val="auto"/>
                <w:szCs w:val="21"/>
                <w:lang w:eastAsia="en-US"/>
              </w:rPr>
            </w:pPr>
            <w:r>
              <w:rPr>
                <w:rFonts w:ascii="Times New Roman" w:hAnsi="Times New Roman"/>
                <w:bCs/>
                <w:color w:val="auto"/>
                <w:w w:val="90"/>
                <w:lang w:eastAsia="en-US"/>
              </w:rPr>
              <w:t>(1.5~3m)</w:t>
            </w:r>
          </w:p>
        </w:tc>
        <w:tc>
          <w:tcPr>
            <w:tcW w:w="877" w:type="dxa"/>
            <w:vAlign w:val="center"/>
          </w:tcPr>
          <w:p>
            <w:pPr>
              <w:pStyle w:val="164"/>
              <w:rPr>
                <w:rFonts w:ascii="Times New Roman" w:hAnsi="Times New Roman"/>
                <w:bCs/>
                <w:color w:val="auto"/>
                <w:w w:val="90"/>
                <w:lang w:eastAsia="en-US"/>
              </w:rPr>
            </w:pPr>
            <w:r>
              <w:rPr>
                <w:rFonts w:ascii="Times New Roman" w:hAnsi="Times New Roman"/>
                <w:bCs/>
                <w:color w:val="auto"/>
                <w:w w:val="90"/>
                <w:lang w:eastAsia="en-US"/>
              </w:rPr>
              <w:t>表层</w:t>
            </w:r>
          </w:p>
          <w:p>
            <w:pPr>
              <w:pStyle w:val="164"/>
              <w:rPr>
                <w:rFonts w:ascii="Times New Roman" w:hAnsi="Times New Roman"/>
                <w:color w:val="auto"/>
                <w:szCs w:val="21"/>
                <w:lang w:eastAsia="en-US"/>
              </w:rPr>
            </w:pPr>
            <w:r>
              <w:rPr>
                <w:rFonts w:ascii="Times New Roman" w:hAnsi="Times New Roman"/>
                <w:bCs/>
                <w:color w:val="auto"/>
                <w:w w:val="90"/>
                <w:lang w:eastAsia="en-US"/>
              </w:rPr>
              <w:t>(0~0.5m)</w:t>
            </w:r>
          </w:p>
        </w:tc>
        <w:tc>
          <w:tcPr>
            <w:tcW w:w="909" w:type="dxa"/>
            <w:vAlign w:val="center"/>
          </w:tcPr>
          <w:p>
            <w:pPr>
              <w:pStyle w:val="164"/>
              <w:rPr>
                <w:rFonts w:ascii="Times New Roman" w:hAnsi="Times New Roman"/>
                <w:bCs/>
                <w:color w:val="auto"/>
                <w:w w:val="90"/>
                <w:lang w:eastAsia="en-US"/>
              </w:rPr>
            </w:pPr>
            <w:r>
              <w:rPr>
                <w:rFonts w:ascii="Times New Roman" w:hAnsi="Times New Roman"/>
                <w:bCs/>
                <w:color w:val="auto"/>
                <w:w w:val="90"/>
                <w:lang w:eastAsia="en-US"/>
              </w:rPr>
              <w:t>中层</w:t>
            </w:r>
          </w:p>
          <w:p>
            <w:pPr>
              <w:pStyle w:val="164"/>
              <w:rPr>
                <w:rFonts w:ascii="Times New Roman" w:hAnsi="Times New Roman"/>
                <w:color w:val="auto"/>
                <w:szCs w:val="21"/>
                <w:lang w:eastAsia="en-US"/>
              </w:rPr>
            </w:pPr>
            <w:r>
              <w:rPr>
                <w:rFonts w:ascii="Times New Roman" w:hAnsi="Times New Roman"/>
                <w:bCs/>
                <w:color w:val="auto"/>
                <w:w w:val="90"/>
                <w:lang w:eastAsia="en-US"/>
              </w:rPr>
              <w:t>(0.5~1.5m)</w:t>
            </w:r>
          </w:p>
        </w:tc>
        <w:tc>
          <w:tcPr>
            <w:tcW w:w="904" w:type="dxa"/>
            <w:vAlign w:val="center"/>
          </w:tcPr>
          <w:p>
            <w:pPr>
              <w:pStyle w:val="164"/>
              <w:rPr>
                <w:rFonts w:ascii="Times New Roman" w:hAnsi="Times New Roman"/>
                <w:bCs/>
                <w:color w:val="auto"/>
                <w:w w:val="90"/>
                <w:lang w:eastAsia="en-US"/>
              </w:rPr>
            </w:pPr>
            <w:r>
              <w:rPr>
                <w:rFonts w:ascii="Times New Roman" w:hAnsi="Times New Roman"/>
                <w:bCs/>
                <w:color w:val="auto"/>
                <w:w w:val="90"/>
                <w:lang w:eastAsia="en-US"/>
              </w:rPr>
              <w:t>深层</w:t>
            </w:r>
          </w:p>
          <w:p>
            <w:pPr>
              <w:pStyle w:val="164"/>
              <w:rPr>
                <w:rFonts w:ascii="Times New Roman" w:hAnsi="Times New Roman"/>
                <w:color w:val="auto"/>
                <w:szCs w:val="21"/>
                <w:lang w:eastAsia="en-US"/>
              </w:rPr>
            </w:pPr>
            <w:r>
              <w:rPr>
                <w:rFonts w:ascii="Times New Roman" w:hAnsi="Times New Roman"/>
                <w:bCs/>
                <w:color w:val="auto"/>
                <w:w w:val="90"/>
                <w:lang w:eastAsia="en-US"/>
              </w:rPr>
              <w:t>(1.5~3m)</w:t>
            </w:r>
          </w:p>
        </w:tc>
        <w:tc>
          <w:tcPr>
            <w:tcW w:w="88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表层</w:t>
            </w:r>
          </w:p>
          <w:p>
            <w:pPr>
              <w:pStyle w:val="164"/>
              <w:rPr>
                <w:rFonts w:ascii="Times New Roman" w:hAnsi="Times New Roman"/>
                <w:color w:val="auto"/>
                <w:szCs w:val="21"/>
                <w:lang w:eastAsia="en-US"/>
              </w:rPr>
            </w:pPr>
            <w:r>
              <w:rPr>
                <w:rFonts w:ascii="Times New Roman" w:hAnsi="Times New Roman"/>
                <w:bCs/>
                <w:color w:val="auto"/>
                <w:w w:val="90"/>
                <w:lang w:eastAsia="en-US"/>
              </w:rPr>
              <w:t>(0~0.2m)</w:t>
            </w:r>
          </w:p>
        </w:tc>
        <w:tc>
          <w:tcPr>
            <w:tcW w:w="8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表层</w:t>
            </w:r>
          </w:p>
          <w:p>
            <w:pPr>
              <w:pStyle w:val="164"/>
              <w:rPr>
                <w:rFonts w:ascii="Times New Roman" w:hAnsi="Times New Roman"/>
                <w:color w:val="auto"/>
                <w:szCs w:val="21"/>
                <w:lang w:eastAsia="en-US"/>
              </w:rPr>
            </w:pPr>
            <w:r>
              <w:rPr>
                <w:rFonts w:ascii="Times New Roman" w:hAnsi="Times New Roman"/>
                <w:bCs/>
                <w:color w:val="auto"/>
                <w:w w:val="90"/>
                <w:lang w:eastAsia="en-US"/>
              </w:rPr>
              <w:t>(0~0.2m)</w:t>
            </w:r>
          </w:p>
        </w:tc>
        <w:tc>
          <w:tcPr>
            <w:tcW w:w="92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表层</w:t>
            </w:r>
          </w:p>
          <w:p>
            <w:pPr>
              <w:pStyle w:val="164"/>
              <w:rPr>
                <w:rFonts w:ascii="Times New Roman" w:hAnsi="Times New Roman"/>
                <w:color w:val="auto"/>
                <w:szCs w:val="21"/>
                <w:lang w:eastAsia="en-US"/>
              </w:rPr>
            </w:pPr>
            <w:r>
              <w:rPr>
                <w:rFonts w:ascii="Times New Roman" w:hAnsi="Times New Roman"/>
                <w:bCs/>
                <w:color w:val="auto"/>
                <w:w w:val="90"/>
                <w:lang w:eastAsia="en-US"/>
              </w:rPr>
              <w:t>(0~0.2m)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466" w:hRule="atLeast"/>
          <w:jc w:val="center"/>
        </w:trPr>
        <w:tc>
          <w:tcPr>
            <w:tcW w:w="892"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铅</w:t>
            </w:r>
          </w:p>
        </w:tc>
        <w:tc>
          <w:tcPr>
            <w:tcW w:w="87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9.3</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9.0</w:t>
            </w:r>
          </w:p>
        </w:tc>
        <w:tc>
          <w:tcPr>
            <w:tcW w:w="895"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8.9</w:t>
            </w:r>
          </w:p>
        </w:tc>
        <w:tc>
          <w:tcPr>
            <w:tcW w:w="87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8.8</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8.4</w:t>
            </w:r>
          </w:p>
        </w:tc>
        <w:tc>
          <w:tcPr>
            <w:tcW w:w="90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11.5</w:t>
            </w:r>
          </w:p>
        </w:tc>
        <w:tc>
          <w:tcPr>
            <w:tcW w:w="88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6.6</w:t>
            </w:r>
          </w:p>
        </w:tc>
        <w:tc>
          <w:tcPr>
            <w:tcW w:w="8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9.9</w:t>
            </w:r>
          </w:p>
        </w:tc>
        <w:tc>
          <w:tcPr>
            <w:tcW w:w="92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7.9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66" w:hRule="atLeast"/>
          <w:jc w:val="center"/>
        </w:trPr>
        <w:tc>
          <w:tcPr>
            <w:tcW w:w="892"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镉</w:t>
            </w:r>
          </w:p>
        </w:tc>
        <w:tc>
          <w:tcPr>
            <w:tcW w:w="87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0.67</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0.67</w:t>
            </w:r>
          </w:p>
        </w:tc>
        <w:tc>
          <w:tcPr>
            <w:tcW w:w="895"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0.65</w:t>
            </w:r>
          </w:p>
        </w:tc>
        <w:tc>
          <w:tcPr>
            <w:tcW w:w="87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0.62</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0.52</w:t>
            </w:r>
          </w:p>
        </w:tc>
        <w:tc>
          <w:tcPr>
            <w:tcW w:w="90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1.10</w:t>
            </w:r>
          </w:p>
        </w:tc>
        <w:tc>
          <w:tcPr>
            <w:tcW w:w="88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0.72</w:t>
            </w:r>
          </w:p>
        </w:tc>
        <w:tc>
          <w:tcPr>
            <w:tcW w:w="8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1.03</w:t>
            </w:r>
          </w:p>
        </w:tc>
        <w:tc>
          <w:tcPr>
            <w:tcW w:w="92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0.94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66" w:hRule="atLeast"/>
          <w:jc w:val="center"/>
        </w:trPr>
        <w:tc>
          <w:tcPr>
            <w:tcW w:w="892"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汞</w:t>
            </w:r>
          </w:p>
        </w:tc>
        <w:tc>
          <w:tcPr>
            <w:tcW w:w="87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0.049</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0.061</w:t>
            </w:r>
          </w:p>
        </w:tc>
        <w:tc>
          <w:tcPr>
            <w:tcW w:w="895"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0.033</w:t>
            </w:r>
          </w:p>
        </w:tc>
        <w:tc>
          <w:tcPr>
            <w:tcW w:w="87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0.032</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0.026</w:t>
            </w:r>
          </w:p>
        </w:tc>
        <w:tc>
          <w:tcPr>
            <w:tcW w:w="90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0.043</w:t>
            </w:r>
          </w:p>
        </w:tc>
        <w:tc>
          <w:tcPr>
            <w:tcW w:w="88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0.035</w:t>
            </w:r>
          </w:p>
        </w:tc>
        <w:tc>
          <w:tcPr>
            <w:tcW w:w="8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0.038</w:t>
            </w:r>
          </w:p>
        </w:tc>
        <w:tc>
          <w:tcPr>
            <w:tcW w:w="92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0.038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466" w:hRule="atLeast"/>
          <w:jc w:val="center"/>
        </w:trPr>
        <w:tc>
          <w:tcPr>
            <w:tcW w:w="892"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砷</w:t>
            </w:r>
          </w:p>
        </w:tc>
        <w:tc>
          <w:tcPr>
            <w:tcW w:w="87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10.2</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8.81</w:t>
            </w:r>
          </w:p>
        </w:tc>
        <w:tc>
          <w:tcPr>
            <w:tcW w:w="895"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8.12</w:t>
            </w:r>
          </w:p>
        </w:tc>
        <w:tc>
          <w:tcPr>
            <w:tcW w:w="87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8.86</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7.53</w:t>
            </w:r>
          </w:p>
        </w:tc>
        <w:tc>
          <w:tcPr>
            <w:tcW w:w="90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8.56</w:t>
            </w:r>
          </w:p>
        </w:tc>
        <w:tc>
          <w:tcPr>
            <w:tcW w:w="88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8.03</w:t>
            </w:r>
          </w:p>
        </w:tc>
        <w:tc>
          <w:tcPr>
            <w:tcW w:w="8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10.2</w:t>
            </w:r>
          </w:p>
        </w:tc>
        <w:tc>
          <w:tcPr>
            <w:tcW w:w="92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7.88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66" w:hRule="atLeast"/>
          <w:jc w:val="center"/>
        </w:trPr>
        <w:tc>
          <w:tcPr>
            <w:tcW w:w="892"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六价铬</w:t>
            </w:r>
          </w:p>
        </w:tc>
        <w:tc>
          <w:tcPr>
            <w:tcW w:w="87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0.16</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0.14</w:t>
            </w:r>
          </w:p>
        </w:tc>
        <w:tc>
          <w:tcPr>
            <w:tcW w:w="895"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0.08L</w:t>
            </w:r>
          </w:p>
        </w:tc>
        <w:tc>
          <w:tcPr>
            <w:tcW w:w="87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0.20</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0.15</w:t>
            </w:r>
          </w:p>
        </w:tc>
        <w:tc>
          <w:tcPr>
            <w:tcW w:w="90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0.08</w:t>
            </w:r>
          </w:p>
        </w:tc>
        <w:tc>
          <w:tcPr>
            <w:tcW w:w="88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0.20</w:t>
            </w:r>
          </w:p>
        </w:tc>
        <w:tc>
          <w:tcPr>
            <w:tcW w:w="8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0.22</w:t>
            </w:r>
          </w:p>
        </w:tc>
        <w:tc>
          <w:tcPr>
            <w:tcW w:w="92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66" w:hRule="atLeast"/>
          <w:jc w:val="center"/>
        </w:trPr>
        <w:tc>
          <w:tcPr>
            <w:tcW w:w="892"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铜</w:t>
            </w:r>
          </w:p>
        </w:tc>
        <w:tc>
          <w:tcPr>
            <w:tcW w:w="87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14</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11</w:t>
            </w:r>
          </w:p>
        </w:tc>
        <w:tc>
          <w:tcPr>
            <w:tcW w:w="895"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11</w:t>
            </w:r>
          </w:p>
        </w:tc>
        <w:tc>
          <w:tcPr>
            <w:tcW w:w="87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11</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10</w:t>
            </w:r>
          </w:p>
        </w:tc>
        <w:tc>
          <w:tcPr>
            <w:tcW w:w="90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15</w:t>
            </w:r>
          </w:p>
        </w:tc>
        <w:tc>
          <w:tcPr>
            <w:tcW w:w="88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9</w:t>
            </w:r>
          </w:p>
        </w:tc>
        <w:tc>
          <w:tcPr>
            <w:tcW w:w="8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12</w:t>
            </w:r>
          </w:p>
        </w:tc>
        <w:tc>
          <w:tcPr>
            <w:tcW w:w="92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68" w:hRule="atLeast"/>
          <w:jc w:val="center"/>
        </w:trPr>
        <w:tc>
          <w:tcPr>
            <w:tcW w:w="892"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镍</w:t>
            </w:r>
          </w:p>
        </w:tc>
        <w:tc>
          <w:tcPr>
            <w:tcW w:w="87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41</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41</w:t>
            </w:r>
          </w:p>
        </w:tc>
        <w:tc>
          <w:tcPr>
            <w:tcW w:w="895"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43</w:t>
            </w:r>
          </w:p>
        </w:tc>
        <w:tc>
          <w:tcPr>
            <w:tcW w:w="87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53</w:t>
            </w:r>
          </w:p>
        </w:tc>
        <w:tc>
          <w:tcPr>
            <w:tcW w:w="90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47</w:t>
            </w:r>
          </w:p>
        </w:tc>
        <w:tc>
          <w:tcPr>
            <w:tcW w:w="90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55</w:t>
            </w:r>
          </w:p>
        </w:tc>
        <w:tc>
          <w:tcPr>
            <w:tcW w:w="88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26</w:t>
            </w:r>
          </w:p>
        </w:tc>
        <w:tc>
          <w:tcPr>
            <w:tcW w:w="8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47</w:t>
            </w:r>
          </w:p>
        </w:tc>
        <w:tc>
          <w:tcPr>
            <w:tcW w:w="927"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38</w:t>
            </w:r>
          </w:p>
        </w:tc>
      </w:tr>
    </w:tbl>
    <w:p>
      <w:pPr>
        <w:pStyle w:val="5"/>
        <w:numPr>
          <w:ilvl w:val="2"/>
          <w:numId w:val="0"/>
        </w:numPr>
        <w:spacing w:before="120" w:beforeLines="50"/>
        <w:rPr>
          <w:color w:val="auto"/>
        </w:rPr>
      </w:pPr>
      <w:bookmarkStart w:id="379" w:name="_Toc109398660"/>
      <w:r>
        <w:rPr>
          <w:color w:val="auto"/>
        </w:rPr>
        <w:t>6.5.4土壤理化性质调查</w:t>
      </w:r>
      <w:bookmarkEnd w:id="379"/>
    </w:p>
    <w:p>
      <w:pPr>
        <w:pStyle w:val="130"/>
        <w:ind w:firstLine="480"/>
        <w:rPr>
          <w:color w:val="auto"/>
        </w:rPr>
      </w:pPr>
      <w:r>
        <w:rPr>
          <w:color w:val="auto"/>
        </w:rPr>
        <w:t>根据项目区地层结构，7~11#作为土壤理化性质调查点位，调查结果见表6.5-10，土壤剖面情况见表6.5-11。</w:t>
      </w:r>
    </w:p>
    <w:p>
      <w:pPr>
        <w:rPr>
          <w:color w:val="auto"/>
        </w:rPr>
        <w:sectPr>
          <w:pgSz w:w="11906" w:h="16838"/>
          <w:pgMar w:top="1701" w:right="1701" w:bottom="1701" w:left="1701" w:header="851" w:footer="851" w:gutter="0"/>
          <w:cols w:space="720" w:num="1"/>
          <w:docGrid w:linePitch="466" w:charSpace="0"/>
        </w:sectPr>
      </w:pPr>
    </w:p>
    <w:p>
      <w:pPr>
        <w:pStyle w:val="114"/>
        <w:spacing w:before="120"/>
        <w:rPr>
          <w:color w:val="auto"/>
        </w:rPr>
      </w:pPr>
      <w:r>
        <w:rPr>
          <w:color w:val="auto"/>
        </w:rPr>
        <w:t>表6.5-10  土壤理化性质调查结果一览表</w:t>
      </w:r>
    </w:p>
    <w:tbl>
      <w:tblPr>
        <w:tblStyle w:val="513"/>
        <w:tblW w:w="13466"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737"/>
        <w:gridCol w:w="1441"/>
        <w:gridCol w:w="1204"/>
        <w:gridCol w:w="1204"/>
        <w:gridCol w:w="1204"/>
        <w:gridCol w:w="1204"/>
        <w:gridCol w:w="1204"/>
        <w:gridCol w:w="1204"/>
        <w:gridCol w:w="1339"/>
        <w:gridCol w:w="1516"/>
        <w:gridCol w:w="120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2178" w:type="dxa"/>
            <w:gridSpan w:val="2"/>
            <w:vMerge w:val="restart"/>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检测</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项目</w:t>
            </w:r>
          </w:p>
        </w:tc>
        <w:tc>
          <w:tcPr>
            <w:tcW w:w="3612" w:type="dxa"/>
            <w:gridSpan w:val="3"/>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厂址东北距外墙3m处</w:t>
            </w:r>
          </w:p>
        </w:tc>
        <w:tc>
          <w:tcPr>
            <w:tcW w:w="3612" w:type="dxa"/>
            <w:gridSpan w:val="3"/>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厂址东距外墙3m处</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厂址西侧</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墙外10m处</w:t>
            </w:r>
          </w:p>
        </w:tc>
        <w:tc>
          <w:tcPr>
            <w:tcW w:w="1516" w:type="dxa"/>
            <w:vAlign w:val="center"/>
          </w:tcPr>
          <w:p>
            <w:pPr>
              <w:pStyle w:val="164"/>
              <w:spacing w:line="240" w:lineRule="auto"/>
              <w:rPr>
                <w:rFonts w:ascii="Times New Roman" w:hAnsi="Times New Roman"/>
                <w:color w:val="auto"/>
                <w:szCs w:val="21"/>
                <w:lang w:eastAsia="zh-CN"/>
              </w:rPr>
            </w:pPr>
            <w:r>
              <w:rPr>
                <w:rFonts w:ascii="Times New Roman" w:hAnsi="Times New Roman"/>
                <w:color w:val="auto"/>
                <w:szCs w:val="21"/>
                <w:lang w:eastAsia="zh-CN"/>
              </w:rPr>
              <w:t>厂址外东侧</w:t>
            </w:r>
          </w:p>
          <w:p>
            <w:pPr>
              <w:pStyle w:val="164"/>
              <w:spacing w:line="240" w:lineRule="auto"/>
              <w:rPr>
                <w:rFonts w:ascii="Times New Roman" w:hAnsi="Times New Roman"/>
                <w:color w:val="auto"/>
                <w:szCs w:val="21"/>
                <w:lang w:eastAsia="zh-CN"/>
              </w:rPr>
            </w:pPr>
            <w:r>
              <w:rPr>
                <w:rFonts w:ascii="Times New Roman" w:hAnsi="Times New Roman"/>
                <w:color w:val="auto"/>
                <w:szCs w:val="21"/>
                <w:lang w:eastAsia="zh-CN"/>
              </w:rPr>
              <w:t>距墙外10m处</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厂址西南侧</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墙外8m处</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340" w:hRule="atLeast"/>
        </w:trPr>
        <w:tc>
          <w:tcPr>
            <w:tcW w:w="2178" w:type="dxa"/>
            <w:gridSpan w:val="2"/>
            <w:vMerge w:val="continue"/>
            <w:vAlign w:val="center"/>
          </w:tcPr>
          <w:p>
            <w:pPr>
              <w:pStyle w:val="164"/>
              <w:spacing w:line="240" w:lineRule="auto"/>
              <w:rPr>
                <w:rFonts w:ascii="Times New Roman" w:hAnsi="Times New Roman"/>
                <w:color w:val="auto"/>
                <w:szCs w:val="21"/>
                <w:lang w:eastAsia="en-US"/>
              </w:rPr>
            </w:pP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表层</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(0~0.5m)</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中层</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(0.5~1.5m)</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深层</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(1.5~3m)</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表层</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(0~0.5m)</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中层</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(0.5~1.5m)</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深层</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(1.5~3m)</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表层</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(0~0.2m)</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表层</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(0~0.2m)</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表层</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(0~0.2m)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737" w:type="dxa"/>
            <w:vMerge w:val="restart"/>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现场</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记录</w:t>
            </w: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颜色</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黄色</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黄色</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黄色</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黄色</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黄色</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黄色</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黄色</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黄色</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黄色</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737" w:type="dxa"/>
            <w:vMerge w:val="continue"/>
            <w:vAlign w:val="center"/>
          </w:tcPr>
          <w:p>
            <w:pPr>
              <w:pStyle w:val="164"/>
              <w:spacing w:line="240" w:lineRule="auto"/>
              <w:rPr>
                <w:rFonts w:ascii="Times New Roman" w:hAnsi="Times New Roman"/>
                <w:color w:val="auto"/>
                <w:szCs w:val="21"/>
                <w:lang w:eastAsia="en-US"/>
              </w:rPr>
            </w:pP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质地</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沙土</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沙土</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沙土</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沙土</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沙土</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沙土</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沙土</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沙土</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沙土</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737" w:type="dxa"/>
            <w:vMerge w:val="continue"/>
            <w:vAlign w:val="center"/>
          </w:tcPr>
          <w:p>
            <w:pPr>
              <w:pStyle w:val="164"/>
              <w:spacing w:line="240" w:lineRule="auto"/>
              <w:rPr>
                <w:rFonts w:ascii="Times New Roman" w:hAnsi="Times New Roman"/>
                <w:color w:val="auto"/>
                <w:szCs w:val="21"/>
                <w:lang w:eastAsia="en-US"/>
              </w:rPr>
            </w:pP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砂砾含量</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60%</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80%</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80%</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60%</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80%</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80%</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70%</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70%</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30%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340" w:hRule="atLeast"/>
        </w:trPr>
        <w:tc>
          <w:tcPr>
            <w:tcW w:w="737" w:type="dxa"/>
            <w:vMerge w:val="continue"/>
            <w:vAlign w:val="center"/>
          </w:tcPr>
          <w:p>
            <w:pPr>
              <w:pStyle w:val="164"/>
              <w:spacing w:line="240" w:lineRule="auto"/>
              <w:rPr>
                <w:rFonts w:ascii="Times New Roman" w:hAnsi="Times New Roman"/>
                <w:color w:val="auto"/>
                <w:szCs w:val="21"/>
                <w:lang w:eastAsia="en-US"/>
              </w:rPr>
            </w:pP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其他异物</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树根</w:t>
            </w:r>
            <w:r>
              <w:rPr>
                <w:rFonts w:ascii="Times New Roman" w:hAnsi="Times New Roman" w:eastAsia="MS Gothic"/>
                <w:color w:val="auto"/>
                <w:szCs w:val="21"/>
                <w:lang w:eastAsia="en-US"/>
              </w:rPr>
              <w:t>､</w:t>
            </w:r>
            <w:r>
              <w:rPr>
                <w:rFonts w:ascii="Times New Roman" w:hAnsi="Times New Roman"/>
                <w:color w:val="auto"/>
                <w:szCs w:val="21"/>
                <w:lang w:eastAsia="en-US"/>
              </w:rPr>
              <w:t>石子</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树根</w:t>
            </w:r>
            <w:r>
              <w:rPr>
                <w:rFonts w:ascii="Times New Roman" w:hAnsi="Times New Roman" w:eastAsia="MS Gothic"/>
                <w:color w:val="auto"/>
                <w:szCs w:val="21"/>
                <w:lang w:eastAsia="en-US"/>
              </w:rPr>
              <w:t>､</w:t>
            </w:r>
            <w:r>
              <w:rPr>
                <w:rFonts w:ascii="Times New Roman" w:hAnsi="Times New Roman"/>
                <w:color w:val="auto"/>
                <w:szCs w:val="21"/>
                <w:lang w:eastAsia="en-US"/>
              </w:rPr>
              <w:t>石子</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树根</w:t>
            </w:r>
            <w:r>
              <w:rPr>
                <w:rFonts w:ascii="Times New Roman" w:hAnsi="Times New Roman" w:eastAsia="MS Gothic"/>
                <w:color w:val="auto"/>
                <w:szCs w:val="21"/>
                <w:lang w:eastAsia="en-US"/>
              </w:rPr>
              <w:t>､</w:t>
            </w:r>
            <w:r>
              <w:rPr>
                <w:rFonts w:ascii="Times New Roman" w:hAnsi="Times New Roman"/>
                <w:color w:val="auto"/>
                <w:szCs w:val="21"/>
                <w:lang w:eastAsia="en-US"/>
              </w:rPr>
              <w:t>石子</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树根</w:t>
            </w:r>
            <w:r>
              <w:rPr>
                <w:rFonts w:ascii="Times New Roman" w:hAnsi="Times New Roman" w:eastAsia="MS Gothic"/>
                <w:color w:val="auto"/>
                <w:szCs w:val="21"/>
                <w:lang w:eastAsia="en-US"/>
              </w:rPr>
              <w:t>､</w:t>
            </w:r>
            <w:r>
              <w:rPr>
                <w:rFonts w:ascii="Times New Roman" w:hAnsi="Times New Roman"/>
                <w:color w:val="auto"/>
                <w:szCs w:val="21"/>
                <w:lang w:eastAsia="en-US"/>
              </w:rPr>
              <w:t>石子</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树根</w:t>
            </w:r>
            <w:r>
              <w:rPr>
                <w:rFonts w:ascii="Times New Roman" w:hAnsi="Times New Roman" w:eastAsia="MS Gothic"/>
                <w:color w:val="auto"/>
                <w:szCs w:val="21"/>
                <w:lang w:eastAsia="en-US"/>
              </w:rPr>
              <w:t>､</w:t>
            </w:r>
            <w:r>
              <w:rPr>
                <w:rFonts w:ascii="Times New Roman" w:hAnsi="Times New Roman"/>
                <w:color w:val="auto"/>
                <w:szCs w:val="21"/>
                <w:lang w:eastAsia="en-US"/>
              </w:rPr>
              <w:t>石子</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树根</w:t>
            </w:r>
            <w:r>
              <w:rPr>
                <w:rFonts w:ascii="Times New Roman" w:hAnsi="Times New Roman" w:eastAsia="MS Gothic"/>
                <w:color w:val="auto"/>
                <w:szCs w:val="21"/>
                <w:lang w:eastAsia="en-US"/>
              </w:rPr>
              <w:t>､</w:t>
            </w:r>
            <w:r>
              <w:rPr>
                <w:rFonts w:ascii="Times New Roman" w:hAnsi="Times New Roman"/>
                <w:color w:val="auto"/>
                <w:szCs w:val="21"/>
                <w:lang w:eastAsia="en-US"/>
              </w:rPr>
              <w:t>石子</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树根</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树根</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树根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340" w:hRule="atLeast"/>
        </w:trPr>
        <w:tc>
          <w:tcPr>
            <w:tcW w:w="737" w:type="dxa"/>
            <w:vMerge w:val="restart"/>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实验室</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测定</w:t>
            </w: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pH值</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(无量纲)</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8.48</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8.46</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8.47</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8.67</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8.65</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8.63</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8.66</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8.67</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8.68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340" w:hRule="atLeast"/>
        </w:trPr>
        <w:tc>
          <w:tcPr>
            <w:tcW w:w="737" w:type="dxa"/>
            <w:vMerge w:val="continue"/>
            <w:vAlign w:val="center"/>
          </w:tcPr>
          <w:p>
            <w:pPr>
              <w:pStyle w:val="164"/>
              <w:spacing w:line="240" w:lineRule="auto"/>
              <w:rPr>
                <w:rFonts w:ascii="Times New Roman" w:hAnsi="Times New Roman"/>
                <w:color w:val="auto"/>
                <w:szCs w:val="21"/>
                <w:lang w:eastAsia="en-US"/>
              </w:rPr>
            </w:pP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阳离子交换量</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(coml/kg)</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14.8</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14.5</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14.0</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14.9</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14.5</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14.2</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14.8</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14.7</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14.9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340" w:hRule="atLeast"/>
        </w:trPr>
        <w:tc>
          <w:tcPr>
            <w:tcW w:w="737" w:type="dxa"/>
            <w:vMerge w:val="continue"/>
            <w:vAlign w:val="center"/>
          </w:tcPr>
          <w:p>
            <w:pPr>
              <w:pStyle w:val="164"/>
              <w:spacing w:line="240" w:lineRule="auto"/>
              <w:rPr>
                <w:rFonts w:ascii="Times New Roman" w:hAnsi="Times New Roman"/>
                <w:color w:val="auto"/>
                <w:szCs w:val="21"/>
                <w:lang w:eastAsia="en-US"/>
              </w:rPr>
            </w:pP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氧化还原电位</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(MV)</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159</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160</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157</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133</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135</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134</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157</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156</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153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340" w:hRule="atLeast"/>
        </w:trPr>
        <w:tc>
          <w:tcPr>
            <w:tcW w:w="737" w:type="dxa"/>
            <w:vMerge w:val="continue"/>
            <w:vAlign w:val="center"/>
          </w:tcPr>
          <w:p>
            <w:pPr>
              <w:pStyle w:val="164"/>
              <w:spacing w:line="240" w:lineRule="auto"/>
              <w:rPr>
                <w:rFonts w:ascii="Times New Roman" w:hAnsi="Times New Roman"/>
                <w:color w:val="auto"/>
                <w:szCs w:val="21"/>
                <w:lang w:eastAsia="en-US"/>
              </w:rPr>
            </w:pP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饱和导水率</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(cm/s)</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0.65</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0.62</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0.60</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0.68</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0.66</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0.63</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0.66</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0.63</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0.60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340" w:hRule="atLeast"/>
        </w:trPr>
        <w:tc>
          <w:tcPr>
            <w:tcW w:w="737" w:type="dxa"/>
            <w:vMerge w:val="continue"/>
            <w:vAlign w:val="center"/>
          </w:tcPr>
          <w:p>
            <w:pPr>
              <w:pStyle w:val="164"/>
              <w:spacing w:line="240" w:lineRule="auto"/>
              <w:rPr>
                <w:rFonts w:ascii="Times New Roman" w:hAnsi="Times New Roman"/>
                <w:color w:val="auto"/>
                <w:szCs w:val="21"/>
                <w:lang w:eastAsia="en-US"/>
              </w:rPr>
            </w:pP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土壤容重</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(g/cm</w:t>
            </w:r>
            <w:r>
              <w:rPr>
                <w:rFonts w:ascii="Times New Roman" w:hAnsi="Times New Roman"/>
                <w:color w:val="auto"/>
                <w:szCs w:val="21"/>
                <w:vertAlign w:val="superscript"/>
                <w:lang w:eastAsia="en-US"/>
              </w:rPr>
              <w:t>3</w:t>
            </w:r>
            <w:r>
              <w:rPr>
                <w:rFonts w:ascii="Times New Roman" w:hAnsi="Times New Roman"/>
                <w:color w:val="auto"/>
                <w:szCs w:val="21"/>
                <w:lang w:eastAsia="en-US"/>
              </w:rPr>
              <w:t>)</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1.23</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1.21</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1.18</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1.27</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1.24</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1.16</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1.25</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1.20</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1.16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340" w:hRule="atLeast"/>
        </w:trPr>
        <w:tc>
          <w:tcPr>
            <w:tcW w:w="737" w:type="dxa"/>
            <w:vMerge w:val="continue"/>
            <w:vAlign w:val="center"/>
          </w:tcPr>
          <w:p>
            <w:pPr>
              <w:pStyle w:val="164"/>
              <w:spacing w:line="240" w:lineRule="auto"/>
              <w:rPr>
                <w:rFonts w:ascii="Times New Roman" w:hAnsi="Times New Roman"/>
                <w:color w:val="auto"/>
                <w:szCs w:val="21"/>
                <w:lang w:eastAsia="en-US"/>
              </w:rPr>
            </w:pPr>
          </w:p>
        </w:tc>
        <w:tc>
          <w:tcPr>
            <w:tcW w:w="1441"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孔隙度</w:t>
            </w:r>
          </w:p>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56.7</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54.2</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53.1</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58.2</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54.1</w:t>
            </w:r>
          </w:p>
        </w:tc>
        <w:tc>
          <w:tcPr>
            <w:tcW w:w="1204"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52.8</w:t>
            </w:r>
          </w:p>
        </w:tc>
        <w:tc>
          <w:tcPr>
            <w:tcW w:w="133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56.7</w:t>
            </w:r>
          </w:p>
        </w:tc>
        <w:tc>
          <w:tcPr>
            <w:tcW w:w="1516"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54.2</w:t>
            </w:r>
          </w:p>
        </w:tc>
        <w:tc>
          <w:tcPr>
            <w:tcW w:w="1209" w:type="dxa"/>
            <w:vAlign w:val="center"/>
          </w:tcPr>
          <w:p>
            <w:pPr>
              <w:pStyle w:val="164"/>
              <w:spacing w:line="240" w:lineRule="auto"/>
              <w:rPr>
                <w:rFonts w:ascii="Times New Roman" w:hAnsi="Times New Roman"/>
                <w:color w:val="auto"/>
                <w:szCs w:val="21"/>
                <w:lang w:eastAsia="en-US"/>
              </w:rPr>
            </w:pPr>
            <w:r>
              <w:rPr>
                <w:rFonts w:ascii="Times New Roman" w:hAnsi="Times New Roman"/>
                <w:color w:val="auto"/>
                <w:szCs w:val="21"/>
                <w:lang w:eastAsia="en-US"/>
              </w:rPr>
              <w:t>55.4</w:t>
            </w:r>
          </w:p>
        </w:tc>
      </w:tr>
    </w:tbl>
    <w:p>
      <w:pPr>
        <w:rPr>
          <w:color w:val="auto"/>
        </w:rPr>
        <w:sectPr>
          <w:pgSz w:w="16838" w:h="11906" w:orient="landscape"/>
          <w:pgMar w:top="1701" w:right="1701" w:bottom="1701" w:left="1701" w:header="851" w:footer="851" w:gutter="0"/>
          <w:cols w:space="720" w:num="1"/>
          <w:docGrid w:linePitch="466" w:charSpace="0"/>
        </w:sectPr>
      </w:pPr>
    </w:p>
    <w:p>
      <w:pPr>
        <w:pStyle w:val="598"/>
        <w:spacing w:before="120"/>
        <w:rPr>
          <w:color w:val="auto"/>
        </w:rPr>
      </w:pPr>
      <w:r>
        <w:rPr>
          <w:color w:val="auto"/>
        </w:rPr>
        <w:t>表6.5-11  土壤剖面图</w:t>
      </w:r>
    </w:p>
    <w:tbl>
      <w:tblPr>
        <w:tblStyle w:val="74"/>
        <w:tblW w:w="847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4"/>
        <w:gridCol w:w="77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94" w:type="dxa"/>
            <w:vAlign w:val="center"/>
          </w:tcPr>
          <w:p>
            <w:pPr>
              <w:pStyle w:val="164"/>
              <w:rPr>
                <w:b/>
                <w:color w:val="auto"/>
              </w:rPr>
            </w:pPr>
            <w:r>
              <w:rPr>
                <w:b/>
                <w:color w:val="auto"/>
              </w:rPr>
              <w:t>点位</w:t>
            </w:r>
          </w:p>
        </w:tc>
        <w:tc>
          <w:tcPr>
            <w:tcW w:w="7780" w:type="dxa"/>
            <w:vAlign w:val="center"/>
          </w:tcPr>
          <w:p>
            <w:pPr>
              <w:pStyle w:val="164"/>
              <w:rPr>
                <w:b/>
                <w:color w:val="auto"/>
              </w:rPr>
            </w:pPr>
            <w:r>
              <w:rPr>
                <w:b/>
                <w:color w:val="auto"/>
              </w:rPr>
              <w:t>项目北侧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94" w:type="dxa"/>
            <w:vAlign w:val="center"/>
          </w:tcPr>
          <w:p>
            <w:pPr>
              <w:pStyle w:val="164"/>
              <w:rPr>
                <w:color w:val="auto"/>
              </w:rPr>
            </w:pPr>
            <w:r>
              <w:rPr>
                <w:color w:val="auto"/>
              </w:rPr>
              <w:t>景观照片</w:t>
            </w:r>
          </w:p>
        </w:tc>
        <w:tc>
          <w:tcPr>
            <w:tcW w:w="7780" w:type="dxa"/>
            <w:vAlign w:val="center"/>
          </w:tcPr>
          <w:p>
            <w:pPr>
              <w:pStyle w:val="164"/>
              <w:jc w:val="both"/>
              <w:rPr>
                <w:color w:val="auto"/>
              </w:rPr>
            </w:pPr>
            <w:r>
              <w:rPr>
                <w:color w:val="auto"/>
              </w:rPr>
              <mc:AlternateContent>
                <mc:Choice Requires="wps">
                  <w:drawing>
                    <wp:anchor distT="0" distB="0" distL="114300" distR="114300" simplePos="0" relativeHeight="251667456" behindDoc="0" locked="0" layoutInCell="1" allowOverlap="1">
                      <wp:simplePos x="0" y="0"/>
                      <wp:positionH relativeFrom="column">
                        <wp:posOffset>3694430</wp:posOffset>
                      </wp:positionH>
                      <wp:positionV relativeFrom="paragraph">
                        <wp:posOffset>441960</wp:posOffset>
                      </wp:positionV>
                      <wp:extent cx="714375" cy="333375"/>
                      <wp:effectExtent l="1181100" t="76200" r="28575" b="28575"/>
                      <wp:wrapNone/>
                      <wp:docPr id="23" name="矩形标注 23"/>
                      <wp:cNvGraphicFramePr/>
                      <a:graphic xmlns:a="http://schemas.openxmlformats.org/drawingml/2006/main">
                        <a:graphicData uri="http://schemas.microsoft.com/office/word/2010/wordprocessingShape">
                          <wps:wsp>
                            <wps:cNvSpPr/>
                            <wps:spPr>
                              <a:xfrm>
                                <a:off x="5286375" y="2000250"/>
                                <a:ext cx="714375" cy="333375"/>
                              </a:xfrm>
                              <a:prstGeom prst="wedgeRectCallout">
                                <a:avLst>
                                  <a:gd name="adj1" fmla="val -212555"/>
                                  <a:gd name="adj2" fmla="val -68830"/>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0.9pt;margin-top:34.8pt;height:26.25pt;width:56.25pt;z-index:251667456;v-text-anchor:middle;mso-width-relative:page;mso-height-relative:page;" filled="f" stroked="t" coordsize="21600,21600" o:gfxdata="UEsDBAoAAAAAAIdO4kAAAAAAAAAAAAAAAAAEAAAAZHJzL1BLAwQUAAAACACHTuJAXAgd8doAAAAK&#10;AQAADwAAAGRycy9kb3ducmV2LnhtbE2Py07DMBBF90j8gzVIbCrqJIWoDXG6qFQJwYrChp1rT5NA&#10;PI5i58HfM6xgObpH954p94vrxIRDaD0pSNcJCCTjbUu1gve3490WRIiarO48oYJvDLCvrq9KXVg/&#10;0ytOp1gLLqFQaAVNjH0hZTANOh3Wvkfi7OIHpyOfQy3toGcud53MkiSXTrfEC43u8dCg+TqNTsFm&#10;+Th8XrLVFJ9eno9mnEc7mZVStzdp8ggi4hL/YPjVZ3Wo2OnsR7JBdAoetimrRwX5LgfBQL6734A4&#10;M5llKciqlP9fqH4AUEsDBBQAAAAIAIdO4kCh+RcTiwIAAOMEAAAOAAAAZHJzL2Uyb0RvYy54bWyt&#10;VM1u1DAQviPxDpbvbbLZny6rZqvVVkVIFa0oiLPXcTZBjm1s72bLC/AYRZzgzJnHobwGn5203QIn&#10;RA7emcy3n2e+mcnxya6RZCusq7XK6eAwpUQorotarXP65vXZwZQS55kqmNRK5PRaOHoyf/rkuDUz&#10;kelKy0JYAhLlZq3JaeW9mSWJ45VomDvURigES20b5uHadVJY1oK9kUmWppOk1bYwVnPhHN6edkE6&#10;j/xlKbi/KEsnPJE5RW4+njaeq3Am82M2W1tmqpr3abB/yKJhtcKl91SnzDOysfUfVE3NrXa69Idc&#10;N4kuy5qLWAOqGaS/VXNVMSNiLRDHmXuZ3P+j5S+3l5bURU6zISWKNejRz5uvP75/vv308fbbF4LX&#10;0Kg1bgbolbm0vedghoJ3pW3CL0ohu5yOs+lkeDSm5BqMaZpm415jsfOEA3A0GMU4B2CIB1gwJg9E&#10;xjr/XOiGBCOnrSjW4hX6uGRS6o2PKrPtufNR7qLPmRXvBpSUjUT3tkySg2yQjceRG03ZQ2WPUJPp&#10;dBgTRAI9Kay7FMINSp/VUsYxkYq0OZ0MURLhDMNaSuZhNgbyObWmhMk1toB7G7N0WtZF+HfgcXa9&#10;WkpLkBzmLj594Y9g4epT5qoOF0M9TCrIFPrQKR8sv1vt+nasdHGNRlrdTbgz/KwG1Tlz/pJZiIKc&#10;sab+AkcpNerQvUVJpe2Hv70PeEwaopS0WBEU+X7DrKBEvlCYwWeD0SjsVHRG46MMjt2PrPYjatMs&#10;NWpHm5BdNAPeyzuztLp5i21ehFsRYorj7k7O3ln6bnXxPeBisYgw7JFh/lxdGR7Iu54tNl6XtQ+T&#10;FYTq1OkdbFIcuH7rw6ru+xH18G2a/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cCB3x2gAAAAoB&#10;AAAPAAAAAAAAAAEAIAAAACIAAABkcnMvZG93bnJldi54bWxQSwECFAAUAAAACACHTuJAofkXE4sC&#10;AADjBAAADgAAAAAAAAABACAAAAApAQAAZHJzL2Uyb0RvYy54bWxQSwUGAAAAAAYABgBZAQAAJgYA&#10;AAAA&#10;" adj="-35112,-4067">
                      <v:fill on="f" focussize="0,0"/>
                      <v:stroke weight="0.5pt" color="#000000 [3213]" joinstyle="round"/>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xbxContent>
                      </v:textbox>
                    </v:shape>
                  </w:pict>
                </mc:Fallback>
              </mc:AlternateContent>
            </w:r>
            <w:r>
              <w:rPr>
                <w:color w:val="auto"/>
                <w:bdr w:val="single" w:color="auto" w:sz="6" w:space="0"/>
              </w:rPr>
              <w:drawing>
                <wp:inline distT="0" distB="0" distL="0" distR="0">
                  <wp:extent cx="3448050" cy="2943225"/>
                  <wp:effectExtent l="0" t="0" r="0" b="9525"/>
                  <wp:docPr id="54" name="图片 54"/>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45"/>
                          <a:stretch>
                            <a:fillRect/>
                          </a:stretch>
                        </pic:blipFill>
                        <pic:spPr>
                          <a:xfrm>
                            <a:off x="0" y="0"/>
                            <a:ext cx="3448205" cy="2943357"/>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94" w:type="dxa"/>
            <w:vAlign w:val="center"/>
          </w:tcPr>
          <w:p>
            <w:pPr>
              <w:pStyle w:val="164"/>
              <w:rPr>
                <w:color w:val="auto"/>
              </w:rPr>
            </w:pPr>
            <w:r>
              <w:rPr>
                <w:color w:val="auto"/>
              </w:rPr>
              <w:t>剖面图</w:t>
            </w:r>
          </w:p>
        </w:tc>
        <w:tc>
          <w:tcPr>
            <w:tcW w:w="7780" w:type="dxa"/>
            <w:vAlign w:val="center"/>
          </w:tcPr>
          <w:p>
            <w:pPr>
              <w:pStyle w:val="164"/>
              <w:jc w:val="left"/>
              <w:rPr>
                <w:color w:val="auto"/>
              </w:rPr>
            </w:pPr>
            <w:r>
              <w:rPr>
                <w:color w:val="auto"/>
              </w:rPr>
              <w:drawing>
                <wp:inline distT="0" distB="0" distL="0" distR="0">
                  <wp:extent cx="3457575" cy="2577465"/>
                  <wp:effectExtent l="0" t="0" r="0" b="0"/>
                  <wp:docPr id="53" name="图片 53" descr="C:\Users\Administrator\Desktop\123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strator\Desktop\123_副本.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484214" cy="2597661"/>
                          </a:xfrm>
                          <a:prstGeom prst="rect">
                            <a:avLst/>
                          </a:prstGeom>
                          <a:noFill/>
                          <a:ln>
                            <a:noFill/>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94" w:type="dxa"/>
            <w:vAlign w:val="center"/>
          </w:tcPr>
          <w:p>
            <w:pPr>
              <w:pStyle w:val="164"/>
              <w:rPr>
                <w:color w:val="auto"/>
              </w:rPr>
            </w:pPr>
            <w:r>
              <w:rPr>
                <w:color w:val="auto"/>
              </w:rPr>
              <w:t>层次</w:t>
            </w:r>
          </w:p>
        </w:tc>
        <w:tc>
          <w:tcPr>
            <w:tcW w:w="7780" w:type="dxa"/>
            <w:vAlign w:val="center"/>
          </w:tcPr>
          <w:p>
            <w:pPr>
              <w:pStyle w:val="164"/>
              <w:jc w:val="left"/>
              <w:rPr>
                <w:color w:val="auto"/>
              </w:rPr>
            </w:pPr>
            <w:r>
              <w:rPr>
                <w:color w:val="auto"/>
              </w:rPr>
              <w:t>根据土壤理化性质调查结果及剖面图，本项目所在区域0~300cm，土壤主要为沙土，土质为黄色至黄褐色，稍湿，稍密，土质较均匀，含有少量</w:t>
            </w:r>
            <w:r>
              <w:rPr>
                <w:color w:val="auto"/>
                <w:szCs w:val="21"/>
              </w:rPr>
              <w:t>树根</w:t>
            </w:r>
            <w:r>
              <w:rPr>
                <w:rFonts w:eastAsia="MS Gothic"/>
                <w:color w:val="auto"/>
                <w:szCs w:val="21"/>
              </w:rPr>
              <w:t>､</w:t>
            </w:r>
            <w:r>
              <w:rPr>
                <w:color w:val="auto"/>
                <w:szCs w:val="21"/>
              </w:rPr>
              <w:t>石子。</w:t>
            </w:r>
          </w:p>
        </w:tc>
      </w:tr>
    </w:tbl>
    <w:p>
      <w:pPr>
        <w:pStyle w:val="5"/>
        <w:numPr>
          <w:ilvl w:val="2"/>
          <w:numId w:val="0"/>
        </w:numPr>
        <w:spacing w:before="120" w:beforeLines="50"/>
        <w:ind w:left="-720" w:leftChars="-343" w:firstLine="723" w:firstLineChars="300"/>
        <w:rPr>
          <w:color w:val="auto"/>
          <w:szCs w:val="24"/>
        </w:rPr>
      </w:pPr>
      <w:bookmarkStart w:id="380" w:name="_Toc109398661"/>
      <w:r>
        <w:rPr>
          <w:color w:val="auto"/>
        </w:rPr>
        <w:t>6.5.5评价结论</w:t>
      </w:r>
      <w:bookmarkEnd w:id="378"/>
      <w:bookmarkEnd w:id="380"/>
    </w:p>
    <w:p>
      <w:pPr>
        <w:pStyle w:val="130"/>
        <w:ind w:firstLine="480"/>
        <w:rPr>
          <w:color w:val="auto"/>
        </w:rPr>
      </w:pPr>
      <w:r>
        <w:rPr>
          <w:color w:val="auto"/>
        </w:rPr>
        <w:t>根据监测结果可知，各监测点位土壤检测因子满足《土壤环境质量 建设用地土壤污染风险管控标准（试行）》（GB 36600-2018）表1第二类用地筛选值和《土壤环境质量 农用地土壤污染风险管控标准》（GB 15618-2018）表1中风险筛选值的要求。</w:t>
      </w:r>
    </w:p>
    <w:p>
      <w:pPr>
        <w:pStyle w:val="4"/>
        <w:numPr>
          <w:ilvl w:val="1"/>
          <w:numId w:val="0"/>
        </w:numPr>
        <w:spacing w:before="120"/>
        <w:rPr>
          <w:color w:val="auto"/>
        </w:rPr>
      </w:pPr>
      <w:bookmarkStart w:id="381" w:name="_Toc109398662"/>
      <w:r>
        <w:rPr>
          <w:color w:val="auto"/>
        </w:rPr>
        <w:t>6.6生态环境质量现状调查与评价</w:t>
      </w:r>
      <w:bookmarkEnd w:id="381"/>
    </w:p>
    <w:p>
      <w:pPr>
        <w:pStyle w:val="5"/>
        <w:numPr>
          <w:ilvl w:val="2"/>
          <w:numId w:val="0"/>
        </w:numPr>
        <w:ind w:left="-720" w:leftChars="-343" w:firstLine="723" w:firstLineChars="300"/>
        <w:rPr>
          <w:color w:val="auto"/>
        </w:rPr>
      </w:pPr>
      <w:bookmarkStart w:id="382" w:name="_Toc109398663"/>
      <w:r>
        <w:rPr>
          <w:color w:val="auto"/>
        </w:rPr>
        <w:t>6.6.1植被分布</w:t>
      </w:r>
      <w:r>
        <w:rPr>
          <w:rFonts w:hint="eastAsia"/>
          <w:color w:val="auto"/>
        </w:rPr>
        <w:t>情况</w:t>
      </w:r>
      <w:bookmarkEnd w:id="382"/>
    </w:p>
    <w:p>
      <w:pPr>
        <w:pStyle w:val="130"/>
        <w:ind w:firstLine="480"/>
        <w:rPr>
          <w:color w:val="auto"/>
        </w:rPr>
      </w:pPr>
      <w:r>
        <w:rPr>
          <w:color w:val="auto"/>
        </w:rPr>
        <w:t>本项目在原有项目已征地范围内进行建设，不新增占地，该区域主要为荒漠草原沙生植被，组成区内植被的植物种有显著的旱生形态特点。大面积的荒漠草原类型，主要建群种有猫头刺、油蒿、无芒隐子草、短花针茅等。强旱生或超强旱生小灌木、小半灌木已成为群落的建群种和优势种。经现场踏勘及走访，</w:t>
      </w:r>
      <w:bookmarkStart w:id="383" w:name="_Hlk109316763"/>
      <w:r>
        <w:rPr>
          <w:color w:val="auto"/>
        </w:rPr>
        <w:t>项目区内未发现珍稀、濒危或国家及自治区级保护植物</w:t>
      </w:r>
      <w:bookmarkEnd w:id="383"/>
      <w:r>
        <w:rPr>
          <w:color w:val="auto"/>
        </w:rPr>
        <w:t>。</w:t>
      </w:r>
    </w:p>
    <w:p>
      <w:pPr>
        <w:pStyle w:val="5"/>
        <w:numPr>
          <w:ilvl w:val="2"/>
          <w:numId w:val="0"/>
        </w:numPr>
        <w:ind w:left="-720" w:leftChars="-343" w:firstLine="723" w:firstLineChars="300"/>
        <w:rPr>
          <w:color w:val="auto"/>
        </w:rPr>
      </w:pPr>
      <w:bookmarkStart w:id="384" w:name="_Toc109398664"/>
      <w:r>
        <w:rPr>
          <w:color w:val="auto"/>
        </w:rPr>
        <w:t>6.6.2动物分布情况</w:t>
      </w:r>
      <w:bookmarkEnd w:id="384"/>
    </w:p>
    <w:p>
      <w:pPr>
        <w:pStyle w:val="130"/>
        <w:ind w:firstLine="480"/>
        <w:rPr>
          <w:rStyle w:val="573"/>
          <w:b w:val="0"/>
          <w:bCs/>
          <w:i w:val="0"/>
          <w:iCs w:val="0"/>
          <w:color w:val="auto"/>
        </w:rPr>
      </w:pPr>
      <w:r>
        <w:rPr>
          <w:rStyle w:val="573"/>
          <w:b w:val="0"/>
          <w:bCs/>
          <w:i w:val="0"/>
          <w:iCs w:val="0"/>
          <w:color w:val="auto"/>
        </w:rPr>
        <w:t>本项目所在区域动物种类较少，主要为鸟类、鼠类（如：田鼠、黄鼠、乌鸦、喜鹊等）等，无大型野生动物，且在现场踏勘及走访过程中，未发现珍稀、濒危或国家及自治区级保护动物栖息地及繁殖地。</w:t>
      </w:r>
    </w:p>
    <w:p>
      <w:pPr>
        <w:pStyle w:val="5"/>
        <w:numPr>
          <w:ilvl w:val="2"/>
          <w:numId w:val="0"/>
        </w:numPr>
        <w:ind w:left="-720" w:leftChars="-343" w:firstLine="723" w:firstLineChars="300"/>
        <w:rPr>
          <w:color w:val="auto"/>
        </w:rPr>
      </w:pPr>
      <w:bookmarkStart w:id="385" w:name="_Toc109398665"/>
      <w:r>
        <w:rPr>
          <w:color w:val="auto"/>
        </w:rPr>
        <w:t>6.6.3</w:t>
      </w:r>
      <w:r>
        <w:rPr>
          <w:rFonts w:hint="eastAsia"/>
          <w:color w:val="auto"/>
        </w:rPr>
        <w:t>水土流失</w:t>
      </w:r>
      <w:bookmarkEnd w:id="385"/>
    </w:p>
    <w:p>
      <w:pPr>
        <w:pStyle w:val="130"/>
        <w:ind w:firstLine="480"/>
        <w:rPr>
          <w:rStyle w:val="573"/>
          <w:b w:val="0"/>
          <w:bCs/>
          <w:i w:val="0"/>
          <w:iCs w:val="0"/>
          <w:color w:val="auto"/>
        </w:rPr>
      </w:pPr>
      <w:r>
        <w:rPr>
          <w:rStyle w:val="573"/>
          <w:rFonts w:hint="eastAsia"/>
          <w:b w:val="0"/>
          <w:bCs/>
          <w:i w:val="0"/>
          <w:iCs w:val="0"/>
          <w:color w:val="auto"/>
        </w:rPr>
        <w:t>根据项目所在地理位置，参照《土壤侵蚀分类分级标准》（SL190-2007）和《宁夏回族自治区第二次土壤侵蚀遥感调查报告》，通过现场踏勘并结合项目区的地形地貌、土壤、气候、植被等因素，项目区水土流失类型以中度风力侵蚀为主，兼有水力侵蚀</w:t>
      </w:r>
      <w:r>
        <w:rPr>
          <w:rStyle w:val="573"/>
          <w:b w:val="0"/>
          <w:bCs/>
          <w:i w:val="0"/>
          <w:iCs w:val="0"/>
          <w:color w:val="auto"/>
        </w:rPr>
        <w:t>。</w:t>
      </w:r>
    </w:p>
    <w:p>
      <w:pPr>
        <w:pStyle w:val="5"/>
        <w:numPr>
          <w:ilvl w:val="2"/>
          <w:numId w:val="0"/>
        </w:numPr>
        <w:ind w:left="-720" w:leftChars="-343" w:firstLine="723" w:firstLineChars="300"/>
        <w:rPr>
          <w:color w:val="auto"/>
        </w:rPr>
      </w:pPr>
      <w:bookmarkStart w:id="386" w:name="_Toc109398666"/>
      <w:r>
        <w:rPr>
          <w:color w:val="auto"/>
        </w:rPr>
        <w:t>6.6.4</w:t>
      </w:r>
      <w:r>
        <w:rPr>
          <w:rFonts w:hint="eastAsia"/>
          <w:color w:val="auto"/>
        </w:rPr>
        <w:t>生态功能区划</w:t>
      </w:r>
      <w:bookmarkEnd w:id="386"/>
    </w:p>
    <w:p>
      <w:pPr>
        <w:pStyle w:val="130"/>
        <w:ind w:firstLine="480"/>
        <w:rPr>
          <w:rStyle w:val="573"/>
          <w:b w:val="0"/>
          <w:bCs/>
          <w:i w:val="0"/>
          <w:iCs w:val="0"/>
          <w:color w:val="auto"/>
        </w:rPr>
      </w:pPr>
      <w:r>
        <w:rPr>
          <w:rStyle w:val="573"/>
          <w:rFonts w:hint="eastAsia"/>
          <w:b w:val="0"/>
          <w:bCs/>
          <w:i w:val="0"/>
          <w:iCs w:val="0"/>
          <w:color w:val="auto"/>
        </w:rPr>
        <w:t>根据《宁夏生态功能区划》（2003.12），宁夏生态功能区划共划分 3 个一级区 10个二级区，37 个三级区。本项目属</w:t>
      </w:r>
      <w:r>
        <w:rPr>
          <w:rStyle w:val="573"/>
          <w:b w:val="0"/>
          <w:bCs/>
          <w:i w:val="0"/>
          <w:iCs w:val="0"/>
          <w:color w:val="auto"/>
        </w:rPr>
        <w:t>Ⅱ</w:t>
      </w:r>
      <w:r>
        <w:rPr>
          <w:rStyle w:val="573"/>
          <w:rFonts w:hint="eastAsia"/>
          <w:b w:val="0"/>
          <w:bCs/>
          <w:i w:val="0"/>
          <w:iCs w:val="0"/>
          <w:color w:val="auto"/>
        </w:rPr>
        <w:t>2-</w:t>
      </w:r>
      <w:r>
        <w:rPr>
          <w:rStyle w:val="573"/>
          <w:b w:val="0"/>
          <w:bCs/>
          <w:i w:val="0"/>
          <w:iCs w:val="0"/>
          <w:color w:val="auto"/>
        </w:rPr>
        <w:t>5</w:t>
      </w:r>
      <w:r>
        <w:rPr>
          <w:rStyle w:val="573"/>
          <w:rFonts w:hint="eastAsia"/>
          <w:b w:val="0"/>
          <w:bCs/>
          <w:i w:val="0"/>
          <w:iCs w:val="0"/>
          <w:color w:val="auto"/>
        </w:rPr>
        <w:t>香山低山丘陵荒漠草原保护、中卫山羊保种生态功能区</w:t>
      </w:r>
      <w:r>
        <w:rPr>
          <w:rStyle w:val="573"/>
          <w:b w:val="0"/>
          <w:bCs/>
          <w:i w:val="0"/>
          <w:iCs w:val="0"/>
          <w:color w:val="auto"/>
        </w:rPr>
        <w:t>。</w:t>
      </w:r>
    </w:p>
    <w:p>
      <w:pPr>
        <w:widowControl/>
        <w:jc w:val="left"/>
        <w:rPr>
          <w:rFonts w:eastAsiaTheme="minorEastAsia"/>
          <w:color w:val="auto"/>
          <w:sz w:val="24"/>
          <w:szCs w:val="24"/>
        </w:rPr>
      </w:pPr>
    </w:p>
    <w:p>
      <w:pPr>
        <w:widowControl/>
        <w:jc w:val="left"/>
        <w:rPr>
          <w:rFonts w:eastAsiaTheme="minorEastAsia"/>
          <w:color w:val="auto"/>
          <w:sz w:val="24"/>
          <w:szCs w:val="24"/>
        </w:rPr>
        <w:sectPr>
          <w:pgSz w:w="11906" w:h="16838"/>
          <w:pgMar w:top="1701" w:right="1701" w:bottom="1701" w:left="1701" w:header="851" w:footer="851" w:gutter="0"/>
          <w:cols w:space="720" w:num="1"/>
          <w:docGrid w:linePitch="466" w:charSpace="0"/>
        </w:sectPr>
      </w:pPr>
    </w:p>
    <w:p>
      <w:pPr>
        <w:pStyle w:val="3"/>
        <w:numPr>
          <w:ilvl w:val="0"/>
          <w:numId w:val="0"/>
        </w:numPr>
        <w:spacing w:before="120" w:after="120"/>
        <w:jc w:val="center"/>
        <w:rPr>
          <w:rFonts w:ascii="Times New Roman" w:hAnsi="Times New Roman"/>
          <w:color w:val="auto"/>
        </w:rPr>
      </w:pPr>
      <w:bookmarkStart w:id="387" w:name="_Toc109398667"/>
      <w:bookmarkStart w:id="388" w:name="_Toc11595381"/>
      <w:bookmarkStart w:id="389" w:name="_Toc493853527"/>
      <w:bookmarkStart w:id="390" w:name="_Toc387745646"/>
      <w:bookmarkStart w:id="391" w:name="_Toc493853528"/>
      <w:bookmarkStart w:id="392" w:name="_Toc11595382"/>
      <w:bookmarkStart w:id="393" w:name="_Toc332203275"/>
      <w:bookmarkStart w:id="394" w:name="_Toc299368918"/>
      <w:r>
        <w:rPr>
          <w:rFonts w:ascii="Times New Roman" w:hAnsi="Times New Roman"/>
          <w:color w:val="auto"/>
        </w:rPr>
        <w:t>7环境影响预测与评价</w:t>
      </w:r>
      <w:bookmarkEnd w:id="387"/>
      <w:bookmarkEnd w:id="388"/>
      <w:bookmarkEnd w:id="389"/>
    </w:p>
    <w:p>
      <w:pPr>
        <w:pStyle w:val="4"/>
        <w:numPr>
          <w:ilvl w:val="1"/>
          <w:numId w:val="0"/>
        </w:numPr>
        <w:spacing w:before="120"/>
        <w:rPr>
          <w:color w:val="auto"/>
        </w:rPr>
      </w:pPr>
      <w:bookmarkStart w:id="395" w:name="_Toc109398668"/>
      <w:r>
        <w:rPr>
          <w:color w:val="auto"/>
        </w:rPr>
        <w:t>7.1施工期环境影响预测与评价</w:t>
      </w:r>
      <w:bookmarkEnd w:id="390"/>
      <w:bookmarkEnd w:id="391"/>
      <w:bookmarkEnd w:id="392"/>
      <w:bookmarkEnd w:id="393"/>
      <w:bookmarkEnd w:id="394"/>
      <w:bookmarkEnd w:id="395"/>
    </w:p>
    <w:p>
      <w:pPr>
        <w:pStyle w:val="130"/>
        <w:ind w:firstLine="480"/>
        <w:rPr>
          <w:color w:val="auto"/>
          <w:lang w:bidi="en-US"/>
        </w:rPr>
      </w:pPr>
      <w:r>
        <w:rPr>
          <w:color w:val="auto"/>
        </w:rPr>
        <w:t>本项目主体工程已建设完成，不再进行施工期影响分析。</w:t>
      </w:r>
    </w:p>
    <w:p>
      <w:pPr>
        <w:pStyle w:val="4"/>
        <w:numPr>
          <w:ilvl w:val="1"/>
          <w:numId w:val="0"/>
        </w:numPr>
        <w:spacing w:before="120"/>
        <w:rPr>
          <w:color w:val="auto"/>
        </w:rPr>
      </w:pPr>
      <w:bookmarkStart w:id="396" w:name="_Toc109398669"/>
      <w:bookmarkStart w:id="397" w:name="_Toc332203281"/>
      <w:bookmarkStart w:id="398" w:name="_Toc387745652"/>
      <w:bookmarkStart w:id="399" w:name="_Toc493853535"/>
      <w:bookmarkStart w:id="400" w:name="_Toc299368924"/>
      <w:bookmarkStart w:id="401" w:name="_Toc11595402"/>
      <w:r>
        <w:rPr>
          <w:color w:val="auto"/>
        </w:rPr>
        <w:t>7.2运营期环境空气影响预测与评价</w:t>
      </w:r>
      <w:bookmarkEnd w:id="396"/>
      <w:bookmarkEnd w:id="397"/>
      <w:bookmarkEnd w:id="398"/>
      <w:bookmarkEnd w:id="399"/>
      <w:bookmarkEnd w:id="400"/>
      <w:bookmarkEnd w:id="401"/>
    </w:p>
    <w:p>
      <w:pPr>
        <w:pStyle w:val="5"/>
        <w:numPr>
          <w:ilvl w:val="2"/>
          <w:numId w:val="0"/>
        </w:numPr>
        <w:ind w:left="-720" w:leftChars="-343" w:firstLine="723" w:firstLineChars="300"/>
        <w:rPr>
          <w:color w:val="auto"/>
        </w:rPr>
      </w:pPr>
      <w:bookmarkStart w:id="402" w:name="_Toc109398670"/>
      <w:r>
        <w:rPr>
          <w:color w:val="auto"/>
        </w:rPr>
        <w:t>7.2.1气象数据统计</w:t>
      </w:r>
      <w:bookmarkEnd w:id="402"/>
    </w:p>
    <w:p>
      <w:pPr>
        <w:pStyle w:val="130"/>
        <w:ind w:firstLine="480"/>
        <w:rPr>
          <w:color w:val="auto"/>
        </w:rPr>
      </w:pPr>
      <w:r>
        <w:rPr>
          <w:color w:val="auto"/>
        </w:rPr>
        <w:t>本项目采用中卫气象站（53704）资料，气象站位于宁夏回族自治区中卫市，地理坐标为东经105.1775度，北纬37.5252度，海拔高度1226.7m。</w:t>
      </w:r>
    </w:p>
    <w:p>
      <w:pPr>
        <w:pStyle w:val="130"/>
        <w:ind w:firstLine="480"/>
        <w:rPr>
          <w:color w:val="auto"/>
        </w:rPr>
      </w:pPr>
      <w:r>
        <w:rPr>
          <w:color w:val="auto"/>
        </w:rPr>
        <w:t>中卫气象站位于本项目厂址西南偏南12km处，是距项目最近的国家气象站，拥有长期的气象观测资料，中卫气象站近20年（1999-2018年）各气象要素的统计见表7.2-1。</w:t>
      </w:r>
    </w:p>
    <w:p>
      <w:pPr>
        <w:pStyle w:val="114"/>
        <w:spacing w:before="0" w:beforeLines="0"/>
        <w:rPr>
          <w:color w:val="auto"/>
        </w:rPr>
      </w:pPr>
      <w:r>
        <w:rPr>
          <w:color w:val="auto"/>
        </w:rPr>
        <w:t>表7.2-1   中卫气象站近20年气象要素特征表</w:t>
      </w:r>
    </w:p>
    <w:tbl>
      <w:tblPr>
        <w:tblStyle w:val="74"/>
        <w:tblW w:w="8565"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15"/>
        <w:gridCol w:w="2412"/>
        <w:gridCol w:w="1163"/>
        <w:gridCol w:w="2165"/>
        <w:gridCol w:w="201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73" w:hRule="atLeast"/>
          <w:jc w:val="center"/>
        </w:trPr>
        <w:tc>
          <w:tcPr>
            <w:tcW w:w="3227" w:type="dxa"/>
            <w:gridSpan w:val="2"/>
            <w:vAlign w:val="center"/>
          </w:tcPr>
          <w:p>
            <w:pPr>
              <w:pStyle w:val="161"/>
              <w:adjustRightInd w:val="0"/>
              <w:snapToGrid w:val="0"/>
              <w:jc w:val="center"/>
              <w:rPr>
                <w:color w:val="auto"/>
              </w:rPr>
            </w:pPr>
            <w:r>
              <w:rPr>
                <w:color w:val="auto"/>
              </w:rPr>
              <w:t>项目</w:t>
            </w:r>
          </w:p>
        </w:tc>
        <w:tc>
          <w:tcPr>
            <w:tcW w:w="1163" w:type="dxa"/>
            <w:vAlign w:val="center"/>
          </w:tcPr>
          <w:p>
            <w:pPr>
              <w:pStyle w:val="161"/>
              <w:adjustRightInd w:val="0"/>
              <w:snapToGrid w:val="0"/>
              <w:jc w:val="center"/>
              <w:rPr>
                <w:color w:val="auto"/>
              </w:rPr>
            </w:pPr>
            <w:r>
              <w:rPr>
                <w:color w:val="auto"/>
              </w:rPr>
              <w:t>统计值</w:t>
            </w:r>
          </w:p>
        </w:tc>
        <w:tc>
          <w:tcPr>
            <w:tcW w:w="2165" w:type="dxa"/>
            <w:vAlign w:val="center"/>
          </w:tcPr>
          <w:p>
            <w:pPr>
              <w:pStyle w:val="161"/>
              <w:adjustRightInd w:val="0"/>
              <w:snapToGrid w:val="0"/>
              <w:jc w:val="center"/>
              <w:rPr>
                <w:color w:val="auto"/>
              </w:rPr>
            </w:pPr>
            <w:r>
              <w:rPr>
                <w:color w:val="auto"/>
              </w:rPr>
              <w:t>极值出现时间</w:t>
            </w:r>
          </w:p>
        </w:tc>
        <w:tc>
          <w:tcPr>
            <w:tcW w:w="2010" w:type="dxa"/>
            <w:vAlign w:val="center"/>
          </w:tcPr>
          <w:p>
            <w:pPr>
              <w:pStyle w:val="161"/>
              <w:adjustRightInd w:val="0"/>
              <w:snapToGrid w:val="0"/>
              <w:jc w:val="center"/>
              <w:rPr>
                <w:color w:val="auto"/>
              </w:rPr>
            </w:pPr>
            <w:r>
              <w:rPr>
                <w:color w:val="auto"/>
              </w:rPr>
              <w:t>极值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9" w:hRule="atLeast"/>
          <w:jc w:val="center"/>
        </w:trPr>
        <w:tc>
          <w:tcPr>
            <w:tcW w:w="3227" w:type="dxa"/>
            <w:gridSpan w:val="2"/>
            <w:vAlign w:val="center"/>
          </w:tcPr>
          <w:p>
            <w:pPr>
              <w:pStyle w:val="161"/>
              <w:adjustRightInd w:val="0"/>
              <w:snapToGrid w:val="0"/>
              <w:jc w:val="center"/>
              <w:rPr>
                <w:color w:val="auto"/>
              </w:rPr>
            </w:pPr>
            <w:r>
              <w:rPr>
                <w:color w:val="auto"/>
              </w:rPr>
              <w:t>多年平均气温（℃）</w:t>
            </w:r>
          </w:p>
        </w:tc>
        <w:tc>
          <w:tcPr>
            <w:tcW w:w="1163" w:type="dxa"/>
            <w:vAlign w:val="center"/>
          </w:tcPr>
          <w:p>
            <w:pPr>
              <w:pStyle w:val="161"/>
              <w:adjustRightInd w:val="0"/>
              <w:snapToGrid w:val="0"/>
              <w:jc w:val="center"/>
              <w:rPr>
                <w:color w:val="auto"/>
              </w:rPr>
            </w:pPr>
            <w:r>
              <w:rPr>
                <w:color w:val="auto"/>
              </w:rPr>
              <w:t>9.9</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8" w:hRule="atLeast"/>
          <w:jc w:val="center"/>
        </w:trPr>
        <w:tc>
          <w:tcPr>
            <w:tcW w:w="3227" w:type="dxa"/>
            <w:gridSpan w:val="2"/>
            <w:vAlign w:val="center"/>
          </w:tcPr>
          <w:p>
            <w:pPr>
              <w:pStyle w:val="161"/>
              <w:adjustRightInd w:val="0"/>
              <w:snapToGrid w:val="0"/>
              <w:jc w:val="center"/>
              <w:rPr>
                <w:color w:val="auto"/>
              </w:rPr>
            </w:pPr>
            <w:r>
              <w:rPr>
                <w:color w:val="auto"/>
              </w:rPr>
              <w:t>累年极端最高气温（℃）</w:t>
            </w:r>
          </w:p>
        </w:tc>
        <w:tc>
          <w:tcPr>
            <w:tcW w:w="1163" w:type="dxa"/>
            <w:vAlign w:val="center"/>
          </w:tcPr>
          <w:p>
            <w:pPr>
              <w:pStyle w:val="161"/>
              <w:adjustRightInd w:val="0"/>
              <w:snapToGrid w:val="0"/>
              <w:jc w:val="center"/>
              <w:rPr>
                <w:color w:val="auto"/>
              </w:rPr>
            </w:pPr>
            <w:r>
              <w:rPr>
                <w:color w:val="auto"/>
              </w:rPr>
              <w:t>35.7</w:t>
            </w:r>
          </w:p>
        </w:tc>
        <w:tc>
          <w:tcPr>
            <w:tcW w:w="2165" w:type="dxa"/>
            <w:vAlign w:val="center"/>
          </w:tcPr>
          <w:p>
            <w:pPr>
              <w:pStyle w:val="161"/>
              <w:adjustRightInd w:val="0"/>
              <w:snapToGrid w:val="0"/>
              <w:jc w:val="center"/>
              <w:rPr>
                <w:color w:val="auto"/>
              </w:rPr>
            </w:pPr>
            <w:r>
              <w:rPr>
                <w:color w:val="auto"/>
              </w:rPr>
              <w:t>2017-07-11</w:t>
            </w:r>
          </w:p>
        </w:tc>
        <w:tc>
          <w:tcPr>
            <w:tcW w:w="2010" w:type="dxa"/>
            <w:vAlign w:val="center"/>
          </w:tcPr>
          <w:p>
            <w:pPr>
              <w:pStyle w:val="161"/>
              <w:adjustRightInd w:val="0"/>
              <w:snapToGrid w:val="0"/>
              <w:jc w:val="center"/>
              <w:rPr>
                <w:color w:val="auto"/>
              </w:rPr>
            </w:pPr>
            <w:r>
              <w:rPr>
                <w:color w:val="auto"/>
              </w:rPr>
              <w:t>38.9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9" w:hRule="atLeast"/>
          <w:jc w:val="center"/>
        </w:trPr>
        <w:tc>
          <w:tcPr>
            <w:tcW w:w="3227" w:type="dxa"/>
            <w:gridSpan w:val="2"/>
            <w:vAlign w:val="center"/>
          </w:tcPr>
          <w:p>
            <w:pPr>
              <w:pStyle w:val="161"/>
              <w:adjustRightInd w:val="0"/>
              <w:snapToGrid w:val="0"/>
              <w:jc w:val="center"/>
              <w:rPr>
                <w:color w:val="auto"/>
              </w:rPr>
            </w:pPr>
            <w:r>
              <w:rPr>
                <w:color w:val="auto"/>
              </w:rPr>
              <w:t>累年极端最低气温（℃）</w:t>
            </w:r>
          </w:p>
        </w:tc>
        <w:tc>
          <w:tcPr>
            <w:tcW w:w="1163" w:type="dxa"/>
            <w:vAlign w:val="center"/>
          </w:tcPr>
          <w:p>
            <w:pPr>
              <w:pStyle w:val="161"/>
              <w:adjustRightInd w:val="0"/>
              <w:snapToGrid w:val="0"/>
              <w:jc w:val="center"/>
              <w:rPr>
                <w:color w:val="auto"/>
              </w:rPr>
            </w:pPr>
            <w:r>
              <w:rPr>
                <w:color w:val="auto"/>
              </w:rPr>
              <w:t>-20.5</w:t>
            </w:r>
          </w:p>
        </w:tc>
        <w:tc>
          <w:tcPr>
            <w:tcW w:w="2165" w:type="dxa"/>
            <w:vAlign w:val="center"/>
          </w:tcPr>
          <w:p>
            <w:pPr>
              <w:pStyle w:val="161"/>
              <w:adjustRightInd w:val="0"/>
              <w:snapToGrid w:val="0"/>
              <w:jc w:val="center"/>
              <w:rPr>
                <w:color w:val="auto"/>
              </w:rPr>
            </w:pPr>
            <w:r>
              <w:rPr>
                <w:color w:val="auto"/>
              </w:rPr>
              <w:t>2008-02-01</w:t>
            </w:r>
          </w:p>
        </w:tc>
        <w:tc>
          <w:tcPr>
            <w:tcW w:w="2010" w:type="dxa"/>
            <w:vAlign w:val="center"/>
          </w:tcPr>
          <w:p>
            <w:pPr>
              <w:pStyle w:val="161"/>
              <w:adjustRightInd w:val="0"/>
              <w:snapToGrid w:val="0"/>
              <w:jc w:val="center"/>
              <w:rPr>
                <w:color w:val="auto"/>
              </w:rPr>
            </w:pPr>
            <w:r>
              <w:rPr>
                <w:color w:val="auto"/>
              </w:rPr>
              <w:t>-27.1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8" w:hRule="atLeast"/>
          <w:jc w:val="center"/>
        </w:trPr>
        <w:tc>
          <w:tcPr>
            <w:tcW w:w="3227" w:type="dxa"/>
            <w:gridSpan w:val="2"/>
            <w:vAlign w:val="center"/>
          </w:tcPr>
          <w:p>
            <w:pPr>
              <w:pStyle w:val="161"/>
              <w:adjustRightInd w:val="0"/>
              <w:snapToGrid w:val="0"/>
              <w:jc w:val="center"/>
              <w:rPr>
                <w:color w:val="auto"/>
              </w:rPr>
            </w:pPr>
            <w:r>
              <w:rPr>
                <w:color w:val="auto"/>
              </w:rPr>
              <w:t>多年平均气压（hPa）</w:t>
            </w:r>
          </w:p>
        </w:tc>
        <w:tc>
          <w:tcPr>
            <w:tcW w:w="1163" w:type="dxa"/>
            <w:vAlign w:val="center"/>
          </w:tcPr>
          <w:p>
            <w:pPr>
              <w:pStyle w:val="161"/>
              <w:adjustRightInd w:val="0"/>
              <w:snapToGrid w:val="0"/>
              <w:jc w:val="center"/>
              <w:rPr>
                <w:color w:val="auto"/>
              </w:rPr>
            </w:pPr>
            <w:r>
              <w:rPr>
                <w:color w:val="auto"/>
              </w:rPr>
              <w:t>878.3</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9" w:hRule="atLeast"/>
          <w:jc w:val="center"/>
        </w:trPr>
        <w:tc>
          <w:tcPr>
            <w:tcW w:w="3227" w:type="dxa"/>
            <w:gridSpan w:val="2"/>
            <w:vAlign w:val="center"/>
          </w:tcPr>
          <w:p>
            <w:pPr>
              <w:pStyle w:val="161"/>
              <w:adjustRightInd w:val="0"/>
              <w:snapToGrid w:val="0"/>
              <w:jc w:val="center"/>
              <w:rPr>
                <w:color w:val="auto"/>
              </w:rPr>
            </w:pPr>
            <w:r>
              <w:rPr>
                <w:color w:val="auto"/>
              </w:rPr>
              <w:t>多年平均水汽压（hPa）</w:t>
            </w:r>
          </w:p>
        </w:tc>
        <w:tc>
          <w:tcPr>
            <w:tcW w:w="1163" w:type="dxa"/>
            <w:vAlign w:val="center"/>
          </w:tcPr>
          <w:p>
            <w:pPr>
              <w:pStyle w:val="161"/>
              <w:adjustRightInd w:val="0"/>
              <w:snapToGrid w:val="0"/>
              <w:jc w:val="center"/>
              <w:rPr>
                <w:color w:val="auto"/>
              </w:rPr>
            </w:pPr>
            <w:r>
              <w:rPr>
                <w:color w:val="auto"/>
              </w:rPr>
              <w:t>7.8</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8" w:hRule="atLeast"/>
          <w:jc w:val="center"/>
        </w:trPr>
        <w:tc>
          <w:tcPr>
            <w:tcW w:w="3227" w:type="dxa"/>
            <w:gridSpan w:val="2"/>
            <w:vAlign w:val="center"/>
          </w:tcPr>
          <w:p>
            <w:pPr>
              <w:pStyle w:val="161"/>
              <w:adjustRightInd w:val="0"/>
              <w:snapToGrid w:val="0"/>
              <w:jc w:val="center"/>
              <w:rPr>
                <w:color w:val="auto"/>
              </w:rPr>
            </w:pPr>
            <w:r>
              <w:rPr>
                <w:color w:val="auto"/>
              </w:rPr>
              <w:t>多年平均相对湿度（%）</w:t>
            </w:r>
          </w:p>
        </w:tc>
        <w:tc>
          <w:tcPr>
            <w:tcW w:w="1163" w:type="dxa"/>
            <w:vAlign w:val="center"/>
          </w:tcPr>
          <w:p>
            <w:pPr>
              <w:pStyle w:val="161"/>
              <w:adjustRightInd w:val="0"/>
              <w:snapToGrid w:val="0"/>
              <w:jc w:val="center"/>
              <w:rPr>
                <w:color w:val="auto"/>
              </w:rPr>
            </w:pPr>
            <w:r>
              <w:rPr>
                <w:color w:val="auto"/>
              </w:rPr>
              <w:t>53.5</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8" w:hRule="atLeast"/>
          <w:jc w:val="center"/>
        </w:trPr>
        <w:tc>
          <w:tcPr>
            <w:tcW w:w="3227" w:type="dxa"/>
            <w:gridSpan w:val="2"/>
            <w:vAlign w:val="center"/>
          </w:tcPr>
          <w:p>
            <w:pPr>
              <w:pStyle w:val="161"/>
              <w:adjustRightInd w:val="0"/>
              <w:snapToGrid w:val="0"/>
              <w:jc w:val="center"/>
              <w:rPr>
                <w:color w:val="auto"/>
              </w:rPr>
            </w:pPr>
            <w:r>
              <w:rPr>
                <w:color w:val="auto"/>
              </w:rPr>
              <w:t>多年平均降雨量（mm）</w:t>
            </w:r>
          </w:p>
        </w:tc>
        <w:tc>
          <w:tcPr>
            <w:tcW w:w="1163" w:type="dxa"/>
            <w:vAlign w:val="center"/>
          </w:tcPr>
          <w:p>
            <w:pPr>
              <w:pStyle w:val="161"/>
              <w:adjustRightInd w:val="0"/>
              <w:snapToGrid w:val="0"/>
              <w:jc w:val="center"/>
              <w:rPr>
                <w:color w:val="auto"/>
              </w:rPr>
            </w:pPr>
            <w:r>
              <w:rPr>
                <w:color w:val="auto"/>
              </w:rPr>
              <w:t>186.4</w:t>
            </w:r>
          </w:p>
        </w:tc>
        <w:tc>
          <w:tcPr>
            <w:tcW w:w="2165" w:type="dxa"/>
            <w:vAlign w:val="center"/>
          </w:tcPr>
          <w:p>
            <w:pPr>
              <w:pStyle w:val="161"/>
              <w:adjustRightInd w:val="0"/>
              <w:snapToGrid w:val="0"/>
              <w:jc w:val="center"/>
              <w:rPr>
                <w:color w:val="auto"/>
              </w:rPr>
            </w:pPr>
            <w:r>
              <w:rPr>
                <w:color w:val="auto"/>
              </w:rPr>
              <w:t>2003-06-29</w:t>
            </w:r>
          </w:p>
        </w:tc>
        <w:tc>
          <w:tcPr>
            <w:tcW w:w="2010" w:type="dxa"/>
            <w:vAlign w:val="center"/>
          </w:tcPr>
          <w:p>
            <w:pPr>
              <w:pStyle w:val="161"/>
              <w:adjustRightInd w:val="0"/>
              <w:snapToGrid w:val="0"/>
              <w:jc w:val="center"/>
              <w:rPr>
                <w:color w:val="auto"/>
              </w:rPr>
            </w:pPr>
            <w:r>
              <w:rPr>
                <w:color w:val="auto"/>
              </w:rPr>
              <w:t>54.8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8" w:hRule="atLeast"/>
          <w:jc w:val="center"/>
        </w:trPr>
        <w:tc>
          <w:tcPr>
            <w:tcW w:w="815" w:type="dxa"/>
            <w:vMerge w:val="restart"/>
            <w:vAlign w:val="center"/>
          </w:tcPr>
          <w:p>
            <w:pPr>
              <w:pStyle w:val="161"/>
              <w:adjustRightInd w:val="0"/>
              <w:snapToGrid w:val="0"/>
              <w:jc w:val="center"/>
              <w:rPr>
                <w:color w:val="auto"/>
              </w:rPr>
            </w:pPr>
            <w:r>
              <w:rPr>
                <w:color w:val="auto"/>
              </w:rPr>
              <w:t>灾害天气统计</w:t>
            </w:r>
          </w:p>
        </w:tc>
        <w:tc>
          <w:tcPr>
            <w:tcW w:w="2412" w:type="dxa"/>
            <w:vAlign w:val="center"/>
          </w:tcPr>
          <w:p>
            <w:pPr>
              <w:pStyle w:val="161"/>
              <w:adjustRightInd w:val="0"/>
              <w:snapToGrid w:val="0"/>
              <w:jc w:val="center"/>
              <w:rPr>
                <w:color w:val="auto"/>
              </w:rPr>
            </w:pPr>
            <w:r>
              <w:rPr>
                <w:color w:val="auto"/>
              </w:rPr>
              <w:t>多年平均沙暴日数（d）</w:t>
            </w:r>
          </w:p>
        </w:tc>
        <w:tc>
          <w:tcPr>
            <w:tcW w:w="1163" w:type="dxa"/>
            <w:vAlign w:val="center"/>
          </w:tcPr>
          <w:p>
            <w:pPr>
              <w:pStyle w:val="161"/>
              <w:adjustRightInd w:val="0"/>
              <w:snapToGrid w:val="0"/>
              <w:jc w:val="center"/>
              <w:rPr>
                <w:color w:val="auto"/>
              </w:rPr>
            </w:pPr>
            <w:r>
              <w:rPr>
                <w:color w:val="auto"/>
              </w:rPr>
              <w:t>1.3</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9" w:hRule="atLeast"/>
          <w:jc w:val="center"/>
        </w:trPr>
        <w:tc>
          <w:tcPr>
            <w:tcW w:w="815" w:type="dxa"/>
            <w:vMerge w:val="continue"/>
            <w:vAlign w:val="center"/>
          </w:tcPr>
          <w:p>
            <w:pPr>
              <w:adjustRightInd w:val="0"/>
              <w:snapToGrid w:val="0"/>
              <w:jc w:val="center"/>
              <w:rPr>
                <w:color w:val="auto"/>
                <w:sz w:val="2"/>
                <w:szCs w:val="2"/>
              </w:rPr>
            </w:pPr>
          </w:p>
        </w:tc>
        <w:tc>
          <w:tcPr>
            <w:tcW w:w="2412" w:type="dxa"/>
            <w:vAlign w:val="center"/>
          </w:tcPr>
          <w:p>
            <w:pPr>
              <w:pStyle w:val="161"/>
              <w:adjustRightInd w:val="0"/>
              <w:snapToGrid w:val="0"/>
              <w:jc w:val="center"/>
              <w:rPr>
                <w:color w:val="auto"/>
              </w:rPr>
            </w:pPr>
            <w:r>
              <w:rPr>
                <w:color w:val="auto"/>
              </w:rPr>
              <w:t>多年平均雷暴日数（d）</w:t>
            </w:r>
          </w:p>
        </w:tc>
        <w:tc>
          <w:tcPr>
            <w:tcW w:w="1163" w:type="dxa"/>
            <w:vAlign w:val="center"/>
          </w:tcPr>
          <w:p>
            <w:pPr>
              <w:pStyle w:val="161"/>
              <w:adjustRightInd w:val="0"/>
              <w:snapToGrid w:val="0"/>
              <w:jc w:val="center"/>
              <w:rPr>
                <w:color w:val="auto"/>
              </w:rPr>
            </w:pPr>
            <w:r>
              <w:rPr>
                <w:color w:val="auto"/>
              </w:rPr>
              <w:t>11.6</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8" w:hRule="atLeast"/>
          <w:jc w:val="center"/>
        </w:trPr>
        <w:tc>
          <w:tcPr>
            <w:tcW w:w="815" w:type="dxa"/>
            <w:vMerge w:val="continue"/>
            <w:vAlign w:val="center"/>
          </w:tcPr>
          <w:p>
            <w:pPr>
              <w:adjustRightInd w:val="0"/>
              <w:snapToGrid w:val="0"/>
              <w:jc w:val="center"/>
              <w:rPr>
                <w:color w:val="auto"/>
                <w:sz w:val="2"/>
                <w:szCs w:val="2"/>
              </w:rPr>
            </w:pPr>
          </w:p>
        </w:tc>
        <w:tc>
          <w:tcPr>
            <w:tcW w:w="2412" w:type="dxa"/>
            <w:vAlign w:val="center"/>
          </w:tcPr>
          <w:p>
            <w:pPr>
              <w:pStyle w:val="161"/>
              <w:adjustRightInd w:val="0"/>
              <w:snapToGrid w:val="0"/>
              <w:jc w:val="center"/>
              <w:rPr>
                <w:color w:val="auto"/>
              </w:rPr>
            </w:pPr>
            <w:r>
              <w:rPr>
                <w:color w:val="auto"/>
              </w:rPr>
              <w:t>多年平均冰雹日数（d）</w:t>
            </w:r>
          </w:p>
        </w:tc>
        <w:tc>
          <w:tcPr>
            <w:tcW w:w="1163" w:type="dxa"/>
            <w:vAlign w:val="center"/>
          </w:tcPr>
          <w:p>
            <w:pPr>
              <w:pStyle w:val="161"/>
              <w:adjustRightInd w:val="0"/>
              <w:snapToGrid w:val="0"/>
              <w:jc w:val="center"/>
              <w:rPr>
                <w:color w:val="auto"/>
              </w:rPr>
            </w:pPr>
            <w:r>
              <w:rPr>
                <w:color w:val="auto"/>
              </w:rPr>
              <w:t>0.1</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8" w:hRule="atLeast"/>
          <w:jc w:val="center"/>
        </w:trPr>
        <w:tc>
          <w:tcPr>
            <w:tcW w:w="815" w:type="dxa"/>
            <w:vMerge w:val="continue"/>
            <w:vAlign w:val="center"/>
          </w:tcPr>
          <w:p>
            <w:pPr>
              <w:adjustRightInd w:val="0"/>
              <w:snapToGrid w:val="0"/>
              <w:jc w:val="center"/>
              <w:rPr>
                <w:color w:val="auto"/>
                <w:sz w:val="2"/>
                <w:szCs w:val="2"/>
              </w:rPr>
            </w:pPr>
          </w:p>
        </w:tc>
        <w:tc>
          <w:tcPr>
            <w:tcW w:w="2412" w:type="dxa"/>
            <w:vAlign w:val="center"/>
          </w:tcPr>
          <w:p>
            <w:pPr>
              <w:pStyle w:val="161"/>
              <w:adjustRightInd w:val="0"/>
              <w:snapToGrid w:val="0"/>
              <w:jc w:val="center"/>
              <w:rPr>
                <w:color w:val="auto"/>
              </w:rPr>
            </w:pPr>
            <w:r>
              <w:rPr>
                <w:color w:val="auto"/>
              </w:rPr>
              <w:t>多年平均大风日数（d）</w:t>
            </w:r>
          </w:p>
        </w:tc>
        <w:tc>
          <w:tcPr>
            <w:tcW w:w="1163" w:type="dxa"/>
            <w:vAlign w:val="center"/>
          </w:tcPr>
          <w:p>
            <w:pPr>
              <w:pStyle w:val="161"/>
              <w:adjustRightInd w:val="0"/>
              <w:snapToGrid w:val="0"/>
              <w:jc w:val="center"/>
              <w:rPr>
                <w:color w:val="auto"/>
              </w:rPr>
            </w:pPr>
            <w:r>
              <w:rPr>
                <w:color w:val="auto"/>
              </w:rPr>
              <w:t>11.1</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8" w:hRule="atLeast"/>
          <w:jc w:val="center"/>
        </w:trPr>
        <w:tc>
          <w:tcPr>
            <w:tcW w:w="3227" w:type="dxa"/>
            <w:gridSpan w:val="2"/>
            <w:vAlign w:val="center"/>
          </w:tcPr>
          <w:p>
            <w:pPr>
              <w:pStyle w:val="161"/>
              <w:adjustRightInd w:val="0"/>
              <w:snapToGrid w:val="0"/>
              <w:jc w:val="center"/>
              <w:rPr>
                <w:color w:val="auto"/>
              </w:rPr>
            </w:pPr>
            <w:r>
              <w:rPr>
                <w:color w:val="auto"/>
              </w:rPr>
              <w:t>多年平均风速（m/s）</w:t>
            </w:r>
          </w:p>
        </w:tc>
        <w:tc>
          <w:tcPr>
            <w:tcW w:w="1163" w:type="dxa"/>
            <w:vAlign w:val="center"/>
          </w:tcPr>
          <w:p>
            <w:pPr>
              <w:pStyle w:val="161"/>
              <w:adjustRightInd w:val="0"/>
              <w:snapToGrid w:val="0"/>
              <w:jc w:val="center"/>
              <w:rPr>
                <w:color w:val="auto"/>
              </w:rPr>
            </w:pPr>
            <w:r>
              <w:rPr>
                <w:color w:val="auto"/>
              </w:rPr>
              <w:t>2.6</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8" w:hRule="atLeast"/>
          <w:jc w:val="center"/>
        </w:trPr>
        <w:tc>
          <w:tcPr>
            <w:tcW w:w="3227" w:type="dxa"/>
            <w:gridSpan w:val="2"/>
            <w:vAlign w:val="center"/>
          </w:tcPr>
          <w:p>
            <w:pPr>
              <w:pStyle w:val="161"/>
              <w:adjustRightInd w:val="0"/>
              <w:snapToGrid w:val="0"/>
              <w:jc w:val="center"/>
              <w:rPr>
                <w:color w:val="auto"/>
              </w:rPr>
            </w:pPr>
            <w:r>
              <w:rPr>
                <w:color w:val="auto"/>
              </w:rPr>
              <w:t>多年最大风速（m/s）、相应风向</w:t>
            </w:r>
          </w:p>
        </w:tc>
        <w:tc>
          <w:tcPr>
            <w:tcW w:w="1163" w:type="dxa"/>
            <w:vAlign w:val="center"/>
          </w:tcPr>
          <w:p>
            <w:pPr>
              <w:pStyle w:val="161"/>
              <w:adjustRightInd w:val="0"/>
              <w:snapToGrid w:val="0"/>
              <w:jc w:val="center"/>
              <w:rPr>
                <w:color w:val="auto"/>
              </w:rPr>
            </w:pPr>
            <w:r>
              <w:rPr>
                <w:color w:val="auto"/>
              </w:rPr>
              <w:t>22.4</w:t>
            </w:r>
          </w:p>
        </w:tc>
        <w:tc>
          <w:tcPr>
            <w:tcW w:w="2165" w:type="dxa"/>
            <w:vAlign w:val="center"/>
          </w:tcPr>
          <w:p>
            <w:pPr>
              <w:pStyle w:val="161"/>
              <w:adjustRightInd w:val="0"/>
              <w:snapToGrid w:val="0"/>
              <w:jc w:val="center"/>
              <w:rPr>
                <w:color w:val="auto"/>
              </w:rPr>
            </w:pPr>
            <w:r>
              <w:rPr>
                <w:color w:val="auto"/>
              </w:rPr>
              <w:t>1999-07-19</w:t>
            </w:r>
          </w:p>
        </w:tc>
        <w:tc>
          <w:tcPr>
            <w:tcW w:w="2010" w:type="dxa"/>
            <w:vAlign w:val="center"/>
          </w:tcPr>
          <w:p>
            <w:pPr>
              <w:pStyle w:val="161"/>
              <w:adjustRightInd w:val="0"/>
              <w:snapToGrid w:val="0"/>
              <w:jc w:val="center"/>
              <w:rPr>
                <w:color w:val="auto"/>
              </w:rPr>
            </w:pPr>
            <w:r>
              <w:rPr>
                <w:color w:val="auto"/>
              </w:rPr>
              <w:t>28.1 ESE</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9" w:hRule="atLeast"/>
          <w:jc w:val="center"/>
        </w:trPr>
        <w:tc>
          <w:tcPr>
            <w:tcW w:w="3227" w:type="dxa"/>
            <w:gridSpan w:val="2"/>
            <w:vAlign w:val="center"/>
          </w:tcPr>
          <w:p>
            <w:pPr>
              <w:pStyle w:val="161"/>
              <w:adjustRightInd w:val="0"/>
              <w:snapToGrid w:val="0"/>
              <w:jc w:val="center"/>
              <w:rPr>
                <w:color w:val="auto"/>
              </w:rPr>
            </w:pPr>
            <w:r>
              <w:rPr>
                <w:color w:val="auto"/>
              </w:rPr>
              <w:t>全年主导风向、风向频率（%）</w:t>
            </w:r>
          </w:p>
        </w:tc>
        <w:tc>
          <w:tcPr>
            <w:tcW w:w="1163" w:type="dxa"/>
            <w:vAlign w:val="center"/>
          </w:tcPr>
          <w:p>
            <w:pPr>
              <w:pStyle w:val="161"/>
              <w:adjustRightInd w:val="0"/>
              <w:snapToGrid w:val="0"/>
              <w:jc w:val="center"/>
              <w:rPr>
                <w:color w:val="auto"/>
              </w:rPr>
            </w:pPr>
            <w:r>
              <w:rPr>
                <w:color w:val="auto"/>
              </w:rPr>
              <w:t>E、15.3</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02" w:hRule="atLeast"/>
          <w:jc w:val="center"/>
        </w:trPr>
        <w:tc>
          <w:tcPr>
            <w:tcW w:w="3227" w:type="dxa"/>
            <w:gridSpan w:val="2"/>
            <w:vAlign w:val="center"/>
          </w:tcPr>
          <w:p>
            <w:pPr>
              <w:pStyle w:val="161"/>
              <w:adjustRightInd w:val="0"/>
              <w:snapToGrid w:val="0"/>
              <w:jc w:val="center"/>
              <w:rPr>
                <w:color w:val="auto"/>
              </w:rPr>
            </w:pPr>
            <w:r>
              <w:rPr>
                <w:color w:val="auto"/>
                <w:spacing w:val="-17"/>
              </w:rPr>
              <w:t>多年静风频率</w:t>
            </w:r>
            <w:r>
              <w:rPr>
                <w:color w:val="auto"/>
              </w:rPr>
              <w:t>（</w:t>
            </w:r>
            <w:r>
              <w:rPr>
                <w:color w:val="auto"/>
                <w:spacing w:val="-2"/>
              </w:rPr>
              <w:t>风速</w:t>
            </w:r>
            <w:r>
              <w:rPr>
                <w:color w:val="auto"/>
                <w:spacing w:val="-1"/>
              </w:rPr>
              <w:t>≤</w:t>
            </w:r>
            <w:r>
              <w:rPr>
                <w:color w:val="auto"/>
              </w:rPr>
              <w:t>0.2</w:t>
            </w:r>
            <w:r>
              <w:rPr>
                <w:color w:val="auto"/>
                <w:spacing w:val="-4"/>
              </w:rPr>
              <w:t>m</w:t>
            </w:r>
            <w:r>
              <w:rPr>
                <w:color w:val="auto"/>
                <w:spacing w:val="-2"/>
              </w:rPr>
              <w:t>/</w:t>
            </w:r>
            <w:r>
              <w:rPr>
                <w:color w:val="auto"/>
                <w:spacing w:val="-1"/>
              </w:rPr>
              <w:t>s</w:t>
            </w:r>
            <w:r>
              <w:rPr>
                <w:color w:val="auto"/>
                <w:spacing w:val="-173"/>
              </w:rPr>
              <w:t>）</w:t>
            </w:r>
            <w:r>
              <w:rPr>
                <w:color w:val="auto"/>
              </w:rPr>
              <w:t>（</w:t>
            </w:r>
            <w:r>
              <w:rPr>
                <w:color w:val="auto"/>
                <w:spacing w:val="-4"/>
              </w:rPr>
              <w:t>%</w:t>
            </w:r>
            <w:r>
              <w:rPr>
                <w:color w:val="auto"/>
              </w:rPr>
              <w:t>）</w:t>
            </w:r>
          </w:p>
        </w:tc>
        <w:tc>
          <w:tcPr>
            <w:tcW w:w="1163" w:type="dxa"/>
            <w:vAlign w:val="center"/>
          </w:tcPr>
          <w:p>
            <w:pPr>
              <w:pStyle w:val="161"/>
              <w:adjustRightInd w:val="0"/>
              <w:snapToGrid w:val="0"/>
              <w:jc w:val="center"/>
              <w:rPr>
                <w:color w:val="auto"/>
              </w:rPr>
            </w:pPr>
            <w:r>
              <w:rPr>
                <w:color w:val="auto"/>
              </w:rPr>
              <w:t>6.6</w:t>
            </w:r>
          </w:p>
        </w:tc>
        <w:tc>
          <w:tcPr>
            <w:tcW w:w="2165" w:type="dxa"/>
            <w:vAlign w:val="center"/>
          </w:tcPr>
          <w:p>
            <w:pPr>
              <w:pStyle w:val="161"/>
              <w:adjustRightInd w:val="0"/>
              <w:snapToGrid w:val="0"/>
              <w:jc w:val="center"/>
              <w:rPr>
                <w:color w:val="auto"/>
              </w:rPr>
            </w:pPr>
            <w:r>
              <w:rPr>
                <w:color w:val="auto"/>
              </w:rPr>
              <w:t>/</w:t>
            </w:r>
          </w:p>
        </w:tc>
        <w:tc>
          <w:tcPr>
            <w:tcW w:w="2010" w:type="dxa"/>
            <w:vAlign w:val="center"/>
          </w:tcPr>
          <w:p>
            <w:pPr>
              <w:pStyle w:val="161"/>
              <w:adjustRightInd w:val="0"/>
              <w:snapToGrid w:val="0"/>
              <w:jc w:val="center"/>
              <w:rPr>
                <w:color w:val="auto"/>
              </w:rPr>
            </w:pPr>
            <w:r>
              <w:rPr>
                <w:color w:val="auto"/>
              </w:rPr>
              <w:t>/</w:t>
            </w:r>
          </w:p>
        </w:tc>
      </w:tr>
    </w:tbl>
    <w:p>
      <w:pPr>
        <w:pStyle w:val="130"/>
        <w:ind w:firstLine="480"/>
        <w:rPr>
          <w:color w:val="auto"/>
        </w:rPr>
      </w:pPr>
      <w:r>
        <w:rPr>
          <w:color w:val="auto"/>
        </w:rPr>
        <w:fldChar w:fldCharType="begin"/>
      </w:r>
      <w:r>
        <w:rPr>
          <w:color w:val="auto"/>
        </w:rPr>
        <w:instrText xml:space="preserve"> = 1 \* GB2 </w:instrText>
      </w:r>
      <w:r>
        <w:rPr>
          <w:color w:val="auto"/>
        </w:rPr>
        <w:fldChar w:fldCharType="separate"/>
      </w:r>
      <w:r>
        <w:rPr>
          <w:color w:val="auto"/>
        </w:rPr>
        <w:t>⑴</w:t>
      </w:r>
      <w:r>
        <w:rPr>
          <w:color w:val="auto"/>
        </w:rPr>
        <w:fldChar w:fldCharType="end"/>
      </w:r>
      <w:r>
        <w:rPr>
          <w:color w:val="auto"/>
        </w:rPr>
        <w:t>月平均风速</w:t>
      </w:r>
    </w:p>
    <w:p>
      <w:pPr>
        <w:pStyle w:val="130"/>
        <w:ind w:firstLine="480"/>
        <w:rPr>
          <w:color w:val="auto"/>
        </w:rPr>
      </w:pPr>
      <w:r>
        <w:rPr>
          <w:color w:val="auto"/>
        </w:rPr>
        <w:t>中卫气象站近20年月平均风速统计见表7.2-2，4月平均风速最大（3.2m/s），1月风最小（2.1m/s）。</w:t>
      </w:r>
    </w:p>
    <w:p>
      <w:pPr>
        <w:pStyle w:val="114"/>
        <w:spacing w:before="0" w:beforeLines="0"/>
        <w:rPr>
          <w:color w:val="auto"/>
        </w:rPr>
      </w:pPr>
      <w:r>
        <w:rPr>
          <w:color w:val="auto"/>
        </w:rPr>
        <w:t xml:space="preserve">表7.2-2  </w:t>
      </w:r>
      <w:r>
        <w:rPr>
          <w:color w:val="auto"/>
        </w:rPr>
        <w:tab/>
      </w:r>
      <w:r>
        <w:rPr>
          <w:color w:val="auto"/>
        </w:rPr>
        <w:t>中卫气象站近20年月平均风速统计</w:t>
      </w:r>
      <w:r>
        <w:rPr>
          <w:color w:val="auto"/>
        </w:rPr>
        <w:tab/>
      </w:r>
      <w:r>
        <w:rPr>
          <w:color w:val="auto"/>
        </w:rPr>
        <w:t>单位：m/s</w:t>
      </w:r>
    </w:p>
    <w:tbl>
      <w:tblPr>
        <w:tblStyle w:val="74"/>
        <w:tblW w:w="8716" w:type="dxa"/>
        <w:jc w:val="center"/>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133"/>
        <w:gridCol w:w="511"/>
        <w:gridCol w:w="643"/>
        <w:gridCol w:w="643"/>
        <w:gridCol w:w="645"/>
        <w:gridCol w:w="643"/>
        <w:gridCol w:w="643"/>
        <w:gridCol w:w="645"/>
        <w:gridCol w:w="643"/>
        <w:gridCol w:w="643"/>
        <w:gridCol w:w="655"/>
        <w:gridCol w:w="650"/>
        <w:gridCol w:w="61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jc w:val="center"/>
        </w:trPr>
        <w:tc>
          <w:tcPr>
            <w:tcW w:w="1133" w:type="dxa"/>
            <w:tcBorders>
              <w:bottom w:val="single" w:color="000000" w:sz="6" w:space="0"/>
              <w:right w:val="single" w:color="000000" w:sz="6" w:space="0"/>
            </w:tcBorders>
          </w:tcPr>
          <w:p>
            <w:pPr>
              <w:pStyle w:val="161"/>
              <w:spacing w:before="63"/>
              <w:ind w:left="124" w:right="103"/>
              <w:jc w:val="center"/>
              <w:rPr>
                <w:color w:val="auto"/>
              </w:rPr>
            </w:pPr>
            <w:r>
              <w:rPr>
                <w:color w:val="auto"/>
              </w:rPr>
              <w:t>月份</w:t>
            </w:r>
          </w:p>
        </w:tc>
        <w:tc>
          <w:tcPr>
            <w:tcW w:w="511" w:type="dxa"/>
            <w:tcBorders>
              <w:left w:val="single" w:color="000000" w:sz="6" w:space="0"/>
              <w:bottom w:val="single" w:color="000000" w:sz="6" w:space="0"/>
              <w:right w:val="single" w:color="000000" w:sz="6" w:space="0"/>
            </w:tcBorders>
          </w:tcPr>
          <w:p>
            <w:pPr>
              <w:pStyle w:val="161"/>
              <w:spacing w:before="72"/>
              <w:ind w:left="21"/>
              <w:jc w:val="center"/>
              <w:rPr>
                <w:color w:val="auto"/>
              </w:rPr>
            </w:pPr>
            <w:r>
              <w:rPr>
                <w:color w:val="auto"/>
              </w:rPr>
              <w:t>1</w:t>
            </w:r>
          </w:p>
        </w:tc>
        <w:tc>
          <w:tcPr>
            <w:tcW w:w="643" w:type="dxa"/>
            <w:tcBorders>
              <w:left w:val="single" w:color="000000" w:sz="6" w:space="0"/>
              <w:bottom w:val="single" w:color="000000" w:sz="6" w:space="0"/>
              <w:right w:val="single" w:color="000000" w:sz="6" w:space="0"/>
            </w:tcBorders>
          </w:tcPr>
          <w:p>
            <w:pPr>
              <w:pStyle w:val="161"/>
              <w:spacing w:before="72"/>
              <w:ind w:left="24"/>
              <w:jc w:val="center"/>
              <w:rPr>
                <w:color w:val="auto"/>
              </w:rPr>
            </w:pPr>
            <w:r>
              <w:rPr>
                <w:color w:val="auto"/>
              </w:rPr>
              <w:t>2</w:t>
            </w:r>
          </w:p>
        </w:tc>
        <w:tc>
          <w:tcPr>
            <w:tcW w:w="643" w:type="dxa"/>
            <w:tcBorders>
              <w:left w:val="single" w:color="000000" w:sz="6" w:space="0"/>
              <w:bottom w:val="single" w:color="000000" w:sz="6" w:space="0"/>
              <w:right w:val="single" w:color="000000" w:sz="6" w:space="0"/>
            </w:tcBorders>
          </w:tcPr>
          <w:p>
            <w:pPr>
              <w:pStyle w:val="161"/>
              <w:spacing w:before="72"/>
              <w:ind w:left="29"/>
              <w:jc w:val="center"/>
              <w:rPr>
                <w:color w:val="auto"/>
              </w:rPr>
            </w:pPr>
            <w:r>
              <w:rPr>
                <w:color w:val="auto"/>
              </w:rPr>
              <w:t>3</w:t>
            </w:r>
          </w:p>
        </w:tc>
        <w:tc>
          <w:tcPr>
            <w:tcW w:w="645" w:type="dxa"/>
            <w:tcBorders>
              <w:left w:val="single" w:color="000000" w:sz="6" w:space="0"/>
              <w:bottom w:val="single" w:color="000000" w:sz="6" w:space="0"/>
              <w:right w:val="single" w:color="000000" w:sz="6" w:space="0"/>
            </w:tcBorders>
          </w:tcPr>
          <w:p>
            <w:pPr>
              <w:pStyle w:val="161"/>
              <w:spacing w:before="72"/>
              <w:ind w:left="27"/>
              <w:jc w:val="center"/>
              <w:rPr>
                <w:color w:val="auto"/>
              </w:rPr>
            </w:pPr>
            <w:r>
              <w:rPr>
                <w:color w:val="auto"/>
              </w:rPr>
              <w:t>4</w:t>
            </w:r>
          </w:p>
        </w:tc>
        <w:tc>
          <w:tcPr>
            <w:tcW w:w="643" w:type="dxa"/>
            <w:tcBorders>
              <w:left w:val="single" w:color="000000" w:sz="6" w:space="0"/>
              <w:bottom w:val="single" w:color="000000" w:sz="6" w:space="0"/>
              <w:right w:val="single" w:color="000000" w:sz="6" w:space="0"/>
            </w:tcBorders>
          </w:tcPr>
          <w:p>
            <w:pPr>
              <w:pStyle w:val="161"/>
              <w:spacing w:before="72"/>
              <w:ind w:left="26"/>
              <w:jc w:val="center"/>
              <w:rPr>
                <w:color w:val="auto"/>
              </w:rPr>
            </w:pPr>
            <w:r>
              <w:rPr>
                <w:color w:val="auto"/>
              </w:rPr>
              <w:t>5</w:t>
            </w:r>
          </w:p>
        </w:tc>
        <w:tc>
          <w:tcPr>
            <w:tcW w:w="643" w:type="dxa"/>
            <w:tcBorders>
              <w:left w:val="single" w:color="000000" w:sz="6" w:space="0"/>
              <w:bottom w:val="single" w:color="000000" w:sz="6" w:space="0"/>
              <w:right w:val="single" w:color="000000" w:sz="6" w:space="0"/>
            </w:tcBorders>
          </w:tcPr>
          <w:p>
            <w:pPr>
              <w:pStyle w:val="161"/>
              <w:spacing w:before="72"/>
              <w:ind w:left="31"/>
              <w:jc w:val="center"/>
              <w:rPr>
                <w:color w:val="auto"/>
              </w:rPr>
            </w:pPr>
            <w:r>
              <w:rPr>
                <w:color w:val="auto"/>
              </w:rPr>
              <w:t>6</w:t>
            </w:r>
          </w:p>
        </w:tc>
        <w:tc>
          <w:tcPr>
            <w:tcW w:w="645" w:type="dxa"/>
            <w:tcBorders>
              <w:left w:val="single" w:color="000000" w:sz="6" w:space="0"/>
              <w:bottom w:val="single" w:color="000000" w:sz="6" w:space="0"/>
              <w:right w:val="single" w:color="000000" w:sz="6" w:space="0"/>
            </w:tcBorders>
          </w:tcPr>
          <w:p>
            <w:pPr>
              <w:pStyle w:val="161"/>
              <w:spacing w:before="72"/>
              <w:ind w:left="29"/>
              <w:jc w:val="center"/>
              <w:rPr>
                <w:color w:val="auto"/>
              </w:rPr>
            </w:pPr>
            <w:r>
              <w:rPr>
                <w:color w:val="auto"/>
              </w:rPr>
              <w:t>7</w:t>
            </w:r>
          </w:p>
        </w:tc>
        <w:tc>
          <w:tcPr>
            <w:tcW w:w="643" w:type="dxa"/>
            <w:tcBorders>
              <w:left w:val="single" w:color="000000" w:sz="6" w:space="0"/>
              <w:bottom w:val="single" w:color="000000" w:sz="6" w:space="0"/>
              <w:right w:val="single" w:color="000000" w:sz="6" w:space="0"/>
            </w:tcBorders>
          </w:tcPr>
          <w:p>
            <w:pPr>
              <w:pStyle w:val="161"/>
              <w:spacing w:before="72"/>
              <w:ind w:left="27"/>
              <w:jc w:val="center"/>
              <w:rPr>
                <w:color w:val="auto"/>
              </w:rPr>
            </w:pPr>
            <w:r>
              <w:rPr>
                <w:color w:val="auto"/>
              </w:rPr>
              <w:t>8</w:t>
            </w:r>
          </w:p>
        </w:tc>
        <w:tc>
          <w:tcPr>
            <w:tcW w:w="643" w:type="dxa"/>
            <w:tcBorders>
              <w:left w:val="single" w:color="000000" w:sz="6" w:space="0"/>
              <w:bottom w:val="single" w:color="000000" w:sz="6" w:space="0"/>
              <w:right w:val="single" w:color="000000" w:sz="6" w:space="0"/>
            </w:tcBorders>
          </w:tcPr>
          <w:p>
            <w:pPr>
              <w:pStyle w:val="161"/>
              <w:spacing w:before="72"/>
              <w:ind w:left="33"/>
              <w:jc w:val="center"/>
              <w:rPr>
                <w:color w:val="auto"/>
              </w:rPr>
            </w:pPr>
            <w:r>
              <w:rPr>
                <w:color w:val="auto"/>
              </w:rPr>
              <w:t>9</w:t>
            </w:r>
          </w:p>
        </w:tc>
        <w:tc>
          <w:tcPr>
            <w:tcW w:w="655" w:type="dxa"/>
            <w:tcBorders>
              <w:left w:val="single" w:color="000000" w:sz="6" w:space="0"/>
              <w:bottom w:val="single" w:color="000000" w:sz="6" w:space="0"/>
              <w:right w:val="single" w:color="000000" w:sz="6" w:space="0"/>
            </w:tcBorders>
          </w:tcPr>
          <w:p>
            <w:pPr>
              <w:pStyle w:val="161"/>
              <w:spacing w:before="72"/>
              <w:jc w:val="center"/>
              <w:rPr>
                <w:color w:val="auto"/>
              </w:rPr>
            </w:pPr>
            <w:r>
              <w:rPr>
                <w:color w:val="auto"/>
              </w:rPr>
              <w:t>10</w:t>
            </w:r>
          </w:p>
        </w:tc>
        <w:tc>
          <w:tcPr>
            <w:tcW w:w="650" w:type="dxa"/>
            <w:tcBorders>
              <w:left w:val="single" w:color="000000" w:sz="6" w:space="0"/>
              <w:bottom w:val="single" w:color="000000" w:sz="6" w:space="0"/>
              <w:right w:val="single" w:color="000000" w:sz="6" w:space="0"/>
            </w:tcBorders>
          </w:tcPr>
          <w:p>
            <w:pPr>
              <w:pStyle w:val="161"/>
              <w:spacing w:before="72"/>
              <w:jc w:val="center"/>
              <w:rPr>
                <w:color w:val="auto"/>
              </w:rPr>
            </w:pPr>
            <w:r>
              <w:rPr>
                <w:color w:val="auto"/>
              </w:rPr>
              <w:t>11</w:t>
            </w:r>
          </w:p>
        </w:tc>
        <w:tc>
          <w:tcPr>
            <w:tcW w:w="619" w:type="dxa"/>
            <w:tcBorders>
              <w:left w:val="single" w:color="000000" w:sz="6" w:space="0"/>
              <w:bottom w:val="single" w:color="000000" w:sz="6" w:space="0"/>
            </w:tcBorders>
          </w:tcPr>
          <w:p>
            <w:pPr>
              <w:pStyle w:val="161"/>
              <w:spacing w:before="72"/>
              <w:jc w:val="center"/>
              <w:rPr>
                <w:color w:val="auto"/>
              </w:rPr>
            </w:pPr>
            <w:r>
              <w:rPr>
                <w:color w:val="auto"/>
              </w:rPr>
              <w:t>12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jc w:val="center"/>
        </w:trPr>
        <w:tc>
          <w:tcPr>
            <w:tcW w:w="1133" w:type="dxa"/>
            <w:tcBorders>
              <w:top w:val="single" w:color="000000" w:sz="6" w:space="0"/>
              <w:right w:val="single" w:color="000000" w:sz="6" w:space="0"/>
            </w:tcBorders>
          </w:tcPr>
          <w:p>
            <w:pPr>
              <w:pStyle w:val="161"/>
              <w:spacing w:before="63"/>
              <w:ind w:left="126" w:right="103"/>
              <w:jc w:val="center"/>
              <w:rPr>
                <w:color w:val="auto"/>
              </w:rPr>
            </w:pPr>
            <w:r>
              <w:rPr>
                <w:color w:val="auto"/>
              </w:rPr>
              <w:t>平均风速</w:t>
            </w:r>
          </w:p>
        </w:tc>
        <w:tc>
          <w:tcPr>
            <w:tcW w:w="511" w:type="dxa"/>
            <w:tcBorders>
              <w:top w:val="single" w:color="000000" w:sz="6" w:space="0"/>
              <w:left w:val="single" w:color="000000" w:sz="6" w:space="0"/>
              <w:right w:val="single" w:color="000000" w:sz="6" w:space="0"/>
            </w:tcBorders>
          </w:tcPr>
          <w:p>
            <w:pPr>
              <w:pStyle w:val="161"/>
              <w:spacing w:before="70"/>
              <w:ind w:left="109" w:right="83"/>
              <w:jc w:val="center"/>
              <w:rPr>
                <w:color w:val="auto"/>
              </w:rPr>
            </w:pPr>
            <w:r>
              <w:rPr>
                <w:color w:val="auto"/>
              </w:rPr>
              <w:t>2.1</w:t>
            </w:r>
          </w:p>
        </w:tc>
        <w:tc>
          <w:tcPr>
            <w:tcW w:w="643" w:type="dxa"/>
            <w:tcBorders>
              <w:top w:val="single" w:color="000000" w:sz="6" w:space="0"/>
              <w:left w:val="single" w:color="000000" w:sz="6" w:space="0"/>
              <w:right w:val="single" w:color="000000" w:sz="6" w:space="0"/>
            </w:tcBorders>
          </w:tcPr>
          <w:p>
            <w:pPr>
              <w:pStyle w:val="161"/>
              <w:spacing w:before="70"/>
              <w:ind w:left="169" w:right="145"/>
              <w:jc w:val="center"/>
              <w:rPr>
                <w:color w:val="auto"/>
              </w:rPr>
            </w:pPr>
            <w:r>
              <w:rPr>
                <w:color w:val="auto"/>
              </w:rPr>
              <w:t>2.5</w:t>
            </w:r>
          </w:p>
        </w:tc>
        <w:tc>
          <w:tcPr>
            <w:tcW w:w="643" w:type="dxa"/>
            <w:tcBorders>
              <w:top w:val="single" w:color="000000" w:sz="6" w:space="0"/>
              <w:left w:val="single" w:color="000000" w:sz="6" w:space="0"/>
              <w:right w:val="single" w:color="000000" w:sz="6" w:space="0"/>
            </w:tcBorders>
          </w:tcPr>
          <w:p>
            <w:pPr>
              <w:pStyle w:val="161"/>
              <w:spacing w:before="70"/>
              <w:ind w:left="174" w:right="145"/>
              <w:jc w:val="center"/>
              <w:rPr>
                <w:color w:val="auto"/>
              </w:rPr>
            </w:pPr>
            <w:r>
              <w:rPr>
                <w:color w:val="auto"/>
              </w:rPr>
              <w:t>3.0</w:t>
            </w:r>
          </w:p>
        </w:tc>
        <w:tc>
          <w:tcPr>
            <w:tcW w:w="645" w:type="dxa"/>
            <w:tcBorders>
              <w:top w:val="single" w:color="000000" w:sz="6" w:space="0"/>
              <w:left w:val="single" w:color="000000" w:sz="6" w:space="0"/>
              <w:right w:val="single" w:color="000000" w:sz="6" w:space="0"/>
            </w:tcBorders>
          </w:tcPr>
          <w:p>
            <w:pPr>
              <w:pStyle w:val="161"/>
              <w:spacing w:before="70"/>
              <w:ind w:left="176" w:right="148"/>
              <w:jc w:val="center"/>
              <w:rPr>
                <w:color w:val="auto"/>
              </w:rPr>
            </w:pPr>
            <w:r>
              <w:rPr>
                <w:color w:val="auto"/>
              </w:rPr>
              <w:t>3.2</w:t>
            </w:r>
          </w:p>
        </w:tc>
        <w:tc>
          <w:tcPr>
            <w:tcW w:w="643" w:type="dxa"/>
            <w:tcBorders>
              <w:top w:val="single" w:color="000000" w:sz="6" w:space="0"/>
              <w:left w:val="single" w:color="000000" w:sz="6" w:space="0"/>
              <w:right w:val="single" w:color="000000" w:sz="6" w:space="0"/>
            </w:tcBorders>
          </w:tcPr>
          <w:p>
            <w:pPr>
              <w:pStyle w:val="161"/>
              <w:spacing w:before="70"/>
              <w:ind w:left="172" w:right="145"/>
              <w:jc w:val="center"/>
              <w:rPr>
                <w:color w:val="auto"/>
              </w:rPr>
            </w:pPr>
            <w:r>
              <w:rPr>
                <w:color w:val="auto"/>
              </w:rPr>
              <w:t>3.0</w:t>
            </w:r>
          </w:p>
        </w:tc>
        <w:tc>
          <w:tcPr>
            <w:tcW w:w="643" w:type="dxa"/>
            <w:tcBorders>
              <w:top w:val="single" w:color="000000" w:sz="6" w:space="0"/>
              <w:left w:val="single" w:color="000000" w:sz="6" w:space="0"/>
              <w:right w:val="single" w:color="000000" w:sz="6" w:space="0"/>
            </w:tcBorders>
          </w:tcPr>
          <w:p>
            <w:pPr>
              <w:pStyle w:val="161"/>
              <w:spacing w:before="70"/>
              <w:ind w:left="174" w:right="142"/>
              <w:jc w:val="center"/>
              <w:rPr>
                <w:color w:val="auto"/>
              </w:rPr>
            </w:pPr>
            <w:r>
              <w:rPr>
                <w:color w:val="auto"/>
              </w:rPr>
              <w:t>2.8</w:t>
            </w:r>
          </w:p>
        </w:tc>
        <w:tc>
          <w:tcPr>
            <w:tcW w:w="645" w:type="dxa"/>
            <w:tcBorders>
              <w:top w:val="single" w:color="000000" w:sz="6" w:space="0"/>
              <w:left w:val="single" w:color="000000" w:sz="6" w:space="0"/>
              <w:right w:val="single" w:color="000000" w:sz="6" w:space="0"/>
            </w:tcBorders>
          </w:tcPr>
          <w:p>
            <w:pPr>
              <w:pStyle w:val="161"/>
              <w:spacing w:before="70"/>
              <w:ind w:left="177" w:right="147"/>
              <w:jc w:val="center"/>
              <w:rPr>
                <w:color w:val="auto"/>
              </w:rPr>
            </w:pPr>
            <w:r>
              <w:rPr>
                <w:color w:val="auto"/>
              </w:rPr>
              <w:t>2.8</w:t>
            </w:r>
          </w:p>
        </w:tc>
        <w:tc>
          <w:tcPr>
            <w:tcW w:w="643" w:type="dxa"/>
            <w:tcBorders>
              <w:top w:val="single" w:color="000000" w:sz="6" w:space="0"/>
              <w:left w:val="single" w:color="000000" w:sz="6" w:space="0"/>
              <w:right w:val="single" w:color="000000" w:sz="6" w:space="0"/>
            </w:tcBorders>
          </w:tcPr>
          <w:p>
            <w:pPr>
              <w:pStyle w:val="161"/>
              <w:spacing w:before="70"/>
              <w:ind w:left="174" w:right="145"/>
              <w:jc w:val="center"/>
              <w:rPr>
                <w:color w:val="auto"/>
              </w:rPr>
            </w:pPr>
            <w:r>
              <w:rPr>
                <w:color w:val="auto"/>
              </w:rPr>
              <w:t>2.7</w:t>
            </w:r>
          </w:p>
        </w:tc>
        <w:tc>
          <w:tcPr>
            <w:tcW w:w="643" w:type="dxa"/>
            <w:tcBorders>
              <w:top w:val="single" w:color="000000" w:sz="6" w:space="0"/>
              <w:left w:val="single" w:color="000000" w:sz="6" w:space="0"/>
              <w:right w:val="single" w:color="000000" w:sz="6" w:space="0"/>
            </w:tcBorders>
          </w:tcPr>
          <w:p>
            <w:pPr>
              <w:pStyle w:val="161"/>
              <w:spacing w:before="70"/>
              <w:ind w:left="174" w:right="140"/>
              <w:jc w:val="center"/>
              <w:rPr>
                <w:color w:val="auto"/>
              </w:rPr>
            </w:pPr>
            <w:r>
              <w:rPr>
                <w:color w:val="auto"/>
              </w:rPr>
              <w:t>2.4</w:t>
            </w:r>
          </w:p>
        </w:tc>
        <w:tc>
          <w:tcPr>
            <w:tcW w:w="655" w:type="dxa"/>
            <w:tcBorders>
              <w:top w:val="single" w:color="000000" w:sz="6" w:space="0"/>
              <w:left w:val="single" w:color="000000" w:sz="6" w:space="0"/>
              <w:right w:val="single" w:color="000000" w:sz="6" w:space="0"/>
            </w:tcBorders>
          </w:tcPr>
          <w:p>
            <w:pPr>
              <w:pStyle w:val="161"/>
              <w:spacing w:before="70"/>
              <w:jc w:val="center"/>
              <w:rPr>
                <w:color w:val="auto"/>
              </w:rPr>
            </w:pPr>
            <w:r>
              <w:rPr>
                <w:color w:val="auto"/>
              </w:rPr>
              <w:t>2.2</w:t>
            </w:r>
          </w:p>
        </w:tc>
        <w:tc>
          <w:tcPr>
            <w:tcW w:w="650" w:type="dxa"/>
            <w:tcBorders>
              <w:top w:val="single" w:color="000000" w:sz="6" w:space="0"/>
              <w:left w:val="single" w:color="000000" w:sz="6" w:space="0"/>
              <w:right w:val="single" w:color="000000" w:sz="6" w:space="0"/>
            </w:tcBorders>
          </w:tcPr>
          <w:p>
            <w:pPr>
              <w:pStyle w:val="161"/>
              <w:spacing w:before="70"/>
              <w:jc w:val="center"/>
              <w:rPr>
                <w:color w:val="auto"/>
              </w:rPr>
            </w:pPr>
            <w:r>
              <w:rPr>
                <w:color w:val="auto"/>
              </w:rPr>
              <w:t>2.2</w:t>
            </w:r>
          </w:p>
        </w:tc>
        <w:tc>
          <w:tcPr>
            <w:tcW w:w="619" w:type="dxa"/>
            <w:tcBorders>
              <w:top w:val="single" w:color="000000" w:sz="6" w:space="0"/>
              <w:left w:val="single" w:color="000000" w:sz="6" w:space="0"/>
            </w:tcBorders>
          </w:tcPr>
          <w:p>
            <w:pPr>
              <w:pStyle w:val="161"/>
              <w:spacing w:before="70"/>
              <w:jc w:val="center"/>
              <w:rPr>
                <w:color w:val="auto"/>
              </w:rPr>
            </w:pPr>
            <w:r>
              <w:rPr>
                <w:color w:val="auto"/>
              </w:rPr>
              <w:t>2.3</w:t>
            </w:r>
          </w:p>
        </w:tc>
      </w:tr>
    </w:tbl>
    <w:p>
      <w:pPr>
        <w:pStyle w:val="130"/>
        <w:spacing w:before="120" w:beforeLines="50"/>
        <w:ind w:firstLine="480"/>
        <w:rPr>
          <w:color w:val="auto"/>
        </w:rPr>
      </w:pPr>
      <w:r>
        <w:rPr>
          <w:color w:val="auto"/>
        </w:rPr>
        <w:fldChar w:fldCharType="begin"/>
      </w:r>
      <w:r>
        <w:rPr>
          <w:color w:val="auto"/>
        </w:rPr>
        <w:instrText xml:space="preserve"> = 2 \* GB2 </w:instrText>
      </w:r>
      <w:r>
        <w:rPr>
          <w:color w:val="auto"/>
        </w:rPr>
        <w:fldChar w:fldCharType="separate"/>
      </w:r>
      <w:r>
        <w:rPr>
          <w:color w:val="auto"/>
        </w:rPr>
        <w:t>⑵</w:t>
      </w:r>
      <w:r>
        <w:rPr>
          <w:color w:val="auto"/>
        </w:rPr>
        <w:fldChar w:fldCharType="end"/>
      </w:r>
      <w:r>
        <w:rPr>
          <w:color w:val="auto"/>
        </w:rPr>
        <w:t>风向特征</w:t>
      </w:r>
    </w:p>
    <w:p>
      <w:pPr>
        <w:pStyle w:val="130"/>
        <w:ind w:firstLine="480"/>
        <w:rPr>
          <w:color w:val="auto"/>
        </w:rPr>
      </w:pPr>
      <w:r>
        <w:rPr>
          <w:color w:val="auto"/>
        </w:rPr>
        <w:t>中卫气象站近20年（1999-2018年）的年风向频率统计见表7.2-3。由表可知，该地区常年主导风向为E风和WNW、W、ESE，其中以E为主风向，占到全年15.3%左右。中卫近20年风向玫瑰图见图7.2-1。</w:t>
      </w:r>
    </w:p>
    <w:p>
      <w:pPr>
        <w:pStyle w:val="114"/>
        <w:spacing w:before="0" w:beforeLines="0"/>
        <w:rPr>
          <w:color w:val="auto"/>
        </w:rPr>
      </w:pPr>
      <w:r>
        <w:rPr>
          <w:color w:val="auto"/>
        </w:rPr>
        <w:drawing>
          <wp:anchor distT="0" distB="0" distL="0" distR="0" simplePos="0" relativeHeight="251660288" behindDoc="0" locked="0" layoutInCell="1" allowOverlap="1">
            <wp:simplePos x="0" y="0"/>
            <wp:positionH relativeFrom="page">
              <wp:posOffset>1699260</wp:posOffset>
            </wp:positionH>
            <wp:positionV relativeFrom="paragraph">
              <wp:posOffset>1406525</wp:posOffset>
            </wp:positionV>
            <wp:extent cx="4114800" cy="3519805"/>
            <wp:effectExtent l="0" t="0" r="0" b="4445"/>
            <wp:wrapTopAndBottom/>
            <wp:docPr id="4601" name="图片 46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 name="图片 4601" desc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114800" cy="3519805"/>
                    </a:xfrm>
                    <a:prstGeom prst="rect">
                      <a:avLst/>
                    </a:prstGeom>
                    <a:noFill/>
                    <a:ln>
                      <a:noFill/>
                    </a:ln>
                    <a:effectLst/>
                  </pic:spPr>
                </pic:pic>
              </a:graphicData>
            </a:graphic>
          </wp:anchor>
        </w:drawing>
      </w:r>
      <w:r>
        <w:rPr>
          <w:color w:val="auto"/>
        </w:rPr>
        <w:t>表7.2-3</w:t>
      </w:r>
      <w:r>
        <w:rPr>
          <w:color w:val="auto"/>
        </w:rPr>
        <w:tab/>
      </w:r>
      <w:r>
        <w:rPr>
          <w:color w:val="auto"/>
        </w:rPr>
        <w:t xml:space="preserve">   中卫气象站近20年的年风向频率统计  </w:t>
      </w:r>
      <w:r>
        <w:rPr>
          <w:color w:val="auto"/>
        </w:rPr>
        <w:tab/>
      </w:r>
      <w:r>
        <w:rPr>
          <w:color w:val="auto"/>
        </w:rPr>
        <w:t>单位：%</w:t>
      </w:r>
    </w:p>
    <w:tbl>
      <w:tblPr>
        <w:tblStyle w:val="74"/>
        <w:tblW w:w="8534" w:type="dxa"/>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53"/>
        <w:gridCol w:w="855"/>
        <w:gridCol w:w="853"/>
        <w:gridCol w:w="853"/>
        <w:gridCol w:w="855"/>
        <w:gridCol w:w="853"/>
        <w:gridCol w:w="853"/>
        <w:gridCol w:w="856"/>
        <w:gridCol w:w="854"/>
        <w:gridCol w:w="84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853" w:type="dxa"/>
            <w:tcBorders>
              <w:bottom w:val="single" w:color="000000" w:sz="6" w:space="0"/>
              <w:right w:val="single" w:color="000000" w:sz="6" w:space="0"/>
            </w:tcBorders>
            <w:vAlign w:val="center"/>
          </w:tcPr>
          <w:p>
            <w:pPr>
              <w:pStyle w:val="161"/>
              <w:spacing w:before="63"/>
              <w:ind w:left="205" w:right="182"/>
              <w:jc w:val="center"/>
              <w:rPr>
                <w:color w:val="auto"/>
              </w:rPr>
            </w:pPr>
            <w:r>
              <w:rPr>
                <w:color w:val="auto"/>
              </w:rPr>
              <w:t>风向</w:t>
            </w:r>
          </w:p>
        </w:tc>
        <w:tc>
          <w:tcPr>
            <w:tcW w:w="855" w:type="dxa"/>
            <w:tcBorders>
              <w:left w:val="single" w:color="000000" w:sz="6" w:space="0"/>
              <w:bottom w:val="single" w:color="000000" w:sz="6" w:space="0"/>
              <w:right w:val="single" w:color="000000" w:sz="6" w:space="0"/>
            </w:tcBorders>
            <w:vAlign w:val="center"/>
          </w:tcPr>
          <w:p>
            <w:pPr>
              <w:pStyle w:val="161"/>
              <w:spacing w:before="72"/>
              <w:ind w:left="28"/>
              <w:jc w:val="center"/>
              <w:rPr>
                <w:color w:val="auto"/>
              </w:rPr>
            </w:pPr>
            <w:r>
              <w:rPr>
                <w:color w:val="auto"/>
              </w:rPr>
              <w:t>N</w:t>
            </w:r>
          </w:p>
        </w:tc>
        <w:tc>
          <w:tcPr>
            <w:tcW w:w="853" w:type="dxa"/>
            <w:tcBorders>
              <w:left w:val="single" w:color="000000" w:sz="6" w:space="0"/>
              <w:bottom w:val="single" w:color="000000" w:sz="6" w:space="0"/>
              <w:right w:val="single" w:color="000000" w:sz="6" w:space="0"/>
            </w:tcBorders>
            <w:vAlign w:val="center"/>
          </w:tcPr>
          <w:p>
            <w:pPr>
              <w:pStyle w:val="161"/>
              <w:spacing w:before="72"/>
              <w:ind w:right="196"/>
              <w:jc w:val="center"/>
              <w:rPr>
                <w:color w:val="auto"/>
              </w:rPr>
            </w:pPr>
            <w:r>
              <w:rPr>
                <w:color w:val="auto"/>
              </w:rPr>
              <w:t xml:space="preserve"> NNE</w:t>
            </w:r>
          </w:p>
        </w:tc>
        <w:tc>
          <w:tcPr>
            <w:tcW w:w="853" w:type="dxa"/>
            <w:tcBorders>
              <w:left w:val="single" w:color="000000" w:sz="6" w:space="0"/>
              <w:bottom w:val="single" w:color="000000" w:sz="6" w:space="0"/>
              <w:right w:val="single" w:color="000000" w:sz="6" w:space="0"/>
            </w:tcBorders>
            <w:vAlign w:val="center"/>
          </w:tcPr>
          <w:p>
            <w:pPr>
              <w:pStyle w:val="161"/>
              <w:spacing w:before="72"/>
              <w:ind w:left="146" w:right="112"/>
              <w:jc w:val="center"/>
              <w:rPr>
                <w:color w:val="auto"/>
              </w:rPr>
            </w:pPr>
            <w:r>
              <w:rPr>
                <w:color w:val="auto"/>
              </w:rPr>
              <w:t>NE</w:t>
            </w:r>
          </w:p>
        </w:tc>
        <w:tc>
          <w:tcPr>
            <w:tcW w:w="855" w:type="dxa"/>
            <w:tcBorders>
              <w:left w:val="single" w:color="000000" w:sz="6" w:space="0"/>
              <w:bottom w:val="single" w:color="000000" w:sz="6" w:space="0"/>
              <w:right w:val="single" w:color="000000" w:sz="6" w:space="0"/>
            </w:tcBorders>
            <w:vAlign w:val="center"/>
          </w:tcPr>
          <w:p>
            <w:pPr>
              <w:pStyle w:val="161"/>
              <w:spacing w:before="72"/>
              <w:ind w:right="208"/>
              <w:jc w:val="center"/>
              <w:rPr>
                <w:color w:val="auto"/>
              </w:rPr>
            </w:pPr>
            <w:r>
              <w:rPr>
                <w:color w:val="auto"/>
              </w:rPr>
              <w:t xml:space="preserve">  ENE</w:t>
            </w:r>
          </w:p>
        </w:tc>
        <w:tc>
          <w:tcPr>
            <w:tcW w:w="853" w:type="dxa"/>
            <w:tcBorders>
              <w:left w:val="single" w:color="000000" w:sz="6" w:space="0"/>
              <w:bottom w:val="single" w:color="000000" w:sz="6" w:space="0"/>
              <w:right w:val="single" w:color="000000" w:sz="6" w:space="0"/>
            </w:tcBorders>
            <w:vAlign w:val="center"/>
          </w:tcPr>
          <w:p>
            <w:pPr>
              <w:pStyle w:val="161"/>
              <w:spacing w:before="72"/>
              <w:ind w:left="30"/>
              <w:jc w:val="center"/>
              <w:rPr>
                <w:color w:val="auto"/>
              </w:rPr>
            </w:pPr>
            <w:r>
              <w:rPr>
                <w:color w:val="auto"/>
              </w:rPr>
              <w:t>E</w:t>
            </w:r>
          </w:p>
        </w:tc>
        <w:tc>
          <w:tcPr>
            <w:tcW w:w="853" w:type="dxa"/>
            <w:tcBorders>
              <w:left w:val="single" w:color="000000" w:sz="6" w:space="0"/>
              <w:bottom w:val="single" w:color="000000" w:sz="6" w:space="0"/>
              <w:right w:val="single" w:color="000000" w:sz="6" w:space="0"/>
            </w:tcBorders>
            <w:vAlign w:val="center"/>
          </w:tcPr>
          <w:p>
            <w:pPr>
              <w:pStyle w:val="161"/>
              <w:spacing w:before="72"/>
              <w:ind w:left="146" w:right="113"/>
              <w:jc w:val="center"/>
              <w:rPr>
                <w:color w:val="auto"/>
              </w:rPr>
            </w:pPr>
            <w:r>
              <w:rPr>
                <w:color w:val="auto"/>
              </w:rPr>
              <w:t>ESE</w:t>
            </w:r>
          </w:p>
        </w:tc>
        <w:tc>
          <w:tcPr>
            <w:tcW w:w="856" w:type="dxa"/>
            <w:tcBorders>
              <w:left w:val="single" w:color="000000" w:sz="6" w:space="0"/>
              <w:bottom w:val="single" w:color="000000" w:sz="6" w:space="0"/>
              <w:right w:val="single" w:color="000000" w:sz="6" w:space="0"/>
            </w:tcBorders>
            <w:vAlign w:val="center"/>
          </w:tcPr>
          <w:p>
            <w:pPr>
              <w:pStyle w:val="161"/>
              <w:spacing w:before="72"/>
              <w:ind w:left="172" w:right="141"/>
              <w:jc w:val="center"/>
              <w:rPr>
                <w:color w:val="auto"/>
              </w:rPr>
            </w:pPr>
            <w:r>
              <w:rPr>
                <w:color w:val="auto"/>
              </w:rPr>
              <w:t>SE</w:t>
            </w:r>
          </w:p>
        </w:tc>
        <w:tc>
          <w:tcPr>
            <w:tcW w:w="854" w:type="dxa"/>
            <w:tcBorders>
              <w:left w:val="single" w:color="000000" w:sz="6" w:space="0"/>
              <w:bottom w:val="single" w:color="000000" w:sz="6" w:space="0"/>
              <w:right w:val="single" w:color="000000" w:sz="6" w:space="0"/>
            </w:tcBorders>
            <w:vAlign w:val="center"/>
          </w:tcPr>
          <w:p>
            <w:pPr>
              <w:pStyle w:val="161"/>
              <w:spacing w:before="72"/>
              <w:ind w:left="146" w:right="114"/>
              <w:jc w:val="center"/>
              <w:rPr>
                <w:color w:val="auto"/>
              </w:rPr>
            </w:pPr>
            <w:r>
              <w:rPr>
                <w:color w:val="auto"/>
              </w:rPr>
              <w:t>SSE</w:t>
            </w:r>
          </w:p>
        </w:tc>
        <w:tc>
          <w:tcPr>
            <w:tcW w:w="849" w:type="dxa"/>
            <w:tcBorders>
              <w:left w:val="single" w:color="000000" w:sz="6" w:space="0"/>
              <w:bottom w:val="single" w:color="000000" w:sz="6" w:space="0"/>
            </w:tcBorders>
            <w:vAlign w:val="center"/>
          </w:tcPr>
          <w:p>
            <w:pPr>
              <w:pStyle w:val="161"/>
              <w:spacing w:before="72"/>
              <w:ind w:left="43"/>
              <w:jc w:val="center"/>
              <w:rPr>
                <w:color w:val="auto"/>
              </w:rPr>
            </w:pPr>
            <w:r>
              <w:rPr>
                <w:color w:val="auto"/>
              </w:rPr>
              <w:t>S</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853" w:type="dxa"/>
            <w:tcBorders>
              <w:top w:val="single" w:color="000000" w:sz="6" w:space="0"/>
              <w:bottom w:val="single" w:color="000000" w:sz="6" w:space="0"/>
              <w:right w:val="single" w:color="000000" w:sz="6" w:space="0"/>
            </w:tcBorders>
            <w:vAlign w:val="center"/>
          </w:tcPr>
          <w:p>
            <w:pPr>
              <w:pStyle w:val="161"/>
              <w:spacing w:before="63"/>
              <w:ind w:left="205" w:right="182"/>
              <w:jc w:val="center"/>
              <w:rPr>
                <w:color w:val="auto"/>
              </w:rPr>
            </w:pPr>
            <w:r>
              <w:rPr>
                <w:color w:val="auto"/>
              </w:rPr>
              <w:t>频率</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161"/>
              <w:spacing w:before="72"/>
              <w:ind w:left="170" w:right="141"/>
              <w:jc w:val="center"/>
              <w:rPr>
                <w:color w:val="auto"/>
              </w:rPr>
            </w:pPr>
            <w:r>
              <w:rPr>
                <w:color w:val="auto"/>
              </w:rPr>
              <w:t>3.5</w:t>
            </w:r>
          </w:p>
        </w:tc>
        <w:tc>
          <w:tcPr>
            <w:tcW w:w="853" w:type="dxa"/>
            <w:tcBorders>
              <w:top w:val="single" w:color="000000" w:sz="6" w:space="0"/>
              <w:left w:val="single" w:color="000000" w:sz="6" w:space="0"/>
              <w:bottom w:val="single" w:color="000000" w:sz="6" w:space="0"/>
              <w:right w:val="single" w:color="000000" w:sz="6" w:space="0"/>
            </w:tcBorders>
            <w:vAlign w:val="center"/>
          </w:tcPr>
          <w:p>
            <w:pPr>
              <w:pStyle w:val="161"/>
              <w:spacing w:before="72"/>
              <w:ind w:right="279"/>
              <w:jc w:val="center"/>
              <w:rPr>
                <w:color w:val="auto"/>
              </w:rPr>
            </w:pPr>
            <w:r>
              <w:rPr>
                <w:color w:val="auto"/>
              </w:rPr>
              <w:t xml:space="preserve">  3.7</w:t>
            </w:r>
          </w:p>
        </w:tc>
        <w:tc>
          <w:tcPr>
            <w:tcW w:w="853" w:type="dxa"/>
            <w:tcBorders>
              <w:top w:val="single" w:color="000000" w:sz="6" w:space="0"/>
              <w:left w:val="single" w:color="000000" w:sz="6" w:space="0"/>
              <w:bottom w:val="single" w:color="000000" w:sz="6" w:space="0"/>
              <w:right w:val="single" w:color="000000" w:sz="6" w:space="0"/>
            </w:tcBorders>
            <w:vAlign w:val="center"/>
          </w:tcPr>
          <w:p>
            <w:pPr>
              <w:pStyle w:val="161"/>
              <w:spacing w:before="72"/>
              <w:ind w:left="146" w:right="113"/>
              <w:jc w:val="center"/>
              <w:rPr>
                <w:color w:val="auto"/>
              </w:rPr>
            </w:pPr>
            <w:r>
              <w:rPr>
                <w:color w:val="auto"/>
              </w:rPr>
              <w:t>4.7</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161"/>
              <w:spacing w:before="72"/>
              <w:ind w:right="278"/>
              <w:jc w:val="center"/>
              <w:rPr>
                <w:color w:val="auto"/>
              </w:rPr>
            </w:pPr>
            <w:r>
              <w:rPr>
                <w:color w:val="auto"/>
              </w:rPr>
              <w:t xml:space="preserve">  7.8</w:t>
            </w:r>
          </w:p>
        </w:tc>
        <w:tc>
          <w:tcPr>
            <w:tcW w:w="853" w:type="dxa"/>
            <w:tcBorders>
              <w:top w:val="single" w:color="000000" w:sz="6" w:space="0"/>
              <w:left w:val="single" w:color="000000" w:sz="6" w:space="0"/>
              <w:bottom w:val="single" w:color="000000" w:sz="6" w:space="0"/>
              <w:right w:val="single" w:color="000000" w:sz="6" w:space="0"/>
            </w:tcBorders>
            <w:vAlign w:val="center"/>
          </w:tcPr>
          <w:p>
            <w:pPr>
              <w:pStyle w:val="161"/>
              <w:spacing w:before="72"/>
              <w:ind w:left="146" w:right="116"/>
              <w:jc w:val="center"/>
              <w:rPr>
                <w:color w:val="auto"/>
              </w:rPr>
            </w:pPr>
            <w:r>
              <w:rPr>
                <w:color w:val="auto"/>
              </w:rPr>
              <w:t>15.3</w:t>
            </w:r>
          </w:p>
        </w:tc>
        <w:tc>
          <w:tcPr>
            <w:tcW w:w="853" w:type="dxa"/>
            <w:tcBorders>
              <w:top w:val="single" w:color="000000" w:sz="6" w:space="0"/>
              <w:left w:val="single" w:color="000000" w:sz="6" w:space="0"/>
              <w:bottom w:val="single" w:color="000000" w:sz="6" w:space="0"/>
              <w:right w:val="single" w:color="000000" w:sz="6" w:space="0"/>
            </w:tcBorders>
            <w:vAlign w:val="center"/>
          </w:tcPr>
          <w:p>
            <w:pPr>
              <w:pStyle w:val="161"/>
              <w:spacing w:before="72"/>
              <w:ind w:left="146" w:right="111"/>
              <w:jc w:val="center"/>
              <w:rPr>
                <w:color w:val="auto"/>
              </w:rPr>
            </w:pPr>
            <w:r>
              <w:rPr>
                <w:color w:val="auto"/>
              </w:rPr>
              <w:t>9.4</w:t>
            </w:r>
          </w:p>
        </w:tc>
        <w:tc>
          <w:tcPr>
            <w:tcW w:w="856" w:type="dxa"/>
            <w:tcBorders>
              <w:top w:val="single" w:color="000000" w:sz="6" w:space="0"/>
              <w:left w:val="single" w:color="000000" w:sz="6" w:space="0"/>
              <w:bottom w:val="single" w:color="000000" w:sz="6" w:space="0"/>
              <w:right w:val="single" w:color="000000" w:sz="6" w:space="0"/>
            </w:tcBorders>
            <w:vAlign w:val="center"/>
          </w:tcPr>
          <w:p>
            <w:pPr>
              <w:pStyle w:val="161"/>
              <w:spacing w:before="72"/>
              <w:ind w:left="174" w:right="140"/>
              <w:jc w:val="center"/>
              <w:rPr>
                <w:color w:val="auto"/>
              </w:rPr>
            </w:pPr>
            <w:r>
              <w:rPr>
                <w:color w:val="auto"/>
              </w:rPr>
              <w:t>3.0</w:t>
            </w:r>
          </w:p>
        </w:tc>
        <w:tc>
          <w:tcPr>
            <w:tcW w:w="854" w:type="dxa"/>
            <w:tcBorders>
              <w:top w:val="single" w:color="000000" w:sz="6" w:space="0"/>
              <w:left w:val="single" w:color="000000" w:sz="6" w:space="0"/>
              <w:bottom w:val="single" w:color="000000" w:sz="6" w:space="0"/>
              <w:right w:val="single" w:color="000000" w:sz="6" w:space="0"/>
            </w:tcBorders>
            <w:vAlign w:val="center"/>
          </w:tcPr>
          <w:p>
            <w:pPr>
              <w:pStyle w:val="161"/>
              <w:spacing w:before="72"/>
              <w:ind w:left="146" w:right="114"/>
              <w:jc w:val="center"/>
              <w:rPr>
                <w:color w:val="auto"/>
              </w:rPr>
            </w:pPr>
            <w:r>
              <w:rPr>
                <w:color w:val="auto"/>
              </w:rPr>
              <w:t>1.4</w:t>
            </w:r>
          </w:p>
        </w:tc>
        <w:tc>
          <w:tcPr>
            <w:tcW w:w="849" w:type="dxa"/>
            <w:tcBorders>
              <w:top w:val="single" w:color="000000" w:sz="6" w:space="0"/>
              <w:left w:val="single" w:color="000000" w:sz="6" w:space="0"/>
              <w:bottom w:val="single" w:color="000000" w:sz="6" w:space="0"/>
            </w:tcBorders>
            <w:vAlign w:val="center"/>
          </w:tcPr>
          <w:p>
            <w:pPr>
              <w:pStyle w:val="161"/>
              <w:spacing w:before="72"/>
              <w:ind w:left="205" w:right="160"/>
              <w:jc w:val="center"/>
              <w:rPr>
                <w:color w:val="auto"/>
              </w:rPr>
            </w:pPr>
            <w:r>
              <w:rPr>
                <w:color w:val="auto"/>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95" w:hRule="atLeast"/>
        </w:trPr>
        <w:tc>
          <w:tcPr>
            <w:tcW w:w="853" w:type="dxa"/>
            <w:tcBorders>
              <w:top w:val="single" w:color="000000" w:sz="6" w:space="0"/>
              <w:bottom w:val="single" w:color="000000" w:sz="6" w:space="0"/>
              <w:right w:val="single" w:color="000000" w:sz="6" w:space="0"/>
            </w:tcBorders>
            <w:vAlign w:val="center"/>
          </w:tcPr>
          <w:p>
            <w:pPr>
              <w:pStyle w:val="161"/>
              <w:spacing w:before="63"/>
              <w:ind w:left="205" w:right="182"/>
              <w:jc w:val="center"/>
              <w:rPr>
                <w:color w:val="auto"/>
              </w:rPr>
            </w:pPr>
            <w:r>
              <w:rPr>
                <w:color w:val="auto"/>
              </w:rPr>
              <w:t>风向</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161"/>
              <w:spacing w:before="70"/>
              <w:ind w:left="168" w:right="141"/>
              <w:jc w:val="center"/>
              <w:rPr>
                <w:color w:val="auto"/>
              </w:rPr>
            </w:pPr>
            <w:r>
              <w:rPr>
                <w:color w:val="auto"/>
              </w:rPr>
              <w:t>SSW</w:t>
            </w:r>
          </w:p>
        </w:tc>
        <w:tc>
          <w:tcPr>
            <w:tcW w:w="853" w:type="dxa"/>
            <w:tcBorders>
              <w:top w:val="single" w:color="000000" w:sz="6" w:space="0"/>
              <w:left w:val="single" w:color="000000" w:sz="6" w:space="0"/>
              <w:bottom w:val="single" w:color="000000" w:sz="6" w:space="0"/>
              <w:right w:val="single" w:color="000000" w:sz="6" w:space="0"/>
            </w:tcBorders>
            <w:vAlign w:val="center"/>
          </w:tcPr>
          <w:p>
            <w:pPr>
              <w:pStyle w:val="161"/>
              <w:spacing w:before="70"/>
              <w:ind w:right="253"/>
              <w:jc w:val="center"/>
              <w:rPr>
                <w:color w:val="auto"/>
              </w:rPr>
            </w:pPr>
            <w:r>
              <w:rPr>
                <w:color w:val="auto"/>
              </w:rPr>
              <w:t xml:space="preserve">  SW</w:t>
            </w:r>
          </w:p>
        </w:tc>
        <w:tc>
          <w:tcPr>
            <w:tcW w:w="853" w:type="dxa"/>
            <w:tcBorders>
              <w:top w:val="single" w:color="000000" w:sz="6" w:space="0"/>
              <w:left w:val="single" w:color="000000" w:sz="6" w:space="0"/>
              <w:bottom w:val="single" w:color="000000" w:sz="6" w:space="0"/>
              <w:right w:val="single" w:color="000000" w:sz="6" w:space="0"/>
            </w:tcBorders>
            <w:vAlign w:val="center"/>
          </w:tcPr>
          <w:p>
            <w:pPr>
              <w:pStyle w:val="161"/>
              <w:spacing w:before="70"/>
              <w:ind w:left="146" w:right="115"/>
              <w:jc w:val="center"/>
              <w:rPr>
                <w:color w:val="auto"/>
              </w:rPr>
            </w:pPr>
            <w:r>
              <w:rPr>
                <w:color w:val="auto"/>
              </w:rPr>
              <w:t>WSW</w:t>
            </w:r>
          </w:p>
        </w:tc>
        <w:tc>
          <w:tcPr>
            <w:tcW w:w="855" w:type="dxa"/>
            <w:tcBorders>
              <w:top w:val="single" w:color="000000" w:sz="6" w:space="0"/>
              <w:left w:val="single" w:color="000000" w:sz="6" w:space="0"/>
              <w:bottom w:val="single" w:color="000000" w:sz="6" w:space="0"/>
              <w:right w:val="single" w:color="000000" w:sz="6" w:space="0"/>
            </w:tcBorders>
            <w:vAlign w:val="center"/>
          </w:tcPr>
          <w:p>
            <w:pPr>
              <w:pStyle w:val="161"/>
              <w:spacing w:before="70"/>
              <w:jc w:val="center"/>
              <w:rPr>
                <w:color w:val="auto"/>
              </w:rPr>
            </w:pPr>
            <w:r>
              <w:rPr>
                <w:color w:val="auto"/>
              </w:rPr>
              <w:t>W</w:t>
            </w:r>
          </w:p>
        </w:tc>
        <w:tc>
          <w:tcPr>
            <w:tcW w:w="853" w:type="dxa"/>
            <w:tcBorders>
              <w:top w:val="single" w:color="000000" w:sz="6" w:space="0"/>
              <w:left w:val="single" w:color="000000" w:sz="6" w:space="0"/>
              <w:bottom w:val="single" w:color="000000" w:sz="6" w:space="0"/>
              <w:right w:val="single" w:color="000000" w:sz="6" w:space="0"/>
            </w:tcBorders>
            <w:vAlign w:val="center"/>
          </w:tcPr>
          <w:p>
            <w:pPr>
              <w:pStyle w:val="161"/>
              <w:spacing w:before="70"/>
              <w:ind w:left="146" w:right="120"/>
              <w:jc w:val="center"/>
              <w:rPr>
                <w:color w:val="auto"/>
              </w:rPr>
            </w:pPr>
            <w:r>
              <w:rPr>
                <w:color w:val="auto"/>
              </w:rPr>
              <w:t>WNW</w:t>
            </w:r>
          </w:p>
        </w:tc>
        <w:tc>
          <w:tcPr>
            <w:tcW w:w="853" w:type="dxa"/>
            <w:tcBorders>
              <w:top w:val="single" w:color="000000" w:sz="6" w:space="0"/>
              <w:left w:val="single" w:color="000000" w:sz="6" w:space="0"/>
              <w:bottom w:val="single" w:color="000000" w:sz="6" w:space="0"/>
              <w:right w:val="single" w:color="000000" w:sz="6" w:space="0"/>
            </w:tcBorders>
            <w:vAlign w:val="center"/>
          </w:tcPr>
          <w:p>
            <w:pPr>
              <w:pStyle w:val="161"/>
              <w:spacing w:before="70"/>
              <w:ind w:left="146" w:right="113"/>
              <w:jc w:val="center"/>
              <w:rPr>
                <w:color w:val="auto"/>
              </w:rPr>
            </w:pPr>
            <w:r>
              <w:rPr>
                <w:color w:val="auto"/>
              </w:rPr>
              <w:t>NW</w:t>
            </w:r>
          </w:p>
        </w:tc>
        <w:tc>
          <w:tcPr>
            <w:tcW w:w="856" w:type="dxa"/>
            <w:tcBorders>
              <w:top w:val="single" w:color="000000" w:sz="6" w:space="0"/>
              <w:left w:val="single" w:color="000000" w:sz="6" w:space="0"/>
              <w:bottom w:val="single" w:color="000000" w:sz="6" w:space="0"/>
              <w:right w:val="single" w:color="000000" w:sz="6" w:space="0"/>
            </w:tcBorders>
            <w:vAlign w:val="center"/>
          </w:tcPr>
          <w:p>
            <w:pPr>
              <w:pStyle w:val="161"/>
              <w:spacing w:before="70"/>
              <w:ind w:left="174" w:right="141"/>
              <w:jc w:val="center"/>
              <w:rPr>
                <w:color w:val="auto"/>
              </w:rPr>
            </w:pPr>
            <w:r>
              <w:rPr>
                <w:color w:val="auto"/>
              </w:rPr>
              <w:t>NNW</w:t>
            </w:r>
          </w:p>
        </w:tc>
        <w:tc>
          <w:tcPr>
            <w:tcW w:w="854" w:type="dxa"/>
            <w:tcBorders>
              <w:top w:val="single" w:color="000000" w:sz="6" w:space="0"/>
              <w:left w:val="single" w:color="000000" w:sz="6" w:space="0"/>
              <w:bottom w:val="single" w:color="000000" w:sz="6" w:space="0"/>
              <w:right w:val="single" w:color="000000" w:sz="6" w:space="0"/>
            </w:tcBorders>
            <w:vAlign w:val="center"/>
          </w:tcPr>
          <w:p>
            <w:pPr>
              <w:pStyle w:val="161"/>
              <w:spacing w:before="70"/>
              <w:ind w:left="28"/>
              <w:jc w:val="center"/>
              <w:rPr>
                <w:color w:val="auto"/>
              </w:rPr>
            </w:pPr>
            <w:r>
              <w:rPr>
                <w:color w:val="auto"/>
              </w:rPr>
              <w:t>C</w:t>
            </w:r>
          </w:p>
        </w:tc>
        <w:tc>
          <w:tcPr>
            <w:tcW w:w="849" w:type="dxa"/>
            <w:tcBorders>
              <w:top w:val="single" w:color="000000" w:sz="6" w:space="0"/>
              <w:left w:val="single" w:color="000000" w:sz="6" w:space="0"/>
              <w:bottom w:val="single" w:color="000000" w:sz="6" w:space="0"/>
            </w:tcBorders>
            <w:vAlign w:val="center"/>
          </w:tcPr>
          <w:p>
            <w:pPr>
              <w:pStyle w:val="161"/>
              <w:jc w:val="center"/>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97" w:hRule="atLeast"/>
        </w:trPr>
        <w:tc>
          <w:tcPr>
            <w:tcW w:w="853" w:type="dxa"/>
            <w:tcBorders>
              <w:top w:val="single" w:color="000000" w:sz="6" w:space="0"/>
              <w:right w:val="single" w:color="000000" w:sz="6" w:space="0"/>
            </w:tcBorders>
            <w:vAlign w:val="center"/>
          </w:tcPr>
          <w:p>
            <w:pPr>
              <w:pStyle w:val="161"/>
              <w:spacing w:before="63"/>
              <w:ind w:left="205" w:right="182"/>
              <w:jc w:val="center"/>
              <w:rPr>
                <w:color w:val="auto"/>
              </w:rPr>
            </w:pPr>
            <w:r>
              <w:rPr>
                <w:color w:val="auto"/>
              </w:rPr>
              <w:t>频率</w:t>
            </w:r>
          </w:p>
        </w:tc>
        <w:tc>
          <w:tcPr>
            <w:tcW w:w="855" w:type="dxa"/>
            <w:tcBorders>
              <w:top w:val="single" w:color="000000" w:sz="6" w:space="0"/>
              <w:left w:val="single" w:color="000000" w:sz="6" w:space="0"/>
              <w:right w:val="single" w:color="000000" w:sz="6" w:space="0"/>
            </w:tcBorders>
            <w:vAlign w:val="center"/>
          </w:tcPr>
          <w:p>
            <w:pPr>
              <w:pStyle w:val="161"/>
              <w:spacing w:before="72"/>
              <w:ind w:left="170" w:right="141"/>
              <w:jc w:val="center"/>
              <w:rPr>
                <w:color w:val="auto"/>
              </w:rPr>
            </w:pPr>
            <w:r>
              <w:rPr>
                <w:color w:val="auto"/>
              </w:rPr>
              <w:t>1.1</w:t>
            </w:r>
          </w:p>
        </w:tc>
        <w:tc>
          <w:tcPr>
            <w:tcW w:w="853" w:type="dxa"/>
            <w:tcBorders>
              <w:top w:val="single" w:color="000000" w:sz="6" w:space="0"/>
              <w:left w:val="single" w:color="000000" w:sz="6" w:space="0"/>
              <w:right w:val="single" w:color="000000" w:sz="6" w:space="0"/>
            </w:tcBorders>
            <w:vAlign w:val="center"/>
          </w:tcPr>
          <w:p>
            <w:pPr>
              <w:pStyle w:val="161"/>
              <w:spacing w:before="72"/>
              <w:ind w:right="279"/>
              <w:jc w:val="center"/>
              <w:rPr>
                <w:color w:val="auto"/>
              </w:rPr>
            </w:pPr>
            <w:r>
              <w:rPr>
                <w:color w:val="auto"/>
              </w:rPr>
              <w:t xml:space="preserve">  2.0</w:t>
            </w:r>
          </w:p>
        </w:tc>
        <w:tc>
          <w:tcPr>
            <w:tcW w:w="853" w:type="dxa"/>
            <w:tcBorders>
              <w:top w:val="single" w:color="000000" w:sz="6" w:space="0"/>
              <w:left w:val="single" w:color="000000" w:sz="6" w:space="0"/>
              <w:right w:val="single" w:color="000000" w:sz="6" w:space="0"/>
            </w:tcBorders>
            <w:vAlign w:val="center"/>
          </w:tcPr>
          <w:p>
            <w:pPr>
              <w:pStyle w:val="161"/>
              <w:spacing w:before="72"/>
              <w:ind w:left="146" w:right="113"/>
              <w:jc w:val="center"/>
              <w:rPr>
                <w:color w:val="auto"/>
              </w:rPr>
            </w:pPr>
            <w:r>
              <w:rPr>
                <w:color w:val="auto"/>
              </w:rPr>
              <w:t>5.7</w:t>
            </w:r>
          </w:p>
        </w:tc>
        <w:tc>
          <w:tcPr>
            <w:tcW w:w="855" w:type="dxa"/>
            <w:tcBorders>
              <w:top w:val="single" w:color="000000" w:sz="6" w:space="0"/>
              <w:left w:val="single" w:color="000000" w:sz="6" w:space="0"/>
              <w:right w:val="single" w:color="000000" w:sz="6" w:space="0"/>
            </w:tcBorders>
            <w:vAlign w:val="center"/>
          </w:tcPr>
          <w:p>
            <w:pPr>
              <w:pStyle w:val="161"/>
              <w:spacing w:before="72"/>
              <w:ind w:right="226"/>
              <w:jc w:val="center"/>
              <w:rPr>
                <w:color w:val="auto"/>
              </w:rPr>
            </w:pPr>
            <w:r>
              <w:rPr>
                <w:color w:val="auto"/>
              </w:rPr>
              <w:t xml:space="preserve">  10.2</w:t>
            </w:r>
          </w:p>
        </w:tc>
        <w:tc>
          <w:tcPr>
            <w:tcW w:w="853" w:type="dxa"/>
            <w:tcBorders>
              <w:top w:val="single" w:color="000000" w:sz="6" w:space="0"/>
              <w:left w:val="single" w:color="000000" w:sz="6" w:space="0"/>
              <w:right w:val="single" w:color="000000" w:sz="6" w:space="0"/>
            </w:tcBorders>
            <w:vAlign w:val="center"/>
          </w:tcPr>
          <w:p>
            <w:pPr>
              <w:pStyle w:val="161"/>
              <w:spacing w:before="72"/>
              <w:ind w:left="146" w:right="116"/>
              <w:jc w:val="center"/>
              <w:rPr>
                <w:color w:val="auto"/>
              </w:rPr>
            </w:pPr>
            <w:r>
              <w:rPr>
                <w:color w:val="auto"/>
              </w:rPr>
              <w:t>10.7</w:t>
            </w:r>
          </w:p>
        </w:tc>
        <w:tc>
          <w:tcPr>
            <w:tcW w:w="853" w:type="dxa"/>
            <w:tcBorders>
              <w:top w:val="single" w:color="000000" w:sz="6" w:space="0"/>
              <w:left w:val="single" w:color="000000" w:sz="6" w:space="0"/>
              <w:right w:val="single" w:color="000000" w:sz="6" w:space="0"/>
            </w:tcBorders>
            <w:vAlign w:val="center"/>
          </w:tcPr>
          <w:p>
            <w:pPr>
              <w:pStyle w:val="161"/>
              <w:spacing w:before="72"/>
              <w:ind w:left="146" w:right="111"/>
              <w:jc w:val="center"/>
              <w:rPr>
                <w:color w:val="auto"/>
              </w:rPr>
            </w:pPr>
            <w:r>
              <w:rPr>
                <w:color w:val="auto"/>
              </w:rPr>
              <w:t>8.6</w:t>
            </w:r>
          </w:p>
        </w:tc>
        <w:tc>
          <w:tcPr>
            <w:tcW w:w="856" w:type="dxa"/>
            <w:tcBorders>
              <w:top w:val="single" w:color="000000" w:sz="6" w:space="0"/>
              <w:left w:val="single" w:color="000000" w:sz="6" w:space="0"/>
              <w:right w:val="single" w:color="000000" w:sz="6" w:space="0"/>
            </w:tcBorders>
            <w:vAlign w:val="center"/>
          </w:tcPr>
          <w:p>
            <w:pPr>
              <w:pStyle w:val="161"/>
              <w:spacing w:before="72"/>
              <w:ind w:left="174" w:right="140"/>
              <w:jc w:val="center"/>
              <w:rPr>
                <w:color w:val="auto"/>
              </w:rPr>
            </w:pPr>
            <w:r>
              <w:rPr>
                <w:color w:val="auto"/>
              </w:rPr>
              <w:t>5.3</w:t>
            </w:r>
          </w:p>
        </w:tc>
        <w:tc>
          <w:tcPr>
            <w:tcW w:w="854" w:type="dxa"/>
            <w:tcBorders>
              <w:top w:val="single" w:color="000000" w:sz="6" w:space="0"/>
              <w:left w:val="single" w:color="000000" w:sz="6" w:space="0"/>
              <w:right w:val="single" w:color="000000" w:sz="6" w:space="0"/>
            </w:tcBorders>
            <w:vAlign w:val="center"/>
          </w:tcPr>
          <w:p>
            <w:pPr>
              <w:pStyle w:val="161"/>
              <w:spacing w:before="72"/>
              <w:ind w:left="146" w:right="114"/>
              <w:jc w:val="center"/>
              <w:rPr>
                <w:color w:val="auto"/>
              </w:rPr>
            </w:pPr>
            <w:r>
              <w:rPr>
                <w:color w:val="auto"/>
              </w:rPr>
              <w:t>6.6</w:t>
            </w:r>
          </w:p>
        </w:tc>
        <w:tc>
          <w:tcPr>
            <w:tcW w:w="849" w:type="dxa"/>
            <w:tcBorders>
              <w:top w:val="single" w:color="000000" w:sz="6" w:space="0"/>
              <w:left w:val="single" w:color="000000" w:sz="6" w:space="0"/>
            </w:tcBorders>
            <w:vAlign w:val="center"/>
          </w:tcPr>
          <w:p>
            <w:pPr>
              <w:pStyle w:val="161"/>
              <w:jc w:val="center"/>
              <w:rPr>
                <w:color w:val="auto"/>
              </w:rPr>
            </w:pPr>
            <w:r>
              <w:rPr>
                <w:color w:val="auto"/>
              </w:rPr>
              <w:t>/</w:t>
            </w:r>
          </w:p>
        </w:tc>
      </w:tr>
    </w:tbl>
    <w:p>
      <w:pPr>
        <w:pStyle w:val="114"/>
        <w:spacing w:before="120"/>
        <w:rPr>
          <w:color w:val="auto"/>
          <w:sz w:val="22"/>
        </w:rPr>
      </w:pPr>
      <w:r>
        <w:rPr>
          <w:color w:val="auto"/>
        </w:rPr>
        <w:t>图7.2-1  中卫近20年风向玫瑰图（静风频率 6.6%）</w:t>
      </w:r>
    </w:p>
    <w:p>
      <w:pPr>
        <w:pStyle w:val="5"/>
        <w:numPr>
          <w:ilvl w:val="2"/>
          <w:numId w:val="0"/>
        </w:numPr>
        <w:ind w:left="-720" w:leftChars="-343" w:firstLine="723" w:firstLineChars="300"/>
        <w:rPr>
          <w:color w:val="auto"/>
        </w:rPr>
      </w:pPr>
      <w:bookmarkStart w:id="403" w:name="_Toc11595405"/>
      <w:bookmarkStart w:id="404" w:name="_Toc109398671"/>
      <w:bookmarkStart w:id="405" w:name="_Toc4897"/>
      <w:bookmarkStart w:id="406" w:name="_Toc493853538"/>
      <w:bookmarkStart w:id="407" w:name="_Toc28424"/>
      <w:bookmarkStart w:id="408" w:name="_Toc484463501"/>
      <w:r>
        <w:rPr>
          <w:color w:val="auto"/>
        </w:rPr>
        <w:t>7.2.2环境空气影响预测与评价</w:t>
      </w:r>
      <w:bookmarkEnd w:id="403"/>
      <w:bookmarkEnd w:id="404"/>
      <w:bookmarkEnd w:id="405"/>
      <w:bookmarkEnd w:id="406"/>
      <w:bookmarkEnd w:id="407"/>
      <w:bookmarkEnd w:id="408"/>
    </w:p>
    <w:p>
      <w:pPr>
        <w:pStyle w:val="130"/>
        <w:ind w:firstLine="480"/>
        <w:rPr>
          <w:color w:val="auto"/>
        </w:rPr>
      </w:pPr>
      <w:r>
        <w:rPr>
          <w:color w:val="auto"/>
        </w:rPr>
        <w:t>（1）预测因子</w:t>
      </w:r>
    </w:p>
    <w:p>
      <w:pPr>
        <w:pStyle w:val="130"/>
        <w:ind w:firstLine="480"/>
        <w:rPr>
          <w:color w:val="auto"/>
        </w:rPr>
      </w:pPr>
      <w:r>
        <w:rPr>
          <w:color w:val="auto"/>
        </w:rPr>
        <w:t>根据工程分析，本项目</w:t>
      </w:r>
      <w:r>
        <w:rPr>
          <w:rFonts w:hint="eastAsia"/>
          <w:color w:val="auto"/>
        </w:rPr>
        <w:t>建成后全厂</w:t>
      </w:r>
      <w:r>
        <w:rPr>
          <w:color w:val="auto"/>
        </w:rPr>
        <w:t>产生废气主要有医疗废物贮存</w:t>
      </w:r>
      <w:r>
        <w:rPr>
          <w:rFonts w:hint="eastAsia"/>
          <w:color w:val="auto"/>
        </w:rPr>
        <w:t>产生的</w:t>
      </w:r>
      <w:r>
        <w:rPr>
          <w:color w:val="auto"/>
        </w:rPr>
        <w:t>废气，主要污染因子为NH</w:t>
      </w:r>
      <w:r>
        <w:rPr>
          <w:color w:val="auto"/>
          <w:vertAlign w:val="subscript"/>
        </w:rPr>
        <w:t>3</w:t>
      </w:r>
      <w:r>
        <w:rPr>
          <w:color w:val="auto"/>
        </w:rPr>
        <w:t>、H</w:t>
      </w:r>
      <w:r>
        <w:rPr>
          <w:color w:val="auto"/>
          <w:vertAlign w:val="subscript"/>
        </w:rPr>
        <w:t>2</w:t>
      </w:r>
      <w:r>
        <w:rPr>
          <w:color w:val="auto"/>
        </w:rPr>
        <w:t>S、VOCs、臭气浓度（无量纲）；</w:t>
      </w:r>
      <w:r>
        <w:rPr>
          <w:rFonts w:hint="eastAsia"/>
          <w:color w:val="auto"/>
        </w:rPr>
        <w:t>2套</w:t>
      </w:r>
      <w:r>
        <w:rPr>
          <w:color w:val="auto"/>
        </w:rPr>
        <w:t>高温蒸汽灭菌系统</w:t>
      </w:r>
      <w:r>
        <w:rPr>
          <w:rFonts w:hint="eastAsia"/>
          <w:color w:val="auto"/>
        </w:rPr>
        <w:t>产生的</w:t>
      </w:r>
      <w:r>
        <w:rPr>
          <w:color w:val="auto"/>
        </w:rPr>
        <w:t>废气，主要污染因子为颗粒物、NH</w:t>
      </w:r>
      <w:r>
        <w:rPr>
          <w:color w:val="auto"/>
          <w:vertAlign w:val="subscript"/>
        </w:rPr>
        <w:t>3</w:t>
      </w:r>
      <w:r>
        <w:rPr>
          <w:color w:val="auto"/>
        </w:rPr>
        <w:t>、H</w:t>
      </w:r>
      <w:r>
        <w:rPr>
          <w:color w:val="auto"/>
          <w:vertAlign w:val="subscript"/>
        </w:rPr>
        <w:t>2</w:t>
      </w:r>
      <w:r>
        <w:rPr>
          <w:color w:val="auto"/>
        </w:rPr>
        <w:t>S、VOCs、臭气浓度（无量纲）；卸料、进出料和暂存等车间无组织废气，主要污染因子为NH</w:t>
      </w:r>
      <w:r>
        <w:rPr>
          <w:color w:val="auto"/>
          <w:vertAlign w:val="subscript"/>
        </w:rPr>
        <w:t>3</w:t>
      </w:r>
      <w:r>
        <w:rPr>
          <w:color w:val="auto"/>
        </w:rPr>
        <w:t>、H</w:t>
      </w:r>
      <w:r>
        <w:rPr>
          <w:color w:val="auto"/>
          <w:vertAlign w:val="subscript"/>
        </w:rPr>
        <w:t>2</w:t>
      </w:r>
      <w:r>
        <w:rPr>
          <w:color w:val="auto"/>
        </w:rPr>
        <w:t>S、VOCs；污水处理站恶臭，主要污染因子为NH</w:t>
      </w:r>
      <w:r>
        <w:rPr>
          <w:color w:val="auto"/>
          <w:vertAlign w:val="subscript"/>
        </w:rPr>
        <w:t>3</w:t>
      </w:r>
      <w:r>
        <w:rPr>
          <w:color w:val="auto"/>
        </w:rPr>
        <w:t>、H</w:t>
      </w:r>
      <w:r>
        <w:rPr>
          <w:color w:val="auto"/>
          <w:vertAlign w:val="subscript"/>
        </w:rPr>
        <w:t>2</w:t>
      </w:r>
      <w:r>
        <w:rPr>
          <w:color w:val="auto"/>
        </w:rPr>
        <w:t>S。</w:t>
      </w:r>
      <w:r>
        <w:rPr>
          <w:rFonts w:hint="eastAsia"/>
          <w:color w:val="auto"/>
        </w:rPr>
        <w:t>2套</w:t>
      </w:r>
      <w:r>
        <w:rPr>
          <w:color w:val="auto"/>
        </w:rPr>
        <w:t>高温蒸汽灭菌</w:t>
      </w:r>
      <w:r>
        <w:rPr>
          <w:rFonts w:hint="eastAsia"/>
          <w:color w:val="auto"/>
        </w:rPr>
        <w:t>系统</w:t>
      </w:r>
      <w:r>
        <w:rPr>
          <w:color w:val="auto"/>
        </w:rPr>
        <w:t>废气先通过</w:t>
      </w:r>
      <w:r>
        <w:rPr>
          <w:rFonts w:hint="eastAsia"/>
          <w:color w:val="auto"/>
        </w:rPr>
        <w:t>各自</w:t>
      </w:r>
      <w:r>
        <w:rPr>
          <w:color w:val="auto"/>
        </w:rPr>
        <w:t>设备自带的”生物过滤+活性炭吸附”进行预处理后，汇同医疗废物贮存废气一起通过“碱洗喷淋+等离子+活性炭”工艺处理，最终通过15m高排气筒排放。</w:t>
      </w:r>
    </w:p>
    <w:p>
      <w:pPr>
        <w:pStyle w:val="130"/>
        <w:ind w:firstLine="480"/>
        <w:rPr>
          <w:color w:val="auto"/>
        </w:rPr>
      </w:pPr>
      <w:r>
        <w:rPr>
          <w:color w:val="auto"/>
        </w:rPr>
        <w:t>（2）预测模式</w:t>
      </w:r>
    </w:p>
    <w:p>
      <w:pPr>
        <w:pStyle w:val="130"/>
        <w:ind w:firstLine="480"/>
        <w:rPr>
          <w:color w:val="auto"/>
        </w:rPr>
      </w:pPr>
      <w:r>
        <w:rPr>
          <w:color w:val="auto"/>
        </w:rPr>
        <w:t>本次大气初步预测采用《环境影响评价技术导则-大气环境》（HJ2.2-2018）所推荐采用的估算模式ARESCREEN进行估算，预测</w:t>
      </w:r>
      <w:r>
        <w:rPr>
          <w:rFonts w:hint="eastAsia"/>
          <w:color w:val="auto"/>
        </w:rPr>
        <w:t>本项目建成后全厂</w:t>
      </w:r>
      <w:r>
        <w:rPr>
          <w:color w:val="auto"/>
        </w:rPr>
        <w:t>正常工况下污染物最大落地浓度和出现距离。</w:t>
      </w:r>
    </w:p>
    <w:p>
      <w:pPr>
        <w:pStyle w:val="130"/>
        <w:ind w:firstLine="480"/>
        <w:rPr>
          <w:color w:val="auto"/>
        </w:rPr>
      </w:pPr>
      <w:r>
        <w:rPr>
          <w:color w:val="auto"/>
        </w:rPr>
        <w:t>（3）评价标准</w:t>
      </w:r>
    </w:p>
    <w:p>
      <w:pPr>
        <w:pStyle w:val="130"/>
        <w:ind w:firstLine="480"/>
        <w:rPr>
          <w:color w:val="auto"/>
        </w:rPr>
      </w:pPr>
      <w:r>
        <w:rPr>
          <w:color w:val="auto"/>
        </w:rPr>
        <w:t>本</w:t>
      </w:r>
      <w:r>
        <w:rPr>
          <w:rFonts w:hint="eastAsia"/>
          <w:color w:val="auto"/>
        </w:rPr>
        <w:t>次</w:t>
      </w:r>
      <w:r>
        <w:rPr>
          <w:color w:val="auto"/>
        </w:rPr>
        <w:t>污染因子评价标准见表7.2-4。</w:t>
      </w:r>
    </w:p>
    <w:p>
      <w:pPr>
        <w:pStyle w:val="114"/>
        <w:spacing w:before="0" w:beforeLines="0"/>
        <w:rPr>
          <w:color w:val="auto"/>
        </w:rPr>
      </w:pPr>
      <w:bookmarkStart w:id="409" w:name="_Ref478130630"/>
      <w:r>
        <w:rPr>
          <w:rFonts w:hint="eastAsia"/>
          <w:color w:val="auto"/>
        </w:rPr>
        <w:t xml:space="preserve"> </w:t>
      </w:r>
      <w:r>
        <w:rPr>
          <w:color w:val="auto"/>
        </w:rPr>
        <w:t xml:space="preserve">      表</w:t>
      </w:r>
      <w:bookmarkEnd w:id="409"/>
      <w:r>
        <w:rPr>
          <w:color w:val="auto"/>
        </w:rPr>
        <w:t>7.2-4  评价标准一览表      单位：</w:t>
      </w:r>
      <w:r>
        <w:rPr>
          <w:color w:val="auto"/>
          <w:kern w:val="0"/>
        </w:rPr>
        <w:t>µg/m</w:t>
      </w:r>
      <w:r>
        <w:rPr>
          <w:color w:val="auto"/>
          <w:kern w:val="0"/>
          <w:vertAlign w:val="superscript"/>
        </w:rPr>
        <w:t>3</w:t>
      </w:r>
    </w:p>
    <w:tbl>
      <w:tblPr>
        <w:tblStyle w:val="74"/>
        <w:tblW w:w="9029"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10"/>
        <w:gridCol w:w="1437"/>
        <w:gridCol w:w="1353"/>
        <w:gridCol w:w="482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09" w:hRule="atLeast"/>
          <w:jc w:val="center"/>
        </w:trPr>
        <w:tc>
          <w:tcPr>
            <w:tcW w:w="1410" w:type="dxa"/>
            <w:vAlign w:val="center"/>
          </w:tcPr>
          <w:p>
            <w:pPr>
              <w:pStyle w:val="164"/>
              <w:rPr>
                <w:color w:val="auto"/>
              </w:rPr>
            </w:pPr>
            <w:r>
              <w:rPr>
                <w:color w:val="auto"/>
              </w:rPr>
              <w:t>污染物名称</w:t>
            </w:r>
          </w:p>
        </w:tc>
        <w:tc>
          <w:tcPr>
            <w:tcW w:w="1437" w:type="dxa"/>
            <w:vAlign w:val="center"/>
          </w:tcPr>
          <w:p>
            <w:pPr>
              <w:pStyle w:val="164"/>
              <w:rPr>
                <w:color w:val="auto"/>
              </w:rPr>
            </w:pPr>
            <w:r>
              <w:rPr>
                <w:color w:val="auto"/>
              </w:rPr>
              <w:t>取值时间</w:t>
            </w:r>
          </w:p>
        </w:tc>
        <w:tc>
          <w:tcPr>
            <w:tcW w:w="1353" w:type="dxa"/>
            <w:vAlign w:val="center"/>
          </w:tcPr>
          <w:p>
            <w:pPr>
              <w:pStyle w:val="164"/>
              <w:rPr>
                <w:color w:val="auto"/>
              </w:rPr>
            </w:pPr>
            <w:r>
              <w:rPr>
                <w:color w:val="auto"/>
              </w:rPr>
              <w:t>浓度限值</w:t>
            </w:r>
          </w:p>
        </w:tc>
        <w:tc>
          <w:tcPr>
            <w:tcW w:w="4829" w:type="dxa"/>
            <w:vAlign w:val="center"/>
          </w:tcPr>
          <w:p>
            <w:pPr>
              <w:pStyle w:val="164"/>
              <w:rPr>
                <w:color w:val="auto"/>
              </w:rPr>
            </w:pPr>
            <w:r>
              <w:rPr>
                <w:color w:val="auto"/>
              </w:rPr>
              <w:t>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618" w:hRule="atLeast"/>
          <w:jc w:val="center"/>
        </w:trPr>
        <w:tc>
          <w:tcPr>
            <w:tcW w:w="1410" w:type="dxa"/>
            <w:vAlign w:val="center"/>
          </w:tcPr>
          <w:p>
            <w:pPr>
              <w:pStyle w:val="164"/>
              <w:rPr>
                <w:color w:val="auto"/>
                <w:vertAlign w:val="subscript"/>
              </w:rPr>
            </w:pPr>
            <w:r>
              <w:rPr>
                <w:color w:val="auto"/>
              </w:rPr>
              <w:t>PM</w:t>
            </w:r>
            <w:r>
              <w:rPr>
                <w:color w:val="auto"/>
                <w:vertAlign w:val="subscript"/>
              </w:rPr>
              <w:t>10</w:t>
            </w:r>
          </w:p>
        </w:tc>
        <w:tc>
          <w:tcPr>
            <w:tcW w:w="1437" w:type="dxa"/>
            <w:vAlign w:val="center"/>
          </w:tcPr>
          <w:p>
            <w:pPr>
              <w:pStyle w:val="164"/>
              <w:rPr>
                <w:color w:val="auto"/>
              </w:rPr>
            </w:pPr>
            <w:r>
              <w:rPr>
                <w:color w:val="auto"/>
              </w:rPr>
              <w:t>1h平均</w:t>
            </w:r>
          </w:p>
        </w:tc>
        <w:tc>
          <w:tcPr>
            <w:tcW w:w="1353" w:type="dxa"/>
            <w:vAlign w:val="center"/>
          </w:tcPr>
          <w:p>
            <w:pPr>
              <w:pStyle w:val="164"/>
              <w:rPr>
                <w:color w:val="auto"/>
              </w:rPr>
            </w:pPr>
            <w:r>
              <w:rPr>
                <w:color w:val="auto"/>
              </w:rPr>
              <w:t>450</w:t>
            </w:r>
          </w:p>
        </w:tc>
        <w:tc>
          <w:tcPr>
            <w:tcW w:w="4829" w:type="dxa"/>
            <w:vAlign w:val="center"/>
          </w:tcPr>
          <w:p>
            <w:pPr>
              <w:pStyle w:val="164"/>
              <w:rPr>
                <w:color w:val="auto"/>
              </w:rPr>
            </w:pPr>
            <w:r>
              <w:rPr>
                <w:color w:val="auto"/>
              </w:rPr>
              <w:t>《环境空气质量标准》（GB3095-2012及2018修改单）二级，1小时平均值采用日均值的3倍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1" w:hRule="atLeast"/>
          <w:jc w:val="center"/>
        </w:trPr>
        <w:tc>
          <w:tcPr>
            <w:tcW w:w="1410" w:type="dxa"/>
            <w:vAlign w:val="center"/>
          </w:tcPr>
          <w:p>
            <w:pPr>
              <w:pStyle w:val="164"/>
              <w:rPr>
                <w:color w:val="auto"/>
              </w:rPr>
            </w:pPr>
            <w:r>
              <w:rPr>
                <w:color w:val="auto"/>
              </w:rPr>
              <w:t>NH</w:t>
            </w:r>
            <w:r>
              <w:rPr>
                <w:color w:val="auto"/>
                <w:vertAlign w:val="subscript"/>
              </w:rPr>
              <w:t>3</w:t>
            </w:r>
          </w:p>
        </w:tc>
        <w:tc>
          <w:tcPr>
            <w:tcW w:w="1437" w:type="dxa"/>
            <w:vAlign w:val="center"/>
          </w:tcPr>
          <w:p>
            <w:pPr>
              <w:pStyle w:val="164"/>
              <w:rPr>
                <w:color w:val="auto"/>
              </w:rPr>
            </w:pPr>
            <w:r>
              <w:rPr>
                <w:color w:val="auto"/>
              </w:rPr>
              <w:t>1h平均</w:t>
            </w:r>
          </w:p>
        </w:tc>
        <w:tc>
          <w:tcPr>
            <w:tcW w:w="1353" w:type="dxa"/>
            <w:vAlign w:val="center"/>
          </w:tcPr>
          <w:p>
            <w:pPr>
              <w:pStyle w:val="164"/>
              <w:rPr>
                <w:color w:val="auto"/>
              </w:rPr>
            </w:pPr>
            <w:r>
              <w:rPr>
                <w:color w:val="auto"/>
              </w:rPr>
              <w:t>200</w:t>
            </w:r>
          </w:p>
        </w:tc>
        <w:tc>
          <w:tcPr>
            <w:tcW w:w="4829" w:type="dxa"/>
            <w:vMerge w:val="restart"/>
            <w:vAlign w:val="center"/>
          </w:tcPr>
          <w:p>
            <w:pPr>
              <w:pStyle w:val="164"/>
              <w:rPr>
                <w:color w:val="auto"/>
              </w:rPr>
            </w:pPr>
            <w:r>
              <w:rPr>
                <w:color w:val="auto"/>
              </w:rPr>
              <w:t>《环境影响评价技术导则-大气环境（HJ2.2-2018）》附录D 表D.1其他污染物空气质量浓度参考限值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74" w:hRule="atLeast"/>
          <w:jc w:val="center"/>
        </w:trPr>
        <w:tc>
          <w:tcPr>
            <w:tcW w:w="1410" w:type="dxa"/>
            <w:vAlign w:val="center"/>
          </w:tcPr>
          <w:p>
            <w:pPr>
              <w:pStyle w:val="164"/>
              <w:rPr>
                <w:color w:val="auto"/>
              </w:rPr>
            </w:pPr>
            <w:r>
              <w:rPr>
                <w:color w:val="auto"/>
              </w:rPr>
              <w:t>H</w:t>
            </w:r>
            <w:r>
              <w:rPr>
                <w:color w:val="auto"/>
                <w:vertAlign w:val="subscript"/>
              </w:rPr>
              <w:t>2</w:t>
            </w:r>
            <w:r>
              <w:rPr>
                <w:color w:val="auto"/>
              </w:rPr>
              <w:t>S</w:t>
            </w:r>
          </w:p>
        </w:tc>
        <w:tc>
          <w:tcPr>
            <w:tcW w:w="1437" w:type="dxa"/>
            <w:vAlign w:val="center"/>
          </w:tcPr>
          <w:p>
            <w:pPr>
              <w:pStyle w:val="164"/>
              <w:rPr>
                <w:color w:val="auto"/>
              </w:rPr>
            </w:pPr>
            <w:r>
              <w:rPr>
                <w:color w:val="auto"/>
              </w:rPr>
              <w:t>1h平均</w:t>
            </w:r>
          </w:p>
        </w:tc>
        <w:tc>
          <w:tcPr>
            <w:tcW w:w="1353" w:type="dxa"/>
            <w:vAlign w:val="center"/>
          </w:tcPr>
          <w:p>
            <w:pPr>
              <w:pStyle w:val="164"/>
              <w:rPr>
                <w:color w:val="auto"/>
              </w:rPr>
            </w:pPr>
            <w:r>
              <w:rPr>
                <w:color w:val="auto"/>
              </w:rPr>
              <w:t>10</w:t>
            </w:r>
          </w:p>
        </w:tc>
        <w:tc>
          <w:tcPr>
            <w:tcW w:w="4829" w:type="dxa"/>
            <w:vMerge w:val="continue"/>
            <w:tcBorders>
              <w:bottom w:val="single" w:color="auto" w:sz="4" w:space="0"/>
            </w:tcBorders>
            <w:vAlign w:val="center"/>
          </w:tcPr>
          <w:p>
            <w:pPr>
              <w:pStyle w:val="164"/>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5" w:hRule="atLeast"/>
          <w:jc w:val="center"/>
        </w:trPr>
        <w:tc>
          <w:tcPr>
            <w:tcW w:w="1410" w:type="dxa"/>
            <w:vAlign w:val="center"/>
          </w:tcPr>
          <w:p>
            <w:pPr>
              <w:pStyle w:val="164"/>
              <w:rPr>
                <w:color w:val="auto"/>
              </w:rPr>
            </w:pPr>
            <w:r>
              <w:rPr>
                <w:color w:val="auto"/>
              </w:rPr>
              <w:t>VOCs</w:t>
            </w:r>
          </w:p>
        </w:tc>
        <w:tc>
          <w:tcPr>
            <w:tcW w:w="1437" w:type="dxa"/>
            <w:vAlign w:val="center"/>
          </w:tcPr>
          <w:p>
            <w:pPr>
              <w:pStyle w:val="164"/>
              <w:rPr>
                <w:color w:val="auto"/>
              </w:rPr>
            </w:pPr>
            <w:r>
              <w:rPr>
                <w:color w:val="auto"/>
              </w:rPr>
              <w:t>1h平均</w:t>
            </w:r>
          </w:p>
        </w:tc>
        <w:tc>
          <w:tcPr>
            <w:tcW w:w="1353" w:type="dxa"/>
            <w:vAlign w:val="center"/>
          </w:tcPr>
          <w:p>
            <w:pPr>
              <w:pStyle w:val="164"/>
              <w:rPr>
                <w:color w:val="auto"/>
              </w:rPr>
            </w:pPr>
            <w:r>
              <w:rPr>
                <w:color w:val="auto"/>
              </w:rPr>
              <w:t>2.0mg/m</w:t>
            </w:r>
            <w:r>
              <w:rPr>
                <w:color w:val="auto"/>
                <w:vertAlign w:val="superscript"/>
              </w:rPr>
              <w:t>3</w:t>
            </w:r>
          </w:p>
        </w:tc>
        <w:tc>
          <w:tcPr>
            <w:tcW w:w="4829" w:type="dxa"/>
            <w:tcBorders>
              <w:top w:val="single" w:color="auto" w:sz="4" w:space="0"/>
            </w:tcBorders>
            <w:vAlign w:val="center"/>
          </w:tcPr>
          <w:p>
            <w:pPr>
              <w:pStyle w:val="164"/>
              <w:rPr>
                <w:color w:val="auto"/>
              </w:rPr>
            </w:pPr>
            <w:r>
              <w:rPr>
                <w:color w:val="auto"/>
              </w:rPr>
              <w:t>参考《大气污染物综合排放标准详解》</w:t>
            </w:r>
          </w:p>
        </w:tc>
      </w:tr>
    </w:tbl>
    <w:p>
      <w:pPr>
        <w:pStyle w:val="130"/>
        <w:spacing w:before="120" w:beforeLines="50"/>
        <w:ind w:firstLine="480"/>
        <w:rPr>
          <w:color w:val="auto"/>
        </w:rPr>
      </w:pPr>
      <w:r>
        <w:rPr>
          <w:color w:val="auto"/>
        </w:rPr>
        <w:t>（4）污染源源强参数</w:t>
      </w:r>
    </w:p>
    <w:p>
      <w:pPr>
        <w:pStyle w:val="114"/>
        <w:spacing w:before="0" w:beforeLines="0"/>
        <w:ind w:firstLine="403"/>
        <w:rPr>
          <w:rFonts w:eastAsiaTheme="minorEastAsia"/>
          <w:bCs/>
          <w:color w:val="auto"/>
        </w:rPr>
      </w:pPr>
      <w:r>
        <w:rPr>
          <w:rFonts w:eastAsiaTheme="minorEastAsia"/>
          <w:snapToGrid w:val="0"/>
          <w:color w:val="auto"/>
          <w:kern w:val="0"/>
        </w:rPr>
        <w:t xml:space="preserve">表7.2-5  </w:t>
      </w:r>
      <w:r>
        <w:rPr>
          <w:rFonts w:hint="eastAsia" w:eastAsiaTheme="minorEastAsia"/>
          <w:snapToGrid w:val="0"/>
          <w:color w:val="auto"/>
          <w:kern w:val="0"/>
        </w:rPr>
        <w:t>本项目建成后全厂</w:t>
      </w:r>
      <w:r>
        <w:rPr>
          <w:rFonts w:eastAsiaTheme="minorEastAsia"/>
          <w:snapToGrid w:val="0"/>
          <w:color w:val="auto"/>
          <w:kern w:val="0"/>
        </w:rPr>
        <w:t>有组织污染源参数调查清单</w:t>
      </w:r>
    </w:p>
    <w:tbl>
      <w:tblPr>
        <w:tblStyle w:val="74"/>
        <w:tblW w:w="903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57"/>
        <w:gridCol w:w="947"/>
        <w:gridCol w:w="839"/>
        <w:gridCol w:w="779"/>
        <w:gridCol w:w="657"/>
        <w:gridCol w:w="562"/>
        <w:gridCol w:w="896"/>
        <w:gridCol w:w="614"/>
        <w:gridCol w:w="694"/>
        <w:gridCol w:w="499"/>
        <w:gridCol w:w="846"/>
        <w:gridCol w:w="11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57" w:type="dxa"/>
            <w:vMerge w:val="restart"/>
            <w:vAlign w:val="center"/>
          </w:tcPr>
          <w:p>
            <w:pPr>
              <w:pStyle w:val="164"/>
              <w:spacing w:line="240" w:lineRule="auto"/>
              <w:ind w:left="-105" w:leftChars="-50" w:right="-105" w:rightChars="-50"/>
              <w:rPr>
                <w:b/>
                <w:color w:val="auto"/>
              </w:rPr>
            </w:pPr>
            <w:r>
              <w:rPr>
                <w:b/>
                <w:color w:val="auto"/>
              </w:rPr>
              <w:t>名称</w:t>
            </w:r>
          </w:p>
        </w:tc>
        <w:tc>
          <w:tcPr>
            <w:tcW w:w="1786" w:type="dxa"/>
            <w:gridSpan w:val="2"/>
            <w:vAlign w:val="center"/>
          </w:tcPr>
          <w:p>
            <w:pPr>
              <w:pStyle w:val="164"/>
              <w:spacing w:line="240" w:lineRule="auto"/>
              <w:ind w:left="-105" w:leftChars="-50" w:right="-105" w:rightChars="-50"/>
              <w:rPr>
                <w:b/>
                <w:color w:val="auto"/>
              </w:rPr>
            </w:pPr>
            <w:r>
              <w:rPr>
                <w:b/>
                <w:color w:val="auto"/>
              </w:rPr>
              <w:t>坐标</w:t>
            </w:r>
          </w:p>
        </w:tc>
        <w:tc>
          <w:tcPr>
            <w:tcW w:w="779" w:type="dxa"/>
            <w:vMerge w:val="restart"/>
            <w:vAlign w:val="center"/>
          </w:tcPr>
          <w:p>
            <w:pPr>
              <w:pStyle w:val="164"/>
              <w:spacing w:line="240" w:lineRule="auto"/>
              <w:ind w:left="-105" w:leftChars="-50" w:right="-105" w:rightChars="-50"/>
              <w:rPr>
                <w:b/>
                <w:color w:val="auto"/>
              </w:rPr>
            </w:pPr>
            <w:r>
              <w:rPr>
                <w:b/>
                <w:color w:val="auto"/>
              </w:rPr>
              <w:t>排气筒底部海拔高度/m</w:t>
            </w:r>
          </w:p>
        </w:tc>
        <w:tc>
          <w:tcPr>
            <w:tcW w:w="657" w:type="dxa"/>
            <w:vMerge w:val="restart"/>
            <w:vAlign w:val="center"/>
          </w:tcPr>
          <w:p>
            <w:pPr>
              <w:pStyle w:val="164"/>
              <w:spacing w:line="240" w:lineRule="auto"/>
              <w:ind w:left="-105" w:leftChars="-50" w:right="-105" w:rightChars="-50"/>
              <w:rPr>
                <w:b/>
                <w:color w:val="auto"/>
              </w:rPr>
            </w:pPr>
            <w:r>
              <w:rPr>
                <w:b/>
                <w:color w:val="auto"/>
              </w:rPr>
              <w:t>排气筒高度/m</w:t>
            </w:r>
          </w:p>
        </w:tc>
        <w:tc>
          <w:tcPr>
            <w:tcW w:w="562" w:type="dxa"/>
            <w:vMerge w:val="restart"/>
            <w:vAlign w:val="center"/>
          </w:tcPr>
          <w:p>
            <w:pPr>
              <w:pStyle w:val="164"/>
              <w:spacing w:line="240" w:lineRule="auto"/>
              <w:ind w:left="-105" w:leftChars="-50" w:right="-105" w:rightChars="-50"/>
              <w:rPr>
                <w:b/>
                <w:color w:val="auto"/>
              </w:rPr>
            </w:pPr>
            <w:r>
              <w:rPr>
                <w:b/>
                <w:color w:val="auto"/>
              </w:rPr>
              <w:t>内径/m</w:t>
            </w:r>
          </w:p>
        </w:tc>
        <w:tc>
          <w:tcPr>
            <w:tcW w:w="896" w:type="dxa"/>
            <w:vMerge w:val="restart"/>
            <w:vAlign w:val="center"/>
          </w:tcPr>
          <w:p>
            <w:pPr>
              <w:pStyle w:val="164"/>
              <w:spacing w:line="240" w:lineRule="auto"/>
              <w:ind w:left="-105" w:leftChars="-50" w:right="-105" w:rightChars="-50"/>
              <w:rPr>
                <w:b/>
                <w:color w:val="auto"/>
              </w:rPr>
            </w:pPr>
            <w:r>
              <w:rPr>
                <w:b/>
                <w:color w:val="auto"/>
              </w:rPr>
              <w:t>烟气流</w:t>
            </w:r>
          </w:p>
          <w:p>
            <w:pPr>
              <w:pStyle w:val="164"/>
              <w:spacing w:line="240" w:lineRule="auto"/>
              <w:ind w:left="-105" w:leftChars="-50" w:right="-105" w:rightChars="-50"/>
              <w:rPr>
                <w:b/>
                <w:color w:val="auto"/>
              </w:rPr>
            </w:pPr>
            <w:r>
              <w:rPr>
                <w:b/>
                <w:color w:val="auto"/>
              </w:rPr>
              <w:t>量（m</w:t>
            </w:r>
            <w:r>
              <w:rPr>
                <w:b/>
                <w:color w:val="auto"/>
                <w:vertAlign w:val="superscript"/>
              </w:rPr>
              <w:t>3</w:t>
            </w:r>
            <w:r>
              <w:rPr>
                <w:b/>
                <w:color w:val="auto"/>
              </w:rPr>
              <w:t>/h）</w:t>
            </w:r>
          </w:p>
        </w:tc>
        <w:tc>
          <w:tcPr>
            <w:tcW w:w="614" w:type="dxa"/>
            <w:vMerge w:val="restart"/>
            <w:vAlign w:val="center"/>
          </w:tcPr>
          <w:p>
            <w:pPr>
              <w:pStyle w:val="164"/>
              <w:spacing w:line="240" w:lineRule="auto"/>
              <w:ind w:left="-105" w:leftChars="-50" w:right="-105" w:rightChars="-50"/>
              <w:rPr>
                <w:b/>
                <w:color w:val="auto"/>
              </w:rPr>
            </w:pPr>
            <w:r>
              <w:rPr>
                <w:b/>
                <w:color w:val="auto"/>
              </w:rPr>
              <w:t>烟气温度/℃</w:t>
            </w:r>
          </w:p>
        </w:tc>
        <w:tc>
          <w:tcPr>
            <w:tcW w:w="694" w:type="dxa"/>
            <w:vMerge w:val="restart"/>
            <w:vAlign w:val="center"/>
          </w:tcPr>
          <w:p>
            <w:pPr>
              <w:pStyle w:val="164"/>
              <w:spacing w:line="240" w:lineRule="auto"/>
              <w:ind w:left="-105" w:leftChars="-50" w:right="-105" w:rightChars="-50"/>
              <w:rPr>
                <w:b/>
                <w:color w:val="auto"/>
              </w:rPr>
            </w:pPr>
            <w:r>
              <w:rPr>
                <w:b/>
                <w:color w:val="auto"/>
              </w:rPr>
              <w:t>年排放小时数/h</w:t>
            </w:r>
          </w:p>
        </w:tc>
        <w:tc>
          <w:tcPr>
            <w:tcW w:w="499" w:type="dxa"/>
            <w:vMerge w:val="restart"/>
            <w:vAlign w:val="center"/>
          </w:tcPr>
          <w:p>
            <w:pPr>
              <w:pStyle w:val="164"/>
              <w:spacing w:line="240" w:lineRule="auto"/>
              <w:ind w:left="-105" w:leftChars="-50" w:right="-105" w:rightChars="-50"/>
              <w:rPr>
                <w:b/>
                <w:color w:val="auto"/>
              </w:rPr>
            </w:pPr>
            <w:r>
              <w:rPr>
                <w:b/>
                <w:color w:val="auto"/>
              </w:rPr>
              <w:t>排放工况</w:t>
            </w:r>
          </w:p>
        </w:tc>
        <w:tc>
          <w:tcPr>
            <w:tcW w:w="846" w:type="dxa"/>
            <w:vMerge w:val="restart"/>
            <w:vAlign w:val="center"/>
          </w:tcPr>
          <w:p>
            <w:pPr>
              <w:pStyle w:val="164"/>
              <w:spacing w:line="240" w:lineRule="auto"/>
              <w:ind w:left="-105" w:leftChars="-50" w:right="-105" w:rightChars="-50"/>
              <w:rPr>
                <w:b/>
                <w:color w:val="auto"/>
              </w:rPr>
            </w:pPr>
            <w:r>
              <w:rPr>
                <w:b/>
                <w:color w:val="auto"/>
              </w:rPr>
              <w:t>污染物</w:t>
            </w:r>
          </w:p>
        </w:tc>
        <w:tc>
          <w:tcPr>
            <w:tcW w:w="1140" w:type="dxa"/>
            <w:vMerge w:val="restart"/>
            <w:vAlign w:val="center"/>
          </w:tcPr>
          <w:p>
            <w:pPr>
              <w:pStyle w:val="164"/>
              <w:spacing w:line="240" w:lineRule="auto"/>
              <w:ind w:left="-105" w:leftChars="-50" w:right="-105" w:rightChars="-50"/>
              <w:rPr>
                <w:b/>
                <w:color w:val="auto"/>
              </w:rPr>
            </w:pPr>
            <w:r>
              <w:rPr>
                <w:b/>
                <w:color w:val="auto"/>
              </w:rPr>
              <w:t>排放速率（kg/h）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57" w:type="dxa"/>
            <w:vMerge w:val="continue"/>
            <w:vAlign w:val="center"/>
          </w:tcPr>
          <w:p>
            <w:pPr>
              <w:pStyle w:val="164"/>
              <w:spacing w:line="240" w:lineRule="auto"/>
              <w:ind w:left="-105" w:leftChars="-50" w:right="-105" w:rightChars="-50"/>
              <w:rPr>
                <w:color w:val="auto"/>
              </w:rPr>
            </w:pPr>
          </w:p>
        </w:tc>
        <w:tc>
          <w:tcPr>
            <w:tcW w:w="947" w:type="dxa"/>
            <w:vAlign w:val="center"/>
          </w:tcPr>
          <w:p>
            <w:pPr>
              <w:pStyle w:val="164"/>
              <w:spacing w:line="240" w:lineRule="auto"/>
              <w:ind w:left="-105" w:leftChars="-50" w:right="-105" w:rightChars="-50"/>
              <w:rPr>
                <w:b/>
                <w:color w:val="auto"/>
              </w:rPr>
            </w:pPr>
            <w:r>
              <w:rPr>
                <w:b/>
                <w:color w:val="auto"/>
              </w:rPr>
              <w:t>经度</w:t>
            </w:r>
          </w:p>
        </w:tc>
        <w:tc>
          <w:tcPr>
            <w:tcW w:w="839" w:type="dxa"/>
            <w:vAlign w:val="center"/>
          </w:tcPr>
          <w:p>
            <w:pPr>
              <w:pStyle w:val="164"/>
              <w:spacing w:line="240" w:lineRule="auto"/>
              <w:ind w:left="-105" w:leftChars="-50" w:right="-105" w:rightChars="-50"/>
              <w:rPr>
                <w:b/>
                <w:color w:val="auto"/>
              </w:rPr>
            </w:pPr>
            <w:r>
              <w:rPr>
                <w:b/>
                <w:color w:val="auto"/>
              </w:rPr>
              <w:t>纬度</w:t>
            </w:r>
          </w:p>
        </w:tc>
        <w:tc>
          <w:tcPr>
            <w:tcW w:w="779" w:type="dxa"/>
            <w:vMerge w:val="continue"/>
            <w:vAlign w:val="center"/>
          </w:tcPr>
          <w:p>
            <w:pPr>
              <w:pStyle w:val="164"/>
              <w:spacing w:line="240" w:lineRule="auto"/>
              <w:ind w:left="-105" w:leftChars="-50" w:right="-105" w:rightChars="-50"/>
              <w:rPr>
                <w:color w:val="auto"/>
              </w:rPr>
            </w:pPr>
          </w:p>
        </w:tc>
        <w:tc>
          <w:tcPr>
            <w:tcW w:w="657" w:type="dxa"/>
            <w:vMerge w:val="continue"/>
            <w:vAlign w:val="center"/>
          </w:tcPr>
          <w:p>
            <w:pPr>
              <w:pStyle w:val="164"/>
              <w:spacing w:line="240" w:lineRule="auto"/>
              <w:ind w:left="-105" w:leftChars="-50" w:right="-105" w:rightChars="-50"/>
              <w:rPr>
                <w:color w:val="auto"/>
              </w:rPr>
            </w:pPr>
          </w:p>
        </w:tc>
        <w:tc>
          <w:tcPr>
            <w:tcW w:w="562" w:type="dxa"/>
            <w:vMerge w:val="continue"/>
            <w:vAlign w:val="center"/>
          </w:tcPr>
          <w:p>
            <w:pPr>
              <w:pStyle w:val="164"/>
              <w:spacing w:line="240" w:lineRule="auto"/>
              <w:ind w:left="-105" w:leftChars="-50" w:right="-105" w:rightChars="-50"/>
              <w:rPr>
                <w:color w:val="auto"/>
              </w:rPr>
            </w:pPr>
          </w:p>
        </w:tc>
        <w:tc>
          <w:tcPr>
            <w:tcW w:w="896" w:type="dxa"/>
            <w:vMerge w:val="continue"/>
            <w:vAlign w:val="center"/>
          </w:tcPr>
          <w:p>
            <w:pPr>
              <w:pStyle w:val="164"/>
              <w:spacing w:line="240" w:lineRule="auto"/>
              <w:ind w:left="-105" w:leftChars="-50" w:right="-105" w:rightChars="-50"/>
              <w:rPr>
                <w:color w:val="auto"/>
              </w:rPr>
            </w:pPr>
          </w:p>
        </w:tc>
        <w:tc>
          <w:tcPr>
            <w:tcW w:w="614" w:type="dxa"/>
            <w:vMerge w:val="continue"/>
            <w:vAlign w:val="center"/>
          </w:tcPr>
          <w:p>
            <w:pPr>
              <w:pStyle w:val="164"/>
              <w:spacing w:line="240" w:lineRule="auto"/>
              <w:ind w:left="-105" w:leftChars="-50" w:right="-105" w:rightChars="-50"/>
              <w:rPr>
                <w:color w:val="auto"/>
              </w:rPr>
            </w:pPr>
          </w:p>
        </w:tc>
        <w:tc>
          <w:tcPr>
            <w:tcW w:w="694" w:type="dxa"/>
            <w:vMerge w:val="continue"/>
            <w:vAlign w:val="center"/>
          </w:tcPr>
          <w:p>
            <w:pPr>
              <w:pStyle w:val="164"/>
              <w:spacing w:line="240" w:lineRule="auto"/>
              <w:ind w:left="-105" w:leftChars="-50" w:right="-105" w:rightChars="-50"/>
              <w:rPr>
                <w:color w:val="auto"/>
              </w:rPr>
            </w:pPr>
          </w:p>
        </w:tc>
        <w:tc>
          <w:tcPr>
            <w:tcW w:w="499" w:type="dxa"/>
            <w:vMerge w:val="continue"/>
            <w:vAlign w:val="center"/>
          </w:tcPr>
          <w:p>
            <w:pPr>
              <w:pStyle w:val="164"/>
              <w:spacing w:line="240" w:lineRule="auto"/>
              <w:ind w:left="-105" w:leftChars="-50" w:right="-105" w:rightChars="-50"/>
              <w:rPr>
                <w:color w:val="auto"/>
              </w:rPr>
            </w:pPr>
          </w:p>
        </w:tc>
        <w:tc>
          <w:tcPr>
            <w:tcW w:w="846" w:type="dxa"/>
            <w:vMerge w:val="continue"/>
            <w:vAlign w:val="center"/>
          </w:tcPr>
          <w:p>
            <w:pPr>
              <w:pStyle w:val="164"/>
              <w:spacing w:line="240" w:lineRule="auto"/>
              <w:ind w:left="-105" w:leftChars="-50" w:right="-105" w:rightChars="-50"/>
              <w:rPr>
                <w:color w:val="auto"/>
              </w:rPr>
            </w:pPr>
          </w:p>
        </w:tc>
        <w:tc>
          <w:tcPr>
            <w:tcW w:w="1140" w:type="dxa"/>
            <w:vMerge w:val="continue"/>
            <w:vAlign w:val="center"/>
          </w:tcPr>
          <w:p>
            <w:pPr>
              <w:pStyle w:val="164"/>
              <w:spacing w:line="240" w:lineRule="auto"/>
              <w:ind w:left="-105" w:leftChars="-50" w:right="-105" w:rightChars="-50"/>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57" w:type="dxa"/>
            <w:vMerge w:val="restart"/>
            <w:vAlign w:val="center"/>
          </w:tcPr>
          <w:p>
            <w:pPr>
              <w:pStyle w:val="164"/>
              <w:spacing w:line="240" w:lineRule="auto"/>
              <w:ind w:left="-105" w:leftChars="-50" w:right="-105" w:rightChars="-50"/>
              <w:rPr>
                <w:color w:val="auto"/>
              </w:rPr>
            </w:pPr>
            <w:r>
              <w:rPr>
                <w:color w:val="auto"/>
              </w:rPr>
              <w:t>车间排气筒</w:t>
            </w:r>
          </w:p>
        </w:tc>
        <w:tc>
          <w:tcPr>
            <w:tcW w:w="947" w:type="dxa"/>
            <w:vMerge w:val="restart"/>
            <w:vAlign w:val="center"/>
          </w:tcPr>
          <w:p>
            <w:pPr>
              <w:pStyle w:val="164"/>
              <w:spacing w:line="240" w:lineRule="auto"/>
              <w:ind w:left="-105" w:leftChars="-50" w:right="-105" w:rightChars="-50"/>
              <w:rPr>
                <w:color w:val="auto"/>
              </w:rPr>
            </w:pPr>
            <w:r>
              <w:rPr>
                <w:color w:val="auto"/>
              </w:rPr>
              <w:t>105.2579</w:t>
            </w:r>
          </w:p>
        </w:tc>
        <w:tc>
          <w:tcPr>
            <w:tcW w:w="839" w:type="dxa"/>
            <w:vMerge w:val="restart"/>
            <w:vAlign w:val="center"/>
          </w:tcPr>
          <w:p>
            <w:pPr>
              <w:pStyle w:val="164"/>
              <w:spacing w:line="240" w:lineRule="auto"/>
              <w:ind w:left="-105" w:leftChars="-50" w:right="-105" w:rightChars="-50"/>
              <w:rPr>
                <w:color w:val="auto"/>
              </w:rPr>
            </w:pPr>
            <w:r>
              <w:rPr>
                <w:color w:val="auto"/>
              </w:rPr>
              <w:t>37.4417</w:t>
            </w:r>
          </w:p>
        </w:tc>
        <w:tc>
          <w:tcPr>
            <w:tcW w:w="779" w:type="dxa"/>
            <w:vMerge w:val="restart"/>
            <w:vAlign w:val="center"/>
          </w:tcPr>
          <w:p>
            <w:pPr>
              <w:pStyle w:val="164"/>
              <w:spacing w:line="240" w:lineRule="auto"/>
              <w:ind w:left="-105" w:leftChars="-50" w:right="-105" w:rightChars="-50"/>
              <w:rPr>
                <w:color w:val="auto"/>
              </w:rPr>
            </w:pPr>
            <w:r>
              <w:rPr>
                <w:color w:val="auto"/>
              </w:rPr>
              <w:t>1336</w:t>
            </w:r>
          </w:p>
        </w:tc>
        <w:tc>
          <w:tcPr>
            <w:tcW w:w="657" w:type="dxa"/>
            <w:vMerge w:val="restart"/>
            <w:vAlign w:val="center"/>
          </w:tcPr>
          <w:p>
            <w:pPr>
              <w:pStyle w:val="164"/>
              <w:spacing w:line="240" w:lineRule="auto"/>
              <w:ind w:left="-105" w:leftChars="-50" w:right="-105" w:rightChars="-50"/>
              <w:rPr>
                <w:color w:val="auto"/>
              </w:rPr>
            </w:pPr>
            <w:r>
              <w:rPr>
                <w:color w:val="auto"/>
              </w:rPr>
              <w:t>15</w:t>
            </w:r>
          </w:p>
        </w:tc>
        <w:tc>
          <w:tcPr>
            <w:tcW w:w="562" w:type="dxa"/>
            <w:vMerge w:val="restart"/>
            <w:vAlign w:val="center"/>
          </w:tcPr>
          <w:p>
            <w:pPr>
              <w:pStyle w:val="164"/>
              <w:spacing w:line="240" w:lineRule="auto"/>
              <w:ind w:left="-105" w:leftChars="-50" w:right="-105" w:rightChars="-50"/>
              <w:rPr>
                <w:color w:val="auto"/>
              </w:rPr>
            </w:pPr>
            <w:r>
              <w:rPr>
                <w:color w:val="auto"/>
              </w:rPr>
              <w:t>0.8</w:t>
            </w:r>
          </w:p>
        </w:tc>
        <w:tc>
          <w:tcPr>
            <w:tcW w:w="896" w:type="dxa"/>
            <w:vMerge w:val="restart"/>
            <w:vAlign w:val="center"/>
          </w:tcPr>
          <w:p>
            <w:pPr>
              <w:pStyle w:val="164"/>
              <w:spacing w:line="240" w:lineRule="auto"/>
              <w:ind w:left="-105" w:leftChars="-50" w:right="-105" w:rightChars="-50"/>
              <w:rPr>
                <w:color w:val="auto"/>
              </w:rPr>
            </w:pPr>
            <w:r>
              <w:rPr>
                <w:color w:val="auto"/>
              </w:rPr>
              <w:t>6100</w:t>
            </w:r>
          </w:p>
        </w:tc>
        <w:tc>
          <w:tcPr>
            <w:tcW w:w="614" w:type="dxa"/>
            <w:vMerge w:val="restart"/>
            <w:vAlign w:val="center"/>
          </w:tcPr>
          <w:p>
            <w:pPr>
              <w:pStyle w:val="164"/>
              <w:spacing w:line="240" w:lineRule="auto"/>
              <w:ind w:left="-105" w:leftChars="-50" w:right="-105" w:rightChars="-50"/>
              <w:rPr>
                <w:color w:val="auto"/>
              </w:rPr>
            </w:pPr>
            <w:r>
              <w:rPr>
                <w:color w:val="auto"/>
              </w:rPr>
              <w:t>18</w:t>
            </w:r>
          </w:p>
        </w:tc>
        <w:tc>
          <w:tcPr>
            <w:tcW w:w="694" w:type="dxa"/>
            <w:vMerge w:val="restart"/>
            <w:vAlign w:val="center"/>
          </w:tcPr>
          <w:p>
            <w:pPr>
              <w:pStyle w:val="164"/>
              <w:spacing w:line="240" w:lineRule="auto"/>
              <w:ind w:left="-105" w:leftChars="-50" w:right="-105" w:rightChars="-50"/>
              <w:rPr>
                <w:color w:val="auto"/>
              </w:rPr>
            </w:pPr>
            <w:r>
              <w:rPr>
                <w:color w:val="auto"/>
              </w:rPr>
              <w:t>5280</w:t>
            </w:r>
          </w:p>
        </w:tc>
        <w:tc>
          <w:tcPr>
            <w:tcW w:w="499" w:type="dxa"/>
            <w:vMerge w:val="restart"/>
            <w:vAlign w:val="center"/>
          </w:tcPr>
          <w:p>
            <w:pPr>
              <w:pStyle w:val="164"/>
              <w:spacing w:line="240" w:lineRule="auto"/>
              <w:ind w:left="-105" w:leftChars="-50" w:right="-105" w:rightChars="-50"/>
              <w:rPr>
                <w:color w:val="auto"/>
              </w:rPr>
            </w:pPr>
            <w:r>
              <w:rPr>
                <w:color w:val="auto"/>
              </w:rPr>
              <w:t>正常工况</w:t>
            </w:r>
          </w:p>
        </w:tc>
        <w:tc>
          <w:tcPr>
            <w:tcW w:w="846" w:type="dxa"/>
            <w:vAlign w:val="center"/>
          </w:tcPr>
          <w:p>
            <w:pPr>
              <w:pStyle w:val="164"/>
              <w:spacing w:line="240" w:lineRule="auto"/>
              <w:ind w:left="-105" w:leftChars="-50" w:right="-105" w:rightChars="-50"/>
              <w:rPr>
                <w:color w:val="auto"/>
              </w:rPr>
            </w:pPr>
            <w:r>
              <w:rPr>
                <w:color w:val="auto"/>
              </w:rPr>
              <w:t>PM</w:t>
            </w:r>
            <w:r>
              <w:rPr>
                <w:color w:val="auto"/>
                <w:vertAlign w:val="subscript"/>
              </w:rPr>
              <w:t>10</w:t>
            </w:r>
          </w:p>
        </w:tc>
        <w:tc>
          <w:tcPr>
            <w:tcW w:w="1140" w:type="dxa"/>
            <w:vAlign w:val="center"/>
          </w:tcPr>
          <w:p>
            <w:pPr>
              <w:pStyle w:val="164"/>
              <w:spacing w:line="240" w:lineRule="auto"/>
              <w:ind w:left="-105" w:leftChars="-50" w:right="-105" w:rightChars="-50"/>
              <w:rPr>
                <w:color w:val="auto"/>
              </w:rPr>
            </w:pPr>
            <w:r>
              <w:rPr>
                <w:color w:val="auto"/>
              </w:rPr>
              <w:t>0.016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57" w:type="dxa"/>
            <w:vMerge w:val="continue"/>
            <w:vAlign w:val="center"/>
          </w:tcPr>
          <w:p>
            <w:pPr>
              <w:pStyle w:val="164"/>
              <w:spacing w:line="240" w:lineRule="auto"/>
              <w:ind w:left="-105" w:leftChars="-50" w:right="-105" w:rightChars="-50"/>
              <w:rPr>
                <w:color w:val="auto"/>
              </w:rPr>
            </w:pPr>
          </w:p>
        </w:tc>
        <w:tc>
          <w:tcPr>
            <w:tcW w:w="947" w:type="dxa"/>
            <w:vMerge w:val="continue"/>
            <w:vAlign w:val="center"/>
          </w:tcPr>
          <w:p>
            <w:pPr>
              <w:pStyle w:val="164"/>
              <w:spacing w:line="240" w:lineRule="auto"/>
              <w:ind w:left="-105" w:leftChars="-50" w:right="-105" w:rightChars="-50"/>
              <w:rPr>
                <w:color w:val="auto"/>
              </w:rPr>
            </w:pPr>
          </w:p>
        </w:tc>
        <w:tc>
          <w:tcPr>
            <w:tcW w:w="839" w:type="dxa"/>
            <w:vMerge w:val="continue"/>
            <w:vAlign w:val="center"/>
          </w:tcPr>
          <w:p>
            <w:pPr>
              <w:pStyle w:val="164"/>
              <w:spacing w:line="240" w:lineRule="auto"/>
              <w:ind w:left="-105" w:leftChars="-50" w:right="-105" w:rightChars="-50"/>
              <w:rPr>
                <w:color w:val="auto"/>
              </w:rPr>
            </w:pPr>
          </w:p>
        </w:tc>
        <w:tc>
          <w:tcPr>
            <w:tcW w:w="779" w:type="dxa"/>
            <w:vMerge w:val="continue"/>
            <w:vAlign w:val="center"/>
          </w:tcPr>
          <w:p>
            <w:pPr>
              <w:pStyle w:val="164"/>
              <w:spacing w:line="240" w:lineRule="auto"/>
              <w:ind w:left="-105" w:leftChars="-50" w:right="-105" w:rightChars="-50"/>
              <w:rPr>
                <w:color w:val="auto"/>
              </w:rPr>
            </w:pPr>
          </w:p>
        </w:tc>
        <w:tc>
          <w:tcPr>
            <w:tcW w:w="657" w:type="dxa"/>
            <w:vMerge w:val="continue"/>
            <w:vAlign w:val="center"/>
          </w:tcPr>
          <w:p>
            <w:pPr>
              <w:pStyle w:val="164"/>
              <w:spacing w:line="240" w:lineRule="auto"/>
              <w:ind w:left="-105" w:leftChars="-50" w:right="-105" w:rightChars="-50"/>
              <w:rPr>
                <w:color w:val="auto"/>
              </w:rPr>
            </w:pPr>
          </w:p>
        </w:tc>
        <w:tc>
          <w:tcPr>
            <w:tcW w:w="562" w:type="dxa"/>
            <w:vMerge w:val="continue"/>
            <w:vAlign w:val="center"/>
          </w:tcPr>
          <w:p>
            <w:pPr>
              <w:pStyle w:val="164"/>
              <w:spacing w:line="240" w:lineRule="auto"/>
              <w:ind w:left="-105" w:leftChars="-50" w:right="-105" w:rightChars="-50"/>
              <w:rPr>
                <w:color w:val="auto"/>
              </w:rPr>
            </w:pPr>
          </w:p>
        </w:tc>
        <w:tc>
          <w:tcPr>
            <w:tcW w:w="896" w:type="dxa"/>
            <w:vMerge w:val="continue"/>
            <w:vAlign w:val="center"/>
          </w:tcPr>
          <w:p>
            <w:pPr>
              <w:pStyle w:val="164"/>
              <w:spacing w:line="240" w:lineRule="auto"/>
              <w:ind w:left="-105" w:leftChars="-50" w:right="-105" w:rightChars="-50"/>
              <w:rPr>
                <w:color w:val="auto"/>
              </w:rPr>
            </w:pPr>
          </w:p>
        </w:tc>
        <w:tc>
          <w:tcPr>
            <w:tcW w:w="614" w:type="dxa"/>
            <w:vMerge w:val="continue"/>
            <w:vAlign w:val="center"/>
          </w:tcPr>
          <w:p>
            <w:pPr>
              <w:pStyle w:val="164"/>
              <w:spacing w:line="240" w:lineRule="auto"/>
              <w:ind w:left="-105" w:leftChars="-50" w:right="-105" w:rightChars="-50"/>
              <w:rPr>
                <w:color w:val="auto"/>
              </w:rPr>
            </w:pPr>
          </w:p>
        </w:tc>
        <w:tc>
          <w:tcPr>
            <w:tcW w:w="694" w:type="dxa"/>
            <w:vMerge w:val="continue"/>
            <w:vAlign w:val="center"/>
          </w:tcPr>
          <w:p>
            <w:pPr>
              <w:pStyle w:val="164"/>
              <w:spacing w:line="240" w:lineRule="auto"/>
              <w:ind w:left="-105" w:leftChars="-50" w:right="-105" w:rightChars="-50"/>
              <w:rPr>
                <w:color w:val="auto"/>
              </w:rPr>
            </w:pPr>
          </w:p>
        </w:tc>
        <w:tc>
          <w:tcPr>
            <w:tcW w:w="499" w:type="dxa"/>
            <w:vMerge w:val="continue"/>
            <w:vAlign w:val="center"/>
          </w:tcPr>
          <w:p>
            <w:pPr>
              <w:pStyle w:val="164"/>
              <w:spacing w:line="240" w:lineRule="auto"/>
              <w:ind w:left="-105" w:leftChars="-50" w:right="-105" w:rightChars="-50"/>
              <w:rPr>
                <w:color w:val="auto"/>
              </w:rPr>
            </w:pPr>
          </w:p>
        </w:tc>
        <w:tc>
          <w:tcPr>
            <w:tcW w:w="846" w:type="dxa"/>
            <w:vAlign w:val="center"/>
          </w:tcPr>
          <w:p>
            <w:pPr>
              <w:pStyle w:val="164"/>
              <w:spacing w:line="240" w:lineRule="auto"/>
              <w:ind w:left="-105" w:leftChars="-50" w:right="-105" w:rightChars="-50"/>
              <w:rPr>
                <w:color w:val="auto"/>
              </w:rPr>
            </w:pPr>
            <w:r>
              <w:rPr>
                <w:color w:val="auto"/>
              </w:rPr>
              <w:t>NH</w:t>
            </w:r>
            <w:r>
              <w:rPr>
                <w:color w:val="auto"/>
                <w:vertAlign w:val="subscript"/>
              </w:rPr>
              <w:t>3</w:t>
            </w:r>
          </w:p>
        </w:tc>
        <w:tc>
          <w:tcPr>
            <w:tcW w:w="1140" w:type="dxa"/>
            <w:vAlign w:val="center"/>
          </w:tcPr>
          <w:p>
            <w:pPr>
              <w:pStyle w:val="164"/>
              <w:spacing w:line="240" w:lineRule="auto"/>
              <w:ind w:left="-105" w:leftChars="-50" w:right="-105" w:rightChars="-50"/>
              <w:rPr>
                <w:color w:val="auto"/>
              </w:rPr>
            </w:pPr>
            <w:r>
              <w:rPr>
                <w:color w:val="auto"/>
              </w:rPr>
              <w:t>0.022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57" w:type="dxa"/>
            <w:vMerge w:val="continue"/>
            <w:vAlign w:val="center"/>
          </w:tcPr>
          <w:p>
            <w:pPr>
              <w:pStyle w:val="164"/>
              <w:spacing w:line="240" w:lineRule="auto"/>
              <w:ind w:left="-105" w:leftChars="-50" w:right="-105" w:rightChars="-50"/>
              <w:rPr>
                <w:color w:val="auto"/>
              </w:rPr>
            </w:pPr>
          </w:p>
        </w:tc>
        <w:tc>
          <w:tcPr>
            <w:tcW w:w="947" w:type="dxa"/>
            <w:vMerge w:val="continue"/>
            <w:vAlign w:val="center"/>
          </w:tcPr>
          <w:p>
            <w:pPr>
              <w:pStyle w:val="164"/>
              <w:spacing w:line="240" w:lineRule="auto"/>
              <w:ind w:left="-105" w:leftChars="-50" w:right="-105" w:rightChars="-50"/>
              <w:rPr>
                <w:color w:val="auto"/>
              </w:rPr>
            </w:pPr>
          </w:p>
        </w:tc>
        <w:tc>
          <w:tcPr>
            <w:tcW w:w="839" w:type="dxa"/>
            <w:vMerge w:val="continue"/>
            <w:vAlign w:val="center"/>
          </w:tcPr>
          <w:p>
            <w:pPr>
              <w:pStyle w:val="164"/>
              <w:spacing w:line="240" w:lineRule="auto"/>
              <w:ind w:left="-105" w:leftChars="-50" w:right="-105" w:rightChars="-50"/>
              <w:rPr>
                <w:color w:val="auto"/>
              </w:rPr>
            </w:pPr>
          </w:p>
        </w:tc>
        <w:tc>
          <w:tcPr>
            <w:tcW w:w="779" w:type="dxa"/>
            <w:vMerge w:val="continue"/>
            <w:vAlign w:val="center"/>
          </w:tcPr>
          <w:p>
            <w:pPr>
              <w:pStyle w:val="164"/>
              <w:spacing w:line="240" w:lineRule="auto"/>
              <w:ind w:left="-105" w:leftChars="-50" w:right="-105" w:rightChars="-50"/>
              <w:rPr>
                <w:color w:val="auto"/>
              </w:rPr>
            </w:pPr>
          </w:p>
        </w:tc>
        <w:tc>
          <w:tcPr>
            <w:tcW w:w="657" w:type="dxa"/>
            <w:vMerge w:val="continue"/>
            <w:vAlign w:val="center"/>
          </w:tcPr>
          <w:p>
            <w:pPr>
              <w:pStyle w:val="164"/>
              <w:spacing w:line="240" w:lineRule="auto"/>
              <w:ind w:left="-105" w:leftChars="-50" w:right="-105" w:rightChars="-50"/>
              <w:rPr>
                <w:color w:val="auto"/>
              </w:rPr>
            </w:pPr>
          </w:p>
        </w:tc>
        <w:tc>
          <w:tcPr>
            <w:tcW w:w="562" w:type="dxa"/>
            <w:vMerge w:val="continue"/>
            <w:vAlign w:val="center"/>
          </w:tcPr>
          <w:p>
            <w:pPr>
              <w:pStyle w:val="164"/>
              <w:spacing w:line="240" w:lineRule="auto"/>
              <w:ind w:left="-105" w:leftChars="-50" w:right="-105" w:rightChars="-50"/>
              <w:rPr>
                <w:color w:val="auto"/>
              </w:rPr>
            </w:pPr>
          </w:p>
        </w:tc>
        <w:tc>
          <w:tcPr>
            <w:tcW w:w="896" w:type="dxa"/>
            <w:vMerge w:val="continue"/>
            <w:vAlign w:val="center"/>
          </w:tcPr>
          <w:p>
            <w:pPr>
              <w:pStyle w:val="164"/>
              <w:spacing w:line="240" w:lineRule="auto"/>
              <w:ind w:left="-105" w:leftChars="-50" w:right="-105" w:rightChars="-50"/>
              <w:rPr>
                <w:color w:val="auto"/>
              </w:rPr>
            </w:pPr>
          </w:p>
        </w:tc>
        <w:tc>
          <w:tcPr>
            <w:tcW w:w="614" w:type="dxa"/>
            <w:vMerge w:val="continue"/>
            <w:vAlign w:val="center"/>
          </w:tcPr>
          <w:p>
            <w:pPr>
              <w:pStyle w:val="164"/>
              <w:spacing w:line="240" w:lineRule="auto"/>
              <w:ind w:left="-105" w:leftChars="-50" w:right="-105" w:rightChars="-50"/>
              <w:rPr>
                <w:color w:val="auto"/>
              </w:rPr>
            </w:pPr>
          </w:p>
        </w:tc>
        <w:tc>
          <w:tcPr>
            <w:tcW w:w="694" w:type="dxa"/>
            <w:vMerge w:val="continue"/>
            <w:vAlign w:val="center"/>
          </w:tcPr>
          <w:p>
            <w:pPr>
              <w:pStyle w:val="164"/>
              <w:spacing w:line="240" w:lineRule="auto"/>
              <w:ind w:left="-105" w:leftChars="-50" w:right="-105" w:rightChars="-50"/>
              <w:rPr>
                <w:color w:val="auto"/>
              </w:rPr>
            </w:pPr>
          </w:p>
        </w:tc>
        <w:tc>
          <w:tcPr>
            <w:tcW w:w="499" w:type="dxa"/>
            <w:vMerge w:val="continue"/>
            <w:vAlign w:val="center"/>
          </w:tcPr>
          <w:p>
            <w:pPr>
              <w:pStyle w:val="164"/>
              <w:spacing w:line="240" w:lineRule="auto"/>
              <w:ind w:left="-105" w:leftChars="-50" w:right="-105" w:rightChars="-50"/>
              <w:rPr>
                <w:color w:val="auto"/>
              </w:rPr>
            </w:pPr>
          </w:p>
        </w:tc>
        <w:tc>
          <w:tcPr>
            <w:tcW w:w="846" w:type="dxa"/>
            <w:vAlign w:val="center"/>
          </w:tcPr>
          <w:p>
            <w:pPr>
              <w:pStyle w:val="164"/>
              <w:spacing w:line="240" w:lineRule="auto"/>
              <w:ind w:left="-105" w:leftChars="-50" w:right="-105" w:rightChars="-50"/>
              <w:rPr>
                <w:color w:val="auto"/>
              </w:rPr>
            </w:pPr>
            <w:r>
              <w:rPr>
                <w:color w:val="auto"/>
              </w:rPr>
              <w:t>H</w:t>
            </w:r>
            <w:r>
              <w:rPr>
                <w:color w:val="auto"/>
                <w:vertAlign w:val="subscript"/>
              </w:rPr>
              <w:t>2</w:t>
            </w:r>
            <w:r>
              <w:rPr>
                <w:color w:val="auto"/>
              </w:rPr>
              <w:t>S</w:t>
            </w:r>
          </w:p>
        </w:tc>
        <w:tc>
          <w:tcPr>
            <w:tcW w:w="1140" w:type="dxa"/>
            <w:vAlign w:val="center"/>
          </w:tcPr>
          <w:p>
            <w:pPr>
              <w:pStyle w:val="164"/>
              <w:spacing w:line="240" w:lineRule="auto"/>
              <w:ind w:left="-105" w:leftChars="-50" w:right="-105" w:rightChars="-50"/>
              <w:rPr>
                <w:color w:val="auto"/>
              </w:rPr>
            </w:pPr>
            <w:r>
              <w:rPr>
                <w:color w:val="auto"/>
              </w:rPr>
              <w:t>0.0001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557" w:type="dxa"/>
            <w:vMerge w:val="continue"/>
            <w:vAlign w:val="center"/>
          </w:tcPr>
          <w:p>
            <w:pPr>
              <w:pStyle w:val="164"/>
              <w:spacing w:line="240" w:lineRule="auto"/>
              <w:ind w:left="-105" w:leftChars="-50" w:right="-105" w:rightChars="-50"/>
              <w:rPr>
                <w:color w:val="auto"/>
              </w:rPr>
            </w:pPr>
          </w:p>
        </w:tc>
        <w:tc>
          <w:tcPr>
            <w:tcW w:w="947" w:type="dxa"/>
            <w:vMerge w:val="continue"/>
            <w:vAlign w:val="center"/>
          </w:tcPr>
          <w:p>
            <w:pPr>
              <w:pStyle w:val="164"/>
              <w:spacing w:line="240" w:lineRule="auto"/>
              <w:ind w:left="-105" w:leftChars="-50" w:right="-105" w:rightChars="-50"/>
              <w:rPr>
                <w:color w:val="auto"/>
              </w:rPr>
            </w:pPr>
          </w:p>
        </w:tc>
        <w:tc>
          <w:tcPr>
            <w:tcW w:w="839" w:type="dxa"/>
            <w:vMerge w:val="continue"/>
            <w:vAlign w:val="center"/>
          </w:tcPr>
          <w:p>
            <w:pPr>
              <w:pStyle w:val="164"/>
              <w:spacing w:line="240" w:lineRule="auto"/>
              <w:ind w:left="-105" w:leftChars="-50" w:right="-105" w:rightChars="-50"/>
              <w:rPr>
                <w:color w:val="auto"/>
              </w:rPr>
            </w:pPr>
          </w:p>
        </w:tc>
        <w:tc>
          <w:tcPr>
            <w:tcW w:w="779" w:type="dxa"/>
            <w:vMerge w:val="continue"/>
            <w:vAlign w:val="center"/>
          </w:tcPr>
          <w:p>
            <w:pPr>
              <w:pStyle w:val="164"/>
              <w:spacing w:line="240" w:lineRule="auto"/>
              <w:ind w:left="-105" w:leftChars="-50" w:right="-105" w:rightChars="-50"/>
              <w:rPr>
                <w:color w:val="auto"/>
              </w:rPr>
            </w:pPr>
          </w:p>
        </w:tc>
        <w:tc>
          <w:tcPr>
            <w:tcW w:w="657" w:type="dxa"/>
            <w:vMerge w:val="continue"/>
            <w:vAlign w:val="center"/>
          </w:tcPr>
          <w:p>
            <w:pPr>
              <w:pStyle w:val="164"/>
              <w:spacing w:line="240" w:lineRule="auto"/>
              <w:ind w:left="-105" w:leftChars="-50" w:right="-105" w:rightChars="-50"/>
              <w:rPr>
                <w:color w:val="auto"/>
              </w:rPr>
            </w:pPr>
          </w:p>
        </w:tc>
        <w:tc>
          <w:tcPr>
            <w:tcW w:w="562" w:type="dxa"/>
            <w:vMerge w:val="continue"/>
            <w:vAlign w:val="center"/>
          </w:tcPr>
          <w:p>
            <w:pPr>
              <w:pStyle w:val="164"/>
              <w:spacing w:line="240" w:lineRule="auto"/>
              <w:ind w:left="-105" w:leftChars="-50" w:right="-105" w:rightChars="-50"/>
              <w:rPr>
                <w:color w:val="auto"/>
              </w:rPr>
            </w:pPr>
          </w:p>
        </w:tc>
        <w:tc>
          <w:tcPr>
            <w:tcW w:w="896" w:type="dxa"/>
            <w:vMerge w:val="continue"/>
            <w:vAlign w:val="center"/>
          </w:tcPr>
          <w:p>
            <w:pPr>
              <w:pStyle w:val="164"/>
              <w:spacing w:line="240" w:lineRule="auto"/>
              <w:ind w:left="-105" w:leftChars="-50" w:right="-105" w:rightChars="-50"/>
              <w:rPr>
                <w:color w:val="auto"/>
              </w:rPr>
            </w:pPr>
          </w:p>
        </w:tc>
        <w:tc>
          <w:tcPr>
            <w:tcW w:w="614" w:type="dxa"/>
            <w:vMerge w:val="continue"/>
            <w:vAlign w:val="center"/>
          </w:tcPr>
          <w:p>
            <w:pPr>
              <w:pStyle w:val="164"/>
              <w:spacing w:line="240" w:lineRule="auto"/>
              <w:ind w:left="-105" w:leftChars="-50" w:right="-105" w:rightChars="-50"/>
              <w:rPr>
                <w:color w:val="auto"/>
              </w:rPr>
            </w:pPr>
          </w:p>
        </w:tc>
        <w:tc>
          <w:tcPr>
            <w:tcW w:w="694" w:type="dxa"/>
            <w:vMerge w:val="continue"/>
            <w:vAlign w:val="center"/>
          </w:tcPr>
          <w:p>
            <w:pPr>
              <w:pStyle w:val="164"/>
              <w:spacing w:line="240" w:lineRule="auto"/>
              <w:ind w:left="-105" w:leftChars="-50" w:right="-105" w:rightChars="-50"/>
              <w:rPr>
                <w:color w:val="auto"/>
              </w:rPr>
            </w:pPr>
          </w:p>
        </w:tc>
        <w:tc>
          <w:tcPr>
            <w:tcW w:w="499" w:type="dxa"/>
            <w:vMerge w:val="continue"/>
            <w:vAlign w:val="center"/>
          </w:tcPr>
          <w:p>
            <w:pPr>
              <w:pStyle w:val="164"/>
              <w:spacing w:line="240" w:lineRule="auto"/>
              <w:ind w:left="-105" w:leftChars="-50" w:right="-105" w:rightChars="-50"/>
              <w:rPr>
                <w:color w:val="auto"/>
              </w:rPr>
            </w:pPr>
          </w:p>
        </w:tc>
        <w:tc>
          <w:tcPr>
            <w:tcW w:w="846" w:type="dxa"/>
            <w:vAlign w:val="center"/>
          </w:tcPr>
          <w:p>
            <w:pPr>
              <w:pStyle w:val="164"/>
              <w:spacing w:line="240" w:lineRule="auto"/>
              <w:ind w:left="-105" w:leftChars="-50" w:right="-105" w:rightChars="-50"/>
              <w:rPr>
                <w:color w:val="auto"/>
              </w:rPr>
            </w:pPr>
            <w:r>
              <w:rPr>
                <w:color w:val="auto"/>
              </w:rPr>
              <w:t>VOCs</w:t>
            </w:r>
          </w:p>
        </w:tc>
        <w:tc>
          <w:tcPr>
            <w:tcW w:w="1140" w:type="dxa"/>
            <w:vAlign w:val="center"/>
          </w:tcPr>
          <w:p>
            <w:pPr>
              <w:pStyle w:val="164"/>
              <w:spacing w:line="240" w:lineRule="auto"/>
              <w:ind w:left="-105" w:leftChars="-50" w:right="-105" w:rightChars="-50"/>
              <w:rPr>
                <w:color w:val="auto"/>
              </w:rPr>
            </w:pPr>
            <w:r>
              <w:rPr>
                <w:color w:val="auto"/>
              </w:rPr>
              <w:t>0.0037</w:t>
            </w:r>
          </w:p>
        </w:tc>
      </w:tr>
    </w:tbl>
    <w:p>
      <w:pPr>
        <w:pStyle w:val="114"/>
        <w:spacing w:before="120"/>
        <w:rPr>
          <w:snapToGrid w:val="0"/>
          <w:color w:val="auto"/>
          <w:szCs w:val="21"/>
        </w:rPr>
      </w:pPr>
      <w:r>
        <w:rPr>
          <w:snapToGrid w:val="0"/>
          <w:color w:val="auto"/>
        </w:rPr>
        <w:t xml:space="preserve">表7.2-6  </w:t>
      </w:r>
      <w:r>
        <w:rPr>
          <w:rFonts w:hint="eastAsia"/>
          <w:snapToGrid w:val="0"/>
          <w:color w:val="auto"/>
        </w:rPr>
        <w:t>本项目建成后全厂</w:t>
      </w:r>
      <w:r>
        <w:rPr>
          <w:snapToGrid w:val="0"/>
          <w:color w:val="auto"/>
        </w:rPr>
        <w:t>无组织污染源参数调查清单</w:t>
      </w:r>
    </w:p>
    <w:tbl>
      <w:tblPr>
        <w:tblStyle w:val="74"/>
        <w:tblW w:w="856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824"/>
        <w:gridCol w:w="1021"/>
        <w:gridCol w:w="1103"/>
        <w:gridCol w:w="1036"/>
        <w:gridCol w:w="930"/>
        <w:gridCol w:w="1072"/>
        <w:gridCol w:w="716"/>
        <w:gridCol w:w="858"/>
        <w:gridCol w:w="10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824" w:type="dxa"/>
            <w:vMerge w:val="restart"/>
            <w:vAlign w:val="center"/>
          </w:tcPr>
          <w:p>
            <w:pPr>
              <w:adjustRightInd w:val="0"/>
              <w:snapToGrid w:val="0"/>
              <w:jc w:val="center"/>
              <w:rPr>
                <w:b/>
                <w:bCs/>
                <w:color w:val="auto"/>
                <w:szCs w:val="21"/>
              </w:rPr>
            </w:pPr>
            <w:r>
              <w:rPr>
                <w:b/>
                <w:bCs/>
                <w:color w:val="auto"/>
                <w:szCs w:val="21"/>
              </w:rPr>
              <w:t>名称</w:t>
            </w:r>
          </w:p>
        </w:tc>
        <w:tc>
          <w:tcPr>
            <w:tcW w:w="2124" w:type="dxa"/>
            <w:gridSpan w:val="2"/>
            <w:vAlign w:val="center"/>
          </w:tcPr>
          <w:p>
            <w:pPr>
              <w:adjustRightInd w:val="0"/>
              <w:snapToGrid w:val="0"/>
              <w:jc w:val="center"/>
              <w:rPr>
                <w:b/>
                <w:bCs/>
                <w:color w:val="auto"/>
                <w:szCs w:val="21"/>
              </w:rPr>
            </w:pPr>
            <w:r>
              <w:rPr>
                <w:b/>
                <w:bCs/>
                <w:color w:val="auto"/>
                <w:szCs w:val="21"/>
              </w:rPr>
              <w:t>位置及海拔高度</w:t>
            </w:r>
          </w:p>
        </w:tc>
        <w:tc>
          <w:tcPr>
            <w:tcW w:w="1036" w:type="dxa"/>
            <w:vMerge w:val="restart"/>
            <w:vAlign w:val="center"/>
          </w:tcPr>
          <w:p>
            <w:pPr>
              <w:adjustRightInd w:val="0"/>
              <w:snapToGrid w:val="0"/>
              <w:jc w:val="center"/>
              <w:rPr>
                <w:b/>
                <w:bCs/>
                <w:color w:val="auto"/>
                <w:szCs w:val="21"/>
              </w:rPr>
            </w:pPr>
            <w:r>
              <w:rPr>
                <w:b/>
                <w:bCs/>
                <w:color w:val="auto"/>
                <w:szCs w:val="21"/>
              </w:rPr>
              <w:t>等效面源半径</w:t>
            </w:r>
          </w:p>
          <w:p>
            <w:pPr>
              <w:pStyle w:val="139"/>
              <w:jc w:val="center"/>
              <w:rPr>
                <w:rFonts w:ascii="Times New Roman" w:hAnsi="Times New Roman" w:cs="Times New Roman"/>
                <w:color w:val="auto"/>
                <w:sz w:val="21"/>
                <w:szCs w:val="21"/>
              </w:rPr>
            </w:pPr>
            <w:r>
              <w:rPr>
                <w:rFonts w:ascii="Times New Roman" w:hAnsi="Times New Roman" w:cs="Times New Roman"/>
                <w:b/>
                <w:bCs/>
                <w:color w:val="auto"/>
                <w:sz w:val="21"/>
                <w:szCs w:val="21"/>
              </w:rPr>
              <w:t>(m）</w:t>
            </w:r>
          </w:p>
        </w:tc>
        <w:tc>
          <w:tcPr>
            <w:tcW w:w="930" w:type="dxa"/>
            <w:vMerge w:val="restart"/>
            <w:vAlign w:val="center"/>
          </w:tcPr>
          <w:p>
            <w:pPr>
              <w:adjustRightInd w:val="0"/>
              <w:snapToGrid w:val="0"/>
              <w:jc w:val="center"/>
              <w:rPr>
                <w:b/>
                <w:bCs/>
                <w:color w:val="auto"/>
                <w:szCs w:val="21"/>
              </w:rPr>
            </w:pPr>
            <w:r>
              <w:rPr>
                <w:b/>
                <w:bCs/>
                <w:color w:val="auto"/>
                <w:szCs w:val="21"/>
              </w:rPr>
              <w:t>有效排</w:t>
            </w:r>
          </w:p>
          <w:p>
            <w:pPr>
              <w:adjustRightInd w:val="0"/>
              <w:snapToGrid w:val="0"/>
              <w:jc w:val="center"/>
              <w:rPr>
                <w:b/>
                <w:bCs/>
                <w:color w:val="auto"/>
                <w:szCs w:val="21"/>
              </w:rPr>
            </w:pPr>
            <w:r>
              <w:rPr>
                <w:b/>
                <w:bCs/>
                <w:color w:val="auto"/>
                <w:szCs w:val="21"/>
              </w:rPr>
              <w:t>放高度</w:t>
            </w:r>
          </w:p>
          <w:p>
            <w:pPr>
              <w:pStyle w:val="139"/>
              <w:jc w:val="center"/>
              <w:rPr>
                <w:rFonts w:ascii="Times New Roman" w:hAnsi="Times New Roman" w:cs="Times New Roman"/>
                <w:color w:val="auto"/>
                <w:sz w:val="21"/>
                <w:szCs w:val="21"/>
              </w:rPr>
            </w:pPr>
            <w:r>
              <w:rPr>
                <w:rFonts w:ascii="Times New Roman" w:hAnsi="Times New Roman" w:cs="Times New Roman"/>
                <w:b/>
                <w:bCs/>
                <w:color w:val="auto"/>
                <w:sz w:val="21"/>
                <w:szCs w:val="21"/>
              </w:rPr>
              <w:t>(m）</w:t>
            </w:r>
          </w:p>
        </w:tc>
        <w:tc>
          <w:tcPr>
            <w:tcW w:w="1072" w:type="dxa"/>
            <w:vMerge w:val="restart"/>
            <w:vAlign w:val="center"/>
          </w:tcPr>
          <w:p>
            <w:pPr>
              <w:overflowPunct w:val="0"/>
              <w:adjustRightInd w:val="0"/>
              <w:snapToGrid w:val="0"/>
              <w:ind w:left="-105" w:leftChars="-50" w:right="-105" w:rightChars="-50"/>
              <w:jc w:val="center"/>
              <w:rPr>
                <w:b/>
                <w:color w:val="auto"/>
                <w:szCs w:val="21"/>
              </w:rPr>
            </w:pPr>
            <w:r>
              <w:rPr>
                <w:b/>
                <w:color w:val="auto"/>
                <w:szCs w:val="21"/>
              </w:rPr>
              <w:t>年排放</w:t>
            </w:r>
          </w:p>
          <w:p>
            <w:pPr>
              <w:overflowPunct w:val="0"/>
              <w:adjustRightInd w:val="0"/>
              <w:snapToGrid w:val="0"/>
              <w:ind w:left="-105" w:leftChars="-50" w:right="-105" w:rightChars="-50"/>
              <w:jc w:val="center"/>
              <w:rPr>
                <w:b/>
                <w:color w:val="auto"/>
                <w:szCs w:val="21"/>
              </w:rPr>
            </w:pPr>
            <w:r>
              <w:rPr>
                <w:b/>
                <w:color w:val="auto"/>
                <w:szCs w:val="21"/>
              </w:rPr>
              <w:t>小时数</w:t>
            </w:r>
          </w:p>
          <w:p>
            <w:pPr>
              <w:pStyle w:val="139"/>
              <w:jc w:val="center"/>
              <w:rPr>
                <w:rFonts w:ascii="Times New Roman" w:hAnsi="Times New Roman" w:cs="Times New Roman"/>
                <w:color w:val="auto"/>
                <w:sz w:val="21"/>
                <w:szCs w:val="21"/>
              </w:rPr>
            </w:pPr>
            <w:r>
              <w:rPr>
                <w:rFonts w:ascii="Times New Roman" w:hAnsi="Times New Roman" w:cs="Times New Roman"/>
                <w:b/>
                <w:color w:val="auto"/>
                <w:szCs w:val="21"/>
              </w:rPr>
              <w:t>(h)</w:t>
            </w:r>
          </w:p>
        </w:tc>
        <w:tc>
          <w:tcPr>
            <w:tcW w:w="716" w:type="dxa"/>
            <w:vMerge w:val="restart"/>
            <w:vAlign w:val="center"/>
          </w:tcPr>
          <w:p>
            <w:pPr>
              <w:overflowPunct w:val="0"/>
              <w:adjustRightInd w:val="0"/>
              <w:snapToGrid w:val="0"/>
              <w:ind w:left="-105" w:leftChars="-50" w:right="-105" w:rightChars="-50"/>
              <w:jc w:val="center"/>
              <w:rPr>
                <w:b/>
                <w:color w:val="auto"/>
                <w:szCs w:val="21"/>
              </w:rPr>
            </w:pPr>
            <w:r>
              <w:rPr>
                <w:b/>
                <w:color w:val="auto"/>
                <w:szCs w:val="21"/>
              </w:rPr>
              <w:t>排放</w:t>
            </w:r>
          </w:p>
          <w:p>
            <w:pPr>
              <w:overflowPunct w:val="0"/>
              <w:adjustRightInd w:val="0"/>
              <w:snapToGrid w:val="0"/>
              <w:ind w:left="-105" w:leftChars="-50" w:right="-105" w:rightChars="-50"/>
              <w:jc w:val="center"/>
              <w:rPr>
                <w:b/>
                <w:color w:val="auto"/>
                <w:szCs w:val="21"/>
              </w:rPr>
            </w:pPr>
            <w:r>
              <w:rPr>
                <w:b/>
                <w:color w:val="auto"/>
                <w:szCs w:val="21"/>
              </w:rPr>
              <w:t>工况</w:t>
            </w:r>
          </w:p>
        </w:tc>
        <w:tc>
          <w:tcPr>
            <w:tcW w:w="858" w:type="dxa"/>
            <w:vMerge w:val="restart"/>
            <w:vAlign w:val="center"/>
          </w:tcPr>
          <w:p>
            <w:pPr>
              <w:overflowPunct w:val="0"/>
              <w:adjustRightInd w:val="0"/>
              <w:snapToGrid w:val="0"/>
              <w:ind w:left="-105" w:leftChars="-50" w:right="-105" w:rightChars="-50"/>
              <w:jc w:val="center"/>
              <w:rPr>
                <w:b/>
                <w:color w:val="auto"/>
                <w:szCs w:val="21"/>
              </w:rPr>
            </w:pPr>
            <w:r>
              <w:rPr>
                <w:b/>
                <w:color w:val="auto"/>
                <w:szCs w:val="21"/>
              </w:rPr>
              <w:t>污染物</w:t>
            </w:r>
          </w:p>
          <w:p>
            <w:pPr>
              <w:overflowPunct w:val="0"/>
              <w:adjustRightInd w:val="0"/>
              <w:snapToGrid w:val="0"/>
              <w:ind w:left="-105" w:leftChars="-50" w:right="-105" w:rightChars="-50"/>
              <w:jc w:val="center"/>
              <w:rPr>
                <w:b/>
                <w:color w:val="auto"/>
                <w:szCs w:val="21"/>
              </w:rPr>
            </w:pPr>
            <w:r>
              <w:rPr>
                <w:b/>
                <w:color w:val="auto"/>
                <w:szCs w:val="21"/>
              </w:rPr>
              <w:t>名称</w:t>
            </w:r>
          </w:p>
        </w:tc>
        <w:tc>
          <w:tcPr>
            <w:tcW w:w="1000" w:type="dxa"/>
            <w:vMerge w:val="restart"/>
            <w:vAlign w:val="center"/>
          </w:tcPr>
          <w:p>
            <w:pPr>
              <w:adjustRightInd w:val="0"/>
              <w:snapToGrid w:val="0"/>
              <w:ind w:left="-105" w:leftChars="-50" w:right="-105" w:rightChars="-50"/>
              <w:jc w:val="center"/>
              <w:rPr>
                <w:b/>
                <w:color w:val="auto"/>
                <w:szCs w:val="21"/>
              </w:rPr>
            </w:pPr>
            <w:r>
              <w:rPr>
                <w:b/>
                <w:color w:val="auto"/>
                <w:szCs w:val="21"/>
              </w:rPr>
              <w:t>排放速率</w:t>
            </w:r>
          </w:p>
          <w:p>
            <w:pPr>
              <w:adjustRightInd w:val="0"/>
              <w:snapToGrid w:val="0"/>
              <w:ind w:left="-105" w:leftChars="-50" w:right="-105" w:rightChars="-50"/>
              <w:jc w:val="center"/>
              <w:rPr>
                <w:b/>
                <w:color w:val="auto"/>
                <w:szCs w:val="21"/>
              </w:rPr>
            </w:pPr>
            <w:r>
              <w:rPr>
                <w:b/>
                <w:color w:val="auto"/>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824" w:type="dxa"/>
            <w:vMerge w:val="continue"/>
            <w:vAlign w:val="center"/>
          </w:tcPr>
          <w:p>
            <w:pPr>
              <w:adjustRightInd w:val="0"/>
              <w:snapToGrid w:val="0"/>
              <w:jc w:val="center"/>
              <w:rPr>
                <w:b/>
                <w:bCs/>
                <w:color w:val="auto"/>
                <w:szCs w:val="21"/>
              </w:rPr>
            </w:pPr>
          </w:p>
        </w:tc>
        <w:tc>
          <w:tcPr>
            <w:tcW w:w="1021" w:type="dxa"/>
            <w:vAlign w:val="center"/>
          </w:tcPr>
          <w:p>
            <w:pPr>
              <w:adjustRightInd w:val="0"/>
              <w:snapToGrid w:val="0"/>
              <w:jc w:val="center"/>
              <w:rPr>
                <w:b/>
                <w:bCs/>
                <w:color w:val="auto"/>
                <w:szCs w:val="21"/>
              </w:rPr>
            </w:pPr>
            <w:r>
              <w:rPr>
                <w:b/>
                <w:color w:val="auto"/>
                <w:szCs w:val="21"/>
              </w:rPr>
              <w:t>坐标</w:t>
            </w:r>
          </w:p>
        </w:tc>
        <w:tc>
          <w:tcPr>
            <w:tcW w:w="1103" w:type="dxa"/>
            <w:vAlign w:val="center"/>
          </w:tcPr>
          <w:p>
            <w:pPr>
              <w:adjustRightInd w:val="0"/>
              <w:snapToGrid w:val="0"/>
              <w:jc w:val="center"/>
              <w:rPr>
                <w:b/>
                <w:bCs/>
                <w:color w:val="auto"/>
                <w:szCs w:val="21"/>
              </w:rPr>
            </w:pPr>
            <w:r>
              <w:rPr>
                <w:b/>
                <w:bCs/>
                <w:color w:val="auto"/>
                <w:szCs w:val="21"/>
              </w:rPr>
              <w:t>海拔高度</w:t>
            </w:r>
          </w:p>
          <w:p>
            <w:pPr>
              <w:pStyle w:val="139"/>
              <w:jc w:val="center"/>
              <w:rPr>
                <w:rFonts w:ascii="Times New Roman" w:hAnsi="Times New Roman" w:cs="Times New Roman"/>
                <w:color w:val="auto"/>
                <w:sz w:val="21"/>
                <w:szCs w:val="21"/>
              </w:rPr>
            </w:pPr>
            <w:r>
              <w:rPr>
                <w:rFonts w:ascii="Times New Roman" w:hAnsi="Times New Roman" w:cs="Times New Roman"/>
                <w:b/>
                <w:color w:val="auto"/>
                <w:sz w:val="21"/>
                <w:szCs w:val="21"/>
              </w:rPr>
              <w:t>(m)</w:t>
            </w:r>
          </w:p>
        </w:tc>
        <w:tc>
          <w:tcPr>
            <w:tcW w:w="1036" w:type="dxa"/>
            <w:vMerge w:val="continue"/>
            <w:vAlign w:val="center"/>
          </w:tcPr>
          <w:p>
            <w:pPr>
              <w:adjustRightInd w:val="0"/>
              <w:snapToGrid w:val="0"/>
              <w:jc w:val="center"/>
              <w:rPr>
                <w:color w:val="auto"/>
                <w:szCs w:val="21"/>
              </w:rPr>
            </w:pPr>
          </w:p>
        </w:tc>
        <w:tc>
          <w:tcPr>
            <w:tcW w:w="930" w:type="dxa"/>
            <w:vMerge w:val="continue"/>
            <w:vAlign w:val="center"/>
          </w:tcPr>
          <w:p>
            <w:pPr>
              <w:adjustRightInd w:val="0"/>
              <w:snapToGrid w:val="0"/>
              <w:jc w:val="center"/>
              <w:rPr>
                <w:color w:val="auto"/>
                <w:szCs w:val="21"/>
              </w:rPr>
            </w:pPr>
          </w:p>
        </w:tc>
        <w:tc>
          <w:tcPr>
            <w:tcW w:w="1072" w:type="dxa"/>
            <w:vMerge w:val="continue"/>
            <w:vAlign w:val="center"/>
          </w:tcPr>
          <w:p>
            <w:pPr>
              <w:adjustRightInd w:val="0"/>
              <w:snapToGrid w:val="0"/>
              <w:jc w:val="center"/>
              <w:rPr>
                <w:color w:val="auto"/>
                <w:szCs w:val="21"/>
              </w:rPr>
            </w:pPr>
          </w:p>
        </w:tc>
        <w:tc>
          <w:tcPr>
            <w:tcW w:w="716" w:type="dxa"/>
            <w:vMerge w:val="continue"/>
            <w:vAlign w:val="center"/>
          </w:tcPr>
          <w:p>
            <w:pPr>
              <w:adjustRightInd w:val="0"/>
              <w:snapToGrid w:val="0"/>
              <w:jc w:val="center"/>
              <w:rPr>
                <w:color w:val="auto"/>
                <w:szCs w:val="21"/>
              </w:rPr>
            </w:pPr>
          </w:p>
        </w:tc>
        <w:tc>
          <w:tcPr>
            <w:tcW w:w="858" w:type="dxa"/>
            <w:vMerge w:val="continue"/>
            <w:vAlign w:val="center"/>
          </w:tcPr>
          <w:p>
            <w:pPr>
              <w:adjustRightInd w:val="0"/>
              <w:snapToGrid w:val="0"/>
              <w:jc w:val="center"/>
              <w:rPr>
                <w:color w:val="auto"/>
                <w:szCs w:val="21"/>
              </w:rPr>
            </w:pPr>
          </w:p>
        </w:tc>
        <w:tc>
          <w:tcPr>
            <w:tcW w:w="1000" w:type="dxa"/>
            <w:vMerge w:val="continue"/>
            <w:vAlign w:val="center"/>
          </w:tcPr>
          <w:p>
            <w:pPr>
              <w:adjustRightInd w:val="0"/>
              <w:snapToGrid w:val="0"/>
              <w:jc w:val="center"/>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824" w:type="dxa"/>
            <w:vMerge w:val="restart"/>
            <w:vAlign w:val="center"/>
          </w:tcPr>
          <w:p>
            <w:pPr>
              <w:adjustRightInd w:val="0"/>
              <w:snapToGrid w:val="0"/>
              <w:jc w:val="center"/>
              <w:rPr>
                <w:color w:val="auto"/>
                <w:szCs w:val="21"/>
              </w:rPr>
            </w:pPr>
            <w:r>
              <w:rPr>
                <w:color w:val="auto"/>
                <w:szCs w:val="21"/>
              </w:rPr>
              <w:t>蒸煮车间无组织</w:t>
            </w:r>
          </w:p>
        </w:tc>
        <w:tc>
          <w:tcPr>
            <w:tcW w:w="1021" w:type="dxa"/>
            <w:vMerge w:val="restart"/>
            <w:vAlign w:val="center"/>
          </w:tcPr>
          <w:p>
            <w:pPr>
              <w:pStyle w:val="164"/>
              <w:rPr>
                <w:color w:val="auto"/>
              </w:rPr>
            </w:pPr>
            <w:r>
              <w:rPr>
                <w:color w:val="auto"/>
              </w:rPr>
              <w:t>105.1530</w:t>
            </w:r>
          </w:p>
          <w:p>
            <w:pPr>
              <w:pStyle w:val="164"/>
              <w:rPr>
                <w:color w:val="auto"/>
              </w:rPr>
            </w:pPr>
            <w:r>
              <w:rPr>
                <w:color w:val="auto"/>
              </w:rPr>
              <w:t>37.2630</w:t>
            </w:r>
          </w:p>
        </w:tc>
        <w:tc>
          <w:tcPr>
            <w:tcW w:w="1103" w:type="dxa"/>
            <w:vMerge w:val="restart"/>
            <w:vAlign w:val="center"/>
          </w:tcPr>
          <w:p>
            <w:pPr>
              <w:adjustRightInd w:val="0"/>
              <w:snapToGrid w:val="0"/>
              <w:jc w:val="center"/>
              <w:rPr>
                <w:color w:val="auto"/>
                <w:szCs w:val="21"/>
              </w:rPr>
            </w:pPr>
            <w:r>
              <w:rPr>
                <w:color w:val="auto"/>
                <w:szCs w:val="21"/>
              </w:rPr>
              <w:t>1336</w:t>
            </w:r>
          </w:p>
        </w:tc>
        <w:tc>
          <w:tcPr>
            <w:tcW w:w="1036" w:type="dxa"/>
            <w:vMerge w:val="restart"/>
            <w:vAlign w:val="center"/>
          </w:tcPr>
          <w:p>
            <w:pPr>
              <w:adjustRightInd w:val="0"/>
              <w:snapToGrid w:val="0"/>
              <w:jc w:val="center"/>
              <w:rPr>
                <w:color w:val="auto"/>
                <w:szCs w:val="21"/>
              </w:rPr>
            </w:pPr>
            <w:r>
              <w:rPr>
                <w:color w:val="auto"/>
                <w:szCs w:val="21"/>
              </w:rPr>
              <w:t>13.9</w:t>
            </w:r>
          </w:p>
        </w:tc>
        <w:tc>
          <w:tcPr>
            <w:tcW w:w="930" w:type="dxa"/>
            <w:vMerge w:val="restart"/>
            <w:vAlign w:val="center"/>
          </w:tcPr>
          <w:p>
            <w:pPr>
              <w:overflowPunct w:val="0"/>
              <w:adjustRightInd w:val="0"/>
              <w:snapToGrid w:val="0"/>
              <w:ind w:left="-105" w:leftChars="-50" w:right="-105" w:rightChars="-50"/>
              <w:jc w:val="center"/>
              <w:rPr>
                <w:color w:val="auto"/>
                <w:szCs w:val="21"/>
                <w:vertAlign w:val="subscript"/>
              </w:rPr>
            </w:pPr>
            <w:r>
              <w:rPr>
                <w:color w:val="auto"/>
                <w:szCs w:val="21"/>
              </w:rPr>
              <w:t>7.5</w:t>
            </w:r>
          </w:p>
        </w:tc>
        <w:tc>
          <w:tcPr>
            <w:tcW w:w="1072" w:type="dxa"/>
            <w:vMerge w:val="restart"/>
            <w:vAlign w:val="center"/>
          </w:tcPr>
          <w:p>
            <w:pPr>
              <w:overflowPunct w:val="0"/>
              <w:adjustRightInd w:val="0"/>
              <w:snapToGrid w:val="0"/>
              <w:ind w:left="-105" w:leftChars="-50" w:right="-105" w:rightChars="-50"/>
              <w:jc w:val="center"/>
              <w:rPr>
                <w:color w:val="auto"/>
                <w:szCs w:val="21"/>
              </w:rPr>
            </w:pPr>
            <w:r>
              <w:rPr>
                <w:color w:val="auto"/>
                <w:szCs w:val="21"/>
              </w:rPr>
              <w:t>5280</w:t>
            </w:r>
          </w:p>
        </w:tc>
        <w:tc>
          <w:tcPr>
            <w:tcW w:w="716" w:type="dxa"/>
            <w:vMerge w:val="restart"/>
            <w:vAlign w:val="center"/>
          </w:tcPr>
          <w:p>
            <w:pPr>
              <w:overflowPunct w:val="0"/>
              <w:adjustRightInd w:val="0"/>
              <w:snapToGrid w:val="0"/>
              <w:ind w:left="-105" w:leftChars="-50" w:right="-105" w:rightChars="-50"/>
              <w:jc w:val="center"/>
              <w:rPr>
                <w:color w:val="auto"/>
              </w:rPr>
            </w:pPr>
            <w:r>
              <w:rPr>
                <w:color w:val="auto"/>
              </w:rPr>
              <w:t>连续</w:t>
            </w:r>
          </w:p>
        </w:tc>
        <w:tc>
          <w:tcPr>
            <w:tcW w:w="858" w:type="dxa"/>
            <w:vAlign w:val="center"/>
          </w:tcPr>
          <w:p>
            <w:pPr>
              <w:overflowPunct w:val="0"/>
              <w:adjustRightInd w:val="0"/>
              <w:snapToGrid w:val="0"/>
              <w:ind w:left="-105" w:leftChars="-50" w:right="-105" w:rightChars="-50"/>
              <w:jc w:val="center"/>
              <w:rPr>
                <w:color w:val="auto"/>
                <w:szCs w:val="21"/>
                <w:vertAlign w:val="subscript"/>
              </w:rPr>
            </w:pPr>
            <w:r>
              <w:rPr>
                <w:color w:val="auto"/>
              </w:rPr>
              <w:t>NH</w:t>
            </w:r>
            <w:r>
              <w:rPr>
                <w:color w:val="auto"/>
                <w:sz w:val="13"/>
                <w:szCs w:val="13"/>
              </w:rPr>
              <w:t>3</w:t>
            </w:r>
          </w:p>
        </w:tc>
        <w:tc>
          <w:tcPr>
            <w:tcW w:w="1000" w:type="dxa"/>
            <w:vAlign w:val="center"/>
          </w:tcPr>
          <w:p>
            <w:pPr>
              <w:overflowPunct w:val="0"/>
              <w:adjustRightInd w:val="0"/>
              <w:snapToGrid w:val="0"/>
              <w:ind w:left="-105" w:leftChars="-50" w:right="-105" w:rightChars="-50"/>
              <w:jc w:val="center"/>
              <w:rPr>
                <w:color w:val="auto"/>
                <w:szCs w:val="21"/>
              </w:rPr>
            </w:pPr>
            <w:r>
              <w:rPr>
                <w:bCs/>
                <w:color w:val="auto"/>
              </w:rPr>
              <w:t>0.0026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824" w:type="dxa"/>
            <w:vMerge w:val="continue"/>
            <w:vAlign w:val="center"/>
          </w:tcPr>
          <w:p>
            <w:pPr>
              <w:adjustRightInd w:val="0"/>
              <w:snapToGrid w:val="0"/>
              <w:jc w:val="center"/>
              <w:rPr>
                <w:color w:val="auto"/>
                <w:szCs w:val="21"/>
              </w:rPr>
            </w:pPr>
          </w:p>
        </w:tc>
        <w:tc>
          <w:tcPr>
            <w:tcW w:w="1021" w:type="dxa"/>
            <w:vMerge w:val="continue"/>
            <w:vAlign w:val="center"/>
          </w:tcPr>
          <w:p>
            <w:pPr>
              <w:pStyle w:val="139"/>
              <w:jc w:val="center"/>
              <w:rPr>
                <w:rFonts w:ascii="Times New Roman" w:hAnsi="Times New Roman" w:cs="Times New Roman"/>
                <w:color w:val="auto"/>
                <w:kern w:val="2"/>
                <w:sz w:val="21"/>
                <w:szCs w:val="21"/>
              </w:rPr>
            </w:pPr>
          </w:p>
        </w:tc>
        <w:tc>
          <w:tcPr>
            <w:tcW w:w="1103" w:type="dxa"/>
            <w:vMerge w:val="continue"/>
            <w:vAlign w:val="center"/>
          </w:tcPr>
          <w:p>
            <w:pPr>
              <w:adjustRightInd w:val="0"/>
              <w:snapToGrid w:val="0"/>
              <w:jc w:val="center"/>
              <w:rPr>
                <w:color w:val="auto"/>
                <w:szCs w:val="21"/>
              </w:rPr>
            </w:pPr>
          </w:p>
        </w:tc>
        <w:tc>
          <w:tcPr>
            <w:tcW w:w="1036" w:type="dxa"/>
            <w:vMerge w:val="continue"/>
            <w:vAlign w:val="center"/>
          </w:tcPr>
          <w:p>
            <w:pPr>
              <w:adjustRightInd w:val="0"/>
              <w:snapToGrid w:val="0"/>
              <w:jc w:val="center"/>
              <w:rPr>
                <w:color w:val="auto"/>
                <w:szCs w:val="21"/>
              </w:rPr>
            </w:pPr>
          </w:p>
        </w:tc>
        <w:tc>
          <w:tcPr>
            <w:tcW w:w="930" w:type="dxa"/>
            <w:vMerge w:val="continue"/>
            <w:vAlign w:val="center"/>
          </w:tcPr>
          <w:p>
            <w:pPr>
              <w:overflowPunct w:val="0"/>
              <w:adjustRightInd w:val="0"/>
              <w:snapToGrid w:val="0"/>
              <w:ind w:left="-105" w:leftChars="-50" w:right="-105" w:rightChars="-50"/>
              <w:jc w:val="center"/>
              <w:rPr>
                <w:color w:val="auto"/>
                <w:szCs w:val="21"/>
              </w:rPr>
            </w:pPr>
          </w:p>
        </w:tc>
        <w:tc>
          <w:tcPr>
            <w:tcW w:w="1072" w:type="dxa"/>
            <w:vMerge w:val="continue"/>
            <w:vAlign w:val="center"/>
          </w:tcPr>
          <w:p>
            <w:pPr>
              <w:overflowPunct w:val="0"/>
              <w:adjustRightInd w:val="0"/>
              <w:snapToGrid w:val="0"/>
              <w:ind w:left="-105" w:leftChars="-50" w:right="-105" w:rightChars="-50"/>
              <w:jc w:val="center"/>
              <w:rPr>
                <w:color w:val="auto"/>
                <w:szCs w:val="21"/>
              </w:rPr>
            </w:pPr>
          </w:p>
        </w:tc>
        <w:tc>
          <w:tcPr>
            <w:tcW w:w="716" w:type="dxa"/>
            <w:vMerge w:val="continue"/>
            <w:vAlign w:val="center"/>
          </w:tcPr>
          <w:p>
            <w:pPr>
              <w:overflowPunct w:val="0"/>
              <w:adjustRightInd w:val="0"/>
              <w:snapToGrid w:val="0"/>
              <w:ind w:left="-105" w:leftChars="-50" w:right="-105" w:rightChars="-50"/>
              <w:jc w:val="center"/>
              <w:rPr>
                <w:color w:val="auto"/>
              </w:rPr>
            </w:pPr>
          </w:p>
        </w:tc>
        <w:tc>
          <w:tcPr>
            <w:tcW w:w="858" w:type="dxa"/>
            <w:vAlign w:val="center"/>
          </w:tcPr>
          <w:p>
            <w:pPr>
              <w:overflowPunct w:val="0"/>
              <w:adjustRightInd w:val="0"/>
              <w:snapToGrid w:val="0"/>
              <w:ind w:left="-105" w:leftChars="-50" w:right="-105" w:rightChars="-50"/>
              <w:jc w:val="center"/>
              <w:rPr>
                <w:color w:val="auto"/>
                <w:szCs w:val="21"/>
              </w:rPr>
            </w:pPr>
            <w:r>
              <w:rPr>
                <w:color w:val="auto"/>
              </w:rPr>
              <w:t>H</w:t>
            </w:r>
            <w:r>
              <w:rPr>
                <w:color w:val="auto"/>
                <w:vertAlign w:val="subscript"/>
              </w:rPr>
              <w:t>2</w:t>
            </w:r>
            <w:r>
              <w:rPr>
                <w:color w:val="auto"/>
              </w:rPr>
              <w:t>S</w:t>
            </w:r>
          </w:p>
        </w:tc>
        <w:tc>
          <w:tcPr>
            <w:tcW w:w="1000" w:type="dxa"/>
            <w:vAlign w:val="center"/>
          </w:tcPr>
          <w:p>
            <w:pPr>
              <w:overflowPunct w:val="0"/>
              <w:adjustRightInd w:val="0"/>
              <w:snapToGrid w:val="0"/>
              <w:ind w:left="-105" w:leftChars="-50" w:right="-105" w:rightChars="-50"/>
              <w:jc w:val="center"/>
              <w:rPr>
                <w:color w:val="auto"/>
                <w:szCs w:val="21"/>
              </w:rPr>
            </w:pPr>
            <w:r>
              <w:rPr>
                <w:bCs/>
                <w:color w:val="auto"/>
              </w:rPr>
              <w:t>0.000016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824" w:type="dxa"/>
            <w:vMerge w:val="continue"/>
            <w:vAlign w:val="center"/>
          </w:tcPr>
          <w:p>
            <w:pPr>
              <w:adjustRightInd w:val="0"/>
              <w:snapToGrid w:val="0"/>
              <w:jc w:val="center"/>
              <w:rPr>
                <w:color w:val="auto"/>
                <w:szCs w:val="21"/>
              </w:rPr>
            </w:pPr>
          </w:p>
        </w:tc>
        <w:tc>
          <w:tcPr>
            <w:tcW w:w="1021" w:type="dxa"/>
            <w:vMerge w:val="continue"/>
            <w:vAlign w:val="center"/>
          </w:tcPr>
          <w:p>
            <w:pPr>
              <w:pStyle w:val="139"/>
              <w:jc w:val="center"/>
              <w:rPr>
                <w:rFonts w:ascii="Times New Roman" w:hAnsi="Times New Roman" w:cs="Times New Roman"/>
                <w:color w:val="auto"/>
                <w:kern w:val="2"/>
                <w:sz w:val="21"/>
                <w:szCs w:val="21"/>
              </w:rPr>
            </w:pPr>
          </w:p>
        </w:tc>
        <w:tc>
          <w:tcPr>
            <w:tcW w:w="1103" w:type="dxa"/>
            <w:vMerge w:val="continue"/>
            <w:vAlign w:val="center"/>
          </w:tcPr>
          <w:p>
            <w:pPr>
              <w:adjustRightInd w:val="0"/>
              <w:snapToGrid w:val="0"/>
              <w:jc w:val="center"/>
              <w:rPr>
                <w:color w:val="auto"/>
                <w:szCs w:val="21"/>
              </w:rPr>
            </w:pPr>
          </w:p>
        </w:tc>
        <w:tc>
          <w:tcPr>
            <w:tcW w:w="1036" w:type="dxa"/>
            <w:vMerge w:val="continue"/>
            <w:vAlign w:val="center"/>
          </w:tcPr>
          <w:p>
            <w:pPr>
              <w:adjustRightInd w:val="0"/>
              <w:snapToGrid w:val="0"/>
              <w:jc w:val="center"/>
              <w:rPr>
                <w:color w:val="auto"/>
                <w:szCs w:val="21"/>
              </w:rPr>
            </w:pPr>
          </w:p>
        </w:tc>
        <w:tc>
          <w:tcPr>
            <w:tcW w:w="930" w:type="dxa"/>
            <w:vMerge w:val="continue"/>
            <w:vAlign w:val="center"/>
          </w:tcPr>
          <w:p>
            <w:pPr>
              <w:overflowPunct w:val="0"/>
              <w:adjustRightInd w:val="0"/>
              <w:snapToGrid w:val="0"/>
              <w:ind w:left="-105" w:leftChars="-50" w:right="-105" w:rightChars="-50"/>
              <w:jc w:val="center"/>
              <w:rPr>
                <w:color w:val="auto"/>
                <w:szCs w:val="21"/>
              </w:rPr>
            </w:pPr>
          </w:p>
        </w:tc>
        <w:tc>
          <w:tcPr>
            <w:tcW w:w="1072" w:type="dxa"/>
            <w:vMerge w:val="continue"/>
            <w:vAlign w:val="center"/>
          </w:tcPr>
          <w:p>
            <w:pPr>
              <w:overflowPunct w:val="0"/>
              <w:adjustRightInd w:val="0"/>
              <w:snapToGrid w:val="0"/>
              <w:ind w:left="-105" w:leftChars="-50" w:right="-105" w:rightChars="-50"/>
              <w:jc w:val="center"/>
              <w:rPr>
                <w:color w:val="auto"/>
                <w:szCs w:val="21"/>
              </w:rPr>
            </w:pPr>
          </w:p>
        </w:tc>
        <w:tc>
          <w:tcPr>
            <w:tcW w:w="716" w:type="dxa"/>
            <w:vMerge w:val="continue"/>
            <w:vAlign w:val="center"/>
          </w:tcPr>
          <w:p>
            <w:pPr>
              <w:overflowPunct w:val="0"/>
              <w:adjustRightInd w:val="0"/>
              <w:snapToGrid w:val="0"/>
              <w:ind w:left="-105" w:leftChars="-50" w:right="-105" w:rightChars="-50"/>
              <w:jc w:val="center"/>
              <w:rPr>
                <w:color w:val="auto"/>
              </w:rPr>
            </w:pPr>
          </w:p>
        </w:tc>
        <w:tc>
          <w:tcPr>
            <w:tcW w:w="858" w:type="dxa"/>
            <w:vAlign w:val="center"/>
          </w:tcPr>
          <w:p>
            <w:pPr>
              <w:overflowPunct w:val="0"/>
              <w:adjustRightInd w:val="0"/>
              <w:snapToGrid w:val="0"/>
              <w:ind w:left="-105" w:leftChars="-50" w:right="-105" w:rightChars="-50"/>
              <w:jc w:val="center"/>
              <w:rPr>
                <w:color w:val="auto"/>
                <w:szCs w:val="21"/>
              </w:rPr>
            </w:pPr>
            <w:r>
              <w:rPr>
                <w:color w:val="auto"/>
              </w:rPr>
              <w:t>VOCs</w:t>
            </w:r>
          </w:p>
        </w:tc>
        <w:tc>
          <w:tcPr>
            <w:tcW w:w="1000" w:type="dxa"/>
            <w:vAlign w:val="center"/>
          </w:tcPr>
          <w:p>
            <w:pPr>
              <w:overflowPunct w:val="0"/>
              <w:adjustRightInd w:val="0"/>
              <w:snapToGrid w:val="0"/>
              <w:ind w:left="-105" w:leftChars="-50" w:right="-105" w:rightChars="-50"/>
              <w:jc w:val="center"/>
              <w:rPr>
                <w:color w:val="auto"/>
                <w:szCs w:val="21"/>
              </w:rPr>
            </w:pPr>
            <w:r>
              <w:rPr>
                <w:bCs/>
                <w:color w:val="auto"/>
              </w:rPr>
              <w:t>0.0006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824" w:type="dxa"/>
            <w:vMerge w:val="restart"/>
            <w:vAlign w:val="center"/>
          </w:tcPr>
          <w:p>
            <w:pPr>
              <w:adjustRightInd w:val="0"/>
              <w:snapToGrid w:val="0"/>
              <w:jc w:val="center"/>
              <w:rPr>
                <w:color w:val="auto"/>
                <w:szCs w:val="21"/>
              </w:rPr>
            </w:pPr>
            <w:r>
              <w:rPr>
                <w:color w:val="auto"/>
                <w:szCs w:val="21"/>
              </w:rPr>
              <w:t>污水站无组织</w:t>
            </w:r>
          </w:p>
        </w:tc>
        <w:tc>
          <w:tcPr>
            <w:tcW w:w="1021" w:type="dxa"/>
            <w:vMerge w:val="restart"/>
            <w:vAlign w:val="center"/>
          </w:tcPr>
          <w:p>
            <w:pPr>
              <w:pStyle w:val="164"/>
              <w:rPr>
                <w:color w:val="auto"/>
              </w:rPr>
            </w:pPr>
            <w:r>
              <w:rPr>
                <w:color w:val="auto"/>
              </w:rPr>
              <w:t>105.1529</w:t>
            </w:r>
          </w:p>
          <w:p>
            <w:pPr>
              <w:pStyle w:val="139"/>
              <w:jc w:val="center"/>
              <w:rPr>
                <w:rFonts w:ascii="Times New Roman" w:hAnsi="Times New Roman" w:cs="Times New Roman"/>
                <w:color w:val="auto"/>
                <w:kern w:val="2"/>
                <w:sz w:val="21"/>
                <w:szCs w:val="21"/>
              </w:rPr>
            </w:pPr>
            <w:r>
              <w:rPr>
                <w:rFonts w:ascii="Times New Roman" w:hAnsi="Times New Roman" w:cs="Times New Roman"/>
                <w:color w:val="auto"/>
                <w:sz w:val="21"/>
                <w:szCs w:val="21"/>
              </w:rPr>
              <w:t>37.2632</w:t>
            </w:r>
          </w:p>
        </w:tc>
        <w:tc>
          <w:tcPr>
            <w:tcW w:w="1103" w:type="dxa"/>
            <w:vMerge w:val="restart"/>
            <w:vAlign w:val="center"/>
          </w:tcPr>
          <w:p>
            <w:pPr>
              <w:adjustRightInd w:val="0"/>
              <w:snapToGrid w:val="0"/>
              <w:jc w:val="center"/>
              <w:rPr>
                <w:color w:val="auto"/>
                <w:szCs w:val="21"/>
              </w:rPr>
            </w:pPr>
            <w:r>
              <w:rPr>
                <w:color w:val="auto"/>
                <w:szCs w:val="21"/>
              </w:rPr>
              <w:t>1336</w:t>
            </w:r>
          </w:p>
        </w:tc>
        <w:tc>
          <w:tcPr>
            <w:tcW w:w="1036" w:type="dxa"/>
            <w:vMerge w:val="restart"/>
            <w:vAlign w:val="center"/>
          </w:tcPr>
          <w:p>
            <w:pPr>
              <w:adjustRightInd w:val="0"/>
              <w:snapToGrid w:val="0"/>
              <w:jc w:val="center"/>
              <w:rPr>
                <w:color w:val="auto"/>
                <w:szCs w:val="21"/>
              </w:rPr>
            </w:pPr>
            <w:r>
              <w:rPr>
                <w:color w:val="auto"/>
                <w:szCs w:val="21"/>
              </w:rPr>
              <w:t>4.8</w:t>
            </w:r>
          </w:p>
        </w:tc>
        <w:tc>
          <w:tcPr>
            <w:tcW w:w="930" w:type="dxa"/>
            <w:vMerge w:val="restart"/>
            <w:vAlign w:val="center"/>
          </w:tcPr>
          <w:p>
            <w:pPr>
              <w:overflowPunct w:val="0"/>
              <w:adjustRightInd w:val="0"/>
              <w:snapToGrid w:val="0"/>
              <w:ind w:left="-105" w:leftChars="-50" w:right="-105" w:rightChars="-50"/>
              <w:jc w:val="center"/>
              <w:rPr>
                <w:color w:val="auto"/>
                <w:szCs w:val="21"/>
              </w:rPr>
            </w:pPr>
            <w:r>
              <w:rPr>
                <w:color w:val="auto"/>
                <w:szCs w:val="21"/>
              </w:rPr>
              <w:t>5.5</w:t>
            </w:r>
          </w:p>
        </w:tc>
        <w:tc>
          <w:tcPr>
            <w:tcW w:w="1072" w:type="dxa"/>
            <w:vMerge w:val="restart"/>
            <w:vAlign w:val="center"/>
          </w:tcPr>
          <w:p>
            <w:pPr>
              <w:overflowPunct w:val="0"/>
              <w:adjustRightInd w:val="0"/>
              <w:snapToGrid w:val="0"/>
              <w:ind w:left="-105" w:leftChars="-50" w:right="-105" w:rightChars="-50"/>
              <w:jc w:val="center"/>
              <w:rPr>
                <w:color w:val="auto"/>
                <w:szCs w:val="21"/>
              </w:rPr>
            </w:pPr>
            <w:r>
              <w:rPr>
                <w:color w:val="auto"/>
                <w:szCs w:val="21"/>
              </w:rPr>
              <w:t>7920</w:t>
            </w:r>
          </w:p>
        </w:tc>
        <w:tc>
          <w:tcPr>
            <w:tcW w:w="716" w:type="dxa"/>
            <w:vMerge w:val="restart"/>
            <w:vAlign w:val="center"/>
          </w:tcPr>
          <w:p>
            <w:pPr>
              <w:overflowPunct w:val="0"/>
              <w:adjustRightInd w:val="0"/>
              <w:snapToGrid w:val="0"/>
              <w:ind w:left="-105" w:leftChars="-50" w:right="-105" w:rightChars="-50"/>
              <w:jc w:val="center"/>
              <w:rPr>
                <w:color w:val="auto"/>
              </w:rPr>
            </w:pPr>
            <w:r>
              <w:rPr>
                <w:color w:val="auto"/>
              </w:rPr>
              <w:t>连续</w:t>
            </w:r>
          </w:p>
        </w:tc>
        <w:tc>
          <w:tcPr>
            <w:tcW w:w="858" w:type="dxa"/>
            <w:vAlign w:val="center"/>
          </w:tcPr>
          <w:p>
            <w:pPr>
              <w:overflowPunct w:val="0"/>
              <w:adjustRightInd w:val="0"/>
              <w:snapToGrid w:val="0"/>
              <w:ind w:left="-105" w:leftChars="-50" w:right="-105" w:rightChars="-50"/>
              <w:jc w:val="center"/>
              <w:rPr>
                <w:color w:val="auto"/>
                <w:szCs w:val="21"/>
                <w:vertAlign w:val="subscript"/>
              </w:rPr>
            </w:pPr>
            <w:r>
              <w:rPr>
                <w:color w:val="auto"/>
              </w:rPr>
              <w:t>NH</w:t>
            </w:r>
            <w:r>
              <w:rPr>
                <w:color w:val="auto"/>
                <w:sz w:val="13"/>
                <w:szCs w:val="13"/>
              </w:rPr>
              <w:t>3</w:t>
            </w:r>
          </w:p>
        </w:tc>
        <w:tc>
          <w:tcPr>
            <w:tcW w:w="1000" w:type="dxa"/>
            <w:vAlign w:val="center"/>
          </w:tcPr>
          <w:p>
            <w:pPr>
              <w:overflowPunct w:val="0"/>
              <w:adjustRightInd w:val="0"/>
              <w:snapToGrid w:val="0"/>
              <w:ind w:left="-105" w:leftChars="-50" w:right="-105" w:rightChars="-50"/>
              <w:jc w:val="center"/>
              <w:rPr>
                <w:bCs/>
                <w:color w:val="auto"/>
              </w:rPr>
            </w:pPr>
            <w:r>
              <w:rPr>
                <w:bCs/>
                <w:color w:val="auto"/>
              </w:rPr>
              <w:t>0.00029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824" w:type="dxa"/>
            <w:vMerge w:val="continue"/>
            <w:vAlign w:val="center"/>
          </w:tcPr>
          <w:p>
            <w:pPr>
              <w:adjustRightInd w:val="0"/>
              <w:snapToGrid w:val="0"/>
              <w:jc w:val="center"/>
              <w:rPr>
                <w:b/>
                <w:bCs/>
                <w:color w:val="auto"/>
                <w:szCs w:val="21"/>
              </w:rPr>
            </w:pPr>
          </w:p>
        </w:tc>
        <w:tc>
          <w:tcPr>
            <w:tcW w:w="1021" w:type="dxa"/>
            <w:vMerge w:val="continue"/>
            <w:vAlign w:val="center"/>
          </w:tcPr>
          <w:p>
            <w:pPr>
              <w:pStyle w:val="139"/>
              <w:jc w:val="center"/>
              <w:rPr>
                <w:rFonts w:ascii="Times New Roman" w:hAnsi="Times New Roman" w:cs="Times New Roman"/>
                <w:color w:val="auto"/>
                <w:kern w:val="2"/>
                <w:sz w:val="21"/>
                <w:szCs w:val="21"/>
              </w:rPr>
            </w:pPr>
          </w:p>
        </w:tc>
        <w:tc>
          <w:tcPr>
            <w:tcW w:w="1103" w:type="dxa"/>
            <w:vMerge w:val="continue"/>
            <w:vAlign w:val="center"/>
          </w:tcPr>
          <w:p>
            <w:pPr>
              <w:adjustRightInd w:val="0"/>
              <w:snapToGrid w:val="0"/>
              <w:jc w:val="center"/>
              <w:rPr>
                <w:color w:val="auto"/>
                <w:szCs w:val="21"/>
              </w:rPr>
            </w:pPr>
          </w:p>
        </w:tc>
        <w:tc>
          <w:tcPr>
            <w:tcW w:w="1036" w:type="dxa"/>
            <w:vMerge w:val="continue"/>
            <w:vAlign w:val="center"/>
          </w:tcPr>
          <w:p>
            <w:pPr>
              <w:adjustRightInd w:val="0"/>
              <w:snapToGrid w:val="0"/>
              <w:jc w:val="center"/>
              <w:rPr>
                <w:color w:val="auto"/>
                <w:szCs w:val="21"/>
              </w:rPr>
            </w:pPr>
          </w:p>
        </w:tc>
        <w:tc>
          <w:tcPr>
            <w:tcW w:w="930" w:type="dxa"/>
            <w:vMerge w:val="continue"/>
            <w:vAlign w:val="center"/>
          </w:tcPr>
          <w:p>
            <w:pPr>
              <w:overflowPunct w:val="0"/>
              <w:adjustRightInd w:val="0"/>
              <w:snapToGrid w:val="0"/>
              <w:ind w:left="-105" w:leftChars="-50" w:right="-105" w:rightChars="-50"/>
              <w:jc w:val="center"/>
              <w:rPr>
                <w:color w:val="auto"/>
                <w:szCs w:val="21"/>
              </w:rPr>
            </w:pPr>
          </w:p>
        </w:tc>
        <w:tc>
          <w:tcPr>
            <w:tcW w:w="1072" w:type="dxa"/>
            <w:vMerge w:val="continue"/>
            <w:vAlign w:val="center"/>
          </w:tcPr>
          <w:p>
            <w:pPr>
              <w:overflowPunct w:val="0"/>
              <w:adjustRightInd w:val="0"/>
              <w:snapToGrid w:val="0"/>
              <w:ind w:left="-105" w:leftChars="-50" w:right="-105" w:rightChars="-50"/>
              <w:jc w:val="center"/>
              <w:rPr>
                <w:color w:val="auto"/>
                <w:szCs w:val="21"/>
              </w:rPr>
            </w:pPr>
          </w:p>
        </w:tc>
        <w:tc>
          <w:tcPr>
            <w:tcW w:w="716" w:type="dxa"/>
            <w:vMerge w:val="continue"/>
            <w:vAlign w:val="center"/>
          </w:tcPr>
          <w:p>
            <w:pPr>
              <w:overflowPunct w:val="0"/>
              <w:adjustRightInd w:val="0"/>
              <w:snapToGrid w:val="0"/>
              <w:ind w:left="-105" w:leftChars="-50" w:right="-105" w:rightChars="-50"/>
              <w:jc w:val="center"/>
              <w:rPr>
                <w:color w:val="auto"/>
              </w:rPr>
            </w:pPr>
          </w:p>
        </w:tc>
        <w:tc>
          <w:tcPr>
            <w:tcW w:w="858" w:type="dxa"/>
            <w:vAlign w:val="center"/>
          </w:tcPr>
          <w:p>
            <w:pPr>
              <w:overflowPunct w:val="0"/>
              <w:adjustRightInd w:val="0"/>
              <w:snapToGrid w:val="0"/>
              <w:ind w:left="-105" w:leftChars="-50" w:right="-105" w:rightChars="-50"/>
              <w:jc w:val="center"/>
              <w:rPr>
                <w:color w:val="auto"/>
                <w:szCs w:val="21"/>
              </w:rPr>
            </w:pPr>
            <w:r>
              <w:rPr>
                <w:color w:val="auto"/>
              </w:rPr>
              <w:t>H</w:t>
            </w:r>
            <w:r>
              <w:rPr>
                <w:color w:val="auto"/>
                <w:vertAlign w:val="subscript"/>
              </w:rPr>
              <w:t>2</w:t>
            </w:r>
            <w:r>
              <w:rPr>
                <w:color w:val="auto"/>
              </w:rPr>
              <w:t>S</w:t>
            </w:r>
          </w:p>
        </w:tc>
        <w:tc>
          <w:tcPr>
            <w:tcW w:w="1000" w:type="dxa"/>
            <w:vAlign w:val="center"/>
          </w:tcPr>
          <w:p>
            <w:pPr>
              <w:overflowPunct w:val="0"/>
              <w:adjustRightInd w:val="0"/>
              <w:snapToGrid w:val="0"/>
              <w:ind w:left="-105" w:leftChars="-50" w:right="-105" w:rightChars="-50"/>
              <w:jc w:val="center"/>
              <w:rPr>
                <w:bCs/>
                <w:color w:val="auto"/>
              </w:rPr>
            </w:pPr>
            <w:r>
              <w:rPr>
                <w:bCs/>
                <w:color w:val="auto"/>
              </w:rPr>
              <w:t>0.000011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0" w:hRule="atLeast"/>
          <w:jc w:val="center"/>
        </w:trPr>
        <w:tc>
          <w:tcPr>
            <w:tcW w:w="8560" w:type="dxa"/>
            <w:gridSpan w:val="9"/>
            <w:vAlign w:val="center"/>
          </w:tcPr>
          <w:p>
            <w:pPr>
              <w:overflowPunct w:val="0"/>
              <w:adjustRightInd w:val="0"/>
              <w:snapToGrid w:val="0"/>
              <w:ind w:right="-105" w:rightChars="-50"/>
              <w:jc w:val="left"/>
              <w:rPr>
                <w:bCs/>
                <w:color w:val="auto"/>
              </w:rPr>
            </w:pPr>
            <w:r>
              <w:rPr>
                <w:bCs/>
                <w:color w:val="auto"/>
              </w:rPr>
              <w:t>备注：AERSCREEN中矩形面源只能在无地形影响下计算，如果项目必须要考虑地形，需要将矩形矩形面源按面积相等的圆形面源计</w:t>
            </w:r>
            <w:r>
              <w:rPr>
                <w:color w:val="auto"/>
              </w:rPr>
              <w:t>，其他参数不变</w:t>
            </w:r>
            <w:r>
              <w:rPr>
                <w:bCs/>
                <w:color w:val="auto"/>
              </w:rPr>
              <w:t>。本项目</w:t>
            </w:r>
            <w:r>
              <w:rPr>
                <w:color w:val="auto"/>
              </w:rPr>
              <w:t>卸料、进出料和暂存等无组织废气，主要分布于蒸煮车间，车间长约28.8m，宽约21m，</w:t>
            </w:r>
            <w:r>
              <w:rPr>
                <w:bCs/>
                <w:color w:val="auto"/>
              </w:rPr>
              <w:t>等效圆形面积604.8m</w:t>
            </w:r>
            <w:r>
              <w:rPr>
                <w:bCs/>
                <w:color w:val="auto"/>
                <w:vertAlign w:val="superscript"/>
              </w:rPr>
              <w:t>2</w:t>
            </w:r>
            <w:r>
              <w:rPr>
                <w:bCs/>
                <w:color w:val="auto"/>
              </w:rPr>
              <w:t>，等效半径约13.9m；污水处理间长12m，宽6m，等效圆形面积72m</w:t>
            </w:r>
            <w:r>
              <w:rPr>
                <w:bCs/>
                <w:color w:val="auto"/>
                <w:vertAlign w:val="superscript"/>
              </w:rPr>
              <w:t>2</w:t>
            </w:r>
            <w:r>
              <w:rPr>
                <w:bCs/>
                <w:color w:val="auto"/>
              </w:rPr>
              <w:t>，等效半径约4.8m。</w:t>
            </w:r>
          </w:p>
        </w:tc>
      </w:tr>
    </w:tbl>
    <w:p>
      <w:pPr>
        <w:pStyle w:val="130"/>
        <w:spacing w:before="120" w:beforeLines="50"/>
        <w:ind w:firstLine="480"/>
        <w:rPr>
          <w:color w:val="auto"/>
        </w:rPr>
      </w:pPr>
      <w:r>
        <w:rPr>
          <w:color w:val="auto"/>
        </w:rPr>
        <w:t>（5）预测参数</w:t>
      </w:r>
    </w:p>
    <w:p>
      <w:pPr>
        <w:pStyle w:val="130"/>
        <w:ind w:firstLine="480"/>
        <w:rPr>
          <w:color w:val="auto"/>
        </w:rPr>
      </w:pPr>
      <w:r>
        <w:rPr>
          <w:color w:val="auto"/>
        </w:rPr>
        <w:t>本</w:t>
      </w:r>
      <w:r>
        <w:rPr>
          <w:rFonts w:hint="eastAsia"/>
          <w:color w:val="auto"/>
        </w:rPr>
        <w:t>次</w:t>
      </w:r>
      <w:r>
        <w:rPr>
          <w:color w:val="auto"/>
        </w:rPr>
        <w:t>大气污染物估算模型参数见下表。</w:t>
      </w:r>
    </w:p>
    <w:p>
      <w:pPr>
        <w:pStyle w:val="114"/>
        <w:spacing w:before="0" w:beforeLines="0"/>
        <w:rPr>
          <w:color w:val="auto"/>
        </w:rPr>
      </w:pPr>
      <w:r>
        <w:rPr>
          <w:color w:val="auto"/>
        </w:rPr>
        <w:t>表</w:t>
      </w:r>
      <w:r>
        <w:rPr>
          <w:color w:val="auto"/>
          <w:spacing w:val="-61"/>
        </w:rPr>
        <w:t xml:space="preserve"> </w:t>
      </w:r>
      <w:r>
        <w:rPr>
          <w:rFonts w:eastAsia="Times New Roman"/>
          <w:color w:val="auto"/>
        </w:rPr>
        <w:t>7.2-</w:t>
      </w:r>
      <w:r>
        <w:rPr>
          <w:color w:val="auto"/>
        </w:rPr>
        <w:t xml:space="preserve">7 </w:t>
      </w:r>
      <w:r>
        <w:rPr>
          <w:rFonts w:eastAsia="Times New Roman"/>
          <w:color w:val="auto"/>
        </w:rPr>
        <w:t xml:space="preserve"> </w:t>
      </w:r>
      <w:r>
        <w:rPr>
          <w:color w:val="auto"/>
        </w:rPr>
        <w:t>估算模式参数表</w:t>
      </w:r>
    </w:p>
    <w:tbl>
      <w:tblPr>
        <w:tblStyle w:val="74"/>
        <w:tblW w:w="8787" w:type="dxa"/>
        <w:jc w:val="center"/>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1416"/>
        <w:gridCol w:w="2383"/>
        <w:gridCol w:w="1441"/>
        <w:gridCol w:w="3547"/>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3799" w:type="dxa"/>
            <w:gridSpan w:val="2"/>
            <w:vAlign w:val="center"/>
          </w:tcPr>
          <w:p>
            <w:pPr>
              <w:pStyle w:val="161"/>
              <w:adjustRightInd w:val="0"/>
              <w:snapToGrid w:val="0"/>
              <w:jc w:val="center"/>
              <w:rPr>
                <w:b/>
                <w:snapToGrid w:val="0"/>
                <w:color w:val="auto"/>
                <w:kern w:val="0"/>
                <w:szCs w:val="21"/>
                <w:lang w:eastAsia="en-US"/>
              </w:rPr>
            </w:pPr>
            <w:r>
              <w:rPr>
                <w:b/>
                <w:snapToGrid w:val="0"/>
                <w:color w:val="auto"/>
                <w:kern w:val="0"/>
                <w:szCs w:val="21"/>
              </w:rPr>
              <w:t>参数</w:t>
            </w:r>
          </w:p>
        </w:tc>
        <w:tc>
          <w:tcPr>
            <w:tcW w:w="1441" w:type="dxa"/>
            <w:vAlign w:val="center"/>
          </w:tcPr>
          <w:p>
            <w:pPr>
              <w:pStyle w:val="161"/>
              <w:adjustRightInd w:val="0"/>
              <w:snapToGrid w:val="0"/>
              <w:jc w:val="center"/>
              <w:rPr>
                <w:b/>
                <w:snapToGrid w:val="0"/>
                <w:color w:val="auto"/>
                <w:kern w:val="0"/>
                <w:szCs w:val="21"/>
                <w:lang w:eastAsia="en-US"/>
              </w:rPr>
            </w:pPr>
            <w:r>
              <w:rPr>
                <w:b/>
                <w:snapToGrid w:val="0"/>
                <w:color w:val="auto"/>
                <w:kern w:val="0"/>
                <w:szCs w:val="21"/>
              </w:rPr>
              <w:t>取值</w:t>
            </w:r>
          </w:p>
        </w:tc>
        <w:tc>
          <w:tcPr>
            <w:tcW w:w="3547" w:type="dxa"/>
            <w:vAlign w:val="center"/>
          </w:tcPr>
          <w:p>
            <w:pPr>
              <w:pStyle w:val="161"/>
              <w:adjustRightInd w:val="0"/>
              <w:snapToGrid w:val="0"/>
              <w:jc w:val="center"/>
              <w:rPr>
                <w:b/>
                <w:snapToGrid w:val="0"/>
                <w:color w:val="auto"/>
                <w:kern w:val="0"/>
                <w:szCs w:val="21"/>
              </w:rPr>
            </w:pPr>
            <w:r>
              <w:rPr>
                <w:b/>
                <w:bCs/>
                <w:color w:val="auto"/>
                <w:kern w:val="0"/>
                <w:szCs w:val="21"/>
                <w:lang w:bidi="ar"/>
              </w:rPr>
              <w:t>依据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1416" w:type="dxa"/>
            <w:vMerge w:val="restart"/>
            <w:vAlign w:val="center"/>
          </w:tcPr>
          <w:p>
            <w:pPr>
              <w:pStyle w:val="161"/>
              <w:adjustRightInd w:val="0"/>
              <w:snapToGrid w:val="0"/>
              <w:jc w:val="center"/>
              <w:rPr>
                <w:snapToGrid w:val="0"/>
                <w:color w:val="auto"/>
                <w:kern w:val="0"/>
                <w:szCs w:val="21"/>
                <w:lang w:eastAsia="en-US"/>
              </w:rPr>
            </w:pPr>
            <w:r>
              <w:rPr>
                <w:snapToGrid w:val="0"/>
                <w:color w:val="auto"/>
                <w:kern w:val="0"/>
                <w:szCs w:val="21"/>
              </w:rPr>
              <w:t>城市/农村选项</w:t>
            </w:r>
          </w:p>
        </w:tc>
        <w:tc>
          <w:tcPr>
            <w:tcW w:w="2383"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城市/农村</w:t>
            </w:r>
          </w:p>
        </w:tc>
        <w:tc>
          <w:tcPr>
            <w:tcW w:w="144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农村</w:t>
            </w:r>
          </w:p>
        </w:tc>
        <w:tc>
          <w:tcPr>
            <w:tcW w:w="3547" w:type="dxa"/>
            <w:vAlign w:val="center"/>
          </w:tcPr>
          <w:p>
            <w:pPr>
              <w:pStyle w:val="161"/>
              <w:adjustRightInd w:val="0"/>
              <w:snapToGrid w:val="0"/>
              <w:jc w:val="center"/>
              <w:rPr>
                <w:snapToGrid w:val="0"/>
                <w:color w:val="auto"/>
                <w:kern w:val="0"/>
                <w:szCs w:val="21"/>
              </w:rPr>
            </w:pPr>
            <w:r>
              <w:rPr>
                <w:color w:val="auto"/>
                <w:kern w:val="0"/>
                <w:szCs w:val="21"/>
                <w:lang w:bidi="ar"/>
              </w:rPr>
              <w:t>项目位于</w:t>
            </w:r>
            <w:r>
              <w:rPr>
                <w:color w:val="auto"/>
              </w:rPr>
              <w:t>中卫市永康镇阳沟村中卫市生活垃圾填埋场西侧</w:t>
            </w:r>
            <w:r>
              <w:rPr>
                <w:color w:val="auto"/>
                <w:kern w:val="0"/>
                <w:szCs w:val="21"/>
                <w:lang w:bidi="ar"/>
              </w:rPr>
              <w:t>，属于农村地区</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1416" w:type="dxa"/>
            <w:vMerge w:val="continue"/>
            <w:vAlign w:val="center"/>
          </w:tcPr>
          <w:p>
            <w:pPr>
              <w:widowControl/>
              <w:adjustRightInd w:val="0"/>
              <w:snapToGrid w:val="0"/>
              <w:jc w:val="center"/>
              <w:rPr>
                <w:snapToGrid w:val="0"/>
                <w:color w:val="auto"/>
                <w:szCs w:val="21"/>
              </w:rPr>
            </w:pPr>
          </w:p>
        </w:tc>
        <w:tc>
          <w:tcPr>
            <w:tcW w:w="2383" w:type="dxa"/>
            <w:vAlign w:val="center"/>
          </w:tcPr>
          <w:p>
            <w:pPr>
              <w:pStyle w:val="161"/>
              <w:adjustRightInd w:val="0"/>
              <w:snapToGrid w:val="0"/>
              <w:jc w:val="center"/>
              <w:rPr>
                <w:snapToGrid w:val="0"/>
                <w:color w:val="auto"/>
                <w:kern w:val="0"/>
                <w:szCs w:val="21"/>
              </w:rPr>
            </w:pPr>
            <w:r>
              <w:rPr>
                <w:snapToGrid w:val="0"/>
                <w:color w:val="auto"/>
                <w:kern w:val="0"/>
                <w:szCs w:val="21"/>
              </w:rPr>
              <w:t>人口数（城市选项时）</w:t>
            </w:r>
          </w:p>
        </w:tc>
        <w:tc>
          <w:tcPr>
            <w:tcW w:w="144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w:t>
            </w:r>
          </w:p>
        </w:tc>
        <w:tc>
          <w:tcPr>
            <w:tcW w:w="3547" w:type="dxa"/>
            <w:vAlign w:val="center"/>
          </w:tcPr>
          <w:p>
            <w:pPr>
              <w:pStyle w:val="161"/>
              <w:adjustRightInd w:val="0"/>
              <w:snapToGrid w:val="0"/>
              <w:jc w:val="center"/>
              <w:rPr>
                <w:snapToGrid w:val="0"/>
                <w:color w:val="auto"/>
                <w:kern w:val="0"/>
                <w:szCs w:val="21"/>
              </w:rPr>
            </w:pPr>
            <w:r>
              <w:rPr>
                <w:snapToGrid w:val="0"/>
                <w:color w:val="auto"/>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3799" w:type="dxa"/>
            <w:gridSpan w:val="2"/>
            <w:vAlign w:val="center"/>
          </w:tcPr>
          <w:p>
            <w:pPr>
              <w:pStyle w:val="161"/>
              <w:adjustRightInd w:val="0"/>
              <w:snapToGrid w:val="0"/>
              <w:jc w:val="center"/>
              <w:rPr>
                <w:snapToGrid w:val="0"/>
                <w:color w:val="auto"/>
                <w:kern w:val="0"/>
                <w:szCs w:val="21"/>
                <w:lang w:eastAsia="en-US"/>
              </w:rPr>
            </w:pPr>
            <w:r>
              <w:rPr>
                <w:snapToGrid w:val="0"/>
                <w:color w:val="auto"/>
                <w:kern w:val="0"/>
                <w:szCs w:val="21"/>
              </w:rPr>
              <w:t>最高环境温度/℃</w:t>
            </w:r>
          </w:p>
        </w:tc>
        <w:tc>
          <w:tcPr>
            <w:tcW w:w="144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38.9</w:t>
            </w:r>
          </w:p>
        </w:tc>
        <w:tc>
          <w:tcPr>
            <w:tcW w:w="3547" w:type="dxa"/>
            <w:vMerge w:val="restart"/>
            <w:vAlign w:val="center"/>
          </w:tcPr>
          <w:p>
            <w:pPr>
              <w:pStyle w:val="161"/>
              <w:adjustRightInd w:val="0"/>
              <w:snapToGrid w:val="0"/>
              <w:jc w:val="center"/>
              <w:rPr>
                <w:snapToGrid w:val="0"/>
                <w:color w:val="auto"/>
                <w:kern w:val="0"/>
                <w:szCs w:val="21"/>
              </w:rPr>
            </w:pPr>
            <w:r>
              <w:rPr>
                <w:color w:val="auto"/>
                <w:kern w:val="0"/>
                <w:szCs w:val="21"/>
              </w:rPr>
              <w:t>根据中卫气象站（</w:t>
            </w:r>
            <w:r>
              <w:rPr>
                <w:rFonts w:eastAsia="TimesNewRomanPSMT"/>
                <w:color w:val="auto"/>
                <w:kern w:val="0"/>
                <w:szCs w:val="21"/>
              </w:rPr>
              <w:t>1999</w:t>
            </w:r>
            <w:r>
              <w:rPr>
                <w:color w:val="auto"/>
                <w:kern w:val="0"/>
                <w:szCs w:val="21"/>
              </w:rPr>
              <w:t>年～</w:t>
            </w:r>
            <w:r>
              <w:rPr>
                <w:rFonts w:eastAsia="TimesNewRomanPSMT"/>
                <w:color w:val="auto"/>
                <w:kern w:val="0"/>
                <w:szCs w:val="21"/>
              </w:rPr>
              <w:t>2018</w:t>
            </w:r>
            <w:r>
              <w:rPr>
                <w:color w:val="auto"/>
                <w:kern w:val="0"/>
                <w:szCs w:val="21"/>
              </w:rPr>
              <w:t>年）气象统计数据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3799" w:type="dxa"/>
            <w:gridSpan w:val="2"/>
            <w:vAlign w:val="center"/>
          </w:tcPr>
          <w:p>
            <w:pPr>
              <w:pStyle w:val="161"/>
              <w:adjustRightInd w:val="0"/>
              <w:snapToGrid w:val="0"/>
              <w:jc w:val="center"/>
              <w:rPr>
                <w:snapToGrid w:val="0"/>
                <w:color w:val="auto"/>
                <w:kern w:val="0"/>
                <w:szCs w:val="21"/>
                <w:lang w:eastAsia="en-US"/>
              </w:rPr>
            </w:pPr>
            <w:r>
              <w:rPr>
                <w:snapToGrid w:val="0"/>
                <w:color w:val="auto"/>
                <w:kern w:val="0"/>
                <w:szCs w:val="21"/>
              </w:rPr>
              <w:t>最低环境温度/℃</w:t>
            </w:r>
          </w:p>
        </w:tc>
        <w:tc>
          <w:tcPr>
            <w:tcW w:w="144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-27.1</w:t>
            </w:r>
          </w:p>
        </w:tc>
        <w:tc>
          <w:tcPr>
            <w:tcW w:w="3547" w:type="dxa"/>
            <w:vMerge w:val="continue"/>
            <w:vAlign w:val="center"/>
          </w:tcPr>
          <w:p>
            <w:pPr>
              <w:pStyle w:val="161"/>
              <w:adjustRightInd w:val="0"/>
              <w:snapToGrid w:val="0"/>
              <w:jc w:val="center"/>
              <w:rPr>
                <w:snapToGrid w:val="0"/>
                <w:color w:val="auto"/>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PrEx>
        <w:trPr>
          <w:trHeight w:val="315" w:hRule="atLeast"/>
          <w:jc w:val="center"/>
        </w:trPr>
        <w:tc>
          <w:tcPr>
            <w:tcW w:w="3799" w:type="dxa"/>
            <w:gridSpan w:val="2"/>
            <w:vAlign w:val="center"/>
          </w:tcPr>
          <w:p>
            <w:pPr>
              <w:pStyle w:val="161"/>
              <w:adjustRightInd w:val="0"/>
              <w:snapToGrid w:val="0"/>
              <w:jc w:val="center"/>
              <w:rPr>
                <w:snapToGrid w:val="0"/>
                <w:color w:val="auto"/>
                <w:kern w:val="0"/>
                <w:szCs w:val="21"/>
                <w:lang w:eastAsia="en-US"/>
              </w:rPr>
            </w:pPr>
            <w:r>
              <w:rPr>
                <w:snapToGrid w:val="0"/>
                <w:color w:val="auto"/>
                <w:kern w:val="0"/>
                <w:szCs w:val="21"/>
              </w:rPr>
              <w:t>土地利用类型</w:t>
            </w:r>
          </w:p>
        </w:tc>
        <w:tc>
          <w:tcPr>
            <w:tcW w:w="1441" w:type="dxa"/>
            <w:vAlign w:val="center"/>
          </w:tcPr>
          <w:p>
            <w:pPr>
              <w:pStyle w:val="161"/>
              <w:adjustRightInd w:val="0"/>
              <w:snapToGrid w:val="0"/>
              <w:jc w:val="center"/>
              <w:rPr>
                <w:snapToGrid w:val="0"/>
                <w:color w:val="auto"/>
                <w:kern w:val="0"/>
                <w:szCs w:val="21"/>
              </w:rPr>
            </w:pPr>
            <w:r>
              <w:rPr>
                <w:snapToGrid w:val="0"/>
                <w:color w:val="auto"/>
                <w:kern w:val="0"/>
                <w:szCs w:val="21"/>
              </w:rPr>
              <w:t>农用地</w:t>
            </w:r>
          </w:p>
        </w:tc>
        <w:tc>
          <w:tcPr>
            <w:tcW w:w="3547" w:type="dxa"/>
            <w:vAlign w:val="center"/>
          </w:tcPr>
          <w:p>
            <w:pPr>
              <w:pStyle w:val="161"/>
              <w:adjustRightInd w:val="0"/>
              <w:snapToGrid w:val="0"/>
              <w:jc w:val="center"/>
              <w:rPr>
                <w:snapToGrid w:val="0"/>
                <w:color w:val="auto"/>
                <w:kern w:val="0"/>
                <w:szCs w:val="21"/>
              </w:rPr>
            </w:pPr>
            <w:r>
              <w:rPr>
                <w:snapToGrid w:val="0"/>
                <w:color w:val="auto"/>
                <w:kern w:val="0"/>
                <w:szCs w:val="21"/>
              </w:rPr>
              <w:t>根据项目区周边特点，周边3km范围内占地面积最大的土地利用类型按照农用地考虑</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3799" w:type="dxa"/>
            <w:gridSpan w:val="2"/>
            <w:vAlign w:val="center"/>
          </w:tcPr>
          <w:p>
            <w:pPr>
              <w:pStyle w:val="161"/>
              <w:adjustRightInd w:val="0"/>
              <w:snapToGrid w:val="0"/>
              <w:jc w:val="center"/>
              <w:rPr>
                <w:snapToGrid w:val="0"/>
                <w:color w:val="auto"/>
                <w:kern w:val="0"/>
                <w:szCs w:val="21"/>
                <w:lang w:eastAsia="en-US"/>
              </w:rPr>
            </w:pPr>
            <w:r>
              <w:rPr>
                <w:snapToGrid w:val="0"/>
                <w:color w:val="auto"/>
                <w:kern w:val="0"/>
                <w:szCs w:val="21"/>
              </w:rPr>
              <w:t>区域湿度条件</w:t>
            </w:r>
          </w:p>
        </w:tc>
        <w:tc>
          <w:tcPr>
            <w:tcW w:w="144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干燥</w:t>
            </w:r>
          </w:p>
        </w:tc>
        <w:tc>
          <w:tcPr>
            <w:tcW w:w="3547" w:type="dxa"/>
            <w:vAlign w:val="center"/>
          </w:tcPr>
          <w:p>
            <w:pPr>
              <w:pStyle w:val="161"/>
              <w:adjustRightInd w:val="0"/>
              <w:snapToGrid w:val="0"/>
              <w:jc w:val="center"/>
              <w:rPr>
                <w:snapToGrid w:val="0"/>
                <w:color w:val="auto"/>
                <w:kern w:val="0"/>
                <w:szCs w:val="21"/>
              </w:rPr>
            </w:pPr>
            <w:r>
              <w:rPr>
                <w:color w:val="auto"/>
                <w:kern w:val="0"/>
                <w:szCs w:val="21"/>
                <w:lang w:bidi="ar"/>
              </w:rPr>
              <w:t>参照中国干湿状况分布图，项目所在区为半干旱区，区域湿度条件为干燥</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PrEx>
        <w:trPr>
          <w:trHeight w:val="315" w:hRule="atLeast"/>
          <w:jc w:val="center"/>
        </w:trPr>
        <w:tc>
          <w:tcPr>
            <w:tcW w:w="1416" w:type="dxa"/>
            <w:vMerge w:val="restart"/>
            <w:vAlign w:val="center"/>
          </w:tcPr>
          <w:p>
            <w:pPr>
              <w:adjustRightInd w:val="0"/>
              <w:snapToGrid w:val="0"/>
              <w:jc w:val="center"/>
              <w:rPr>
                <w:snapToGrid w:val="0"/>
                <w:color w:val="auto"/>
                <w:szCs w:val="21"/>
              </w:rPr>
            </w:pPr>
            <w:r>
              <w:rPr>
                <w:snapToGrid w:val="0"/>
                <w:color w:val="auto"/>
                <w:szCs w:val="21"/>
              </w:rPr>
              <w:t>是否考虑地形</w:t>
            </w:r>
          </w:p>
        </w:tc>
        <w:tc>
          <w:tcPr>
            <w:tcW w:w="2383"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考虑地形</w:t>
            </w:r>
          </w:p>
        </w:tc>
        <w:tc>
          <w:tcPr>
            <w:tcW w:w="144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是</w:t>
            </w:r>
          </w:p>
        </w:tc>
        <w:tc>
          <w:tcPr>
            <w:tcW w:w="3547" w:type="dxa"/>
            <w:vMerge w:val="restart"/>
            <w:vAlign w:val="center"/>
          </w:tcPr>
          <w:p>
            <w:pPr>
              <w:pStyle w:val="161"/>
              <w:adjustRightInd w:val="0"/>
              <w:snapToGrid w:val="0"/>
              <w:jc w:val="center"/>
              <w:rPr>
                <w:snapToGrid w:val="0"/>
                <w:color w:val="auto"/>
                <w:kern w:val="0"/>
                <w:szCs w:val="21"/>
              </w:rPr>
            </w:pPr>
            <w:r>
              <w:rPr>
                <w:color w:val="auto"/>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1416" w:type="dxa"/>
            <w:vMerge w:val="continue"/>
            <w:vAlign w:val="center"/>
          </w:tcPr>
          <w:p>
            <w:pPr>
              <w:adjustRightInd w:val="0"/>
              <w:snapToGrid w:val="0"/>
              <w:jc w:val="center"/>
              <w:rPr>
                <w:snapToGrid w:val="0"/>
                <w:color w:val="auto"/>
                <w:szCs w:val="21"/>
              </w:rPr>
            </w:pPr>
          </w:p>
        </w:tc>
        <w:tc>
          <w:tcPr>
            <w:tcW w:w="2383" w:type="dxa"/>
            <w:vAlign w:val="center"/>
          </w:tcPr>
          <w:p>
            <w:pPr>
              <w:pStyle w:val="161"/>
              <w:adjustRightInd w:val="0"/>
              <w:snapToGrid w:val="0"/>
              <w:jc w:val="center"/>
              <w:rPr>
                <w:snapToGrid w:val="0"/>
                <w:color w:val="auto"/>
                <w:kern w:val="0"/>
                <w:szCs w:val="21"/>
              </w:rPr>
            </w:pPr>
            <w:r>
              <w:rPr>
                <w:snapToGrid w:val="0"/>
                <w:color w:val="auto"/>
                <w:kern w:val="0"/>
                <w:szCs w:val="21"/>
              </w:rPr>
              <w:t>地形数据分辨率</w:t>
            </w:r>
          </w:p>
        </w:tc>
        <w:tc>
          <w:tcPr>
            <w:tcW w:w="1441" w:type="dxa"/>
            <w:vAlign w:val="center"/>
          </w:tcPr>
          <w:p>
            <w:pPr>
              <w:pStyle w:val="161"/>
              <w:adjustRightInd w:val="0"/>
              <w:snapToGrid w:val="0"/>
              <w:jc w:val="center"/>
              <w:rPr>
                <w:snapToGrid w:val="0"/>
                <w:color w:val="auto"/>
                <w:kern w:val="0"/>
                <w:szCs w:val="21"/>
              </w:rPr>
            </w:pPr>
            <w:r>
              <w:rPr>
                <w:snapToGrid w:val="0"/>
                <w:color w:val="auto"/>
                <w:kern w:val="0"/>
                <w:szCs w:val="21"/>
              </w:rPr>
              <w:t>90m</w:t>
            </w:r>
          </w:p>
        </w:tc>
        <w:tc>
          <w:tcPr>
            <w:tcW w:w="3547" w:type="dxa"/>
            <w:vMerge w:val="continue"/>
            <w:vAlign w:val="center"/>
          </w:tcPr>
          <w:p>
            <w:pPr>
              <w:pStyle w:val="161"/>
              <w:adjustRightInd w:val="0"/>
              <w:snapToGrid w:val="0"/>
              <w:jc w:val="center"/>
              <w:rPr>
                <w:snapToGrid w:val="0"/>
                <w:color w:val="auto"/>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1416" w:type="dxa"/>
            <w:vMerge w:val="restart"/>
            <w:vAlign w:val="center"/>
          </w:tcPr>
          <w:p>
            <w:pPr>
              <w:pStyle w:val="161"/>
              <w:adjustRightInd w:val="0"/>
              <w:snapToGrid w:val="0"/>
              <w:jc w:val="center"/>
              <w:rPr>
                <w:snapToGrid w:val="0"/>
                <w:color w:val="auto"/>
                <w:kern w:val="0"/>
                <w:szCs w:val="21"/>
                <w:lang w:eastAsia="en-US"/>
              </w:rPr>
            </w:pPr>
            <w:r>
              <w:rPr>
                <w:snapToGrid w:val="0"/>
                <w:color w:val="auto"/>
                <w:kern w:val="0"/>
                <w:szCs w:val="21"/>
              </w:rPr>
              <w:t>是否考虑海岸线熏烟</w:t>
            </w:r>
          </w:p>
        </w:tc>
        <w:tc>
          <w:tcPr>
            <w:tcW w:w="2383"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考虑海岸线熏烟</w:t>
            </w:r>
          </w:p>
        </w:tc>
        <w:tc>
          <w:tcPr>
            <w:tcW w:w="144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否</w:t>
            </w:r>
          </w:p>
        </w:tc>
        <w:tc>
          <w:tcPr>
            <w:tcW w:w="3547" w:type="dxa"/>
            <w:vAlign w:val="center"/>
          </w:tcPr>
          <w:p>
            <w:pPr>
              <w:pStyle w:val="161"/>
              <w:adjustRightInd w:val="0"/>
              <w:snapToGrid w:val="0"/>
              <w:jc w:val="center"/>
              <w:rPr>
                <w:snapToGrid w:val="0"/>
                <w:color w:val="auto"/>
                <w:kern w:val="0"/>
                <w:szCs w:val="21"/>
              </w:rPr>
            </w:pPr>
            <w:r>
              <w:rPr>
                <w:snapToGrid w:val="0"/>
                <w:color w:val="auto"/>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1416" w:type="dxa"/>
            <w:vMerge w:val="continue"/>
            <w:vAlign w:val="center"/>
          </w:tcPr>
          <w:p>
            <w:pPr>
              <w:widowControl/>
              <w:adjustRightInd w:val="0"/>
              <w:snapToGrid w:val="0"/>
              <w:jc w:val="center"/>
              <w:rPr>
                <w:snapToGrid w:val="0"/>
                <w:color w:val="auto"/>
                <w:szCs w:val="21"/>
                <w:lang w:eastAsia="en-US"/>
              </w:rPr>
            </w:pPr>
          </w:p>
        </w:tc>
        <w:tc>
          <w:tcPr>
            <w:tcW w:w="2383"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海岸线距离/m</w:t>
            </w:r>
          </w:p>
        </w:tc>
        <w:tc>
          <w:tcPr>
            <w:tcW w:w="144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w:t>
            </w:r>
          </w:p>
        </w:tc>
        <w:tc>
          <w:tcPr>
            <w:tcW w:w="3547" w:type="dxa"/>
            <w:vAlign w:val="center"/>
          </w:tcPr>
          <w:p>
            <w:pPr>
              <w:pStyle w:val="161"/>
              <w:adjustRightInd w:val="0"/>
              <w:snapToGrid w:val="0"/>
              <w:jc w:val="center"/>
              <w:rPr>
                <w:snapToGrid w:val="0"/>
                <w:color w:val="auto"/>
                <w:kern w:val="0"/>
                <w:szCs w:val="21"/>
              </w:rPr>
            </w:pPr>
            <w:r>
              <w:rPr>
                <w:snapToGrid w:val="0"/>
                <w:color w:val="auto"/>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15" w:hRule="atLeast"/>
          <w:jc w:val="center"/>
        </w:trPr>
        <w:tc>
          <w:tcPr>
            <w:tcW w:w="1416" w:type="dxa"/>
            <w:vMerge w:val="continue"/>
            <w:vAlign w:val="center"/>
          </w:tcPr>
          <w:p>
            <w:pPr>
              <w:widowControl/>
              <w:adjustRightInd w:val="0"/>
              <w:snapToGrid w:val="0"/>
              <w:jc w:val="center"/>
              <w:rPr>
                <w:snapToGrid w:val="0"/>
                <w:color w:val="auto"/>
                <w:szCs w:val="21"/>
                <w:lang w:eastAsia="en-US"/>
              </w:rPr>
            </w:pPr>
          </w:p>
        </w:tc>
        <w:tc>
          <w:tcPr>
            <w:tcW w:w="2383"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海岸线方向/°</w:t>
            </w:r>
          </w:p>
        </w:tc>
        <w:tc>
          <w:tcPr>
            <w:tcW w:w="1441" w:type="dxa"/>
            <w:vAlign w:val="center"/>
          </w:tcPr>
          <w:p>
            <w:pPr>
              <w:pStyle w:val="161"/>
              <w:adjustRightInd w:val="0"/>
              <w:snapToGrid w:val="0"/>
              <w:jc w:val="center"/>
              <w:rPr>
                <w:snapToGrid w:val="0"/>
                <w:color w:val="auto"/>
                <w:kern w:val="0"/>
                <w:szCs w:val="21"/>
                <w:lang w:eastAsia="en-US"/>
              </w:rPr>
            </w:pPr>
            <w:r>
              <w:rPr>
                <w:snapToGrid w:val="0"/>
                <w:color w:val="auto"/>
                <w:kern w:val="0"/>
                <w:szCs w:val="21"/>
              </w:rPr>
              <w:t>/</w:t>
            </w:r>
          </w:p>
        </w:tc>
        <w:tc>
          <w:tcPr>
            <w:tcW w:w="3547" w:type="dxa"/>
            <w:vAlign w:val="center"/>
          </w:tcPr>
          <w:p>
            <w:pPr>
              <w:pStyle w:val="161"/>
              <w:adjustRightInd w:val="0"/>
              <w:snapToGrid w:val="0"/>
              <w:jc w:val="center"/>
              <w:rPr>
                <w:snapToGrid w:val="0"/>
                <w:color w:val="auto"/>
                <w:kern w:val="0"/>
                <w:szCs w:val="21"/>
              </w:rPr>
            </w:pPr>
            <w:r>
              <w:rPr>
                <w:snapToGrid w:val="0"/>
                <w:color w:val="auto"/>
                <w:kern w:val="0"/>
                <w:szCs w:val="21"/>
              </w:rPr>
              <w:t>/</w:t>
            </w:r>
          </w:p>
        </w:tc>
      </w:tr>
    </w:tbl>
    <w:p>
      <w:pPr>
        <w:pStyle w:val="130"/>
        <w:spacing w:before="120" w:beforeLines="50"/>
        <w:ind w:firstLine="480"/>
        <w:rPr>
          <w:color w:val="auto"/>
        </w:rPr>
      </w:pPr>
      <w:r>
        <w:rPr>
          <w:color w:val="auto"/>
        </w:rPr>
        <w:t>（6）估算模式计算结果</w:t>
      </w:r>
    </w:p>
    <w:p>
      <w:pPr>
        <w:pStyle w:val="130"/>
        <w:ind w:firstLine="480"/>
        <w:rPr>
          <w:color w:val="auto"/>
          <w:lang w:val="zh-CN"/>
        </w:rPr>
      </w:pPr>
      <w:r>
        <w:rPr>
          <w:color w:val="auto"/>
          <w:lang w:val="zh-CN"/>
        </w:rPr>
        <w:t>本次估算模式计算结果见表7.2-</w:t>
      </w:r>
      <w:r>
        <w:rPr>
          <w:color w:val="auto"/>
        </w:rPr>
        <w:t>8</w:t>
      </w:r>
      <w:r>
        <w:rPr>
          <w:color w:val="auto"/>
          <w:lang w:val="zh-CN"/>
        </w:rPr>
        <w:t>至表7.2-</w:t>
      </w:r>
      <w:r>
        <w:rPr>
          <w:color w:val="auto"/>
        </w:rPr>
        <w:t>10</w:t>
      </w:r>
      <w:r>
        <w:rPr>
          <w:color w:val="auto"/>
          <w:lang w:val="zh-CN"/>
        </w:rPr>
        <w:t>。</w:t>
      </w:r>
    </w:p>
    <w:p>
      <w:pPr>
        <w:pStyle w:val="114"/>
        <w:spacing w:before="0" w:beforeLines="0"/>
        <w:rPr>
          <w:color w:val="auto"/>
        </w:rPr>
      </w:pPr>
      <w:r>
        <w:rPr>
          <w:color w:val="auto"/>
        </w:rPr>
        <w:t>表7.2-8  本项目</w:t>
      </w:r>
      <w:r>
        <w:rPr>
          <w:rFonts w:hint="eastAsia"/>
          <w:color w:val="auto"/>
        </w:rPr>
        <w:t>建成后全厂</w:t>
      </w:r>
      <w:r>
        <w:rPr>
          <w:color w:val="auto"/>
        </w:rPr>
        <w:t>车间排气筒有组织废气估算模式计算结果</w:t>
      </w:r>
    </w:p>
    <w:tbl>
      <w:tblPr>
        <w:tblStyle w:val="74"/>
        <w:tblW w:w="891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85"/>
        <w:gridCol w:w="1111"/>
        <w:gridCol w:w="963"/>
        <w:gridCol w:w="959"/>
        <w:gridCol w:w="825"/>
        <w:gridCol w:w="981"/>
        <w:gridCol w:w="834"/>
        <w:gridCol w:w="932"/>
        <w:gridCol w:w="82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2" w:hRule="atLeast"/>
          <w:jc w:val="center"/>
        </w:trPr>
        <w:tc>
          <w:tcPr>
            <w:tcW w:w="1485" w:type="dxa"/>
            <w:vMerge w:val="restart"/>
            <w:vAlign w:val="center"/>
          </w:tcPr>
          <w:p>
            <w:pPr>
              <w:pStyle w:val="164"/>
              <w:ind w:left="-105" w:leftChars="-50" w:right="-105" w:rightChars="-50"/>
              <w:rPr>
                <w:color w:val="auto"/>
              </w:rPr>
            </w:pPr>
            <w:r>
              <w:rPr>
                <w:color w:val="auto"/>
              </w:rPr>
              <w:t>距离（m）</w:t>
            </w:r>
          </w:p>
        </w:tc>
        <w:tc>
          <w:tcPr>
            <w:tcW w:w="2074" w:type="dxa"/>
            <w:gridSpan w:val="2"/>
            <w:vAlign w:val="center"/>
          </w:tcPr>
          <w:p>
            <w:pPr>
              <w:pStyle w:val="164"/>
              <w:ind w:left="-105" w:leftChars="-50" w:right="-105" w:rightChars="-50"/>
              <w:rPr>
                <w:color w:val="auto"/>
              </w:rPr>
            </w:pPr>
            <w:r>
              <w:rPr>
                <w:color w:val="auto"/>
              </w:rPr>
              <w:t>PM</w:t>
            </w:r>
            <w:r>
              <w:rPr>
                <w:color w:val="auto"/>
                <w:vertAlign w:val="subscript"/>
              </w:rPr>
              <w:t>10</w:t>
            </w:r>
          </w:p>
        </w:tc>
        <w:tc>
          <w:tcPr>
            <w:tcW w:w="1784" w:type="dxa"/>
            <w:gridSpan w:val="2"/>
            <w:vAlign w:val="center"/>
          </w:tcPr>
          <w:p>
            <w:pPr>
              <w:pStyle w:val="164"/>
              <w:ind w:left="-105" w:leftChars="-50" w:right="-105" w:rightChars="-50"/>
              <w:rPr>
                <w:color w:val="auto"/>
              </w:rPr>
            </w:pPr>
            <w:r>
              <w:rPr>
                <w:color w:val="auto"/>
              </w:rPr>
              <w:t>H</w:t>
            </w:r>
            <w:r>
              <w:rPr>
                <w:color w:val="auto"/>
                <w:vertAlign w:val="subscript"/>
              </w:rPr>
              <w:t>2</w:t>
            </w:r>
            <w:r>
              <w:rPr>
                <w:color w:val="auto"/>
              </w:rPr>
              <w:t>S</w:t>
            </w:r>
          </w:p>
        </w:tc>
        <w:tc>
          <w:tcPr>
            <w:tcW w:w="1815" w:type="dxa"/>
            <w:gridSpan w:val="2"/>
            <w:vAlign w:val="center"/>
          </w:tcPr>
          <w:p>
            <w:pPr>
              <w:pStyle w:val="164"/>
              <w:ind w:left="-105" w:leftChars="-50" w:right="-105" w:rightChars="-50"/>
              <w:rPr>
                <w:color w:val="auto"/>
              </w:rPr>
            </w:pPr>
            <w:r>
              <w:rPr>
                <w:color w:val="auto"/>
              </w:rPr>
              <w:t>NH</w:t>
            </w:r>
            <w:r>
              <w:rPr>
                <w:color w:val="auto"/>
                <w:vertAlign w:val="subscript"/>
              </w:rPr>
              <w:t>3</w:t>
            </w:r>
          </w:p>
        </w:tc>
        <w:tc>
          <w:tcPr>
            <w:tcW w:w="1756" w:type="dxa"/>
            <w:gridSpan w:val="2"/>
            <w:vAlign w:val="center"/>
          </w:tcPr>
          <w:p>
            <w:pPr>
              <w:pStyle w:val="164"/>
              <w:ind w:left="-105" w:leftChars="-50" w:right="-105" w:rightChars="-50"/>
              <w:rPr>
                <w:color w:val="auto"/>
              </w:rPr>
            </w:pPr>
            <w:r>
              <w:rPr>
                <w:color w:val="auto"/>
              </w:rPr>
              <w:t>VOCs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04" w:hRule="atLeast"/>
          <w:jc w:val="center"/>
        </w:trPr>
        <w:tc>
          <w:tcPr>
            <w:tcW w:w="1485" w:type="dxa"/>
            <w:vMerge w:val="continue"/>
            <w:vAlign w:val="center"/>
          </w:tcPr>
          <w:p>
            <w:pPr>
              <w:pStyle w:val="164"/>
              <w:ind w:left="-105" w:leftChars="-50" w:right="-105" w:rightChars="-50"/>
              <w:rPr>
                <w:color w:val="auto"/>
              </w:rPr>
            </w:pPr>
          </w:p>
        </w:tc>
        <w:tc>
          <w:tcPr>
            <w:tcW w:w="1111" w:type="dxa"/>
            <w:vAlign w:val="center"/>
          </w:tcPr>
          <w:p>
            <w:pPr>
              <w:pStyle w:val="164"/>
              <w:spacing w:line="240" w:lineRule="auto"/>
              <w:ind w:left="-105" w:leftChars="-50" w:right="-105" w:rightChars="-50"/>
              <w:rPr>
                <w:color w:val="auto"/>
              </w:rPr>
            </w:pPr>
            <w:r>
              <w:rPr>
                <w:color w:val="auto"/>
              </w:rPr>
              <w:t>浓度</w:t>
            </w:r>
          </w:p>
          <w:p>
            <w:pPr>
              <w:pStyle w:val="164"/>
              <w:spacing w:line="240" w:lineRule="auto"/>
              <w:ind w:left="-105" w:leftChars="-50" w:right="-105" w:rightChars="-50"/>
              <w:rPr>
                <w:color w:val="auto"/>
              </w:rPr>
            </w:pPr>
            <w:r>
              <w:rPr>
                <w:rFonts w:hint="eastAsia"/>
                <w:color w:val="auto"/>
              </w:rPr>
              <w:t>(</w:t>
            </w:r>
            <w:r>
              <w:rPr>
                <w:color w:val="auto"/>
                <w:szCs w:val="21"/>
                <w:lang w:bidi="ar"/>
              </w:rPr>
              <w:t>μg</w:t>
            </w:r>
            <w:r>
              <w:rPr>
                <w:color w:val="auto"/>
              </w:rPr>
              <w:t>/m³</w:t>
            </w:r>
            <w:r>
              <w:rPr>
                <w:rFonts w:hint="eastAsia"/>
                <w:color w:val="auto"/>
              </w:rPr>
              <w:t>)</w:t>
            </w:r>
          </w:p>
        </w:tc>
        <w:tc>
          <w:tcPr>
            <w:tcW w:w="963" w:type="dxa"/>
            <w:vAlign w:val="center"/>
          </w:tcPr>
          <w:p>
            <w:pPr>
              <w:pStyle w:val="164"/>
              <w:spacing w:line="240" w:lineRule="auto"/>
              <w:ind w:left="-105" w:leftChars="-50" w:right="-105" w:rightChars="-50"/>
              <w:rPr>
                <w:color w:val="auto"/>
              </w:rPr>
            </w:pPr>
            <w:r>
              <w:rPr>
                <w:color w:val="auto"/>
              </w:rPr>
              <w:t>占标率（%）</w:t>
            </w:r>
          </w:p>
        </w:tc>
        <w:tc>
          <w:tcPr>
            <w:tcW w:w="959" w:type="dxa"/>
            <w:vAlign w:val="center"/>
          </w:tcPr>
          <w:p>
            <w:pPr>
              <w:pStyle w:val="164"/>
              <w:spacing w:line="240" w:lineRule="auto"/>
              <w:ind w:left="-105" w:leftChars="-50" w:right="-105" w:rightChars="-50"/>
              <w:rPr>
                <w:color w:val="auto"/>
              </w:rPr>
            </w:pPr>
            <w:r>
              <w:rPr>
                <w:color w:val="auto"/>
              </w:rPr>
              <w:t>浓度</w:t>
            </w:r>
            <w:r>
              <w:rPr>
                <w:rFonts w:hint="eastAsia"/>
                <w:color w:val="auto"/>
              </w:rPr>
              <w:t>(</w:t>
            </w:r>
            <w:r>
              <w:rPr>
                <w:color w:val="auto"/>
                <w:szCs w:val="21"/>
                <w:lang w:bidi="ar"/>
              </w:rPr>
              <w:t>μg</w:t>
            </w:r>
            <w:r>
              <w:rPr>
                <w:color w:val="auto"/>
              </w:rPr>
              <w:t>/m³</w:t>
            </w:r>
            <w:r>
              <w:rPr>
                <w:rFonts w:hint="eastAsia"/>
                <w:color w:val="auto"/>
              </w:rPr>
              <w:t>)</w:t>
            </w:r>
          </w:p>
        </w:tc>
        <w:tc>
          <w:tcPr>
            <w:tcW w:w="825" w:type="dxa"/>
            <w:vAlign w:val="center"/>
          </w:tcPr>
          <w:p>
            <w:pPr>
              <w:pStyle w:val="164"/>
              <w:spacing w:line="240" w:lineRule="auto"/>
              <w:ind w:left="-105" w:leftChars="-50" w:right="-105" w:rightChars="-50"/>
              <w:rPr>
                <w:color w:val="auto"/>
              </w:rPr>
            </w:pPr>
            <w:r>
              <w:rPr>
                <w:color w:val="auto"/>
              </w:rPr>
              <w:t>占标率（%）</w:t>
            </w:r>
          </w:p>
        </w:tc>
        <w:tc>
          <w:tcPr>
            <w:tcW w:w="981" w:type="dxa"/>
            <w:vAlign w:val="center"/>
          </w:tcPr>
          <w:p>
            <w:pPr>
              <w:pStyle w:val="164"/>
              <w:spacing w:line="240" w:lineRule="auto"/>
              <w:ind w:left="-105" w:leftChars="-50" w:right="-105" w:rightChars="-50"/>
              <w:rPr>
                <w:color w:val="auto"/>
              </w:rPr>
            </w:pPr>
            <w:r>
              <w:rPr>
                <w:color w:val="auto"/>
              </w:rPr>
              <w:t>浓度</w:t>
            </w:r>
            <w:r>
              <w:rPr>
                <w:rFonts w:hint="eastAsia"/>
                <w:color w:val="auto"/>
              </w:rPr>
              <w:t>(</w:t>
            </w:r>
            <w:r>
              <w:rPr>
                <w:color w:val="auto"/>
                <w:szCs w:val="21"/>
                <w:lang w:bidi="ar"/>
              </w:rPr>
              <w:t>μg</w:t>
            </w:r>
            <w:r>
              <w:rPr>
                <w:color w:val="auto"/>
              </w:rPr>
              <w:t>/m³</w:t>
            </w:r>
            <w:r>
              <w:rPr>
                <w:rFonts w:hint="eastAsia"/>
                <w:color w:val="auto"/>
              </w:rPr>
              <w:t>)</w:t>
            </w:r>
          </w:p>
        </w:tc>
        <w:tc>
          <w:tcPr>
            <w:tcW w:w="834" w:type="dxa"/>
            <w:vAlign w:val="center"/>
          </w:tcPr>
          <w:p>
            <w:pPr>
              <w:pStyle w:val="164"/>
              <w:spacing w:line="240" w:lineRule="auto"/>
              <w:ind w:left="-105" w:leftChars="-50" w:right="-105" w:rightChars="-50"/>
              <w:rPr>
                <w:color w:val="auto"/>
              </w:rPr>
            </w:pPr>
            <w:r>
              <w:rPr>
                <w:color w:val="auto"/>
              </w:rPr>
              <w:t>占标率（%）</w:t>
            </w:r>
          </w:p>
        </w:tc>
        <w:tc>
          <w:tcPr>
            <w:tcW w:w="932" w:type="dxa"/>
            <w:vAlign w:val="center"/>
          </w:tcPr>
          <w:p>
            <w:pPr>
              <w:pStyle w:val="164"/>
              <w:spacing w:line="240" w:lineRule="auto"/>
              <w:ind w:left="-105" w:leftChars="-50" w:right="-105" w:rightChars="-50"/>
              <w:rPr>
                <w:color w:val="auto"/>
              </w:rPr>
            </w:pPr>
            <w:r>
              <w:rPr>
                <w:color w:val="auto"/>
              </w:rPr>
              <w:t>浓度</w:t>
            </w:r>
            <w:r>
              <w:rPr>
                <w:rFonts w:hint="eastAsia"/>
                <w:color w:val="auto"/>
              </w:rPr>
              <w:t>(</w:t>
            </w:r>
            <w:r>
              <w:rPr>
                <w:color w:val="auto"/>
                <w:szCs w:val="21"/>
                <w:lang w:bidi="ar"/>
              </w:rPr>
              <w:t>μg</w:t>
            </w:r>
            <w:r>
              <w:rPr>
                <w:color w:val="auto"/>
              </w:rPr>
              <w:t>/m³</w:t>
            </w:r>
            <w:r>
              <w:rPr>
                <w:rFonts w:hint="eastAsia"/>
                <w:color w:val="auto"/>
              </w:rPr>
              <w:t>)</w:t>
            </w:r>
          </w:p>
        </w:tc>
        <w:tc>
          <w:tcPr>
            <w:tcW w:w="824" w:type="dxa"/>
            <w:vAlign w:val="center"/>
          </w:tcPr>
          <w:p>
            <w:pPr>
              <w:pStyle w:val="164"/>
              <w:spacing w:line="240" w:lineRule="auto"/>
              <w:ind w:left="-105" w:leftChars="-50" w:right="-105" w:rightChars="-50"/>
              <w:rPr>
                <w:color w:val="auto"/>
              </w:rPr>
            </w:pPr>
            <w:r>
              <w:rPr>
                <w:color w:val="auto"/>
              </w:rPr>
              <w:t>占标率（%）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1</w:t>
            </w:r>
          </w:p>
        </w:tc>
        <w:tc>
          <w:tcPr>
            <w:tcW w:w="1111" w:type="dxa"/>
            <w:vAlign w:val="center"/>
          </w:tcPr>
          <w:p>
            <w:pPr>
              <w:pStyle w:val="164"/>
              <w:ind w:left="-105" w:leftChars="-50" w:right="-105" w:rightChars="-50"/>
              <w:rPr>
                <w:color w:val="auto"/>
                <w:szCs w:val="21"/>
                <w:lang w:bidi="ar"/>
              </w:rPr>
            </w:pPr>
            <w:r>
              <w:rPr>
                <w:color w:val="auto"/>
                <w:szCs w:val="21"/>
                <w:lang w:bidi="ar"/>
              </w:rPr>
              <w:t>0.0000</w:t>
            </w:r>
          </w:p>
        </w:tc>
        <w:tc>
          <w:tcPr>
            <w:tcW w:w="963" w:type="dxa"/>
            <w:vAlign w:val="center"/>
          </w:tcPr>
          <w:p>
            <w:pPr>
              <w:pStyle w:val="164"/>
              <w:ind w:left="-105" w:leftChars="-50" w:right="-105" w:rightChars="-50"/>
              <w:rPr>
                <w:color w:val="auto"/>
                <w:szCs w:val="21"/>
                <w:lang w:bidi="ar"/>
              </w:rPr>
            </w:pPr>
            <w:r>
              <w:rPr>
                <w:color w:val="auto"/>
                <w:szCs w:val="21"/>
                <w:lang w:bidi="ar"/>
              </w:rPr>
              <w:t>0.00</w:t>
            </w:r>
          </w:p>
        </w:tc>
        <w:tc>
          <w:tcPr>
            <w:tcW w:w="959" w:type="dxa"/>
            <w:vAlign w:val="center"/>
          </w:tcPr>
          <w:p>
            <w:pPr>
              <w:pStyle w:val="164"/>
              <w:ind w:left="-105" w:leftChars="-50" w:right="-105" w:rightChars="-50"/>
              <w:rPr>
                <w:color w:val="auto"/>
                <w:szCs w:val="21"/>
                <w:lang w:bidi="ar"/>
              </w:rPr>
            </w:pPr>
            <w:r>
              <w:rPr>
                <w:color w:val="auto"/>
                <w:szCs w:val="21"/>
                <w:lang w:bidi="ar"/>
              </w:rPr>
              <w:t>0.0000</w:t>
            </w:r>
          </w:p>
        </w:tc>
        <w:tc>
          <w:tcPr>
            <w:tcW w:w="825" w:type="dxa"/>
            <w:vAlign w:val="center"/>
          </w:tcPr>
          <w:p>
            <w:pPr>
              <w:pStyle w:val="164"/>
              <w:ind w:left="-105" w:leftChars="-50" w:right="-105" w:rightChars="-50"/>
              <w:rPr>
                <w:color w:val="auto"/>
                <w:szCs w:val="21"/>
                <w:lang w:bidi="ar"/>
              </w:rPr>
            </w:pPr>
            <w:r>
              <w:rPr>
                <w:color w:val="auto"/>
                <w:szCs w:val="21"/>
                <w:lang w:bidi="ar"/>
              </w:rPr>
              <w:t>0.00</w:t>
            </w:r>
          </w:p>
        </w:tc>
        <w:tc>
          <w:tcPr>
            <w:tcW w:w="981" w:type="dxa"/>
            <w:vAlign w:val="center"/>
          </w:tcPr>
          <w:p>
            <w:pPr>
              <w:pStyle w:val="164"/>
              <w:ind w:left="-105" w:leftChars="-50" w:right="-105" w:rightChars="-50"/>
              <w:rPr>
                <w:color w:val="auto"/>
                <w:szCs w:val="21"/>
                <w:lang w:bidi="ar"/>
              </w:rPr>
            </w:pPr>
            <w:r>
              <w:rPr>
                <w:color w:val="auto"/>
                <w:szCs w:val="21"/>
                <w:lang w:bidi="ar"/>
              </w:rPr>
              <w:t>0.0000</w:t>
            </w:r>
          </w:p>
        </w:tc>
        <w:tc>
          <w:tcPr>
            <w:tcW w:w="834" w:type="dxa"/>
            <w:vAlign w:val="center"/>
          </w:tcPr>
          <w:p>
            <w:pPr>
              <w:pStyle w:val="164"/>
              <w:ind w:left="-105" w:leftChars="-50" w:right="-105" w:rightChars="-50"/>
              <w:rPr>
                <w:color w:val="auto"/>
                <w:szCs w:val="21"/>
                <w:lang w:bidi="ar"/>
              </w:rPr>
            </w:pPr>
            <w:r>
              <w:rPr>
                <w:color w:val="auto"/>
                <w:szCs w:val="21"/>
                <w:lang w:bidi="ar"/>
              </w:rPr>
              <w:t>0.00</w:t>
            </w:r>
          </w:p>
        </w:tc>
        <w:tc>
          <w:tcPr>
            <w:tcW w:w="932" w:type="dxa"/>
            <w:vAlign w:val="center"/>
          </w:tcPr>
          <w:p>
            <w:pPr>
              <w:pStyle w:val="164"/>
              <w:ind w:left="-105" w:leftChars="-50" w:right="-105" w:rightChars="-50"/>
              <w:rPr>
                <w:color w:val="auto"/>
                <w:szCs w:val="21"/>
                <w:lang w:bidi="ar"/>
              </w:rPr>
            </w:pPr>
            <w:r>
              <w:rPr>
                <w:color w:val="auto"/>
                <w:szCs w:val="21"/>
                <w:lang w:bidi="ar"/>
              </w:rPr>
              <w:t>0.0000</w:t>
            </w:r>
          </w:p>
        </w:tc>
        <w:tc>
          <w:tcPr>
            <w:tcW w:w="824" w:type="dxa"/>
            <w:vAlign w:val="center"/>
          </w:tcPr>
          <w:p>
            <w:pPr>
              <w:pStyle w:val="164"/>
              <w:ind w:left="-105" w:leftChars="-50" w:right="-105" w:rightChars="-50"/>
              <w:rPr>
                <w:color w:val="auto"/>
                <w:szCs w:val="21"/>
                <w:lang w:bidi="ar"/>
              </w:rPr>
            </w:pPr>
            <w:r>
              <w:rPr>
                <w:color w:val="auto"/>
                <w:szCs w:val="21"/>
                <w:lang w:bidi="ar"/>
              </w:rPr>
              <w:t>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lang w:bidi="ar"/>
              </w:rPr>
            </w:pPr>
            <w:r>
              <w:rPr>
                <w:color w:val="auto"/>
                <w:szCs w:val="21"/>
                <w:lang w:bidi="ar"/>
              </w:rPr>
              <w:t>25</w:t>
            </w:r>
          </w:p>
        </w:tc>
        <w:tc>
          <w:tcPr>
            <w:tcW w:w="1111" w:type="dxa"/>
            <w:vAlign w:val="center"/>
          </w:tcPr>
          <w:p>
            <w:pPr>
              <w:pStyle w:val="164"/>
              <w:ind w:left="-105" w:leftChars="-50" w:right="-105" w:rightChars="-50"/>
              <w:rPr>
                <w:color w:val="auto"/>
                <w:szCs w:val="21"/>
                <w:lang w:bidi="ar"/>
              </w:rPr>
            </w:pPr>
            <w:r>
              <w:rPr>
                <w:color w:val="auto"/>
                <w:szCs w:val="21"/>
                <w:lang w:bidi="ar"/>
              </w:rPr>
              <w:t>0.4532</w:t>
            </w:r>
          </w:p>
        </w:tc>
        <w:tc>
          <w:tcPr>
            <w:tcW w:w="963" w:type="dxa"/>
            <w:vAlign w:val="center"/>
          </w:tcPr>
          <w:p>
            <w:pPr>
              <w:pStyle w:val="164"/>
              <w:ind w:left="-105" w:leftChars="-50" w:right="-105" w:rightChars="-50"/>
              <w:rPr>
                <w:color w:val="auto"/>
                <w:szCs w:val="21"/>
                <w:lang w:bidi="ar"/>
              </w:rPr>
            </w:pPr>
            <w:r>
              <w:rPr>
                <w:color w:val="auto"/>
                <w:szCs w:val="21"/>
                <w:lang w:bidi="ar"/>
              </w:rPr>
              <w:t>0.10</w:t>
            </w:r>
          </w:p>
        </w:tc>
        <w:tc>
          <w:tcPr>
            <w:tcW w:w="959" w:type="dxa"/>
            <w:vAlign w:val="center"/>
          </w:tcPr>
          <w:p>
            <w:pPr>
              <w:pStyle w:val="164"/>
              <w:ind w:left="-105" w:leftChars="-50" w:right="-105" w:rightChars="-50"/>
              <w:rPr>
                <w:color w:val="auto"/>
                <w:szCs w:val="21"/>
                <w:lang w:bidi="ar"/>
              </w:rPr>
            </w:pPr>
            <w:r>
              <w:rPr>
                <w:color w:val="auto"/>
                <w:szCs w:val="21"/>
                <w:lang w:bidi="ar"/>
              </w:rPr>
              <w:t>0.0028</w:t>
            </w:r>
          </w:p>
        </w:tc>
        <w:tc>
          <w:tcPr>
            <w:tcW w:w="825" w:type="dxa"/>
            <w:vAlign w:val="center"/>
          </w:tcPr>
          <w:p>
            <w:pPr>
              <w:pStyle w:val="164"/>
              <w:ind w:left="-105" w:leftChars="-50" w:right="-105" w:rightChars="-50"/>
              <w:rPr>
                <w:color w:val="auto"/>
                <w:szCs w:val="21"/>
                <w:lang w:bidi="ar"/>
              </w:rPr>
            </w:pPr>
            <w:r>
              <w:rPr>
                <w:color w:val="auto"/>
                <w:szCs w:val="21"/>
                <w:lang w:bidi="ar"/>
              </w:rPr>
              <w:t>0.03</w:t>
            </w:r>
          </w:p>
        </w:tc>
        <w:tc>
          <w:tcPr>
            <w:tcW w:w="981" w:type="dxa"/>
            <w:vAlign w:val="center"/>
          </w:tcPr>
          <w:p>
            <w:pPr>
              <w:pStyle w:val="164"/>
              <w:ind w:left="-105" w:leftChars="-50" w:right="-105" w:rightChars="-50"/>
              <w:rPr>
                <w:color w:val="auto"/>
                <w:szCs w:val="21"/>
                <w:lang w:bidi="ar"/>
              </w:rPr>
            </w:pPr>
            <w:r>
              <w:rPr>
                <w:color w:val="auto"/>
                <w:szCs w:val="21"/>
                <w:lang w:bidi="ar"/>
              </w:rPr>
              <w:t>0.6232</w:t>
            </w:r>
          </w:p>
        </w:tc>
        <w:tc>
          <w:tcPr>
            <w:tcW w:w="834" w:type="dxa"/>
            <w:vAlign w:val="center"/>
          </w:tcPr>
          <w:p>
            <w:pPr>
              <w:pStyle w:val="164"/>
              <w:ind w:left="-105" w:leftChars="-50" w:right="-105" w:rightChars="-50"/>
              <w:rPr>
                <w:color w:val="auto"/>
                <w:szCs w:val="21"/>
                <w:lang w:bidi="ar"/>
              </w:rPr>
            </w:pPr>
            <w:r>
              <w:rPr>
                <w:color w:val="auto"/>
                <w:szCs w:val="21"/>
                <w:lang w:bidi="ar"/>
              </w:rPr>
              <w:t>0.31</w:t>
            </w:r>
          </w:p>
        </w:tc>
        <w:tc>
          <w:tcPr>
            <w:tcW w:w="932" w:type="dxa"/>
            <w:vAlign w:val="center"/>
          </w:tcPr>
          <w:p>
            <w:pPr>
              <w:pStyle w:val="164"/>
              <w:ind w:left="-105" w:leftChars="-50" w:right="-105" w:rightChars="-50"/>
              <w:rPr>
                <w:color w:val="auto"/>
                <w:szCs w:val="21"/>
                <w:lang w:bidi="ar"/>
              </w:rPr>
            </w:pPr>
            <w:r>
              <w:rPr>
                <w:color w:val="auto"/>
                <w:szCs w:val="21"/>
                <w:lang w:bidi="ar"/>
              </w:rPr>
              <w:t>0.1048</w:t>
            </w:r>
          </w:p>
        </w:tc>
        <w:tc>
          <w:tcPr>
            <w:tcW w:w="824" w:type="dxa"/>
            <w:vAlign w:val="center"/>
          </w:tcPr>
          <w:p>
            <w:pPr>
              <w:pStyle w:val="164"/>
              <w:ind w:left="-105" w:leftChars="-50" w:right="-105" w:rightChars="-50"/>
              <w:rPr>
                <w:color w:val="auto"/>
                <w:szCs w:val="21"/>
                <w:lang w:bidi="ar"/>
              </w:rPr>
            </w:pPr>
            <w:r>
              <w:rPr>
                <w:color w:val="auto"/>
                <w:szCs w:val="21"/>
                <w:lang w:bidi="ar"/>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2" w:hRule="atLeast"/>
          <w:jc w:val="center"/>
        </w:trPr>
        <w:tc>
          <w:tcPr>
            <w:tcW w:w="1485" w:type="dxa"/>
            <w:vAlign w:val="center"/>
          </w:tcPr>
          <w:p>
            <w:pPr>
              <w:pStyle w:val="164"/>
              <w:ind w:left="-105" w:leftChars="-50" w:right="-105" w:rightChars="-50"/>
              <w:rPr>
                <w:color w:val="auto"/>
                <w:szCs w:val="21"/>
                <w:lang w:bidi="ar"/>
              </w:rPr>
            </w:pPr>
            <w:r>
              <w:rPr>
                <w:color w:val="auto"/>
                <w:szCs w:val="21"/>
                <w:lang w:bidi="ar"/>
              </w:rPr>
              <w:t>50</w:t>
            </w:r>
          </w:p>
        </w:tc>
        <w:tc>
          <w:tcPr>
            <w:tcW w:w="1111" w:type="dxa"/>
            <w:vAlign w:val="center"/>
          </w:tcPr>
          <w:p>
            <w:pPr>
              <w:pStyle w:val="164"/>
              <w:ind w:left="-105" w:leftChars="-50" w:right="-105" w:rightChars="-50"/>
              <w:rPr>
                <w:color w:val="auto"/>
                <w:szCs w:val="21"/>
                <w:lang w:bidi="ar"/>
              </w:rPr>
            </w:pPr>
            <w:r>
              <w:rPr>
                <w:color w:val="auto"/>
                <w:szCs w:val="21"/>
                <w:lang w:bidi="ar"/>
              </w:rPr>
              <w:t>1.5895</w:t>
            </w:r>
          </w:p>
        </w:tc>
        <w:tc>
          <w:tcPr>
            <w:tcW w:w="963" w:type="dxa"/>
            <w:vAlign w:val="center"/>
          </w:tcPr>
          <w:p>
            <w:pPr>
              <w:pStyle w:val="164"/>
              <w:ind w:left="-105" w:leftChars="-50" w:right="-105" w:rightChars="-50"/>
              <w:rPr>
                <w:color w:val="auto"/>
                <w:szCs w:val="21"/>
                <w:lang w:bidi="ar"/>
              </w:rPr>
            </w:pPr>
            <w:r>
              <w:rPr>
                <w:color w:val="auto"/>
                <w:szCs w:val="21"/>
                <w:lang w:bidi="ar"/>
              </w:rPr>
              <w:t>0.35</w:t>
            </w:r>
          </w:p>
        </w:tc>
        <w:tc>
          <w:tcPr>
            <w:tcW w:w="959" w:type="dxa"/>
            <w:vAlign w:val="center"/>
          </w:tcPr>
          <w:p>
            <w:pPr>
              <w:pStyle w:val="164"/>
              <w:ind w:left="-105" w:leftChars="-50" w:right="-105" w:rightChars="-50"/>
              <w:rPr>
                <w:color w:val="auto"/>
                <w:szCs w:val="21"/>
                <w:lang w:bidi="ar"/>
              </w:rPr>
            </w:pPr>
            <w:r>
              <w:rPr>
                <w:color w:val="auto"/>
                <w:szCs w:val="21"/>
                <w:lang w:bidi="ar"/>
              </w:rPr>
              <w:t>0.0099</w:t>
            </w:r>
          </w:p>
        </w:tc>
        <w:tc>
          <w:tcPr>
            <w:tcW w:w="825" w:type="dxa"/>
            <w:vAlign w:val="center"/>
          </w:tcPr>
          <w:p>
            <w:pPr>
              <w:pStyle w:val="164"/>
              <w:ind w:left="-105" w:leftChars="-50" w:right="-105" w:rightChars="-50"/>
              <w:rPr>
                <w:color w:val="auto"/>
                <w:szCs w:val="21"/>
                <w:lang w:bidi="ar"/>
              </w:rPr>
            </w:pPr>
            <w:r>
              <w:rPr>
                <w:color w:val="auto"/>
                <w:szCs w:val="21"/>
                <w:lang w:bidi="ar"/>
              </w:rPr>
              <w:t>0.10</w:t>
            </w:r>
          </w:p>
        </w:tc>
        <w:tc>
          <w:tcPr>
            <w:tcW w:w="981" w:type="dxa"/>
            <w:vAlign w:val="center"/>
          </w:tcPr>
          <w:p>
            <w:pPr>
              <w:pStyle w:val="164"/>
              <w:ind w:left="-105" w:leftChars="-50" w:right="-105" w:rightChars="-50"/>
              <w:rPr>
                <w:color w:val="auto"/>
                <w:szCs w:val="21"/>
                <w:lang w:bidi="ar"/>
              </w:rPr>
            </w:pPr>
            <w:r>
              <w:rPr>
                <w:color w:val="auto"/>
                <w:szCs w:val="21"/>
                <w:lang w:bidi="ar"/>
              </w:rPr>
              <w:t>2.1858</w:t>
            </w:r>
          </w:p>
        </w:tc>
        <w:tc>
          <w:tcPr>
            <w:tcW w:w="834" w:type="dxa"/>
            <w:vAlign w:val="center"/>
          </w:tcPr>
          <w:p>
            <w:pPr>
              <w:pStyle w:val="164"/>
              <w:ind w:left="-105" w:leftChars="-50" w:right="-105" w:rightChars="-50"/>
              <w:rPr>
                <w:color w:val="auto"/>
                <w:szCs w:val="21"/>
                <w:lang w:bidi="ar"/>
              </w:rPr>
            </w:pPr>
            <w:r>
              <w:rPr>
                <w:color w:val="auto"/>
                <w:szCs w:val="21"/>
                <w:lang w:bidi="ar"/>
              </w:rPr>
              <w:t>1.09</w:t>
            </w:r>
          </w:p>
        </w:tc>
        <w:tc>
          <w:tcPr>
            <w:tcW w:w="932" w:type="dxa"/>
            <w:vAlign w:val="center"/>
          </w:tcPr>
          <w:p>
            <w:pPr>
              <w:pStyle w:val="164"/>
              <w:ind w:left="-105" w:leftChars="-50" w:right="-105" w:rightChars="-50"/>
              <w:rPr>
                <w:color w:val="auto"/>
                <w:szCs w:val="21"/>
                <w:lang w:bidi="ar"/>
              </w:rPr>
            </w:pPr>
            <w:r>
              <w:rPr>
                <w:color w:val="auto"/>
                <w:szCs w:val="21"/>
                <w:lang w:bidi="ar"/>
              </w:rPr>
              <w:t>0.3676</w:t>
            </w:r>
          </w:p>
        </w:tc>
        <w:tc>
          <w:tcPr>
            <w:tcW w:w="824" w:type="dxa"/>
            <w:vAlign w:val="center"/>
          </w:tcPr>
          <w:p>
            <w:pPr>
              <w:pStyle w:val="164"/>
              <w:ind w:left="-105" w:leftChars="-50" w:right="-105" w:rightChars="-50"/>
              <w:rPr>
                <w:color w:val="auto"/>
                <w:szCs w:val="21"/>
                <w:lang w:bidi="ar"/>
              </w:rPr>
            </w:pPr>
            <w:r>
              <w:rPr>
                <w:color w:val="auto"/>
                <w:szCs w:val="21"/>
                <w:lang w:bidi="ar"/>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b/>
                <w:bCs/>
                <w:color w:val="auto"/>
                <w:szCs w:val="21"/>
                <w:lang w:bidi="ar"/>
              </w:rPr>
            </w:pPr>
            <w:r>
              <w:rPr>
                <w:b/>
                <w:bCs/>
                <w:color w:val="auto"/>
                <w:szCs w:val="21"/>
                <w:lang w:bidi="ar"/>
              </w:rPr>
              <w:t>65</w:t>
            </w:r>
          </w:p>
        </w:tc>
        <w:tc>
          <w:tcPr>
            <w:tcW w:w="1111" w:type="dxa"/>
            <w:vAlign w:val="center"/>
          </w:tcPr>
          <w:p>
            <w:pPr>
              <w:pStyle w:val="164"/>
              <w:ind w:left="-105" w:leftChars="-50" w:right="-105" w:rightChars="-50"/>
              <w:rPr>
                <w:b/>
                <w:bCs/>
                <w:color w:val="auto"/>
                <w:szCs w:val="21"/>
                <w:lang w:bidi="ar"/>
              </w:rPr>
            </w:pPr>
            <w:r>
              <w:rPr>
                <w:b/>
                <w:bCs/>
                <w:color w:val="auto"/>
                <w:szCs w:val="21"/>
                <w:lang w:bidi="ar"/>
              </w:rPr>
              <w:t>1.7520</w:t>
            </w:r>
          </w:p>
        </w:tc>
        <w:tc>
          <w:tcPr>
            <w:tcW w:w="963" w:type="dxa"/>
            <w:vAlign w:val="center"/>
          </w:tcPr>
          <w:p>
            <w:pPr>
              <w:pStyle w:val="164"/>
              <w:ind w:left="-105" w:leftChars="-50" w:right="-105" w:rightChars="-50"/>
              <w:rPr>
                <w:b/>
                <w:bCs/>
                <w:color w:val="auto"/>
                <w:szCs w:val="21"/>
                <w:lang w:bidi="ar"/>
              </w:rPr>
            </w:pPr>
            <w:r>
              <w:rPr>
                <w:b/>
                <w:bCs/>
                <w:color w:val="auto"/>
                <w:szCs w:val="21"/>
                <w:lang w:bidi="ar"/>
              </w:rPr>
              <w:t>0.39</w:t>
            </w:r>
          </w:p>
        </w:tc>
        <w:tc>
          <w:tcPr>
            <w:tcW w:w="959" w:type="dxa"/>
            <w:vAlign w:val="center"/>
          </w:tcPr>
          <w:p>
            <w:pPr>
              <w:pStyle w:val="164"/>
              <w:ind w:left="-105" w:leftChars="-50" w:right="-105" w:rightChars="-50"/>
              <w:rPr>
                <w:b/>
                <w:bCs/>
                <w:color w:val="auto"/>
                <w:szCs w:val="21"/>
                <w:lang w:bidi="ar"/>
              </w:rPr>
            </w:pPr>
            <w:r>
              <w:rPr>
                <w:b/>
                <w:bCs/>
                <w:color w:val="auto"/>
                <w:szCs w:val="21"/>
                <w:lang w:bidi="ar"/>
              </w:rPr>
              <w:t>0.0110</w:t>
            </w:r>
          </w:p>
        </w:tc>
        <w:tc>
          <w:tcPr>
            <w:tcW w:w="825" w:type="dxa"/>
            <w:vAlign w:val="center"/>
          </w:tcPr>
          <w:p>
            <w:pPr>
              <w:pStyle w:val="164"/>
              <w:ind w:left="-105" w:leftChars="-50" w:right="-105" w:rightChars="-50"/>
              <w:rPr>
                <w:b/>
                <w:bCs/>
                <w:color w:val="auto"/>
                <w:szCs w:val="21"/>
                <w:lang w:bidi="ar"/>
              </w:rPr>
            </w:pPr>
            <w:r>
              <w:rPr>
                <w:b/>
                <w:bCs/>
                <w:color w:val="auto"/>
                <w:szCs w:val="21"/>
                <w:lang w:bidi="ar"/>
              </w:rPr>
              <w:t>0.11</w:t>
            </w:r>
          </w:p>
        </w:tc>
        <w:tc>
          <w:tcPr>
            <w:tcW w:w="981" w:type="dxa"/>
            <w:vAlign w:val="center"/>
          </w:tcPr>
          <w:p>
            <w:pPr>
              <w:pStyle w:val="164"/>
              <w:ind w:left="-105" w:leftChars="-50" w:right="-105" w:rightChars="-50"/>
              <w:rPr>
                <w:b/>
                <w:bCs/>
                <w:color w:val="auto"/>
                <w:szCs w:val="21"/>
                <w:lang w:bidi="ar"/>
              </w:rPr>
            </w:pPr>
            <w:r>
              <w:rPr>
                <w:b/>
                <w:bCs/>
                <w:color w:val="auto"/>
                <w:szCs w:val="21"/>
                <w:lang w:bidi="ar"/>
              </w:rPr>
              <w:t>2.4092</w:t>
            </w:r>
          </w:p>
        </w:tc>
        <w:tc>
          <w:tcPr>
            <w:tcW w:w="834" w:type="dxa"/>
            <w:vAlign w:val="center"/>
          </w:tcPr>
          <w:p>
            <w:pPr>
              <w:pStyle w:val="164"/>
              <w:ind w:left="-105" w:leftChars="-50" w:right="-105" w:rightChars="-50"/>
              <w:rPr>
                <w:b/>
                <w:bCs/>
                <w:color w:val="auto"/>
                <w:szCs w:val="21"/>
                <w:lang w:bidi="ar"/>
              </w:rPr>
            </w:pPr>
            <w:r>
              <w:rPr>
                <w:b/>
                <w:bCs/>
                <w:color w:val="auto"/>
                <w:szCs w:val="21"/>
                <w:lang w:bidi="ar"/>
              </w:rPr>
              <w:t>1.20</w:t>
            </w:r>
          </w:p>
        </w:tc>
        <w:tc>
          <w:tcPr>
            <w:tcW w:w="932" w:type="dxa"/>
            <w:vAlign w:val="center"/>
          </w:tcPr>
          <w:p>
            <w:pPr>
              <w:pStyle w:val="164"/>
              <w:ind w:left="-105" w:leftChars="-50" w:right="-105" w:rightChars="-50"/>
              <w:rPr>
                <w:b/>
                <w:bCs/>
                <w:color w:val="auto"/>
                <w:szCs w:val="21"/>
                <w:lang w:bidi="ar"/>
              </w:rPr>
            </w:pPr>
            <w:r>
              <w:rPr>
                <w:b/>
                <w:bCs/>
                <w:color w:val="auto"/>
                <w:szCs w:val="21"/>
                <w:lang w:bidi="ar"/>
              </w:rPr>
              <w:t>0.4052</w:t>
            </w:r>
          </w:p>
        </w:tc>
        <w:tc>
          <w:tcPr>
            <w:tcW w:w="824" w:type="dxa"/>
            <w:vAlign w:val="center"/>
          </w:tcPr>
          <w:p>
            <w:pPr>
              <w:pStyle w:val="164"/>
              <w:ind w:left="-105" w:leftChars="-50" w:right="-105" w:rightChars="-50"/>
              <w:rPr>
                <w:b/>
                <w:bCs/>
                <w:color w:val="auto"/>
                <w:szCs w:val="21"/>
                <w:lang w:bidi="ar"/>
              </w:rPr>
            </w:pPr>
            <w:r>
              <w:rPr>
                <w:b/>
                <w:bCs/>
                <w:color w:val="auto"/>
                <w:szCs w:val="21"/>
                <w:lang w:bidi="ar"/>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75</w:t>
            </w:r>
          </w:p>
        </w:tc>
        <w:tc>
          <w:tcPr>
            <w:tcW w:w="1111" w:type="dxa"/>
            <w:vAlign w:val="center"/>
          </w:tcPr>
          <w:p>
            <w:pPr>
              <w:pStyle w:val="164"/>
              <w:ind w:left="-105" w:leftChars="-50" w:right="-105" w:rightChars="-50"/>
              <w:rPr>
                <w:color w:val="auto"/>
                <w:szCs w:val="21"/>
                <w:lang w:bidi="ar"/>
              </w:rPr>
            </w:pPr>
            <w:r>
              <w:rPr>
                <w:color w:val="auto"/>
                <w:szCs w:val="21"/>
                <w:lang w:bidi="ar"/>
              </w:rPr>
              <w:t>1.7177</w:t>
            </w:r>
          </w:p>
        </w:tc>
        <w:tc>
          <w:tcPr>
            <w:tcW w:w="963" w:type="dxa"/>
            <w:vAlign w:val="center"/>
          </w:tcPr>
          <w:p>
            <w:pPr>
              <w:pStyle w:val="164"/>
              <w:ind w:left="-105" w:leftChars="-50" w:right="-105" w:rightChars="-50"/>
              <w:rPr>
                <w:color w:val="auto"/>
                <w:szCs w:val="21"/>
                <w:lang w:bidi="ar"/>
              </w:rPr>
            </w:pPr>
            <w:r>
              <w:rPr>
                <w:color w:val="auto"/>
                <w:szCs w:val="21"/>
                <w:lang w:bidi="ar"/>
              </w:rPr>
              <w:t>0.38</w:t>
            </w:r>
          </w:p>
        </w:tc>
        <w:tc>
          <w:tcPr>
            <w:tcW w:w="959" w:type="dxa"/>
            <w:vAlign w:val="center"/>
          </w:tcPr>
          <w:p>
            <w:pPr>
              <w:pStyle w:val="164"/>
              <w:ind w:left="-105" w:leftChars="-50" w:right="-105" w:rightChars="-50"/>
              <w:rPr>
                <w:color w:val="auto"/>
                <w:szCs w:val="21"/>
                <w:lang w:bidi="ar"/>
              </w:rPr>
            </w:pPr>
            <w:r>
              <w:rPr>
                <w:color w:val="auto"/>
                <w:szCs w:val="21"/>
                <w:lang w:bidi="ar"/>
              </w:rPr>
              <w:t>0.0107</w:t>
            </w:r>
          </w:p>
        </w:tc>
        <w:tc>
          <w:tcPr>
            <w:tcW w:w="825" w:type="dxa"/>
            <w:vAlign w:val="center"/>
          </w:tcPr>
          <w:p>
            <w:pPr>
              <w:pStyle w:val="164"/>
              <w:ind w:left="-105" w:leftChars="-50" w:right="-105" w:rightChars="-50"/>
              <w:rPr>
                <w:color w:val="auto"/>
                <w:szCs w:val="21"/>
                <w:lang w:bidi="ar"/>
              </w:rPr>
            </w:pPr>
            <w:r>
              <w:rPr>
                <w:color w:val="auto"/>
                <w:szCs w:val="21"/>
                <w:lang w:bidi="ar"/>
              </w:rPr>
              <w:t>0.11</w:t>
            </w:r>
          </w:p>
        </w:tc>
        <w:tc>
          <w:tcPr>
            <w:tcW w:w="981" w:type="dxa"/>
            <w:vAlign w:val="center"/>
          </w:tcPr>
          <w:p>
            <w:pPr>
              <w:pStyle w:val="164"/>
              <w:ind w:left="-105" w:leftChars="-50" w:right="-105" w:rightChars="-50"/>
              <w:rPr>
                <w:color w:val="auto"/>
                <w:szCs w:val="21"/>
                <w:lang w:bidi="ar"/>
              </w:rPr>
            </w:pPr>
            <w:r>
              <w:rPr>
                <w:color w:val="auto"/>
                <w:szCs w:val="21"/>
                <w:lang w:bidi="ar"/>
              </w:rPr>
              <w:t>2.3620</w:t>
            </w:r>
          </w:p>
        </w:tc>
        <w:tc>
          <w:tcPr>
            <w:tcW w:w="834" w:type="dxa"/>
            <w:vAlign w:val="center"/>
          </w:tcPr>
          <w:p>
            <w:pPr>
              <w:pStyle w:val="164"/>
              <w:ind w:left="-105" w:leftChars="-50" w:right="-105" w:rightChars="-50"/>
              <w:rPr>
                <w:color w:val="auto"/>
                <w:szCs w:val="21"/>
                <w:lang w:bidi="ar"/>
              </w:rPr>
            </w:pPr>
            <w:r>
              <w:rPr>
                <w:color w:val="auto"/>
                <w:szCs w:val="21"/>
                <w:lang w:bidi="ar"/>
              </w:rPr>
              <w:t>1.18</w:t>
            </w:r>
          </w:p>
        </w:tc>
        <w:tc>
          <w:tcPr>
            <w:tcW w:w="932" w:type="dxa"/>
            <w:vAlign w:val="center"/>
          </w:tcPr>
          <w:p>
            <w:pPr>
              <w:pStyle w:val="164"/>
              <w:ind w:left="-105" w:leftChars="-50" w:right="-105" w:rightChars="-50"/>
              <w:rPr>
                <w:color w:val="auto"/>
                <w:szCs w:val="21"/>
                <w:lang w:bidi="ar"/>
              </w:rPr>
            </w:pPr>
            <w:r>
              <w:rPr>
                <w:color w:val="auto"/>
                <w:szCs w:val="21"/>
                <w:lang w:bidi="ar"/>
              </w:rPr>
              <w:t>0.3972</w:t>
            </w:r>
          </w:p>
        </w:tc>
        <w:tc>
          <w:tcPr>
            <w:tcW w:w="824" w:type="dxa"/>
            <w:vAlign w:val="center"/>
          </w:tcPr>
          <w:p>
            <w:pPr>
              <w:pStyle w:val="164"/>
              <w:ind w:left="-105" w:leftChars="-50" w:right="-105" w:rightChars="-50"/>
              <w:rPr>
                <w:color w:val="auto"/>
                <w:szCs w:val="21"/>
                <w:lang w:bidi="ar"/>
              </w:rPr>
            </w:pPr>
            <w:r>
              <w:rPr>
                <w:color w:val="auto"/>
                <w:szCs w:val="21"/>
                <w:lang w:bidi="ar"/>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100</w:t>
            </w:r>
          </w:p>
        </w:tc>
        <w:tc>
          <w:tcPr>
            <w:tcW w:w="1111" w:type="dxa"/>
            <w:vAlign w:val="center"/>
          </w:tcPr>
          <w:p>
            <w:pPr>
              <w:pStyle w:val="164"/>
              <w:ind w:left="-105" w:leftChars="-50" w:right="-105" w:rightChars="-50"/>
              <w:rPr>
                <w:color w:val="auto"/>
                <w:szCs w:val="21"/>
                <w:lang w:bidi="ar"/>
              </w:rPr>
            </w:pPr>
            <w:r>
              <w:rPr>
                <w:color w:val="auto"/>
                <w:szCs w:val="21"/>
                <w:lang w:bidi="ar"/>
              </w:rPr>
              <w:t>1.4820</w:t>
            </w:r>
          </w:p>
        </w:tc>
        <w:tc>
          <w:tcPr>
            <w:tcW w:w="963" w:type="dxa"/>
            <w:vAlign w:val="center"/>
          </w:tcPr>
          <w:p>
            <w:pPr>
              <w:pStyle w:val="164"/>
              <w:ind w:left="-105" w:leftChars="-50" w:right="-105" w:rightChars="-50"/>
              <w:rPr>
                <w:color w:val="auto"/>
                <w:szCs w:val="21"/>
                <w:lang w:bidi="ar"/>
              </w:rPr>
            </w:pPr>
            <w:r>
              <w:rPr>
                <w:color w:val="auto"/>
                <w:szCs w:val="21"/>
                <w:lang w:bidi="ar"/>
              </w:rPr>
              <w:t>0.33</w:t>
            </w:r>
          </w:p>
        </w:tc>
        <w:tc>
          <w:tcPr>
            <w:tcW w:w="959" w:type="dxa"/>
            <w:vAlign w:val="center"/>
          </w:tcPr>
          <w:p>
            <w:pPr>
              <w:pStyle w:val="164"/>
              <w:ind w:left="-105" w:leftChars="-50" w:right="-105" w:rightChars="-50"/>
              <w:rPr>
                <w:color w:val="auto"/>
                <w:szCs w:val="21"/>
                <w:lang w:bidi="ar"/>
              </w:rPr>
            </w:pPr>
            <w:r>
              <w:rPr>
                <w:color w:val="auto"/>
                <w:szCs w:val="21"/>
                <w:lang w:bidi="ar"/>
              </w:rPr>
              <w:t>0.0093</w:t>
            </w:r>
          </w:p>
        </w:tc>
        <w:tc>
          <w:tcPr>
            <w:tcW w:w="825" w:type="dxa"/>
            <w:vAlign w:val="center"/>
          </w:tcPr>
          <w:p>
            <w:pPr>
              <w:pStyle w:val="164"/>
              <w:ind w:left="-105" w:leftChars="-50" w:right="-105" w:rightChars="-50"/>
              <w:rPr>
                <w:color w:val="auto"/>
                <w:szCs w:val="21"/>
                <w:lang w:bidi="ar"/>
              </w:rPr>
            </w:pPr>
            <w:r>
              <w:rPr>
                <w:color w:val="auto"/>
                <w:szCs w:val="21"/>
                <w:lang w:bidi="ar"/>
              </w:rPr>
              <w:t>0.09</w:t>
            </w:r>
          </w:p>
        </w:tc>
        <w:tc>
          <w:tcPr>
            <w:tcW w:w="981" w:type="dxa"/>
            <w:vAlign w:val="center"/>
          </w:tcPr>
          <w:p>
            <w:pPr>
              <w:pStyle w:val="164"/>
              <w:ind w:left="-105" w:leftChars="-50" w:right="-105" w:rightChars="-50"/>
              <w:rPr>
                <w:color w:val="auto"/>
                <w:szCs w:val="21"/>
                <w:lang w:bidi="ar"/>
              </w:rPr>
            </w:pPr>
            <w:r>
              <w:rPr>
                <w:color w:val="auto"/>
                <w:szCs w:val="21"/>
                <w:lang w:bidi="ar"/>
              </w:rPr>
              <w:t>2.0379</w:t>
            </w:r>
          </w:p>
        </w:tc>
        <w:tc>
          <w:tcPr>
            <w:tcW w:w="834" w:type="dxa"/>
            <w:vAlign w:val="center"/>
          </w:tcPr>
          <w:p>
            <w:pPr>
              <w:pStyle w:val="164"/>
              <w:ind w:left="-105" w:leftChars="-50" w:right="-105" w:rightChars="-50"/>
              <w:rPr>
                <w:color w:val="auto"/>
                <w:szCs w:val="21"/>
                <w:lang w:bidi="ar"/>
              </w:rPr>
            </w:pPr>
            <w:r>
              <w:rPr>
                <w:color w:val="auto"/>
                <w:szCs w:val="21"/>
                <w:lang w:bidi="ar"/>
              </w:rPr>
              <w:t>1.02</w:t>
            </w:r>
          </w:p>
        </w:tc>
        <w:tc>
          <w:tcPr>
            <w:tcW w:w="932" w:type="dxa"/>
            <w:vAlign w:val="center"/>
          </w:tcPr>
          <w:p>
            <w:pPr>
              <w:pStyle w:val="164"/>
              <w:ind w:left="-105" w:leftChars="-50" w:right="-105" w:rightChars="-50"/>
              <w:rPr>
                <w:color w:val="auto"/>
                <w:szCs w:val="21"/>
                <w:lang w:bidi="ar"/>
              </w:rPr>
            </w:pPr>
            <w:r>
              <w:rPr>
                <w:color w:val="auto"/>
                <w:szCs w:val="21"/>
                <w:lang w:bidi="ar"/>
              </w:rPr>
              <w:t>0.3427</w:t>
            </w:r>
          </w:p>
        </w:tc>
        <w:tc>
          <w:tcPr>
            <w:tcW w:w="824" w:type="dxa"/>
            <w:vAlign w:val="center"/>
          </w:tcPr>
          <w:p>
            <w:pPr>
              <w:pStyle w:val="164"/>
              <w:ind w:left="-105" w:leftChars="-50" w:right="-105" w:rightChars="-50"/>
              <w:rPr>
                <w:color w:val="auto"/>
                <w:szCs w:val="21"/>
                <w:lang w:bidi="ar"/>
              </w:rPr>
            </w:pPr>
            <w:r>
              <w:rPr>
                <w:color w:val="auto"/>
                <w:szCs w:val="21"/>
                <w:lang w:bidi="ar"/>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200</w:t>
            </w:r>
          </w:p>
        </w:tc>
        <w:tc>
          <w:tcPr>
            <w:tcW w:w="1111" w:type="dxa"/>
            <w:vAlign w:val="center"/>
          </w:tcPr>
          <w:p>
            <w:pPr>
              <w:pStyle w:val="164"/>
              <w:spacing w:line="240" w:lineRule="auto"/>
              <w:ind w:left="-105" w:leftChars="-50" w:right="-105" w:rightChars="-50"/>
              <w:rPr>
                <w:color w:val="auto"/>
                <w:szCs w:val="21"/>
                <w:lang w:bidi="ar"/>
              </w:rPr>
            </w:pPr>
            <w:r>
              <w:rPr>
                <w:color w:val="auto"/>
                <w:szCs w:val="21"/>
                <w:lang w:bidi="ar"/>
              </w:rPr>
              <w:t>0.9752</w:t>
            </w:r>
          </w:p>
        </w:tc>
        <w:tc>
          <w:tcPr>
            <w:tcW w:w="963" w:type="dxa"/>
            <w:vAlign w:val="center"/>
          </w:tcPr>
          <w:p>
            <w:pPr>
              <w:pStyle w:val="164"/>
              <w:spacing w:line="240" w:lineRule="auto"/>
              <w:ind w:left="-105" w:leftChars="-50" w:right="-105" w:rightChars="-50"/>
              <w:rPr>
                <w:color w:val="auto"/>
                <w:szCs w:val="21"/>
                <w:lang w:bidi="ar"/>
              </w:rPr>
            </w:pPr>
            <w:r>
              <w:rPr>
                <w:color w:val="auto"/>
                <w:szCs w:val="21"/>
                <w:lang w:bidi="ar"/>
              </w:rPr>
              <w:t>0.22</w:t>
            </w:r>
          </w:p>
        </w:tc>
        <w:tc>
          <w:tcPr>
            <w:tcW w:w="959" w:type="dxa"/>
            <w:vAlign w:val="center"/>
          </w:tcPr>
          <w:p>
            <w:pPr>
              <w:pStyle w:val="164"/>
              <w:spacing w:line="240" w:lineRule="auto"/>
              <w:ind w:left="-105" w:leftChars="-50" w:right="-105" w:rightChars="-50"/>
              <w:rPr>
                <w:color w:val="auto"/>
                <w:szCs w:val="21"/>
                <w:lang w:bidi="ar"/>
              </w:rPr>
            </w:pPr>
            <w:r>
              <w:rPr>
                <w:color w:val="auto"/>
                <w:szCs w:val="21"/>
                <w:lang w:bidi="ar"/>
              </w:rPr>
              <w:t>0.0061</w:t>
            </w:r>
          </w:p>
        </w:tc>
        <w:tc>
          <w:tcPr>
            <w:tcW w:w="825"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.06</w:t>
            </w:r>
          </w:p>
        </w:tc>
        <w:tc>
          <w:tcPr>
            <w:tcW w:w="981" w:type="dxa"/>
            <w:vAlign w:val="center"/>
          </w:tcPr>
          <w:p>
            <w:pPr>
              <w:pStyle w:val="164"/>
              <w:spacing w:line="240" w:lineRule="auto"/>
              <w:ind w:left="-105" w:leftChars="-50" w:right="-105" w:rightChars="-50"/>
              <w:rPr>
                <w:color w:val="auto"/>
                <w:szCs w:val="21"/>
                <w:lang w:bidi="ar"/>
              </w:rPr>
            </w:pPr>
            <w:r>
              <w:rPr>
                <w:color w:val="auto"/>
                <w:szCs w:val="21"/>
                <w:lang w:bidi="ar"/>
              </w:rPr>
              <w:t>1.3411</w:t>
            </w:r>
          </w:p>
        </w:tc>
        <w:tc>
          <w:tcPr>
            <w:tcW w:w="834" w:type="dxa"/>
            <w:vAlign w:val="center"/>
          </w:tcPr>
          <w:p>
            <w:pPr>
              <w:pStyle w:val="164"/>
              <w:spacing w:line="240" w:lineRule="auto"/>
              <w:ind w:left="-105" w:leftChars="-50" w:right="-105" w:rightChars="-50"/>
              <w:rPr>
                <w:color w:val="auto"/>
                <w:szCs w:val="21"/>
                <w:lang w:bidi="ar"/>
              </w:rPr>
            </w:pPr>
            <w:r>
              <w:rPr>
                <w:color w:val="auto"/>
                <w:szCs w:val="21"/>
                <w:lang w:bidi="ar"/>
              </w:rPr>
              <w:t>0.67</w:t>
            </w:r>
          </w:p>
        </w:tc>
        <w:tc>
          <w:tcPr>
            <w:tcW w:w="932" w:type="dxa"/>
            <w:vAlign w:val="center"/>
          </w:tcPr>
          <w:p>
            <w:pPr>
              <w:pStyle w:val="164"/>
              <w:spacing w:line="240" w:lineRule="auto"/>
              <w:ind w:left="-105" w:leftChars="-50" w:right="-105" w:rightChars="-50"/>
              <w:rPr>
                <w:color w:val="auto"/>
                <w:szCs w:val="21"/>
                <w:lang w:bidi="ar"/>
              </w:rPr>
            </w:pPr>
            <w:r>
              <w:rPr>
                <w:color w:val="auto"/>
                <w:szCs w:val="21"/>
                <w:lang w:bidi="ar"/>
              </w:rPr>
              <w:t>0.2255</w:t>
            </w:r>
          </w:p>
        </w:tc>
        <w:tc>
          <w:tcPr>
            <w:tcW w:w="824"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300</w:t>
            </w:r>
          </w:p>
        </w:tc>
        <w:tc>
          <w:tcPr>
            <w:tcW w:w="1111" w:type="dxa"/>
            <w:vAlign w:val="center"/>
          </w:tcPr>
          <w:p>
            <w:pPr>
              <w:pStyle w:val="164"/>
              <w:spacing w:line="240" w:lineRule="auto"/>
              <w:ind w:left="-105" w:leftChars="-50" w:right="-105" w:rightChars="-50"/>
              <w:rPr>
                <w:color w:val="auto"/>
                <w:szCs w:val="21"/>
                <w:lang w:bidi="ar"/>
              </w:rPr>
            </w:pPr>
            <w:r>
              <w:rPr>
                <w:color w:val="auto"/>
                <w:szCs w:val="21"/>
                <w:lang w:bidi="ar"/>
              </w:rPr>
              <w:t>1.0796</w:t>
            </w:r>
          </w:p>
        </w:tc>
        <w:tc>
          <w:tcPr>
            <w:tcW w:w="963" w:type="dxa"/>
            <w:vAlign w:val="center"/>
          </w:tcPr>
          <w:p>
            <w:pPr>
              <w:pStyle w:val="164"/>
              <w:spacing w:line="240" w:lineRule="auto"/>
              <w:ind w:left="-105" w:leftChars="-50" w:right="-105" w:rightChars="-50"/>
              <w:rPr>
                <w:color w:val="auto"/>
                <w:szCs w:val="21"/>
                <w:lang w:bidi="ar"/>
              </w:rPr>
            </w:pPr>
            <w:r>
              <w:rPr>
                <w:color w:val="auto"/>
                <w:szCs w:val="21"/>
                <w:lang w:bidi="ar"/>
              </w:rPr>
              <w:t>0.24</w:t>
            </w:r>
          </w:p>
        </w:tc>
        <w:tc>
          <w:tcPr>
            <w:tcW w:w="959" w:type="dxa"/>
            <w:vAlign w:val="center"/>
          </w:tcPr>
          <w:p>
            <w:pPr>
              <w:pStyle w:val="164"/>
              <w:spacing w:line="240" w:lineRule="auto"/>
              <w:ind w:left="-105" w:leftChars="-50" w:right="-105" w:rightChars="-50"/>
              <w:rPr>
                <w:color w:val="auto"/>
                <w:szCs w:val="21"/>
                <w:lang w:bidi="ar"/>
              </w:rPr>
            </w:pPr>
            <w:r>
              <w:rPr>
                <w:color w:val="auto"/>
                <w:szCs w:val="21"/>
                <w:lang w:bidi="ar"/>
              </w:rPr>
              <w:t>0.0067</w:t>
            </w:r>
          </w:p>
        </w:tc>
        <w:tc>
          <w:tcPr>
            <w:tcW w:w="825"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.07</w:t>
            </w:r>
          </w:p>
        </w:tc>
        <w:tc>
          <w:tcPr>
            <w:tcW w:w="981" w:type="dxa"/>
            <w:vAlign w:val="center"/>
          </w:tcPr>
          <w:p>
            <w:pPr>
              <w:pStyle w:val="164"/>
              <w:spacing w:line="240" w:lineRule="auto"/>
              <w:ind w:left="-105" w:leftChars="-50" w:right="-105" w:rightChars="-50"/>
              <w:rPr>
                <w:color w:val="auto"/>
                <w:szCs w:val="21"/>
                <w:lang w:bidi="ar"/>
              </w:rPr>
            </w:pPr>
            <w:r>
              <w:rPr>
                <w:color w:val="auto"/>
                <w:szCs w:val="21"/>
                <w:lang w:bidi="ar"/>
              </w:rPr>
              <w:t>1.4845</w:t>
            </w:r>
          </w:p>
        </w:tc>
        <w:tc>
          <w:tcPr>
            <w:tcW w:w="834" w:type="dxa"/>
            <w:vAlign w:val="center"/>
          </w:tcPr>
          <w:p>
            <w:pPr>
              <w:pStyle w:val="164"/>
              <w:spacing w:line="240" w:lineRule="auto"/>
              <w:ind w:left="-105" w:leftChars="-50" w:right="-105" w:rightChars="-50"/>
              <w:rPr>
                <w:color w:val="auto"/>
                <w:szCs w:val="21"/>
                <w:lang w:bidi="ar"/>
              </w:rPr>
            </w:pPr>
            <w:r>
              <w:rPr>
                <w:color w:val="auto"/>
                <w:szCs w:val="21"/>
                <w:lang w:bidi="ar"/>
              </w:rPr>
              <w:t>0.74</w:t>
            </w:r>
          </w:p>
        </w:tc>
        <w:tc>
          <w:tcPr>
            <w:tcW w:w="932" w:type="dxa"/>
            <w:vAlign w:val="center"/>
          </w:tcPr>
          <w:p>
            <w:pPr>
              <w:pStyle w:val="164"/>
              <w:spacing w:line="240" w:lineRule="auto"/>
              <w:ind w:left="-105" w:leftChars="-50" w:right="-105" w:rightChars="-50"/>
              <w:rPr>
                <w:color w:val="auto"/>
                <w:szCs w:val="21"/>
                <w:lang w:bidi="ar"/>
              </w:rPr>
            </w:pPr>
            <w:r>
              <w:rPr>
                <w:color w:val="auto"/>
                <w:szCs w:val="21"/>
                <w:lang w:bidi="ar"/>
              </w:rPr>
              <w:t>0.2497</w:t>
            </w:r>
          </w:p>
        </w:tc>
        <w:tc>
          <w:tcPr>
            <w:tcW w:w="824"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400</w:t>
            </w:r>
          </w:p>
        </w:tc>
        <w:tc>
          <w:tcPr>
            <w:tcW w:w="1111" w:type="dxa"/>
            <w:vAlign w:val="center"/>
          </w:tcPr>
          <w:p>
            <w:pPr>
              <w:pStyle w:val="164"/>
              <w:spacing w:line="240" w:lineRule="auto"/>
              <w:ind w:left="-105" w:leftChars="-50" w:right="-105" w:rightChars="-50"/>
              <w:rPr>
                <w:color w:val="auto"/>
                <w:szCs w:val="21"/>
                <w:lang w:bidi="ar"/>
              </w:rPr>
            </w:pPr>
            <w:r>
              <w:rPr>
                <w:color w:val="auto"/>
                <w:szCs w:val="21"/>
                <w:lang w:bidi="ar"/>
              </w:rPr>
              <w:t>0.9421</w:t>
            </w:r>
          </w:p>
        </w:tc>
        <w:tc>
          <w:tcPr>
            <w:tcW w:w="963" w:type="dxa"/>
            <w:vAlign w:val="center"/>
          </w:tcPr>
          <w:p>
            <w:pPr>
              <w:pStyle w:val="164"/>
              <w:spacing w:line="240" w:lineRule="auto"/>
              <w:ind w:left="-105" w:leftChars="-50" w:right="-105" w:rightChars="-50"/>
              <w:rPr>
                <w:color w:val="auto"/>
                <w:szCs w:val="21"/>
                <w:lang w:bidi="ar"/>
              </w:rPr>
            </w:pPr>
            <w:r>
              <w:rPr>
                <w:color w:val="auto"/>
                <w:szCs w:val="21"/>
                <w:lang w:bidi="ar"/>
              </w:rPr>
              <w:t>0.21</w:t>
            </w:r>
          </w:p>
        </w:tc>
        <w:tc>
          <w:tcPr>
            <w:tcW w:w="959" w:type="dxa"/>
            <w:vAlign w:val="center"/>
          </w:tcPr>
          <w:p>
            <w:pPr>
              <w:pStyle w:val="164"/>
              <w:spacing w:line="240" w:lineRule="auto"/>
              <w:ind w:left="-105" w:leftChars="-50" w:right="-105" w:rightChars="-50"/>
              <w:rPr>
                <w:color w:val="auto"/>
                <w:szCs w:val="21"/>
                <w:lang w:bidi="ar"/>
              </w:rPr>
            </w:pPr>
            <w:r>
              <w:rPr>
                <w:color w:val="auto"/>
                <w:szCs w:val="21"/>
                <w:lang w:bidi="ar"/>
              </w:rPr>
              <w:t>0.0059</w:t>
            </w:r>
          </w:p>
        </w:tc>
        <w:tc>
          <w:tcPr>
            <w:tcW w:w="825"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.06</w:t>
            </w:r>
          </w:p>
        </w:tc>
        <w:tc>
          <w:tcPr>
            <w:tcW w:w="981" w:type="dxa"/>
            <w:vAlign w:val="center"/>
          </w:tcPr>
          <w:p>
            <w:pPr>
              <w:pStyle w:val="164"/>
              <w:spacing w:line="240" w:lineRule="auto"/>
              <w:ind w:left="-105" w:leftChars="-50" w:right="-105" w:rightChars="-50"/>
              <w:rPr>
                <w:color w:val="auto"/>
                <w:szCs w:val="21"/>
                <w:lang w:bidi="ar"/>
              </w:rPr>
            </w:pPr>
            <w:r>
              <w:rPr>
                <w:color w:val="auto"/>
                <w:szCs w:val="21"/>
                <w:lang w:bidi="ar"/>
              </w:rPr>
              <w:t>1.2954</w:t>
            </w:r>
          </w:p>
        </w:tc>
        <w:tc>
          <w:tcPr>
            <w:tcW w:w="834" w:type="dxa"/>
            <w:vAlign w:val="center"/>
          </w:tcPr>
          <w:p>
            <w:pPr>
              <w:pStyle w:val="164"/>
              <w:spacing w:line="240" w:lineRule="auto"/>
              <w:ind w:left="-105" w:leftChars="-50" w:right="-105" w:rightChars="-50"/>
              <w:rPr>
                <w:color w:val="auto"/>
                <w:szCs w:val="21"/>
                <w:lang w:bidi="ar"/>
              </w:rPr>
            </w:pPr>
            <w:r>
              <w:rPr>
                <w:color w:val="auto"/>
                <w:szCs w:val="21"/>
                <w:lang w:bidi="ar"/>
              </w:rPr>
              <w:t>0.65</w:t>
            </w:r>
          </w:p>
        </w:tc>
        <w:tc>
          <w:tcPr>
            <w:tcW w:w="932" w:type="dxa"/>
            <w:vAlign w:val="center"/>
          </w:tcPr>
          <w:p>
            <w:pPr>
              <w:pStyle w:val="164"/>
              <w:spacing w:line="240" w:lineRule="auto"/>
              <w:ind w:left="-105" w:leftChars="-50" w:right="-105" w:rightChars="-50"/>
              <w:rPr>
                <w:color w:val="auto"/>
                <w:szCs w:val="21"/>
                <w:lang w:bidi="ar"/>
              </w:rPr>
            </w:pPr>
            <w:r>
              <w:rPr>
                <w:color w:val="auto"/>
                <w:szCs w:val="21"/>
                <w:lang w:bidi="ar"/>
              </w:rPr>
              <w:t>0.2179</w:t>
            </w:r>
          </w:p>
        </w:tc>
        <w:tc>
          <w:tcPr>
            <w:tcW w:w="824"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500</w:t>
            </w:r>
          </w:p>
        </w:tc>
        <w:tc>
          <w:tcPr>
            <w:tcW w:w="1111" w:type="dxa"/>
            <w:vAlign w:val="center"/>
          </w:tcPr>
          <w:p>
            <w:pPr>
              <w:pStyle w:val="164"/>
              <w:spacing w:line="240" w:lineRule="auto"/>
              <w:ind w:left="-105" w:leftChars="-50" w:right="-105" w:rightChars="-50"/>
              <w:rPr>
                <w:color w:val="auto"/>
                <w:szCs w:val="21"/>
                <w:lang w:bidi="ar"/>
              </w:rPr>
            </w:pPr>
            <w:r>
              <w:rPr>
                <w:color w:val="auto"/>
                <w:szCs w:val="21"/>
                <w:lang w:bidi="ar"/>
              </w:rPr>
              <w:t>0.7908</w:t>
            </w:r>
          </w:p>
        </w:tc>
        <w:tc>
          <w:tcPr>
            <w:tcW w:w="963" w:type="dxa"/>
            <w:vAlign w:val="center"/>
          </w:tcPr>
          <w:p>
            <w:pPr>
              <w:pStyle w:val="164"/>
              <w:spacing w:line="240" w:lineRule="auto"/>
              <w:ind w:left="-105" w:leftChars="-50" w:right="-105" w:rightChars="-50"/>
              <w:rPr>
                <w:color w:val="auto"/>
                <w:szCs w:val="21"/>
                <w:lang w:bidi="ar"/>
              </w:rPr>
            </w:pPr>
            <w:r>
              <w:rPr>
                <w:color w:val="auto"/>
                <w:szCs w:val="21"/>
                <w:lang w:bidi="ar"/>
              </w:rPr>
              <w:t>0.18</w:t>
            </w:r>
          </w:p>
        </w:tc>
        <w:tc>
          <w:tcPr>
            <w:tcW w:w="959" w:type="dxa"/>
            <w:vAlign w:val="center"/>
          </w:tcPr>
          <w:p>
            <w:pPr>
              <w:pStyle w:val="164"/>
              <w:spacing w:line="240" w:lineRule="auto"/>
              <w:ind w:left="-105" w:leftChars="-50" w:right="-105" w:rightChars="-50"/>
              <w:rPr>
                <w:color w:val="auto"/>
                <w:szCs w:val="21"/>
                <w:lang w:bidi="ar"/>
              </w:rPr>
            </w:pPr>
            <w:r>
              <w:rPr>
                <w:color w:val="auto"/>
                <w:szCs w:val="21"/>
                <w:lang w:bidi="ar"/>
              </w:rPr>
              <w:t>0.0049</w:t>
            </w:r>
          </w:p>
        </w:tc>
        <w:tc>
          <w:tcPr>
            <w:tcW w:w="825"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.05</w:t>
            </w:r>
          </w:p>
        </w:tc>
        <w:tc>
          <w:tcPr>
            <w:tcW w:w="981" w:type="dxa"/>
            <w:vAlign w:val="center"/>
          </w:tcPr>
          <w:p>
            <w:pPr>
              <w:pStyle w:val="164"/>
              <w:spacing w:line="240" w:lineRule="auto"/>
              <w:ind w:left="-105" w:leftChars="-50" w:right="-105" w:rightChars="-50"/>
              <w:rPr>
                <w:color w:val="auto"/>
                <w:szCs w:val="21"/>
                <w:lang w:bidi="ar"/>
              </w:rPr>
            </w:pPr>
            <w:r>
              <w:rPr>
                <w:color w:val="auto"/>
                <w:szCs w:val="21"/>
                <w:lang w:bidi="ar"/>
              </w:rPr>
              <w:t>1.0874</w:t>
            </w:r>
          </w:p>
        </w:tc>
        <w:tc>
          <w:tcPr>
            <w:tcW w:w="834" w:type="dxa"/>
            <w:vAlign w:val="center"/>
          </w:tcPr>
          <w:p>
            <w:pPr>
              <w:pStyle w:val="164"/>
              <w:spacing w:line="240" w:lineRule="auto"/>
              <w:ind w:left="-105" w:leftChars="-50" w:right="-105" w:rightChars="-50"/>
              <w:rPr>
                <w:color w:val="auto"/>
                <w:szCs w:val="21"/>
                <w:lang w:bidi="ar"/>
              </w:rPr>
            </w:pPr>
            <w:r>
              <w:rPr>
                <w:color w:val="auto"/>
                <w:szCs w:val="21"/>
                <w:lang w:bidi="ar"/>
              </w:rPr>
              <w:t>0.54</w:t>
            </w:r>
          </w:p>
        </w:tc>
        <w:tc>
          <w:tcPr>
            <w:tcW w:w="932" w:type="dxa"/>
            <w:vAlign w:val="center"/>
          </w:tcPr>
          <w:p>
            <w:pPr>
              <w:pStyle w:val="164"/>
              <w:spacing w:line="240" w:lineRule="auto"/>
              <w:ind w:left="-105" w:leftChars="-50" w:right="-105" w:rightChars="-50"/>
              <w:rPr>
                <w:color w:val="auto"/>
                <w:szCs w:val="21"/>
                <w:lang w:bidi="ar"/>
              </w:rPr>
            </w:pPr>
            <w:r>
              <w:rPr>
                <w:color w:val="auto"/>
                <w:szCs w:val="21"/>
                <w:lang w:bidi="ar"/>
              </w:rPr>
              <w:t>0.1829</w:t>
            </w:r>
          </w:p>
        </w:tc>
        <w:tc>
          <w:tcPr>
            <w:tcW w:w="824"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700</w:t>
            </w:r>
          </w:p>
        </w:tc>
        <w:tc>
          <w:tcPr>
            <w:tcW w:w="1111" w:type="dxa"/>
            <w:vAlign w:val="center"/>
          </w:tcPr>
          <w:p>
            <w:pPr>
              <w:pStyle w:val="164"/>
              <w:spacing w:line="240" w:lineRule="auto"/>
              <w:ind w:left="-105" w:leftChars="-50" w:right="-105" w:rightChars="-50"/>
              <w:rPr>
                <w:color w:val="auto"/>
                <w:szCs w:val="21"/>
                <w:lang w:bidi="ar"/>
              </w:rPr>
            </w:pPr>
            <w:r>
              <w:rPr>
                <w:color w:val="auto"/>
                <w:szCs w:val="21"/>
                <w:lang w:bidi="ar"/>
              </w:rPr>
              <w:t>0.7051</w:t>
            </w:r>
          </w:p>
        </w:tc>
        <w:tc>
          <w:tcPr>
            <w:tcW w:w="963" w:type="dxa"/>
            <w:vAlign w:val="center"/>
          </w:tcPr>
          <w:p>
            <w:pPr>
              <w:pStyle w:val="164"/>
              <w:spacing w:line="240" w:lineRule="auto"/>
              <w:ind w:left="-105" w:leftChars="-50" w:right="-105" w:rightChars="-50"/>
              <w:rPr>
                <w:color w:val="auto"/>
                <w:szCs w:val="21"/>
                <w:lang w:bidi="ar"/>
              </w:rPr>
            </w:pPr>
            <w:r>
              <w:rPr>
                <w:color w:val="auto"/>
                <w:szCs w:val="21"/>
                <w:lang w:bidi="ar"/>
              </w:rPr>
              <w:t>0.16</w:t>
            </w:r>
          </w:p>
        </w:tc>
        <w:tc>
          <w:tcPr>
            <w:tcW w:w="959" w:type="dxa"/>
            <w:vAlign w:val="center"/>
          </w:tcPr>
          <w:p>
            <w:pPr>
              <w:pStyle w:val="164"/>
              <w:spacing w:line="240" w:lineRule="auto"/>
              <w:ind w:left="-105" w:leftChars="-50" w:right="-105" w:rightChars="-50"/>
              <w:rPr>
                <w:color w:val="auto"/>
                <w:szCs w:val="21"/>
                <w:lang w:bidi="ar"/>
              </w:rPr>
            </w:pPr>
            <w:r>
              <w:rPr>
                <w:color w:val="auto"/>
                <w:szCs w:val="21"/>
                <w:lang w:bidi="ar"/>
              </w:rPr>
              <w:t>0.0044</w:t>
            </w:r>
          </w:p>
        </w:tc>
        <w:tc>
          <w:tcPr>
            <w:tcW w:w="825"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.04</w:t>
            </w:r>
          </w:p>
        </w:tc>
        <w:tc>
          <w:tcPr>
            <w:tcW w:w="981" w:type="dxa"/>
            <w:vAlign w:val="center"/>
          </w:tcPr>
          <w:p>
            <w:pPr>
              <w:pStyle w:val="164"/>
              <w:spacing w:line="240" w:lineRule="auto"/>
              <w:ind w:left="-105" w:leftChars="-50" w:right="-105" w:rightChars="-50"/>
              <w:rPr>
                <w:color w:val="auto"/>
                <w:szCs w:val="21"/>
                <w:lang w:bidi="ar"/>
              </w:rPr>
            </w:pPr>
            <w:r>
              <w:rPr>
                <w:color w:val="auto"/>
                <w:szCs w:val="21"/>
                <w:lang w:bidi="ar"/>
              </w:rPr>
              <w:t>0.9695</w:t>
            </w:r>
          </w:p>
        </w:tc>
        <w:tc>
          <w:tcPr>
            <w:tcW w:w="834" w:type="dxa"/>
            <w:vAlign w:val="center"/>
          </w:tcPr>
          <w:p>
            <w:pPr>
              <w:pStyle w:val="164"/>
              <w:spacing w:line="240" w:lineRule="auto"/>
              <w:ind w:left="-105" w:leftChars="-50" w:right="-105" w:rightChars="-50"/>
              <w:rPr>
                <w:color w:val="auto"/>
                <w:szCs w:val="21"/>
                <w:lang w:bidi="ar"/>
              </w:rPr>
            </w:pPr>
            <w:r>
              <w:rPr>
                <w:color w:val="auto"/>
                <w:szCs w:val="21"/>
                <w:lang w:bidi="ar"/>
              </w:rPr>
              <w:t>0.48</w:t>
            </w:r>
          </w:p>
        </w:tc>
        <w:tc>
          <w:tcPr>
            <w:tcW w:w="932" w:type="dxa"/>
            <w:vAlign w:val="center"/>
          </w:tcPr>
          <w:p>
            <w:pPr>
              <w:pStyle w:val="164"/>
              <w:spacing w:line="240" w:lineRule="auto"/>
              <w:ind w:left="-105" w:leftChars="-50" w:right="-105" w:rightChars="-50"/>
              <w:rPr>
                <w:color w:val="auto"/>
                <w:szCs w:val="21"/>
                <w:lang w:bidi="ar"/>
              </w:rPr>
            </w:pPr>
            <w:r>
              <w:rPr>
                <w:color w:val="auto"/>
                <w:szCs w:val="21"/>
                <w:lang w:bidi="ar"/>
              </w:rPr>
              <w:t>0.1631</w:t>
            </w:r>
          </w:p>
        </w:tc>
        <w:tc>
          <w:tcPr>
            <w:tcW w:w="824"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1000</w:t>
            </w:r>
          </w:p>
        </w:tc>
        <w:tc>
          <w:tcPr>
            <w:tcW w:w="1111" w:type="dxa"/>
            <w:vAlign w:val="center"/>
          </w:tcPr>
          <w:p>
            <w:pPr>
              <w:pStyle w:val="164"/>
              <w:spacing w:line="240" w:lineRule="auto"/>
              <w:ind w:left="-105" w:leftChars="-50" w:right="-105" w:rightChars="-50"/>
              <w:rPr>
                <w:color w:val="auto"/>
                <w:szCs w:val="21"/>
                <w:lang w:bidi="ar"/>
              </w:rPr>
            </w:pPr>
            <w:r>
              <w:rPr>
                <w:color w:val="auto"/>
                <w:szCs w:val="21"/>
                <w:lang w:bidi="ar"/>
              </w:rPr>
              <w:t>0.6144</w:t>
            </w:r>
          </w:p>
        </w:tc>
        <w:tc>
          <w:tcPr>
            <w:tcW w:w="963" w:type="dxa"/>
            <w:vAlign w:val="center"/>
          </w:tcPr>
          <w:p>
            <w:pPr>
              <w:pStyle w:val="164"/>
              <w:spacing w:line="240" w:lineRule="auto"/>
              <w:ind w:left="-105" w:leftChars="-50" w:right="-105" w:rightChars="-50"/>
              <w:rPr>
                <w:color w:val="auto"/>
                <w:szCs w:val="21"/>
                <w:lang w:bidi="ar"/>
              </w:rPr>
            </w:pPr>
            <w:r>
              <w:rPr>
                <w:color w:val="auto"/>
                <w:szCs w:val="21"/>
                <w:lang w:bidi="ar"/>
              </w:rPr>
              <w:t>0.14</w:t>
            </w:r>
          </w:p>
        </w:tc>
        <w:tc>
          <w:tcPr>
            <w:tcW w:w="959" w:type="dxa"/>
            <w:vAlign w:val="center"/>
          </w:tcPr>
          <w:p>
            <w:pPr>
              <w:pStyle w:val="164"/>
              <w:spacing w:line="240" w:lineRule="auto"/>
              <w:ind w:left="-105" w:leftChars="-50" w:right="-105" w:rightChars="-50"/>
              <w:rPr>
                <w:color w:val="auto"/>
                <w:szCs w:val="21"/>
                <w:lang w:bidi="ar"/>
              </w:rPr>
            </w:pPr>
            <w:r>
              <w:rPr>
                <w:color w:val="auto"/>
                <w:szCs w:val="21"/>
                <w:lang w:bidi="ar"/>
              </w:rPr>
              <w:t>0.0038</w:t>
            </w:r>
          </w:p>
        </w:tc>
        <w:tc>
          <w:tcPr>
            <w:tcW w:w="825"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.04</w:t>
            </w:r>
          </w:p>
        </w:tc>
        <w:tc>
          <w:tcPr>
            <w:tcW w:w="981" w:type="dxa"/>
            <w:vAlign w:val="center"/>
          </w:tcPr>
          <w:p>
            <w:pPr>
              <w:pStyle w:val="164"/>
              <w:spacing w:line="240" w:lineRule="auto"/>
              <w:ind w:left="-105" w:leftChars="-50" w:right="-105" w:rightChars="-50"/>
              <w:rPr>
                <w:color w:val="auto"/>
                <w:szCs w:val="21"/>
                <w:lang w:bidi="ar"/>
              </w:rPr>
            </w:pPr>
            <w:r>
              <w:rPr>
                <w:color w:val="auto"/>
                <w:szCs w:val="21"/>
                <w:lang w:bidi="ar"/>
              </w:rPr>
              <w:t>0.8449</w:t>
            </w:r>
          </w:p>
        </w:tc>
        <w:tc>
          <w:tcPr>
            <w:tcW w:w="834" w:type="dxa"/>
            <w:vAlign w:val="center"/>
          </w:tcPr>
          <w:p>
            <w:pPr>
              <w:pStyle w:val="164"/>
              <w:spacing w:line="240" w:lineRule="auto"/>
              <w:ind w:left="-105" w:leftChars="-50" w:right="-105" w:rightChars="-50"/>
              <w:rPr>
                <w:color w:val="auto"/>
                <w:szCs w:val="21"/>
                <w:lang w:bidi="ar"/>
              </w:rPr>
            </w:pPr>
            <w:r>
              <w:rPr>
                <w:color w:val="auto"/>
                <w:szCs w:val="21"/>
                <w:lang w:bidi="ar"/>
              </w:rPr>
              <w:t>0.42</w:t>
            </w:r>
          </w:p>
        </w:tc>
        <w:tc>
          <w:tcPr>
            <w:tcW w:w="932" w:type="dxa"/>
            <w:vAlign w:val="center"/>
          </w:tcPr>
          <w:p>
            <w:pPr>
              <w:pStyle w:val="164"/>
              <w:spacing w:line="240" w:lineRule="auto"/>
              <w:ind w:left="-105" w:leftChars="-50" w:right="-105" w:rightChars="-50"/>
              <w:rPr>
                <w:color w:val="auto"/>
                <w:szCs w:val="21"/>
                <w:lang w:bidi="ar"/>
              </w:rPr>
            </w:pPr>
            <w:r>
              <w:rPr>
                <w:color w:val="auto"/>
                <w:szCs w:val="21"/>
                <w:lang w:bidi="ar"/>
              </w:rPr>
              <w:t>0.1421</w:t>
            </w:r>
          </w:p>
        </w:tc>
        <w:tc>
          <w:tcPr>
            <w:tcW w:w="824"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1500</w:t>
            </w:r>
          </w:p>
        </w:tc>
        <w:tc>
          <w:tcPr>
            <w:tcW w:w="1111" w:type="dxa"/>
            <w:vAlign w:val="center"/>
          </w:tcPr>
          <w:p>
            <w:pPr>
              <w:pStyle w:val="164"/>
              <w:spacing w:line="240" w:lineRule="auto"/>
              <w:ind w:left="-105" w:leftChars="-50" w:right="-105" w:rightChars="-50"/>
              <w:rPr>
                <w:color w:val="auto"/>
                <w:szCs w:val="21"/>
                <w:lang w:bidi="ar"/>
              </w:rPr>
            </w:pPr>
            <w:r>
              <w:rPr>
                <w:color w:val="auto"/>
                <w:szCs w:val="21"/>
                <w:lang w:bidi="ar"/>
              </w:rPr>
              <w:t>0.4554</w:t>
            </w:r>
          </w:p>
        </w:tc>
        <w:tc>
          <w:tcPr>
            <w:tcW w:w="963" w:type="dxa"/>
            <w:vAlign w:val="center"/>
          </w:tcPr>
          <w:p>
            <w:pPr>
              <w:pStyle w:val="164"/>
              <w:spacing w:line="240" w:lineRule="auto"/>
              <w:ind w:left="-105" w:leftChars="-50" w:right="-105" w:rightChars="-50"/>
              <w:rPr>
                <w:color w:val="auto"/>
                <w:szCs w:val="21"/>
                <w:lang w:bidi="ar"/>
              </w:rPr>
            </w:pPr>
            <w:r>
              <w:rPr>
                <w:color w:val="auto"/>
                <w:szCs w:val="21"/>
                <w:lang w:bidi="ar"/>
              </w:rPr>
              <w:t>0.10</w:t>
            </w:r>
          </w:p>
        </w:tc>
        <w:tc>
          <w:tcPr>
            <w:tcW w:w="959" w:type="dxa"/>
            <w:vAlign w:val="center"/>
          </w:tcPr>
          <w:p>
            <w:pPr>
              <w:pStyle w:val="164"/>
              <w:spacing w:line="240" w:lineRule="auto"/>
              <w:ind w:left="-105" w:leftChars="-50" w:right="-105" w:rightChars="-50"/>
              <w:rPr>
                <w:color w:val="auto"/>
                <w:szCs w:val="21"/>
                <w:lang w:bidi="ar"/>
              </w:rPr>
            </w:pPr>
            <w:r>
              <w:rPr>
                <w:color w:val="auto"/>
                <w:szCs w:val="21"/>
                <w:lang w:bidi="ar"/>
              </w:rPr>
              <w:t>0.0028</w:t>
            </w:r>
          </w:p>
        </w:tc>
        <w:tc>
          <w:tcPr>
            <w:tcW w:w="825"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.03</w:t>
            </w:r>
          </w:p>
        </w:tc>
        <w:tc>
          <w:tcPr>
            <w:tcW w:w="981" w:type="dxa"/>
            <w:vAlign w:val="center"/>
          </w:tcPr>
          <w:p>
            <w:pPr>
              <w:pStyle w:val="164"/>
              <w:spacing w:line="240" w:lineRule="auto"/>
              <w:ind w:left="-105" w:leftChars="-50" w:right="-105" w:rightChars="-50"/>
              <w:rPr>
                <w:color w:val="auto"/>
                <w:szCs w:val="21"/>
                <w:lang w:bidi="ar"/>
              </w:rPr>
            </w:pPr>
            <w:r>
              <w:rPr>
                <w:color w:val="auto"/>
                <w:szCs w:val="21"/>
                <w:lang w:bidi="ar"/>
              </w:rPr>
              <w:t>0.6262</w:t>
            </w:r>
          </w:p>
        </w:tc>
        <w:tc>
          <w:tcPr>
            <w:tcW w:w="834" w:type="dxa"/>
            <w:vAlign w:val="center"/>
          </w:tcPr>
          <w:p>
            <w:pPr>
              <w:pStyle w:val="164"/>
              <w:spacing w:line="240" w:lineRule="auto"/>
              <w:ind w:left="-105" w:leftChars="-50" w:right="-105" w:rightChars="-50"/>
              <w:rPr>
                <w:color w:val="auto"/>
                <w:szCs w:val="21"/>
                <w:lang w:bidi="ar"/>
              </w:rPr>
            </w:pPr>
            <w:r>
              <w:rPr>
                <w:color w:val="auto"/>
                <w:szCs w:val="21"/>
                <w:lang w:bidi="ar"/>
              </w:rPr>
              <w:t>0.31</w:t>
            </w:r>
          </w:p>
        </w:tc>
        <w:tc>
          <w:tcPr>
            <w:tcW w:w="932" w:type="dxa"/>
            <w:vAlign w:val="center"/>
          </w:tcPr>
          <w:p>
            <w:pPr>
              <w:pStyle w:val="164"/>
              <w:spacing w:line="240" w:lineRule="auto"/>
              <w:ind w:left="-105" w:leftChars="-50" w:right="-105" w:rightChars="-50"/>
              <w:rPr>
                <w:color w:val="auto"/>
                <w:szCs w:val="21"/>
                <w:lang w:bidi="ar"/>
              </w:rPr>
            </w:pPr>
            <w:r>
              <w:rPr>
                <w:color w:val="auto"/>
                <w:szCs w:val="21"/>
                <w:lang w:bidi="ar"/>
              </w:rPr>
              <w:t>0.1053</w:t>
            </w:r>
          </w:p>
        </w:tc>
        <w:tc>
          <w:tcPr>
            <w:tcW w:w="824"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2000</w:t>
            </w:r>
          </w:p>
        </w:tc>
        <w:tc>
          <w:tcPr>
            <w:tcW w:w="1111" w:type="dxa"/>
            <w:vAlign w:val="center"/>
          </w:tcPr>
          <w:p>
            <w:pPr>
              <w:pStyle w:val="164"/>
              <w:spacing w:line="240" w:lineRule="auto"/>
              <w:ind w:left="-105" w:leftChars="-50" w:right="-105" w:rightChars="-50"/>
              <w:rPr>
                <w:color w:val="auto"/>
                <w:szCs w:val="21"/>
                <w:lang w:bidi="ar"/>
              </w:rPr>
            </w:pPr>
            <w:r>
              <w:rPr>
                <w:color w:val="auto"/>
                <w:szCs w:val="21"/>
                <w:lang w:bidi="ar"/>
              </w:rPr>
              <w:t>0.3465</w:t>
            </w:r>
          </w:p>
        </w:tc>
        <w:tc>
          <w:tcPr>
            <w:tcW w:w="963" w:type="dxa"/>
            <w:vAlign w:val="center"/>
          </w:tcPr>
          <w:p>
            <w:pPr>
              <w:pStyle w:val="164"/>
              <w:spacing w:line="240" w:lineRule="auto"/>
              <w:ind w:left="-105" w:leftChars="-50" w:right="-105" w:rightChars="-50"/>
              <w:rPr>
                <w:color w:val="auto"/>
                <w:szCs w:val="21"/>
                <w:lang w:bidi="ar"/>
              </w:rPr>
            </w:pPr>
            <w:r>
              <w:rPr>
                <w:color w:val="auto"/>
                <w:szCs w:val="21"/>
                <w:lang w:bidi="ar"/>
              </w:rPr>
              <w:t>0.08</w:t>
            </w:r>
          </w:p>
        </w:tc>
        <w:tc>
          <w:tcPr>
            <w:tcW w:w="959" w:type="dxa"/>
            <w:vAlign w:val="center"/>
          </w:tcPr>
          <w:p>
            <w:pPr>
              <w:pStyle w:val="164"/>
              <w:spacing w:line="240" w:lineRule="auto"/>
              <w:ind w:left="-105" w:leftChars="-50" w:right="-105" w:rightChars="-50"/>
              <w:rPr>
                <w:color w:val="auto"/>
                <w:szCs w:val="21"/>
                <w:lang w:bidi="ar"/>
              </w:rPr>
            </w:pPr>
            <w:r>
              <w:rPr>
                <w:color w:val="auto"/>
                <w:szCs w:val="21"/>
                <w:lang w:bidi="ar"/>
              </w:rPr>
              <w:t>0.0022</w:t>
            </w:r>
          </w:p>
        </w:tc>
        <w:tc>
          <w:tcPr>
            <w:tcW w:w="825"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.02</w:t>
            </w:r>
          </w:p>
        </w:tc>
        <w:tc>
          <w:tcPr>
            <w:tcW w:w="981" w:type="dxa"/>
            <w:vAlign w:val="center"/>
          </w:tcPr>
          <w:p>
            <w:pPr>
              <w:pStyle w:val="164"/>
              <w:spacing w:line="240" w:lineRule="auto"/>
              <w:ind w:left="-105" w:leftChars="-50" w:right="-105" w:rightChars="-50"/>
              <w:rPr>
                <w:color w:val="auto"/>
                <w:szCs w:val="21"/>
                <w:lang w:bidi="ar"/>
              </w:rPr>
            </w:pPr>
            <w:r>
              <w:rPr>
                <w:color w:val="auto"/>
                <w:szCs w:val="21"/>
                <w:lang w:bidi="ar"/>
              </w:rPr>
              <w:t>0.4764</w:t>
            </w:r>
          </w:p>
        </w:tc>
        <w:tc>
          <w:tcPr>
            <w:tcW w:w="834" w:type="dxa"/>
            <w:vAlign w:val="center"/>
          </w:tcPr>
          <w:p>
            <w:pPr>
              <w:pStyle w:val="164"/>
              <w:spacing w:line="240" w:lineRule="auto"/>
              <w:ind w:left="-105" w:leftChars="-50" w:right="-105" w:rightChars="-50"/>
              <w:rPr>
                <w:color w:val="auto"/>
                <w:szCs w:val="21"/>
                <w:lang w:bidi="ar"/>
              </w:rPr>
            </w:pPr>
            <w:r>
              <w:rPr>
                <w:color w:val="auto"/>
                <w:szCs w:val="21"/>
                <w:lang w:bidi="ar"/>
              </w:rPr>
              <w:t>0.24</w:t>
            </w:r>
          </w:p>
        </w:tc>
        <w:tc>
          <w:tcPr>
            <w:tcW w:w="932" w:type="dxa"/>
            <w:vAlign w:val="center"/>
          </w:tcPr>
          <w:p>
            <w:pPr>
              <w:pStyle w:val="164"/>
              <w:spacing w:line="240" w:lineRule="auto"/>
              <w:ind w:left="-105" w:leftChars="-50" w:right="-105" w:rightChars="-50"/>
              <w:rPr>
                <w:color w:val="auto"/>
                <w:szCs w:val="21"/>
                <w:lang w:bidi="ar"/>
              </w:rPr>
            </w:pPr>
            <w:r>
              <w:rPr>
                <w:color w:val="auto"/>
                <w:szCs w:val="21"/>
                <w:lang w:bidi="ar"/>
              </w:rPr>
              <w:t>0.0801</w:t>
            </w:r>
          </w:p>
        </w:tc>
        <w:tc>
          <w:tcPr>
            <w:tcW w:w="824"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6" w:hRule="atLeast"/>
          <w:jc w:val="center"/>
        </w:trPr>
        <w:tc>
          <w:tcPr>
            <w:tcW w:w="1485" w:type="dxa"/>
            <w:vAlign w:val="center"/>
          </w:tcPr>
          <w:p>
            <w:pPr>
              <w:pStyle w:val="164"/>
              <w:ind w:left="-105" w:leftChars="-50" w:right="-105" w:rightChars="-50"/>
              <w:rPr>
                <w:color w:val="auto"/>
                <w:szCs w:val="21"/>
              </w:rPr>
            </w:pPr>
            <w:r>
              <w:rPr>
                <w:color w:val="auto"/>
                <w:szCs w:val="21"/>
                <w:lang w:bidi="ar"/>
              </w:rPr>
              <w:t>2500</w:t>
            </w:r>
          </w:p>
        </w:tc>
        <w:tc>
          <w:tcPr>
            <w:tcW w:w="1111" w:type="dxa"/>
            <w:vAlign w:val="center"/>
          </w:tcPr>
          <w:p>
            <w:pPr>
              <w:pStyle w:val="164"/>
              <w:spacing w:line="240" w:lineRule="auto"/>
              <w:ind w:left="-105" w:leftChars="-50" w:right="-105" w:rightChars="-50"/>
              <w:rPr>
                <w:color w:val="auto"/>
                <w:szCs w:val="21"/>
                <w:lang w:bidi="ar"/>
              </w:rPr>
            </w:pPr>
            <w:r>
              <w:rPr>
                <w:color w:val="auto"/>
                <w:szCs w:val="21"/>
                <w:lang w:bidi="ar"/>
              </w:rPr>
              <w:t>0.2735</w:t>
            </w:r>
          </w:p>
        </w:tc>
        <w:tc>
          <w:tcPr>
            <w:tcW w:w="963" w:type="dxa"/>
            <w:vAlign w:val="center"/>
          </w:tcPr>
          <w:p>
            <w:pPr>
              <w:pStyle w:val="164"/>
              <w:spacing w:line="240" w:lineRule="auto"/>
              <w:ind w:left="-105" w:leftChars="-50" w:right="-105" w:rightChars="-50"/>
              <w:rPr>
                <w:color w:val="auto"/>
                <w:szCs w:val="21"/>
                <w:lang w:bidi="ar"/>
              </w:rPr>
            </w:pPr>
            <w:r>
              <w:rPr>
                <w:color w:val="auto"/>
                <w:szCs w:val="21"/>
                <w:lang w:bidi="ar"/>
              </w:rPr>
              <w:t>0.06</w:t>
            </w:r>
          </w:p>
        </w:tc>
        <w:tc>
          <w:tcPr>
            <w:tcW w:w="959" w:type="dxa"/>
            <w:vAlign w:val="center"/>
          </w:tcPr>
          <w:p>
            <w:pPr>
              <w:pStyle w:val="164"/>
              <w:spacing w:line="240" w:lineRule="auto"/>
              <w:ind w:left="-105" w:leftChars="-50" w:right="-105" w:rightChars="-50"/>
              <w:rPr>
                <w:color w:val="auto"/>
                <w:szCs w:val="21"/>
                <w:lang w:bidi="ar"/>
              </w:rPr>
            </w:pPr>
            <w:r>
              <w:rPr>
                <w:color w:val="auto"/>
                <w:szCs w:val="21"/>
                <w:lang w:bidi="ar"/>
              </w:rPr>
              <w:t>0.0017</w:t>
            </w:r>
          </w:p>
        </w:tc>
        <w:tc>
          <w:tcPr>
            <w:tcW w:w="825"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.02</w:t>
            </w:r>
          </w:p>
        </w:tc>
        <w:tc>
          <w:tcPr>
            <w:tcW w:w="981" w:type="dxa"/>
            <w:vAlign w:val="center"/>
          </w:tcPr>
          <w:p>
            <w:pPr>
              <w:pStyle w:val="164"/>
              <w:spacing w:line="240" w:lineRule="auto"/>
              <w:ind w:left="-105" w:leftChars="-50" w:right="-105" w:rightChars="-50"/>
              <w:rPr>
                <w:color w:val="auto"/>
                <w:szCs w:val="21"/>
                <w:lang w:bidi="ar"/>
              </w:rPr>
            </w:pPr>
            <w:r>
              <w:rPr>
                <w:color w:val="auto"/>
                <w:szCs w:val="21"/>
                <w:lang w:bidi="ar"/>
              </w:rPr>
              <w:t>0.3761</w:t>
            </w:r>
          </w:p>
        </w:tc>
        <w:tc>
          <w:tcPr>
            <w:tcW w:w="834" w:type="dxa"/>
            <w:vAlign w:val="center"/>
          </w:tcPr>
          <w:p>
            <w:pPr>
              <w:pStyle w:val="164"/>
              <w:spacing w:line="240" w:lineRule="auto"/>
              <w:ind w:left="-105" w:leftChars="-50" w:right="-105" w:rightChars="-50"/>
              <w:rPr>
                <w:color w:val="auto"/>
                <w:szCs w:val="21"/>
                <w:lang w:bidi="ar"/>
              </w:rPr>
            </w:pPr>
            <w:r>
              <w:rPr>
                <w:color w:val="auto"/>
                <w:szCs w:val="21"/>
                <w:lang w:bidi="ar"/>
              </w:rPr>
              <w:t>0.19</w:t>
            </w:r>
          </w:p>
        </w:tc>
        <w:tc>
          <w:tcPr>
            <w:tcW w:w="932" w:type="dxa"/>
            <w:vAlign w:val="center"/>
          </w:tcPr>
          <w:p>
            <w:pPr>
              <w:pStyle w:val="164"/>
              <w:spacing w:line="240" w:lineRule="auto"/>
              <w:ind w:left="-105" w:leftChars="-50" w:right="-105" w:rightChars="-50"/>
              <w:rPr>
                <w:color w:val="auto"/>
                <w:szCs w:val="21"/>
                <w:lang w:bidi="ar"/>
              </w:rPr>
            </w:pPr>
            <w:r>
              <w:rPr>
                <w:color w:val="auto"/>
                <w:szCs w:val="21"/>
                <w:lang w:bidi="ar"/>
              </w:rPr>
              <w:t>0.0633</w:t>
            </w:r>
          </w:p>
        </w:tc>
        <w:tc>
          <w:tcPr>
            <w:tcW w:w="824" w:type="dxa"/>
            <w:vAlign w:val="center"/>
          </w:tcPr>
          <w:p>
            <w:pPr>
              <w:pStyle w:val="164"/>
              <w:spacing w:line="240" w:lineRule="auto"/>
              <w:ind w:left="-105" w:leftChars="-50" w:right="-105" w:rightChars="-50"/>
              <w:rPr>
                <w:color w:val="auto"/>
                <w:szCs w:val="21"/>
                <w:lang w:bidi="ar"/>
              </w:rPr>
            </w:pPr>
            <w:r>
              <w:rPr>
                <w:rFonts w:hint="eastAsia"/>
                <w:color w:val="auto"/>
                <w:szCs w:val="21"/>
                <w:lang w:bidi="ar"/>
              </w:rPr>
              <w:t>0</w:t>
            </w:r>
            <w:r>
              <w:rPr>
                <w:color w:val="auto"/>
                <w:szCs w:val="21"/>
                <w:lang w:bidi="ar"/>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85" w:hRule="atLeast"/>
          <w:jc w:val="center"/>
        </w:trPr>
        <w:tc>
          <w:tcPr>
            <w:tcW w:w="1485" w:type="dxa"/>
            <w:vAlign w:val="center"/>
          </w:tcPr>
          <w:p>
            <w:pPr>
              <w:pStyle w:val="164"/>
              <w:ind w:left="-105" w:leftChars="-50" w:right="-105" w:rightChars="-50"/>
              <w:rPr>
                <w:color w:val="auto"/>
              </w:rPr>
            </w:pPr>
            <w:r>
              <w:rPr>
                <w:color w:val="auto"/>
              </w:rPr>
              <w:t>下风向最大质量浓度及占标率/%</w:t>
            </w:r>
          </w:p>
        </w:tc>
        <w:tc>
          <w:tcPr>
            <w:tcW w:w="1111" w:type="dxa"/>
            <w:vAlign w:val="center"/>
          </w:tcPr>
          <w:p>
            <w:pPr>
              <w:ind w:left="-105" w:leftChars="-50" w:right="-105" w:rightChars="-50"/>
              <w:jc w:val="center"/>
              <w:rPr>
                <w:color w:val="auto"/>
                <w:szCs w:val="21"/>
                <w:lang w:bidi="ar"/>
              </w:rPr>
            </w:pPr>
            <w:r>
              <w:rPr>
                <w:color w:val="auto"/>
                <w:szCs w:val="21"/>
                <w:lang w:bidi="ar"/>
              </w:rPr>
              <w:t>1.7520</w:t>
            </w:r>
          </w:p>
        </w:tc>
        <w:tc>
          <w:tcPr>
            <w:tcW w:w="963" w:type="dxa"/>
            <w:vAlign w:val="center"/>
          </w:tcPr>
          <w:p>
            <w:pPr>
              <w:ind w:left="-105" w:leftChars="-50" w:right="-105" w:rightChars="-50"/>
              <w:jc w:val="center"/>
              <w:rPr>
                <w:color w:val="auto"/>
                <w:szCs w:val="21"/>
                <w:lang w:bidi="ar"/>
              </w:rPr>
            </w:pPr>
            <w:r>
              <w:rPr>
                <w:color w:val="auto"/>
                <w:szCs w:val="21"/>
                <w:lang w:bidi="ar"/>
              </w:rPr>
              <w:t>0.39</w:t>
            </w:r>
          </w:p>
        </w:tc>
        <w:tc>
          <w:tcPr>
            <w:tcW w:w="959" w:type="dxa"/>
            <w:vAlign w:val="center"/>
          </w:tcPr>
          <w:p>
            <w:pPr>
              <w:ind w:left="-105" w:leftChars="-50" w:right="-105" w:rightChars="-50"/>
              <w:jc w:val="center"/>
              <w:rPr>
                <w:color w:val="auto"/>
                <w:szCs w:val="21"/>
                <w:lang w:bidi="ar"/>
              </w:rPr>
            </w:pPr>
            <w:r>
              <w:rPr>
                <w:color w:val="auto"/>
                <w:szCs w:val="21"/>
                <w:lang w:bidi="ar"/>
              </w:rPr>
              <w:t>0.0110</w:t>
            </w:r>
          </w:p>
        </w:tc>
        <w:tc>
          <w:tcPr>
            <w:tcW w:w="825" w:type="dxa"/>
            <w:vAlign w:val="center"/>
          </w:tcPr>
          <w:p>
            <w:pPr>
              <w:ind w:left="-105" w:leftChars="-50" w:right="-105" w:rightChars="-50"/>
              <w:jc w:val="center"/>
              <w:rPr>
                <w:color w:val="auto"/>
                <w:szCs w:val="21"/>
                <w:lang w:bidi="ar"/>
              </w:rPr>
            </w:pPr>
            <w:r>
              <w:rPr>
                <w:color w:val="auto"/>
                <w:szCs w:val="21"/>
                <w:lang w:bidi="ar"/>
              </w:rPr>
              <w:t>0.11</w:t>
            </w:r>
          </w:p>
        </w:tc>
        <w:tc>
          <w:tcPr>
            <w:tcW w:w="981" w:type="dxa"/>
            <w:vAlign w:val="center"/>
          </w:tcPr>
          <w:p>
            <w:pPr>
              <w:ind w:left="-105" w:leftChars="-50" w:right="-105" w:rightChars="-50"/>
              <w:jc w:val="center"/>
              <w:rPr>
                <w:color w:val="auto"/>
                <w:szCs w:val="21"/>
                <w:lang w:bidi="ar"/>
              </w:rPr>
            </w:pPr>
            <w:r>
              <w:rPr>
                <w:color w:val="auto"/>
                <w:szCs w:val="21"/>
                <w:lang w:bidi="ar"/>
              </w:rPr>
              <w:t>2.4092</w:t>
            </w:r>
          </w:p>
        </w:tc>
        <w:tc>
          <w:tcPr>
            <w:tcW w:w="834" w:type="dxa"/>
            <w:vAlign w:val="center"/>
          </w:tcPr>
          <w:p>
            <w:pPr>
              <w:ind w:left="-105" w:leftChars="-50" w:right="-105" w:rightChars="-50"/>
              <w:jc w:val="center"/>
              <w:rPr>
                <w:color w:val="auto"/>
                <w:szCs w:val="21"/>
                <w:lang w:bidi="ar"/>
              </w:rPr>
            </w:pPr>
            <w:r>
              <w:rPr>
                <w:color w:val="auto"/>
                <w:szCs w:val="21"/>
                <w:lang w:bidi="ar"/>
              </w:rPr>
              <w:t>1.20</w:t>
            </w:r>
          </w:p>
        </w:tc>
        <w:tc>
          <w:tcPr>
            <w:tcW w:w="932" w:type="dxa"/>
            <w:vAlign w:val="center"/>
          </w:tcPr>
          <w:p>
            <w:pPr>
              <w:ind w:left="-105" w:leftChars="-50" w:right="-105" w:rightChars="-50"/>
              <w:jc w:val="center"/>
              <w:rPr>
                <w:color w:val="auto"/>
                <w:szCs w:val="21"/>
                <w:lang w:bidi="ar"/>
              </w:rPr>
            </w:pPr>
            <w:r>
              <w:rPr>
                <w:color w:val="auto"/>
                <w:szCs w:val="21"/>
                <w:lang w:bidi="ar"/>
              </w:rPr>
              <w:t>0.4052</w:t>
            </w:r>
          </w:p>
        </w:tc>
        <w:tc>
          <w:tcPr>
            <w:tcW w:w="824" w:type="dxa"/>
            <w:vAlign w:val="center"/>
          </w:tcPr>
          <w:p>
            <w:pPr>
              <w:ind w:left="-105" w:leftChars="-50" w:right="-105" w:rightChars="-50"/>
              <w:jc w:val="center"/>
              <w:rPr>
                <w:color w:val="auto"/>
                <w:szCs w:val="21"/>
                <w:lang w:bidi="ar"/>
              </w:rPr>
            </w:pPr>
            <w:r>
              <w:rPr>
                <w:color w:val="auto"/>
                <w:szCs w:val="21"/>
                <w:lang w:bidi="ar"/>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1485" w:type="dxa"/>
            <w:vAlign w:val="center"/>
          </w:tcPr>
          <w:p>
            <w:pPr>
              <w:pStyle w:val="164"/>
              <w:ind w:left="-105" w:leftChars="-50" w:right="-105" w:rightChars="-50"/>
              <w:rPr>
                <w:color w:val="auto"/>
              </w:rPr>
            </w:pPr>
            <w:r>
              <w:rPr>
                <w:color w:val="auto"/>
                <w:szCs w:val="21"/>
              </w:rPr>
              <w:t>最大浓度出现距离/m</w:t>
            </w:r>
          </w:p>
        </w:tc>
        <w:tc>
          <w:tcPr>
            <w:tcW w:w="7429" w:type="dxa"/>
            <w:gridSpan w:val="8"/>
            <w:vAlign w:val="center"/>
          </w:tcPr>
          <w:p>
            <w:pPr>
              <w:pStyle w:val="164"/>
              <w:ind w:left="-105" w:leftChars="-50" w:right="-105" w:rightChars="-50"/>
              <w:rPr>
                <w:color w:val="auto"/>
                <w:szCs w:val="21"/>
                <w:lang w:bidi="ar"/>
              </w:rPr>
            </w:pPr>
            <w:r>
              <w:rPr>
                <w:rFonts w:hint="eastAsia"/>
                <w:color w:val="auto"/>
                <w:szCs w:val="21"/>
                <w:lang w:bidi="ar"/>
              </w:rPr>
              <w:t>6</w:t>
            </w:r>
            <w:r>
              <w:rPr>
                <w:color w:val="auto"/>
                <w:szCs w:val="21"/>
                <w:lang w:bidi="ar"/>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2" w:hRule="atLeast"/>
          <w:jc w:val="center"/>
        </w:trPr>
        <w:tc>
          <w:tcPr>
            <w:tcW w:w="1485" w:type="dxa"/>
            <w:vAlign w:val="center"/>
          </w:tcPr>
          <w:p>
            <w:pPr>
              <w:pStyle w:val="164"/>
              <w:ind w:left="-105" w:leftChars="-50" w:right="-105" w:rightChars="-50"/>
              <w:rPr>
                <w:color w:val="auto"/>
                <w:szCs w:val="21"/>
              </w:rPr>
            </w:pPr>
            <w:r>
              <w:rPr>
                <w:color w:val="auto"/>
                <w:kern w:val="0"/>
                <w:szCs w:val="21"/>
                <w:lang w:bidi="ar"/>
              </w:rPr>
              <w:t>D10%最远距离</w:t>
            </w:r>
          </w:p>
        </w:tc>
        <w:tc>
          <w:tcPr>
            <w:tcW w:w="7429" w:type="dxa"/>
            <w:gridSpan w:val="8"/>
            <w:vAlign w:val="center"/>
          </w:tcPr>
          <w:p>
            <w:pPr>
              <w:pStyle w:val="164"/>
              <w:ind w:left="-105" w:leftChars="-50" w:right="-105" w:rightChars="-50"/>
              <w:rPr>
                <w:color w:val="auto"/>
                <w:szCs w:val="21"/>
                <w:lang w:bidi="ar"/>
              </w:rPr>
            </w:pPr>
            <w:r>
              <w:rPr>
                <w:color w:val="auto"/>
                <w:szCs w:val="21"/>
                <w:lang w:bidi="ar"/>
              </w:rPr>
              <w:t>/</w:t>
            </w:r>
          </w:p>
        </w:tc>
      </w:tr>
    </w:tbl>
    <w:p>
      <w:pPr>
        <w:pStyle w:val="114"/>
        <w:spacing w:before="120"/>
        <w:rPr>
          <w:color w:val="auto"/>
        </w:rPr>
      </w:pPr>
      <w:r>
        <w:rPr>
          <w:color w:val="auto"/>
        </w:rPr>
        <w:t>表7.2-9  本项目</w:t>
      </w:r>
      <w:r>
        <w:rPr>
          <w:rFonts w:hint="eastAsia"/>
          <w:color w:val="auto"/>
        </w:rPr>
        <w:t>建成后全厂</w:t>
      </w:r>
      <w:r>
        <w:rPr>
          <w:color w:val="auto"/>
        </w:rPr>
        <w:t>蒸煮车间无组织废气估算模式结果</w:t>
      </w:r>
    </w:p>
    <w:tbl>
      <w:tblPr>
        <w:tblStyle w:val="74"/>
        <w:tblW w:w="8825"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48"/>
        <w:gridCol w:w="1144"/>
        <w:gridCol w:w="1080"/>
        <w:gridCol w:w="1177"/>
        <w:gridCol w:w="1078"/>
        <w:gridCol w:w="1153"/>
        <w:gridCol w:w="9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2248" w:type="dxa"/>
            <w:vMerge w:val="restart"/>
            <w:vAlign w:val="center"/>
          </w:tcPr>
          <w:p>
            <w:pPr>
              <w:pStyle w:val="164"/>
              <w:rPr>
                <w:color w:val="auto"/>
                <w:szCs w:val="21"/>
              </w:rPr>
            </w:pPr>
            <w:r>
              <w:rPr>
                <w:color w:val="auto"/>
                <w:szCs w:val="21"/>
              </w:rPr>
              <w:t>距离（m）</w:t>
            </w:r>
          </w:p>
        </w:tc>
        <w:tc>
          <w:tcPr>
            <w:tcW w:w="2224" w:type="dxa"/>
            <w:gridSpan w:val="2"/>
            <w:vAlign w:val="center"/>
          </w:tcPr>
          <w:p>
            <w:pPr>
              <w:pStyle w:val="164"/>
              <w:rPr>
                <w:color w:val="auto"/>
                <w:szCs w:val="21"/>
              </w:rPr>
            </w:pPr>
            <w:r>
              <w:rPr>
                <w:color w:val="auto"/>
              </w:rPr>
              <w:t>NH</w:t>
            </w:r>
            <w:r>
              <w:rPr>
                <w:color w:val="auto"/>
                <w:vertAlign w:val="subscript"/>
              </w:rPr>
              <w:t>3</w:t>
            </w:r>
          </w:p>
        </w:tc>
        <w:tc>
          <w:tcPr>
            <w:tcW w:w="2255" w:type="dxa"/>
            <w:gridSpan w:val="2"/>
            <w:vAlign w:val="center"/>
          </w:tcPr>
          <w:p>
            <w:pPr>
              <w:pStyle w:val="164"/>
              <w:rPr>
                <w:color w:val="auto"/>
                <w:szCs w:val="21"/>
              </w:rPr>
            </w:pPr>
            <w:r>
              <w:rPr>
                <w:color w:val="auto"/>
              </w:rPr>
              <w:t>H</w:t>
            </w:r>
            <w:r>
              <w:rPr>
                <w:color w:val="auto"/>
                <w:vertAlign w:val="subscript"/>
              </w:rPr>
              <w:t>2</w:t>
            </w:r>
            <w:r>
              <w:rPr>
                <w:color w:val="auto"/>
              </w:rPr>
              <w:t>S</w:t>
            </w:r>
          </w:p>
        </w:tc>
        <w:tc>
          <w:tcPr>
            <w:tcW w:w="2098" w:type="dxa"/>
            <w:gridSpan w:val="2"/>
            <w:vAlign w:val="center"/>
          </w:tcPr>
          <w:p>
            <w:pPr>
              <w:pStyle w:val="164"/>
              <w:rPr>
                <w:color w:val="auto"/>
                <w:szCs w:val="21"/>
              </w:rPr>
            </w:pPr>
            <w:r>
              <w:rPr>
                <w:color w:val="auto"/>
              </w:rPr>
              <w:t>VOCs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2248" w:type="dxa"/>
            <w:vMerge w:val="continue"/>
            <w:vAlign w:val="center"/>
          </w:tcPr>
          <w:p>
            <w:pPr>
              <w:pStyle w:val="164"/>
              <w:rPr>
                <w:color w:val="auto"/>
                <w:szCs w:val="21"/>
              </w:rPr>
            </w:pPr>
          </w:p>
        </w:tc>
        <w:tc>
          <w:tcPr>
            <w:tcW w:w="1144" w:type="dxa"/>
            <w:vAlign w:val="center"/>
          </w:tcPr>
          <w:p>
            <w:pPr>
              <w:pStyle w:val="164"/>
              <w:spacing w:line="240" w:lineRule="atLeast"/>
              <w:rPr>
                <w:color w:val="auto"/>
                <w:szCs w:val="21"/>
              </w:rPr>
            </w:pPr>
            <w:r>
              <w:rPr>
                <w:color w:val="auto"/>
                <w:szCs w:val="21"/>
              </w:rPr>
              <w:t>浓度</w:t>
            </w:r>
            <w:r>
              <w:rPr>
                <w:rFonts w:hint="eastAsia"/>
                <w:color w:val="auto"/>
              </w:rPr>
              <w:t>(</w:t>
            </w:r>
            <w:r>
              <w:rPr>
                <w:color w:val="auto"/>
                <w:szCs w:val="21"/>
                <w:lang w:bidi="ar"/>
              </w:rPr>
              <w:t>μg</w:t>
            </w:r>
            <w:r>
              <w:rPr>
                <w:color w:val="auto"/>
              </w:rPr>
              <w:t>/m³</w:t>
            </w:r>
            <w:r>
              <w:rPr>
                <w:rFonts w:hint="eastAsia"/>
                <w:color w:val="auto"/>
              </w:rPr>
              <w:t>)</w:t>
            </w:r>
          </w:p>
        </w:tc>
        <w:tc>
          <w:tcPr>
            <w:tcW w:w="1080" w:type="dxa"/>
            <w:vAlign w:val="center"/>
          </w:tcPr>
          <w:p>
            <w:pPr>
              <w:pStyle w:val="164"/>
              <w:spacing w:line="240" w:lineRule="atLeast"/>
              <w:rPr>
                <w:color w:val="auto"/>
                <w:szCs w:val="21"/>
              </w:rPr>
            </w:pPr>
            <w:r>
              <w:rPr>
                <w:color w:val="auto"/>
                <w:szCs w:val="21"/>
              </w:rPr>
              <w:t>占标率（%）</w:t>
            </w:r>
          </w:p>
        </w:tc>
        <w:tc>
          <w:tcPr>
            <w:tcW w:w="1177" w:type="dxa"/>
            <w:vAlign w:val="center"/>
          </w:tcPr>
          <w:p>
            <w:pPr>
              <w:pStyle w:val="164"/>
              <w:spacing w:line="240" w:lineRule="atLeast"/>
              <w:rPr>
                <w:color w:val="auto"/>
                <w:szCs w:val="21"/>
              </w:rPr>
            </w:pPr>
            <w:r>
              <w:rPr>
                <w:color w:val="auto"/>
                <w:szCs w:val="21"/>
              </w:rPr>
              <w:t>浓度</w:t>
            </w:r>
            <w:r>
              <w:rPr>
                <w:rFonts w:hint="eastAsia"/>
                <w:color w:val="auto"/>
              </w:rPr>
              <w:t>(</w:t>
            </w:r>
            <w:r>
              <w:rPr>
                <w:color w:val="auto"/>
                <w:szCs w:val="21"/>
                <w:lang w:bidi="ar"/>
              </w:rPr>
              <w:t>μg</w:t>
            </w:r>
            <w:r>
              <w:rPr>
                <w:color w:val="auto"/>
              </w:rPr>
              <w:t>/m³</w:t>
            </w:r>
            <w:r>
              <w:rPr>
                <w:rFonts w:hint="eastAsia"/>
                <w:color w:val="auto"/>
              </w:rPr>
              <w:t>)</w:t>
            </w:r>
          </w:p>
        </w:tc>
        <w:tc>
          <w:tcPr>
            <w:tcW w:w="1078" w:type="dxa"/>
            <w:vAlign w:val="center"/>
          </w:tcPr>
          <w:p>
            <w:pPr>
              <w:pStyle w:val="164"/>
              <w:spacing w:line="240" w:lineRule="atLeast"/>
              <w:rPr>
                <w:color w:val="auto"/>
                <w:szCs w:val="21"/>
              </w:rPr>
            </w:pPr>
            <w:r>
              <w:rPr>
                <w:color w:val="auto"/>
                <w:szCs w:val="21"/>
              </w:rPr>
              <w:t>占标率（%）</w:t>
            </w:r>
          </w:p>
        </w:tc>
        <w:tc>
          <w:tcPr>
            <w:tcW w:w="1153" w:type="dxa"/>
            <w:vAlign w:val="center"/>
          </w:tcPr>
          <w:p>
            <w:pPr>
              <w:pStyle w:val="164"/>
              <w:spacing w:line="240" w:lineRule="atLeast"/>
              <w:rPr>
                <w:color w:val="auto"/>
                <w:szCs w:val="21"/>
              </w:rPr>
            </w:pPr>
            <w:r>
              <w:rPr>
                <w:color w:val="auto"/>
                <w:szCs w:val="21"/>
              </w:rPr>
              <w:t>浓度</w:t>
            </w:r>
            <w:r>
              <w:rPr>
                <w:rFonts w:hint="eastAsia"/>
                <w:color w:val="auto"/>
              </w:rPr>
              <w:t>(</w:t>
            </w:r>
            <w:r>
              <w:rPr>
                <w:color w:val="auto"/>
                <w:szCs w:val="21"/>
                <w:lang w:bidi="ar"/>
              </w:rPr>
              <w:t>μg</w:t>
            </w:r>
            <w:r>
              <w:rPr>
                <w:color w:val="auto"/>
              </w:rPr>
              <w:t>/m³</w:t>
            </w:r>
            <w:r>
              <w:rPr>
                <w:rFonts w:hint="eastAsia"/>
                <w:color w:val="auto"/>
              </w:rPr>
              <w:t>)</w:t>
            </w:r>
          </w:p>
        </w:tc>
        <w:tc>
          <w:tcPr>
            <w:tcW w:w="945" w:type="dxa"/>
            <w:vAlign w:val="center"/>
          </w:tcPr>
          <w:p>
            <w:pPr>
              <w:pStyle w:val="164"/>
              <w:spacing w:line="240" w:lineRule="atLeast"/>
              <w:rPr>
                <w:color w:val="auto"/>
                <w:szCs w:val="21"/>
              </w:rPr>
            </w:pPr>
            <w:r>
              <w:rPr>
                <w:color w:val="auto"/>
                <w:szCs w:val="21"/>
              </w:rPr>
              <w:t>占标率（%）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1</w:t>
            </w:r>
          </w:p>
        </w:tc>
        <w:tc>
          <w:tcPr>
            <w:tcW w:w="1144" w:type="dxa"/>
            <w:vAlign w:val="center"/>
          </w:tcPr>
          <w:p>
            <w:pPr>
              <w:jc w:val="center"/>
              <w:rPr>
                <w:color w:val="auto"/>
                <w:szCs w:val="21"/>
                <w:lang w:bidi="ar"/>
              </w:rPr>
            </w:pPr>
            <w:r>
              <w:rPr>
                <w:color w:val="auto"/>
              </w:rPr>
              <w:t>1.5513</w:t>
            </w:r>
          </w:p>
        </w:tc>
        <w:tc>
          <w:tcPr>
            <w:tcW w:w="1080" w:type="dxa"/>
            <w:vAlign w:val="center"/>
          </w:tcPr>
          <w:p>
            <w:pPr>
              <w:jc w:val="center"/>
              <w:rPr>
                <w:color w:val="auto"/>
                <w:szCs w:val="21"/>
                <w:lang w:bidi="ar"/>
              </w:rPr>
            </w:pPr>
            <w:r>
              <w:rPr>
                <w:color w:val="auto"/>
              </w:rPr>
              <w:t>0.78</w:t>
            </w:r>
          </w:p>
        </w:tc>
        <w:tc>
          <w:tcPr>
            <w:tcW w:w="1177" w:type="dxa"/>
            <w:vAlign w:val="center"/>
          </w:tcPr>
          <w:p>
            <w:pPr>
              <w:jc w:val="center"/>
              <w:rPr>
                <w:color w:val="auto"/>
                <w:szCs w:val="21"/>
                <w:lang w:bidi="ar"/>
              </w:rPr>
            </w:pPr>
            <w:r>
              <w:rPr>
                <w:color w:val="auto"/>
              </w:rPr>
              <w:t>0.0095</w:t>
            </w:r>
          </w:p>
        </w:tc>
        <w:tc>
          <w:tcPr>
            <w:tcW w:w="1078" w:type="dxa"/>
            <w:vAlign w:val="center"/>
          </w:tcPr>
          <w:p>
            <w:pPr>
              <w:jc w:val="center"/>
              <w:rPr>
                <w:color w:val="auto"/>
                <w:szCs w:val="21"/>
                <w:lang w:bidi="ar"/>
              </w:rPr>
            </w:pPr>
            <w:r>
              <w:rPr>
                <w:color w:val="auto"/>
              </w:rPr>
              <w:t>0.10</w:t>
            </w:r>
          </w:p>
        </w:tc>
        <w:tc>
          <w:tcPr>
            <w:tcW w:w="1153" w:type="dxa"/>
            <w:vAlign w:val="center"/>
          </w:tcPr>
          <w:p>
            <w:pPr>
              <w:jc w:val="center"/>
              <w:rPr>
                <w:color w:val="auto"/>
                <w:szCs w:val="21"/>
                <w:lang w:bidi="ar"/>
              </w:rPr>
            </w:pPr>
            <w:r>
              <w:rPr>
                <w:color w:val="auto"/>
              </w:rPr>
              <w:t>0.3580</w:t>
            </w:r>
          </w:p>
        </w:tc>
        <w:tc>
          <w:tcPr>
            <w:tcW w:w="945" w:type="dxa"/>
            <w:vAlign w:val="center"/>
          </w:tcPr>
          <w:p>
            <w:pPr>
              <w:jc w:val="center"/>
              <w:rPr>
                <w:color w:val="auto"/>
                <w:szCs w:val="21"/>
                <w:lang w:bidi="ar"/>
              </w:rPr>
            </w:pPr>
            <w:r>
              <w:rPr>
                <w:color w:val="auto"/>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b/>
                <w:bCs/>
                <w:color w:val="auto"/>
                <w:szCs w:val="21"/>
                <w:lang w:bidi="ar"/>
              </w:rPr>
            </w:pPr>
            <w:r>
              <w:rPr>
                <w:b/>
                <w:bCs/>
                <w:color w:val="auto"/>
                <w:szCs w:val="21"/>
                <w:lang w:bidi="ar"/>
              </w:rPr>
              <w:t>20</w:t>
            </w:r>
          </w:p>
        </w:tc>
        <w:tc>
          <w:tcPr>
            <w:tcW w:w="1144" w:type="dxa"/>
            <w:vAlign w:val="center"/>
          </w:tcPr>
          <w:p>
            <w:pPr>
              <w:jc w:val="center"/>
              <w:rPr>
                <w:b/>
                <w:bCs/>
                <w:color w:val="auto"/>
                <w:szCs w:val="21"/>
                <w:lang w:bidi="ar"/>
              </w:rPr>
            </w:pPr>
            <w:r>
              <w:rPr>
                <w:b/>
                <w:bCs/>
                <w:color w:val="auto"/>
              </w:rPr>
              <w:t>3.9446</w:t>
            </w:r>
          </w:p>
        </w:tc>
        <w:tc>
          <w:tcPr>
            <w:tcW w:w="1080" w:type="dxa"/>
            <w:vAlign w:val="center"/>
          </w:tcPr>
          <w:p>
            <w:pPr>
              <w:jc w:val="center"/>
              <w:rPr>
                <w:b/>
                <w:bCs/>
                <w:color w:val="auto"/>
                <w:szCs w:val="21"/>
                <w:lang w:bidi="ar"/>
              </w:rPr>
            </w:pPr>
            <w:r>
              <w:rPr>
                <w:b/>
                <w:bCs/>
                <w:color w:val="auto"/>
              </w:rPr>
              <w:t>1.97</w:t>
            </w:r>
          </w:p>
        </w:tc>
        <w:tc>
          <w:tcPr>
            <w:tcW w:w="1177" w:type="dxa"/>
            <w:vAlign w:val="center"/>
          </w:tcPr>
          <w:p>
            <w:pPr>
              <w:jc w:val="center"/>
              <w:rPr>
                <w:b/>
                <w:bCs/>
                <w:color w:val="auto"/>
                <w:szCs w:val="21"/>
                <w:lang w:bidi="ar"/>
              </w:rPr>
            </w:pPr>
            <w:r>
              <w:rPr>
                <w:b/>
                <w:bCs/>
                <w:color w:val="auto"/>
              </w:rPr>
              <w:t>0.0243</w:t>
            </w:r>
          </w:p>
        </w:tc>
        <w:tc>
          <w:tcPr>
            <w:tcW w:w="1078" w:type="dxa"/>
            <w:vAlign w:val="center"/>
          </w:tcPr>
          <w:p>
            <w:pPr>
              <w:jc w:val="center"/>
              <w:rPr>
                <w:b/>
                <w:bCs/>
                <w:color w:val="auto"/>
                <w:szCs w:val="21"/>
                <w:lang w:bidi="ar"/>
              </w:rPr>
            </w:pPr>
            <w:r>
              <w:rPr>
                <w:b/>
                <w:bCs/>
                <w:color w:val="auto"/>
              </w:rPr>
              <w:t>0.24</w:t>
            </w:r>
          </w:p>
        </w:tc>
        <w:tc>
          <w:tcPr>
            <w:tcW w:w="1153" w:type="dxa"/>
            <w:vAlign w:val="center"/>
          </w:tcPr>
          <w:p>
            <w:pPr>
              <w:jc w:val="center"/>
              <w:rPr>
                <w:b/>
                <w:bCs/>
                <w:color w:val="auto"/>
                <w:szCs w:val="21"/>
                <w:lang w:bidi="ar"/>
              </w:rPr>
            </w:pPr>
            <w:r>
              <w:rPr>
                <w:b/>
                <w:bCs/>
                <w:color w:val="auto"/>
              </w:rPr>
              <w:t>0.9103</w:t>
            </w:r>
          </w:p>
        </w:tc>
        <w:tc>
          <w:tcPr>
            <w:tcW w:w="945" w:type="dxa"/>
            <w:vAlign w:val="center"/>
          </w:tcPr>
          <w:p>
            <w:pPr>
              <w:jc w:val="center"/>
              <w:rPr>
                <w:b/>
                <w:bCs/>
                <w:color w:val="auto"/>
                <w:szCs w:val="21"/>
                <w:lang w:bidi="ar"/>
              </w:rPr>
            </w:pPr>
            <w:r>
              <w:rPr>
                <w:b/>
                <w:bCs/>
                <w:color w:val="auto"/>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lang w:bidi="ar"/>
              </w:rPr>
            </w:pPr>
            <w:r>
              <w:rPr>
                <w:color w:val="auto"/>
                <w:szCs w:val="21"/>
                <w:lang w:bidi="ar"/>
              </w:rPr>
              <w:t>25</w:t>
            </w:r>
          </w:p>
        </w:tc>
        <w:tc>
          <w:tcPr>
            <w:tcW w:w="1144" w:type="dxa"/>
            <w:vAlign w:val="center"/>
          </w:tcPr>
          <w:p>
            <w:pPr>
              <w:jc w:val="center"/>
              <w:rPr>
                <w:color w:val="auto"/>
                <w:szCs w:val="21"/>
                <w:lang w:bidi="ar"/>
              </w:rPr>
            </w:pPr>
            <w:r>
              <w:rPr>
                <w:color w:val="auto"/>
              </w:rPr>
              <w:t>3.7117</w:t>
            </w:r>
          </w:p>
        </w:tc>
        <w:tc>
          <w:tcPr>
            <w:tcW w:w="1080" w:type="dxa"/>
            <w:vAlign w:val="center"/>
          </w:tcPr>
          <w:p>
            <w:pPr>
              <w:jc w:val="center"/>
              <w:rPr>
                <w:color w:val="auto"/>
                <w:szCs w:val="21"/>
                <w:lang w:bidi="ar"/>
              </w:rPr>
            </w:pPr>
            <w:r>
              <w:rPr>
                <w:color w:val="auto"/>
              </w:rPr>
              <w:t>1.86</w:t>
            </w:r>
          </w:p>
        </w:tc>
        <w:tc>
          <w:tcPr>
            <w:tcW w:w="1177" w:type="dxa"/>
            <w:vAlign w:val="center"/>
          </w:tcPr>
          <w:p>
            <w:pPr>
              <w:jc w:val="center"/>
              <w:rPr>
                <w:color w:val="auto"/>
                <w:szCs w:val="21"/>
                <w:lang w:bidi="ar"/>
              </w:rPr>
            </w:pPr>
            <w:r>
              <w:rPr>
                <w:color w:val="auto"/>
              </w:rPr>
              <w:t>0.0228</w:t>
            </w:r>
          </w:p>
        </w:tc>
        <w:tc>
          <w:tcPr>
            <w:tcW w:w="1078" w:type="dxa"/>
            <w:vAlign w:val="center"/>
          </w:tcPr>
          <w:p>
            <w:pPr>
              <w:jc w:val="center"/>
              <w:rPr>
                <w:color w:val="auto"/>
                <w:szCs w:val="21"/>
                <w:lang w:bidi="ar"/>
              </w:rPr>
            </w:pPr>
            <w:r>
              <w:rPr>
                <w:color w:val="auto"/>
              </w:rPr>
              <w:t>0.23</w:t>
            </w:r>
          </w:p>
        </w:tc>
        <w:tc>
          <w:tcPr>
            <w:tcW w:w="1153" w:type="dxa"/>
            <w:vAlign w:val="center"/>
          </w:tcPr>
          <w:p>
            <w:pPr>
              <w:jc w:val="center"/>
              <w:rPr>
                <w:color w:val="auto"/>
                <w:szCs w:val="21"/>
                <w:lang w:bidi="ar"/>
              </w:rPr>
            </w:pPr>
            <w:r>
              <w:rPr>
                <w:color w:val="auto"/>
              </w:rPr>
              <w:t>0.8565</w:t>
            </w:r>
          </w:p>
        </w:tc>
        <w:tc>
          <w:tcPr>
            <w:tcW w:w="945" w:type="dxa"/>
            <w:vAlign w:val="center"/>
          </w:tcPr>
          <w:p>
            <w:pPr>
              <w:jc w:val="center"/>
              <w:rPr>
                <w:color w:val="auto"/>
                <w:szCs w:val="21"/>
                <w:lang w:bidi="ar"/>
              </w:rPr>
            </w:pPr>
            <w:r>
              <w:rPr>
                <w:color w:val="auto"/>
              </w:rPr>
              <w:t>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lang w:bidi="ar"/>
              </w:rPr>
            </w:pPr>
            <w:r>
              <w:rPr>
                <w:color w:val="auto"/>
                <w:szCs w:val="21"/>
                <w:lang w:bidi="ar"/>
              </w:rPr>
              <w:t>50</w:t>
            </w:r>
          </w:p>
        </w:tc>
        <w:tc>
          <w:tcPr>
            <w:tcW w:w="1144" w:type="dxa"/>
            <w:vAlign w:val="center"/>
          </w:tcPr>
          <w:p>
            <w:pPr>
              <w:jc w:val="center"/>
              <w:rPr>
                <w:color w:val="auto"/>
                <w:szCs w:val="21"/>
                <w:lang w:bidi="ar"/>
              </w:rPr>
            </w:pPr>
            <w:r>
              <w:rPr>
                <w:color w:val="auto"/>
              </w:rPr>
              <w:t>2.8198</w:t>
            </w:r>
          </w:p>
        </w:tc>
        <w:tc>
          <w:tcPr>
            <w:tcW w:w="1080" w:type="dxa"/>
            <w:vAlign w:val="center"/>
          </w:tcPr>
          <w:p>
            <w:pPr>
              <w:jc w:val="center"/>
              <w:rPr>
                <w:color w:val="auto"/>
                <w:szCs w:val="21"/>
                <w:lang w:bidi="ar"/>
              </w:rPr>
            </w:pPr>
            <w:r>
              <w:rPr>
                <w:color w:val="auto"/>
              </w:rPr>
              <w:t>1.41</w:t>
            </w:r>
          </w:p>
        </w:tc>
        <w:tc>
          <w:tcPr>
            <w:tcW w:w="1177" w:type="dxa"/>
            <w:vAlign w:val="center"/>
          </w:tcPr>
          <w:p>
            <w:pPr>
              <w:jc w:val="center"/>
              <w:rPr>
                <w:color w:val="auto"/>
                <w:szCs w:val="21"/>
                <w:lang w:bidi="ar"/>
              </w:rPr>
            </w:pPr>
            <w:r>
              <w:rPr>
                <w:color w:val="auto"/>
              </w:rPr>
              <w:t>0.0174</w:t>
            </w:r>
          </w:p>
        </w:tc>
        <w:tc>
          <w:tcPr>
            <w:tcW w:w="1078" w:type="dxa"/>
            <w:vAlign w:val="center"/>
          </w:tcPr>
          <w:p>
            <w:pPr>
              <w:jc w:val="center"/>
              <w:rPr>
                <w:color w:val="auto"/>
                <w:szCs w:val="21"/>
                <w:lang w:bidi="ar"/>
              </w:rPr>
            </w:pPr>
            <w:r>
              <w:rPr>
                <w:color w:val="auto"/>
              </w:rPr>
              <w:t>0.17</w:t>
            </w:r>
          </w:p>
        </w:tc>
        <w:tc>
          <w:tcPr>
            <w:tcW w:w="1153" w:type="dxa"/>
            <w:vAlign w:val="center"/>
          </w:tcPr>
          <w:p>
            <w:pPr>
              <w:jc w:val="center"/>
              <w:rPr>
                <w:color w:val="auto"/>
                <w:szCs w:val="21"/>
                <w:lang w:bidi="ar"/>
              </w:rPr>
            </w:pPr>
            <w:r>
              <w:rPr>
                <w:color w:val="auto"/>
              </w:rPr>
              <w:t>0.6507</w:t>
            </w:r>
          </w:p>
        </w:tc>
        <w:tc>
          <w:tcPr>
            <w:tcW w:w="945" w:type="dxa"/>
            <w:vAlign w:val="center"/>
          </w:tcPr>
          <w:p>
            <w:pPr>
              <w:jc w:val="center"/>
              <w:rPr>
                <w:color w:val="auto"/>
                <w:szCs w:val="21"/>
                <w:lang w:bidi="ar"/>
              </w:rPr>
            </w:pPr>
            <w:r>
              <w:rPr>
                <w:color w:val="auto"/>
              </w:rPr>
              <w:t>0.03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75</w:t>
            </w:r>
          </w:p>
        </w:tc>
        <w:tc>
          <w:tcPr>
            <w:tcW w:w="1144" w:type="dxa"/>
            <w:vAlign w:val="center"/>
          </w:tcPr>
          <w:p>
            <w:pPr>
              <w:jc w:val="center"/>
              <w:rPr>
                <w:color w:val="auto"/>
                <w:szCs w:val="21"/>
                <w:lang w:bidi="ar"/>
              </w:rPr>
            </w:pPr>
            <w:r>
              <w:rPr>
                <w:color w:val="auto"/>
              </w:rPr>
              <w:t>1.8310</w:t>
            </w:r>
          </w:p>
        </w:tc>
        <w:tc>
          <w:tcPr>
            <w:tcW w:w="1080" w:type="dxa"/>
            <w:vAlign w:val="center"/>
          </w:tcPr>
          <w:p>
            <w:pPr>
              <w:jc w:val="center"/>
              <w:rPr>
                <w:color w:val="auto"/>
                <w:szCs w:val="21"/>
                <w:lang w:bidi="ar"/>
              </w:rPr>
            </w:pPr>
            <w:r>
              <w:rPr>
                <w:color w:val="auto"/>
              </w:rPr>
              <w:t>0.92</w:t>
            </w:r>
          </w:p>
        </w:tc>
        <w:tc>
          <w:tcPr>
            <w:tcW w:w="1177" w:type="dxa"/>
            <w:vAlign w:val="center"/>
          </w:tcPr>
          <w:p>
            <w:pPr>
              <w:jc w:val="center"/>
              <w:rPr>
                <w:color w:val="auto"/>
                <w:szCs w:val="21"/>
                <w:lang w:bidi="ar"/>
              </w:rPr>
            </w:pPr>
            <w:r>
              <w:rPr>
                <w:color w:val="auto"/>
              </w:rPr>
              <w:t>0.0113</w:t>
            </w:r>
          </w:p>
        </w:tc>
        <w:tc>
          <w:tcPr>
            <w:tcW w:w="1078" w:type="dxa"/>
            <w:vAlign w:val="center"/>
          </w:tcPr>
          <w:p>
            <w:pPr>
              <w:jc w:val="center"/>
              <w:rPr>
                <w:color w:val="auto"/>
                <w:szCs w:val="21"/>
                <w:lang w:bidi="ar"/>
              </w:rPr>
            </w:pPr>
            <w:r>
              <w:rPr>
                <w:color w:val="auto"/>
              </w:rPr>
              <w:t>0.11</w:t>
            </w:r>
          </w:p>
        </w:tc>
        <w:tc>
          <w:tcPr>
            <w:tcW w:w="1153" w:type="dxa"/>
            <w:vAlign w:val="center"/>
          </w:tcPr>
          <w:p>
            <w:pPr>
              <w:jc w:val="center"/>
              <w:rPr>
                <w:color w:val="auto"/>
                <w:szCs w:val="21"/>
                <w:lang w:bidi="ar"/>
              </w:rPr>
            </w:pPr>
            <w:r>
              <w:rPr>
                <w:color w:val="auto"/>
              </w:rPr>
              <w:t>0.4225</w:t>
            </w:r>
          </w:p>
        </w:tc>
        <w:tc>
          <w:tcPr>
            <w:tcW w:w="945" w:type="dxa"/>
            <w:vAlign w:val="center"/>
          </w:tcPr>
          <w:p>
            <w:pPr>
              <w:jc w:val="center"/>
              <w:rPr>
                <w:color w:val="auto"/>
                <w:szCs w:val="21"/>
                <w:lang w:bidi="ar"/>
              </w:rPr>
            </w:pPr>
            <w:r>
              <w:rPr>
                <w:color w:val="auto"/>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100</w:t>
            </w:r>
          </w:p>
        </w:tc>
        <w:tc>
          <w:tcPr>
            <w:tcW w:w="1144" w:type="dxa"/>
            <w:vAlign w:val="center"/>
          </w:tcPr>
          <w:p>
            <w:pPr>
              <w:jc w:val="center"/>
              <w:rPr>
                <w:color w:val="auto"/>
                <w:szCs w:val="21"/>
                <w:lang w:bidi="ar"/>
              </w:rPr>
            </w:pPr>
            <w:r>
              <w:rPr>
                <w:color w:val="auto"/>
              </w:rPr>
              <w:t>1.4032</w:t>
            </w:r>
          </w:p>
        </w:tc>
        <w:tc>
          <w:tcPr>
            <w:tcW w:w="1080" w:type="dxa"/>
            <w:vAlign w:val="center"/>
          </w:tcPr>
          <w:p>
            <w:pPr>
              <w:jc w:val="center"/>
              <w:rPr>
                <w:color w:val="auto"/>
                <w:szCs w:val="21"/>
                <w:lang w:bidi="ar"/>
              </w:rPr>
            </w:pPr>
            <w:r>
              <w:rPr>
                <w:color w:val="auto"/>
              </w:rPr>
              <w:t>0.70</w:t>
            </w:r>
          </w:p>
        </w:tc>
        <w:tc>
          <w:tcPr>
            <w:tcW w:w="1177" w:type="dxa"/>
            <w:vAlign w:val="center"/>
          </w:tcPr>
          <w:p>
            <w:pPr>
              <w:jc w:val="center"/>
              <w:rPr>
                <w:color w:val="auto"/>
                <w:szCs w:val="21"/>
                <w:lang w:bidi="ar"/>
              </w:rPr>
            </w:pPr>
            <w:r>
              <w:rPr>
                <w:color w:val="auto"/>
              </w:rPr>
              <w:t>0.0086</w:t>
            </w:r>
          </w:p>
        </w:tc>
        <w:tc>
          <w:tcPr>
            <w:tcW w:w="1078" w:type="dxa"/>
            <w:vAlign w:val="center"/>
          </w:tcPr>
          <w:p>
            <w:pPr>
              <w:jc w:val="center"/>
              <w:rPr>
                <w:color w:val="auto"/>
                <w:szCs w:val="21"/>
                <w:lang w:bidi="ar"/>
              </w:rPr>
            </w:pPr>
            <w:r>
              <w:rPr>
                <w:color w:val="auto"/>
              </w:rPr>
              <w:t>0.09</w:t>
            </w:r>
          </w:p>
        </w:tc>
        <w:tc>
          <w:tcPr>
            <w:tcW w:w="1153" w:type="dxa"/>
            <w:vAlign w:val="center"/>
          </w:tcPr>
          <w:p>
            <w:pPr>
              <w:jc w:val="center"/>
              <w:rPr>
                <w:color w:val="auto"/>
                <w:szCs w:val="21"/>
                <w:lang w:bidi="ar"/>
              </w:rPr>
            </w:pPr>
            <w:r>
              <w:rPr>
                <w:color w:val="auto"/>
              </w:rPr>
              <w:t>0.3238</w:t>
            </w:r>
          </w:p>
        </w:tc>
        <w:tc>
          <w:tcPr>
            <w:tcW w:w="945" w:type="dxa"/>
            <w:vAlign w:val="center"/>
          </w:tcPr>
          <w:p>
            <w:pPr>
              <w:jc w:val="center"/>
              <w:rPr>
                <w:color w:val="auto"/>
                <w:szCs w:val="21"/>
                <w:lang w:bidi="ar"/>
              </w:rPr>
            </w:pPr>
            <w:r>
              <w:rPr>
                <w:color w:val="auto"/>
              </w:rPr>
              <w:t>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200</w:t>
            </w:r>
          </w:p>
        </w:tc>
        <w:tc>
          <w:tcPr>
            <w:tcW w:w="1144" w:type="dxa"/>
            <w:vAlign w:val="center"/>
          </w:tcPr>
          <w:p>
            <w:pPr>
              <w:pStyle w:val="164"/>
              <w:spacing w:line="240" w:lineRule="auto"/>
              <w:rPr>
                <w:color w:val="auto"/>
                <w:szCs w:val="21"/>
                <w:lang w:bidi="ar"/>
              </w:rPr>
            </w:pPr>
            <w:r>
              <w:rPr>
                <w:color w:val="auto"/>
                <w:szCs w:val="21"/>
                <w:lang w:bidi="ar"/>
              </w:rPr>
              <w:t>1.1276</w:t>
            </w:r>
          </w:p>
        </w:tc>
        <w:tc>
          <w:tcPr>
            <w:tcW w:w="1080" w:type="dxa"/>
            <w:vAlign w:val="center"/>
          </w:tcPr>
          <w:p>
            <w:pPr>
              <w:pStyle w:val="164"/>
              <w:spacing w:line="240" w:lineRule="auto"/>
              <w:rPr>
                <w:color w:val="auto"/>
                <w:szCs w:val="21"/>
                <w:lang w:bidi="ar"/>
              </w:rPr>
            </w:pPr>
            <w:r>
              <w:rPr>
                <w:color w:val="auto"/>
                <w:szCs w:val="21"/>
                <w:lang w:bidi="ar"/>
              </w:rPr>
              <w:t>0.56</w:t>
            </w:r>
          </w:p>
        </w:tc>
        <w:tc>
          <w:tcPr>
            <w:tcW w:w="1177" w:type="dxa"/>
            <w:vAlign w:val="center"/>
          </w:tcPr>
          <w:p>
            <w:pPr>
              <w:pStyle w:val="164"/>
              <w:spacing w:line="240" w:lineRule="auto"/>
              <w:rPr>
                <w:color w:val="auto"/>
                <w:szCs w:val="21"/>
                <w:lang w:bidi="ar"/>
              </w:rPr>
            </w:pPr>
            <w:r>
              <w:rPr>
                <w:color w:val="auto"/>
                <w:szCs w:val="21"/>
                <w:lang w:bidi="ar"/>
              </w:rPr>
              <w:t>0.0069</w:t>
            </w:r>
          </w:p>
        </w:tc>
        <w:tc>
          <w:tcPr>
            <w:tcW w:w="1078" w:type="dxa"/>
            <w:vAlign w:val="center"/>
          </w:tcPr>
          <w:p>
            <w:pPr>
              <w:pStyle w:val="164"/>
              <w:spacing w:line="240" w:lineRule="auto"/>
              <w:rPr>
                <w:color w:val="auto"/>
                <w:szCs w:val="21"/>
                <w:lang w:bidi="ar"/>
              </w:rPr>
            </w:pPr>
            <w:r>
              <w:rPr>
                <w:color w:val="auto"/>
                <w:szCs w:val="21"/>
                <w:lang w:bidi="ar"/>
              </w:rPr>
              <w:t>0.07</w:t>
            </w:r>
          </w:p>
        </w:tc>
        <w:tc>
          <w:tcPr>
            <w:tcW w:w="1153" w:type="dxa"/>
            <w:vAlign w:val="center"/>
          </w:tcPr>
          <w:p>
            <w:pPr>
              <w:pStyle w:val="164"/>
              <w:spacing w:line="240" w:lineRule="auto"/>
              <w:rPr>
                <w:color w:val="auto"/>
                <w:szCs w:val="21"/>
                <w:lang w:bidi="ar"/>
              </w:rPr>
            </w:pPr>
            <w:r>
              <w:rPr>
                <w:color w:val="auto"/>
                <w:szCs w:val="21"/>
                <w:lang w:bidi="ar"/>
              </w:rPr>
              <w:t>0.2602</w:t>
            </w:r>
          </w:p>
        </w:tc>
        <w:tc>
          <w:tcPr>
            <w:tcW w:w="945"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300</w:t>
            </w:r>
          </w:p>
        </w:tc>
        <w:tc>
          <w:tcPr>
            <w:tcW w:w="1144" w:type="dxa"/>
            <w:vAlign w:val="center"/>
          </w:tcPr>
          <w:p>
            <w:pPr>
              <w:pStyle w:val="164"/>
              <w:spacing w:line="240" w:lineRule="auto"/>
              <w:rPr>
                <w:color w:val="auto"/>
                <w:szCs w:val="21"/>
                <w:lang w:bidi="ar"/>
              </w:rPr>
            </w:pPr>
            <w:r>
              <w:rPr>
                <w:color w:val="auto"/>
                <w:szCs w:val="21"/>
                <w:lang w:bidi="ar"/>
              </w:rPr>
              <w:t>0.9938</w:t>
            </w:r>
          </w:p>
        </w:tc>
        <w:tc>
          <w:tcPr>
            <w:tcW w:w="1080" w:type="dxa"/>
            <w:vAlign w:val="center"/>
          </w:tcPr>
          <w:p>
            <w:pPr>
              <w:pStyle w:val="164"/>
              <w:spacing w:line="240" w:lineRule="auto"/>
              <w:rPr>
                <w:color w:val="auto"/>
                <w:szCs w:val="21"/>
                <w:lang w:bidi="ar"/>
              </w:rPr>
            </w:pPr>
            <w:r>
              <w:rPr>
                <w:color w:val="auto"/>
                <w:szCs w:val="21"/>
                <w:lang w:bidi="ar"/>
              </w:rPr>
              <w:t>0.50</w:t>
            </w:r>
          </w:p>
        </w:tc>
        <w:tc>
          <w:tcPr>
            <w:tcW w:w="1177" w:type="dxa"/>
            <w:vAlign w:val="center"/>
          </w:tcPr>
          <w:p>
            <w:pPr>
              <w:pStyle w:val="164"/>
              <w:spacing w:line="240" w:lineRule="auto"/>
              <w:rPr>
                <w:color w:val="auto"/>
                <w:szCs w:val="21"/>
                <w:lang w:bidi="ar"/>
              </w:rPr>
            </w:pPr>
            <w:r>
              <w:rPr>
                <w:color w:val="auto"/>
                <w:szCs w:val="21"/>
                <w:lang w:bidi="ar"/>
              </w:rPr>
              <w:t>0.0061</w:t>
            </w:r>
          </w:p>
        </w:tc>
        <w:tc>
          <w:tcPr>
            <w:tcW w:w="1078" w:type="dxa"/>
            <w:vAlign w:val="center"/>
          </w:tcPr>
          <w:p>
            <w:pPr>
              <w:pStyle w:val="164"/>
              <w:spacing w:line="240" w:lineRule="auto"/>
              <w:rPr>
                <w:color w:val="auto"/>
                <w:szCs w:val="21"/>
                <w:lang w:bidi="ar"/>
              </w:rPr>
            </w:pPr>
            <w:r>
              <w:rPr>
                <w:color w:val="auto"/>
                <w:szCs w:val="21"/>
                <w:lang w:bidi="ar"/>
              </w:rPr>
              <w:t>0.06</w:t>
            </w:r>
          </w:p>
        </w:tc>
        <w:tc>
          <w:tcPr>
            <w:tcW w:w="1153" w:type="dxa"/>
            <w:vAlign w:val="center"/>
          </w:tcPr>
          <w:p>
            <w:pPr>
              <w:pStyle w:val="164"/>
              <w:spacing w:line="240" w:lineRule="auto"/>
              <w:rPr>
                <w:color w:val="auto"/>
                <w:szCs w:val="21"/>
                <w:lang w:bidi="ar"/>
              </w:rPr>
            </w:pPr>
            <w:r>
              <w:rPr>
                <w:color w:val="auto"/>
                <w:szCs w:val="21"/>
                <w:lang w:bidi="ar"/>
              </w:rPr>
              <w:t>0.2293</w:t>
            </w:r>
          </w:p>
        </w:tc>
        <w:tc>
          <w:tcPr>
            <w:tcW w:w="945"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400</w:t>
            </w:r>
          </w:p>
        </w:tc>
        <w:tc>
          <w:tcPr>
            <w:tcW w:w="1144" w:type="dxa"/>
            <w:vAlign w:val="center"/>
          </w:tcPr>
          <w:p>
            <w:pPr>
              <w:pStyle w:val="164"/>
              <w:spacing w:line="240" w:lineRule="auto"/>
              <w:rPr>
                <w:color w:val="auto"/>
                <w:szCs w:val="21"/>
                <w:lang w:bidi="ar"/>
              </w:rPr>
            </w:pPr>
            <w:r>
              <w:rPr>
                <w:color w:val="auto"/>
                <w:szCs w:val="21"/>
                <w:lang w:bidi="ar"/>
              </w:rPr>
              <w:t>0.9012</w:t>
            </w:r>
          </w:p>
        </w:tc>
        <w:tc>
          <w:tcPr>
            <w:tcW w:w="1080" w:type="dxa"/>
            <w:vAlign w:val="center"/>
          </w:tcPr>
          <w:p>
            <w:pPr>
              <w:pStyle w:val="164"/>
              <w:spacing w:line="240" w:lineRule="auto"/>
              <w:rPr>
                <w:color w:val="auto"/>
                <w:szCs w:val="21"/>
                <w:lang w:bidi="ar"/>
              </w:rPr>
            </w:pPr>
            <w:r>
              <w:rPr>
                <w:color w:val="auto"/>
                <w:szCs w:val="21"/>
                <w:lang w:bidi="ar"/>
              </w:rPr>
              <w:t>0.45</w:t>
            </w:r>
          </w:p>
        </w:tc>
        <w:tc>
          <w:tcPr>
            <w:tcW w:w="1177" w:type="dxa"/>
            <w:vAlign w:val="center"/>
          </w:tcPr>
          <w:p>
            <w:pPr>
              <w:pStyle w:val="164"/>
              <w:spacing w:line="240" w:lineRule="auto"/>
              <w:rPr>
                <w:color w:val="auto"/>
                <w:szCs w:val="21"/>
                <w:lang w:bidi="ar"/>
              </w:rPr>
            </w:pPr>
            <w:r>
              <w:rPr>
                <w:color w:val="auto"/>
                <w:szCs w:val="21"/>
                <w:lang w:bidi="ar"/>
              </w:rPr>
              <w:t>0.0055</w:t>
            </w:r>
          </w:p>
        </w:tc>
        <w:tc>
          <w:tcPr>
            <w:tcW w:w="1078"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.06</w:t>
            </w:r>
          </w:p>
        </w:tc>
        <w:tc>
          <w:tcPr>
            <w:tcW w:w="1153" w:type="dxa"/>
            <w:vAlign w:val="center"/>
          </w:tcPr>
          <w:p>
            <w:pPr>
              <w:pStyle w:val="164"/>
              <w:spacing w:line="240" w:lineRule="auto"/>
              <w:rPr>
                <w:color w:val="auto"/>
                <w:szCs w:val="21"/>
                <w:lang w:bidi="ar"/>
              </w:rPr>
            </w:pPr>
            <w:r>
              <w:rPr>
                <w:color w:val="auto"/>
                <w:szCs w:val="21"/>
                <w:lang w:bidi="ar"/>
              </w:rPr>
              <w:t>0.2080</w:t>
            </w:r>
          </w:p>
        </w:tc>
        <w:tc>
          <w:tcPr>
            <w:tcW w:w="945"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500</w:t>
            </w:r>
          </w:p>
        </w:tc>
        <w:tc>
          <w:tcPr>
            <w:tcW w:w="1144" w:type="dxa"/>
            <w:vAlign w:val="center"/>
          </w:tcPr>
          <w:p>
            <w:pPr>
              <w:pStyle w:val="164"/>
              <w:spacing w:line="240" w:lineRule="auto"/>
              <w:rPr>
                <w:color w:val="auto"/>
                <w:szCs w:val="21"/>
                <w:lang w:bidi="ar"/>
              </w:rPr>
            </w:pPr>
            <w:r>
              <w:rPr>
                <w:color w:val="auto"/>
                <w:szCs w:val="21"/>
                <w:lang w:bidi="ar"/>
              </w:rPr>
              <w:t>0.8279</w:t>
            </w:r>
          </w:p>
        </w:tc>
        <w:tc>
          <w:tcPr>
            <w:tcW w:w="1080" w:type="dxa"/>
            <w:vAlign w:val="center"/>
          </w:tcPr>
          <w:p>
            <w:pPr>
              <w:pStyle w:val="164"/>
              <w:spacing w:line="240" w:lineRule="auto"/>
              <w:rPr>
                <w:color w:val="auto"/>
                <w:szCs w:val="21"/>
                <w:lang w:bidi="ar"/>
              </w:rPr>
            </w:pPr>
            <w:r>
              <w:rPr>
                <w:color w:val="auto"/>
                <w:szCs w:val="21"/>
                <w:lang w:bidi="ar"/>
              </w:rPr>
              <w:t>0.41</w:t>
            </w:r>
          </w:p>
        </w:tc>
        <w:tc>
          <w:tcPr>
            <w:tcW w:w="1177" w:type="dxa"/>
            <w:vAlign w:val="center"/>
          </w:tcPr>
          <w:p>
            <w:pPr>
              <w:pStyle w:val="164"/>
              <w:spacing w:line="240" w:lineRule="auto"/>
              <w:rPr>
                <w:color w:val="auto"/>
                <w:szCs w:val="21"/>
                <w:lang w:bidi="ar"/>
              </w:rPr>
            </w:pPr>
            <w:r>
              <w:rPr>
                <w:color w:val="auto"/>
                <w:szCs w:val="21"/>
                <w:lang w:bidi="ar"/>
              </w:rPr>
              <w:t>0.0051</w:t>
            </w:r>
          </w:p>
        </w:tc>
        <w:tc>
          <w:tcPr>
            <w:tcW w:w="1078"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.05</w:t>
            </w:r>
          </w:p>
        </w:tc>
        <w:tc>
          <w:tcPr>
            <w:tcW w:w="1153" w:type="dxa"/>
            <w:vAlign w:val="center"/>
          </w:tcPr>
          <w:p>
            <w:pPr>
              <w:pStyle w:val="164"/>
              <w:spacing w:line="240" w:lineRule="auto"/>
              <w:rPr>
                <w:color w:val="auto"/>
                <w:szCs w:val="21"/>
                <w:lang w:bidi="ar"/>
              </w:rPr>
            </w:pPr>
            <w:r>
              <w:rPr>
                <w:color w:val="auto"/>
                <w:szCs w:val="21"/>
                <w:lang w:bidi="ar"/>
              </w:rPr>
              <w:t>0.1910</w:t>
            </w:r>
          </w:p>
        </w:tc>
        <w:tc>
          <w:tcPr>
            <w:tcW w:w="945"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700</w:t>
            </w:r>
          </w:p>
        </w:tc>
        <w:tc>
          <w:tcPr>
            <w:tcW w:w="1144" w:type="dxa"/>
            <w:vAlign w:val="center"/>
          </w:tcPr>
          <w:p>
            <w:pPr>
              <w:pStyle w:val="164"/>
              <w:spacing w:line="240" w:lineRule="auto"/>
              <w:rPr>
                <w:color w:val="auto"/>
                <w:szCs w:val="21"/>
                <w:lang w:bidi="ar"/>
              </w:rPr>
            </w:pPr>
            <w:r>
              <w:rPr>
                <w:color w:val="auto"/>
                <w:szCs w:val="21"/>
                <w:lang w:bidi="ar"/>
              </w:rPr>
              <w:t>0.7124</w:t>
            </w:r>
          </w:p>
        </w:tc>
        <w:tc>
          <w:tcPr>
            <w:tcW w:w="1080" w:type="dxa"/>
            <w:vAlign w:val="center"/>
          </w:tcPr>
          <w:p>
            <w:pPr>
              <w:pStyle w:val="164"/>
              <w:spacing w:line="240" w:lineRule="auto"/>
              <w:rPr>
                <w:color w:val="auto"/>
                <w:szCs w:val="21"/>
                <w:lang w:bidi="ar"/>
              </w:rPr>
            </w:pPr>
            <w:r>
              <w:rPr>
                <w:color w:val="auto"/>
                <w:szCs w:val="21"/>
                <w:lang w:bidi="ar"/>
              </w:rPr>
              <w:t>0.36</w:t>
            </w:r>
          </w:p>
        </w:tc>
        <w:tc>
          <w:tcPr>
            <w:tcW w:w="1177" w:type="dxa"/>
            <w:vAlign w:val="center"/>
          </w:tcPr>
          <w:p>
            <w:pPr>
              <w:pStyle w:val="164"/>
              <w:spacing w:line="240" w:lineRule="auto"/>
              <w:rPr>
                <w:color w:val="auto"/>
                <w:szCs w:val="21"/>
                <w:lang w:bidi="ar"/>
              </w:rPr>
            </w:pPr>
            <w:r>
              <w:rPr>
                <w:color w:val="auto"/>
                <w:szCs w:val="21"/>
                <w:lang w:bidi="ar"/>
              </w:rPr>
              <w:t>0.0044</w:t>
            </w:r>
          </w:p>
        </w:tc>
        <w:tc>
          <w:tcPr>
            <w:tcW w:w="1078"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.04</w:t>
            </w:r>
          </w:p>
        </w:tc>
        <w:tc>
          <w:tcPr>
            <w:tcW w:w="1153" w:type="dxa"/>
            <w:vAlign w:val="center"/>
          </w:tcPr>
          <w:p>
            <w:pPr>
              <w:pStyle w:val="164"/>
              <w:spacing w:line="240" w:lineRule="auto"/>
              <w:rPr>
                <w:color w:val="auto"/>
                <w:szCs w:val="21"/>
                <w:lang w:bidi="ar"/>
              </w:rPr>
            </w:pPr>
            <w:r>
              <w:rPr>
                <w:color w:val="auto"/>
                <w:szCs w:val="21"/>
                <w:lang w:bidi="ar"/>
              </w:rPr>
              <w:t>0.1644</w:t>
            </w:r>
          </w:p>
        </w:tc>
        <w:tc>
          <w:tcPr>
            <w:tcW w:w="945"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1000</w:t>
            </w:r>
          </w:p>
        </w:tc>
        <w:tc>
          <w:tcPr>
            <w:tcW w:w="1144" w:type="dxa"/>
            <w:vAlign w:val="center"/>
          </w:tcPr>
          <w:p>
            <w:pPr>
              <w:pStyle w:val="164"/>
              <w:spacing w:line="240" w:lineRule="auto"/>
              <w:rPr>
                <w:color w:val="auto"/>
                <w:szCs w:val="21"/>
                <w:lang w:bidi="ar"/>
              </w:rPr>
            </w:pPr>
            <w:r>
              <w:rPr>
                <w:color w:val="auto"/>
                <w:szCs w:val="21"/>
                <w:lang w:bidi="ar"/>
              </w:rPr>
              <w:t>0.5884</w:t>
            </w:r>
          </w:p>
        </w:tc>
        <w:tc>
          <w:tcPr>
            <w:tcW w:w="1080" w:type="dxa"/>
            <w:vAlign w:val="center"/>
          </w:tcPr>
          <w:p>
            <w:pPr>
              <w:pStyle w:val="164"/>
              <w:spacing w:line="240" w:lineRule="auto"/>
              <w:rPr>
                <w:color w:val="auto"/>
                <w:szCs w:val="21"/>
                <w:lang w:bidi="ar"/>
              </w:rPr>
            </w:pPr>
            <w:r>
              <w:rPr>
                <w:color w:val="auto"/>
                <w:szCs w:val="21"/>
                <w:lang w:bidi="ar"/>
              </w:rPr>
              <w:t>0.29</w:t>
            </w:r>
          </w:p>
        </w:tc>
        <w:tc>
          <w:tcPr>
            <w:tcW w:w="1177" w:type="dxa"/>
            <w:vAlign w:val="center"/>
          </w:tcPr>
          <w:p>
            <w:pPr>
              <w:pStyle w:val="164"/>
              <w:spacing w:line="240" w:lineRule="auto"/>
              <w:rPr>
                <w:color w:val="auto"/>
                <w:szCs w:val="21"/>
                <w:lang w:bidi="ar"/>
              </w:rPr>
            </w:pPr>
            <w:r>
              <w:rPr>
                <w:color w:val="auto"/>
                <w:szCs w:val="21"/>
                <w:lang w:bidi="ar"/>
              </w:rPr>
              <w:t>0.0036</w:t>
            </w:r>
          </w:p>
        </w:tc>
        <w:tc>
          <w:tcPr>
            <w:tcW w:w="1078"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.04</w:t>
            </w:r>
          </w:p>
        </w:tc>
        <w:tc>
          <w:tcPr>
            <w:tcW w:w="1153" w:type="dxa"/>
            <w:vAlign w:val="center"/>
          </w:tcPr>
          <w:p>
            <w:pPr>
              <w:pStyle w:val="164"/>
              <w:spacing w:line="240" w:lineRule="auto"/>
              <w:rPr>
                <w:color w:val="auto"/>
                <w:szCs w:val="21"/>
                <w:lang w:bidi="ar"/>
              </w:rPr>
            </w:pPr>
            <w:r>
              <w:rPr>
                <w:color w:val="auto"/>
                <w:szCs w:val="21"/>
                <w:lang w:bidi="ar"/>
              </w:rPr>
              <w:t>0.1358</w:t>
            </w:r>
          </w:p>
        </w:tc>
        <w:tc>
          <w:tcPr>
            <w:tcW w:w="945"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1500</w:t>
            </w:r>
          </w:p>
        </w:tc>
        <w:tc>
          <w:tcPr>
            <w:tcW w:w="1144" w:type="dxa"/>
            <w:vAlign w:val="center"/>
          </w:tcPr>
          <w:p>
            <w:pPr>
              <w:pStyle w:val="164"/>
              <w:spacing w:line="240" w:lineRule="auto"/>
              <w:rPr>
                <w:color w:val="auto"/>
                <w:szCs w:val="21"/>
                <w:lang w:bidi="ar"/>
              </w:rPr>
            </w:pPr>
            <w:r>
              <w:rPr>
                <w:color w:val="auto"/>
                <w:szCs w:val="21"/>
                <w:lang w:bidi="ar"/>
              </w:rPr>
              <w:t>0.4487</w:t>
            </w:r>
          </w:p>
        </w:tc>
        <w:tc>
          <w:tcPr>
            <w:tcW w:w="1080" w:type="dxa"/>
            <w:vAlign w:val="center"/>
          </w:tcPr>
          <w:p>
            <w:pPr>
              <w:pStyle w:val="164"/>
              <w:spacing w:line="240" w:lineRule="auto"/>
              <w:rPr>
                <w:color w:val="auto"/>
                <w:szCs w:val="21"/>
                <w:lang w:bidi="ar"/>
              </w:rPr>
            </w:pPr>
            <w:r>
              <w:rPr>
                <w:color w:val="auto"/>
                <w:szCs w:val="21"/>
                <w:lang w:bidi="ar"/>
              </w:rPr>
              <w:t>0.22</w:t>
            </w:r>
          </w:p>
        </w:tc>
        <w:tc>
          <w:tcPr>
            <w:tcW w:w="1177" w:type="dxa"/>
            <w:vAlign w:val="center"/>
          </w:tcPr>
          <w:p>
            <w:pPr>
              <w:pStyle w:val="164"/>
              <w:spacing w:line="240" w:lineRule="auto"/>
              <w:rPr>
                <w:color w:val="auto"/>
                <w:szCs w:val="21"/>
                <w:lang w:bidi="ar"/>
              </w:rPr>
            </w:pPr>
            <w:r>
              <w:rPr>
                <w:color w:val="auto"/>
                <w:szCs w:val="21"/>
                <w:lang w:bidi="ar"/>
              </w:rPr>
              <w:t>0.0028</w:t>
            </w:r>
          </w:p>
        </w:tc>
        <w:tc>
          <w:tcPr>
            <w:tcW w:w="1078"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.03</w:t>
            </w:r>
          </w:p>
        </w:tc>
        <w:tc>
          <w:tcPr>
            <w:tcW w:w="1153" w:type="dxa"/>
            <w:vAlign w:val="center"/>
          </w:tcPr>
          <w:p>
            <w:pPr>
              <w:pStyle w:val="164"/>
              <w:spacing w:line="240" w:lineRule="auto"/>
              <w:rPr>
                <w:color w:val="auto"/>
                <w:szCs w:val="21"/>
                <w:lang w:bidi="ar"/>
              </w:rPr>
            </w:pPr>
            <w:r>
              <w:rPr>
                <w:color w:val="auto"/>
                <w:szCs w:val="21"/>
                <w:lang w:bidi="ar"/>
              </w:rPr>
              <w:t>0.1036</w:t>
            </w:r>
          </w:p>
        </w:tc>
        <w:tc>
          <w:tcPr>
            <w:tcW w:w="945"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2248" w:type="dxa"/>
            <w:vAlign w:val="center"/>
          </w:tcPr>
          <w:p>
            <w:pPr>
              <w:pStyle w:val="164"/>
              <w:rPr>
                <w:color w:val="auto"/>
                <w:szCs w:val="21"/>
              </w:rPr>
            </w:pPr>
            <w:r>
              <w:rPr>
                <w:color w:val="auto"/>
                <w:szCs w:val="21"/>
                <w:lang w:bidi="ar"/>
              </w:rPr>
              <w:t>2000</w:t>
            </w:r>
          </w:p>
        </w:tc>
        <w:tc>
          <w:tcPr>
            <w:tcW w:w="1144" w:type="dxa"/>
            <w:vAlign w:val="center"/>
          </w:tcPr>
          <w:p>
            <w:pPr>
              <w:pStyle w:val="164"/>
              <w:spacing w:line="240" w:lineRule="auto"/>
              <w:rPr>
                <w:color w:val="auto"/>
                <w:szCs w:val="21"/>
                <w:lang w:bidi="ar"/>
              </w:rPr>
            </w:pPr>
            <w:r>
              <w:rPr>
                <w:color w:val="auto"/>
                <w:szCs w:val="21"/>
                <w:lang w:bidi="ar"/>
              </w:rPr>
              <w:t>0.3607</w:t>
            </w:r>
          </w:p>
        </w:tc>
        <w:tc>
          <w:tcPr>
            <w:tcW w:w="1080" w:type="dxa"/>
            <w:vAlign w:val="center"/>
          </w:tcPr>
          <w:p>
            <w:pPr>
              <w:pStyle w:val="164"/>
              <w:spacing w:line="240" w:lineRule="auto"/>
              <w:rPr>
                <w:color w:val="auto"/>
                <w:szCs w:val="21"/>
                <w:lang w:bidi="ar"/>
              </w:rPr>
            </w:pPr>
            <w:r>
              <w:rPr>
                <w:color w:val="auto"/>
                <w:szCs w:val="21"/>
                <w:lang w:bidi="ar"/>
              </w:rPr>
              <w:t>0.18</w:t>
            </w:r>
          </w:p>
        </w:tc>
        <w:tc>
          <w:tcPr>
            <w:tcW w:w="1177" w:type="dxa"/>
            <w:vAlign w:val="center"/>
          </w:tcPr>
          <w:p>
            <w:pPr>
              <w:pStyle w:val="164"/>
              <w:spacing w:line="240" w:lineRule="auto"/>
              <w:rPr>
                <w:color w:val="auto"/>
                <w:szCs w:val="21"/>
                <w:lang w:bidi="ar"/>
              </w:rPr>
            </w:pPr>
            <w:r>
              <w:rPr>
                <w:color w:val="auto"/>
                <w:szCs w:val="21"/>
                <w:lang w:bidi="ar"/>
              </w:rPr>
              <w:t>0.0022</w:t>
            </w:r>
          </w:p>
        </w:tc>
        <w:tc>
          <w:tcPr>
            <w:tcW w:w="1078"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.02</w:t>
            </w:r>
          </w:p>
        </w:tc>
        <w:tc>
          <w:tcPr>
            <w:tcW w:w="1153" w:type="dxa"/>
            <w:vAlign w:val="center"/>
          </w:tcPr>
          <w:p>
            <w:pPr>
              <w:pStyle w:val="164"/>
              <w:spacing w:line="240" w:lineRule="auto"/>
              <w:rPr>
                <w:color w:val="auto"/>
                <w:szCs w:val="21"/>
                <w:lang w:bidi="ar"/>
              </w:rPr>
            </w:pPr>
            <w:r>
              <w:rPr>
                <w:color w:val="auto"/>
                <w:szCs w:val="21"/>
                <w:lang w:bidi="ar"/>
              </w:rPr>
              <w:t>0.0832</w:t>
            </w:r>
          </w:p>
        </w:tc>
        <w:tc>
          <w:tcPr>
            <w:tcW w:w="945"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2248" w:type="dxa"/>
            <w:vAlign w:val="center"/>
          </w:tcPr>
          <w:p>
            <w:pPr>
              <w:pStyle w:val="164"/>
              <w:rPr>
                <w:color w:val="auto"/>
                <w:szCs w:val="21"/>
              </w:rPr>
            </w:pPr>
            <w:r>
              <w:rPr>
                <w:color w:val="auto"/>
                <w:szCs w:val="21"/>
                <w:lang w:bidi="ar"/>
              </w:rPr>
              <w:t>2500</w:t>
            </w:r>
          </w:p>
        </w:tc>
        <w:tc>
          <w:tcPr>
            <w:tcW w:w="1144" w:type="dxa"/>
            <w:vAlign w:val="center"/>
          </w:tcPr>
          <w:p>
            <w:pPr>
              <w:pStyle w:val="164"/>
              <w:spacing w:line="240" w:lineRule="auto"/>
              <w:rPr>
                <w:color w:val="auto"/>
                <w:szCs w:val="21"/>
                <w:lang w:bidi="ar"/>
              </w:rPr>
            </w:pPr>
            <w:r>
              <w:rPr>
                <w:color w:val="auto"/>
                <w:szCs w:val="21"/>
                <w:lang w:bidi="ar"/>
              </w:rPr>
              <w:t>0.3039</w:t>
            </w:r>
          </w:p>
        </w:tc>
        <w:tc>
          <w:tcPr>
            <w:tcW w:w="1080" w:type="dxa"/>
            <w:vAlign w:val="center"/>
          </w:tcPr>
          <w:p>
            <w:pPr>
              <w:pStyle w:val="164"/>
              <w:spacing w:line="240" w:lineRule="auto"/>
              <w:rPr>
                <w:color w:val="auto"/>
                <w:szCs w:val="21"/>
                <w:lang w:bidi="ar"/>
              </w:rPr>
            </w:pPr>
            <w:r>
              <w:rPr>
                <w:color w:val="auto"/>
                <w:szCs w:val="21"/>
                <w:lang w:bidi="ar"/>
              </w:rPr>
              <w:t>0.15</w:t>
            </w:r>
          </w:p>
        </w:tc>
        <w:tc>
          <w:tcPr>
            <w:tcW w:w="1177" w:type="dxa"/>
            <w:vAlign w:val="center"/>
          </w:tcPr>
          <w:p>
            <w:pPr>
              <w:pStyle w:val="164"/>
              <w:spacing w:line="240" w:lineRule="auto"/>
              <w:rPr>
                <w:color w:val="auto"/>
                <w:szCs w:val="21"/>
                <w:lang w:bidi="ar"/>
              </w:rPr>
            </w:pPr>
            <w:r>
              <w:rPr>
                <w:color w:val="auto"/>
                <w:szCs w:val="21"/>
                <w:lang w:bidi="ar"/>
              </w:rPr>
              <w:t>0.0019</w:t>
            </w:r>
          </w:p>
        </w:tc>
        <w:tc>
          <w:tcPr>
            <w:tcW w:w="1078"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.02</w:t>
            </w:r>
          </w:p>
        </w:tc>
        <w:tc>
          <w:tcPr>
            <w:tcW w:w="1153" w:type="dxa"/>
            <w:vAlign w:val="center"/>
          </w:tcPr>
          <w:p>
            <w:pPr>
              <w:pStyle w:val="164"/>
              <w:spacing w:line="240" w:lineRule="auto"/>
              <w:rPr>
                <w:color w:val="auto"/>
                <w:szCs w:val="21"/>
                <w:lang w:bidi="ar"/>
              </w:rPr>
            </w:pPr>
            <w:r>
              <w:rPr>
                <w:color w:val="auto"/>
                <w:szCs w:val="21"/>
                <w:lang w:bidi="ar"/>
              </w:rPr>
              <w:t>0.0701</w:t>
            </w:r>
          </w:p>
        </w:tc>
        <w:tc>
          <w:tcPr>
            <w:tcW w:w="945" w:type="dxa"/>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2248" w:type="dxa"/>
            <w:vAlign w:val="center"/>
          </w:tcPr>
          <w:p>
            <w:pPr>
              <w:pStyle w:val="164"/>
              <w:spacing w:line="240" w:lineRule="auto"/>
              <w:rPr>
                <w:color w:val="auto"/>
                <w:szCs w:val="21"/>
              </w:rPr>
            </w:pPr>
            <w:r>
              <w:rPr>
                <w:color w:val="auto"/>
                <w:szCs w:val="21"/>
              </w:rPr>
              <w:t>下风向最大质量浓度及占标率/%</w:t>
            </w:r>
          </w:p>
        </w:tc>
        <w:tc>
          <w:tcPr>
            <w:tcW w:w="1144" w:type="dxa"/>
            <w:vAlign w:val="center"/>
          </w:tcPr>
          <w:p>
            <w:pPr>
              <w:jc w:val="center"/>
              <w:rPr>
                <w:color w:val="auto"/>
                <w:szCs w:val="21"/>
                <w:lang w:bidi="ar"/>
              </w:rPr>
            </w:pPr>
            <w:r>
              <w:rPr>
                <w:color w:val="auto"/>
              </w:rPr>
              <w:t>3.9446</w:t>
            </w:r>
          </w:p>
        </w:tc>
        <w:tc>
          <w:tcPr>
            <w:tcW w:w="1080" w:type="dxa"/>
            <w:vAlign w:val="center"/>
          </w:tcPr>
          <w:p>
            <w:pPr>
              <w:jc w:val="center"/>
              <w:rPr>
                <w:color w:val="auto"/>
                <w:szCs w:val="21"/>
                <w:lang w:bidi="ar"/>
              </w:rPr>
            </w:pPr>
            <w:r>
              <w:rPr>
                <w:color w:val="auto"/>
              </w:rPr>
              <w:t>1.97</w:t>
            </w:r>
          </w:p>
        </w:tc>
        <w:tc>
          <w:tcPr>
            <w:tcW w:w="1177" w:type="dxa"/>
            <w:vAlign w:val="center"/>
          </w:tcPr>
          <w:p>
            <w:pPr>
              <w:jc w:val="center"/>
              <w:rPr>
                <w:color w:val="auto"/>
                <w:szCs w:val="21"/>
                <w:lang w:bidi="ar"/>
              </w:rPr>
            </w:pPr>
            <w:r>
              <w:rPr>
                <w:color w:val="auto"/>
              </w:rPr>
              <w:t>0.0243</w:t>
            </w:r>
          </w:p>
        </w:tc>
        <w:tc>
          <w:tcPr>
            <w:tcW w:w="1078" w:type="dxa"/>
            <w:vAlign w:val="center"/>
          </w:tcPr>
          <w:p>
            <w:pPr>
              <w:jc w:val="center"/>
              <w:rPr>
                <w:color w:val="auto"/>
                <w:szCs w:val="21"/>
                <w:lang w:bidi="ar"/>
              </w:rPr>
            </w:pPr>
            <w:r>
              <w:rPr>
                <w:color w:val="auto"/>
              </w:rPr>
              <w:t>0.24</w:t>
            </w:r>
          </w:p>
        </w:tc>
        <w:tc>
          <w:tcPr>
            <w:tcW w:w="1153" w:type="dxa"/>
            <w:vAlign w:val="center"/>
          </w:tcPr>
          <w:p>
            <w:pPr>
              <w:jc w:val="center"/>
              <w:rPr>
                <w:color w:val="auto"/>
                <w:szCs w:val="21"/>
                <w:lang w:bidi="ar"/>
              </w:rPr>
            </w:pPr>
            <w:r>
              <w:rPr>
                <w:color w:val="auto"/>
              </w:rPr>
              <w:t>0.9103</w:t>
            </w:r>
          </w:p>
        </w:tc>
        <w:tc>
          <w:tcPr>
            <w:tcW w:w="945" w:type="dxa"/>
            <w:vAlign w:val="center"/>
          </w:tcPr>
          <w:p>
            <w:pPr>
              <w:jc w:val="center"/>
              <w:rPr>
                <w:color w:val="auto"/>
                <w:szCs w:val="21"/>
                <w:lang w:bidi="ar"/>
              </w:rPr>
            </w:pPr>
            <w:r>
              <w:rPr>
                <w:color w:val="auto"/>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55" w:hRule="atLeast"/>
          <w:jc w:val="center"/>
        </w:trPr>
        <w:tc>
          <w:tcPr>
            <w:tcW w:w="2248" w:type="dxa"/>
            <w:vAlign w:val="center"/>
          </w:tcPr>
          <w:p>
            <w:pPr>
              <w:pStyle w:val="164"/>
              <w:rPr>
                <w:color w:val="auto"/>
                <w:szCs w:val="21"/>
              </w:rPr>
            </w:pPr>
            <w:r>
              <w:rPr>
                <w:color w:val="auto"/>
                <w:szCs w:val="21"/>
              </w:rPr>
              <w:t>最大浓度出现距离/m</w:t>
            </w:r>
          </w:p>
        </w:tc>
        <w:tc>
          <w:tcPr>
            <w:tcW w:w="6577" w:type="dxa"/>
            <w:gridSpan w:val="6"/>
            <w:vAlign w:val="center"/>
          </w:tcPr>
          <w:p>
            <w:pPr>
              <w:pStyle w:val="164"/>
              <w:rPr>
                <w:color w:val="auto"/>
                <w:szCs w:val="21"/>
                <w:lang w:bidi="ar"/>
              </w:rPr>
            </w:pPr>
            <w:r>
              <w:rPr>
                <w:rFonts w:hint="eastAsia"/>
                <w:color w:val="auto"/>
                <w:szCs w:val="21"/>
                <w:lang w:bidi="ar"/>
              </w:rPr>
              <w:t>2</w:t>
            </w:r>
            <w:r>
              <w:rPr>
                <w:color w:val="auto"/>
                <w:szCs w:val="21"/>
                <w:lang w:bidi="ar"/>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2248" w:type="dxa"/>
            <w:vAlign w:val="center"/>
          </w:tcPr>
          <w:p>
            <w:pPr>
              <w:pStyle w:val="164"/>
              <w:ind w:left="-105" w:leftChars="-50" w:right="-105" w:rightChars="-50"/>
              <w:rPr>
                <w:color w:val="auto"/>
                <w:szCs w:val="21"/>
              </w:rPr>
            </w:pPr>
            <w:r>
              <w:rPr>
                <w:color w:val="auto"/>
                <w:kern w:val="0"/>
                <w:szCs w:val="21"/>
                <w:lang w:bidi="ar"/>
              </w:rPr>
              <w:t>D10%最远距离/m</w:t>
            </w:r>
          </w:p>
        </w:tc>
        <w:tc>
          <w:tcPr>
            <w:tcW w:w="6577" w:type="dxa"/>
            <w:gridSpan w:val="6"/>
            <w:vAlign w:val="center"/>
          </w:tcPr>
          <w:p>
            <w:pPr>
              <w:pStyle w:val="164"/>
              <w:ind w:left="-105" w:leftChars="-50" w:right="-105" w:rightChars="-50"/>
              <w:rPr>
                <w:color w:val="auto"/>
                <w:szCs w:val="21"/>
                <w:lang w:bidi="ar"/>
              </w:rPr>
            </w:pPr>
            <w:r>
              <w:rPr>
                <w:color w:val="auto"/>
                <w:szCs w:val="21"/>
                <w:lang w:bidi="ar"/>
              </w:rPr>
              <w:t>/</w:t>
            </w:r>
          </w:p>
        </w:tc>
      </w:tr>
    </w:tbl>
    <w:p>
      <w:pPr>
        <w:pStyle w:val="114"/>
        <w:spacing w:before="120"/>
        <w:rPr>
          <w:color w:val="auto"/>
        </w:rPr>
      </w:pPr>
      <w:r>
        <w:rPr>
          <w:color w:val="auto"/>
        </w:rPr>
        <w:t>表7.2-10  本项目</w:t>
      </w:r>
      <w:r>
        <w:rPr>
          <w:rFonts w:hint="eastAsia"/>
          <w:color w:val="auto"/>
        </w:rPr>
        <w:t>建成后全厂</w:t>
      </w:r>
      <w:r>
        <w:rPr>
          <w:color w:val="auto"/>
        </w:rPr>
        <w:t>污水处理车间无组织废气估算模式结果</w:t>
      </w:r>
    </w:p>
    <w:tbl>
      <w:tblPr>
        <w:tblStyle w:val="74"/>
        <w:tblW w:w="883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94"/>
        <w:gridCol w:w="1983"/>
        <w:gridCol w:w="1628"/>
        <w:gridCol w:w="1711"/>
        <w:gridCol w:w="16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5" w:hRule="atLeast"/>
          <w:jc w:val="center"/>
        </w:trPr>
        <w:tc>
          <w:tcPr>
            <w:tcW w:w="1894" w:type="dxa"/>
            <w:vMerge w:val="restart"/>
            <w:tcBorders>
              <w:tl2br w:val="nil"/>
              <w:tr2bl w:val="nil"/>
            </w:tcBorders>
            <w:vAlign w:val="center"/>
          </w:tcPr>
          <w:p>
            <w:pPr>
              <w:pStyle w:val="164"/>
              <w:rPr>
                <w:color w:val="auto"/>
                <w:szCs w:val="21"/>
              </w:rPr>
            </w:pPr>
            <w:r>
              <w:rPr>
                <w:color w:val="auto"/>
                <w:szCs w:val="21"/>
              </w:rPr>
              <w:t>距离（m）</w:t>
            </w:r>
          </w:p>
        </w:tc>
        <w:tc>
          <w:tcPr>
            <w:tcW w:w="3611" w:type="dxa"/>
            <w:gridSpan w:val="2"/>
            <w:tcBorders>
              <w:tl2br w:val="nil"/>
              <w:tr2bl w:val="nil"/>
            </w:tcBorders>
            <w:vAlign w:val="center"/>
          </w:tcPr>
          <w:p>
            <w:pPr>
              <w:pStyle w:val="164"/>
              <w:rPr>
                <w:color w:val="auto"/>
                <w:szCs w:val="21"/>
              </w:rPr>
            </w:pPr>
            <w:r>
              <w:rPr>
                <w:color w:val="auto"/>
              </w:rPr>
              <w:t>NH</w:t>
            </w:r>
            <w:r>
              <w:rPr>
                <w:color w:val="auto"/>
                <w:vertAlign w:val="subscript"/>
              </w:rPr>
              <w:t>3</w:t>
            </w:r>
          </w:p>
        </w:tc>
        <w:tc>
          <w:tcPr>
            <w:tcW w:w="3332" w:type="dxa"/>
            <w:gridSpan w:val="2"/>
            <w:tcBorders>
              <w:tl2br w:val="nil"/>
              <w:tr2bl w:val="nil"/>
            </w:tcBorders>
            <w:vAlign w:val="center"/>
          </w:tcPr>
          <w:p>
            <w:pPr>
              <w:pStyle w:val="164"/>
              <w:rPr>
                <w:color w:val="auto"/>
                <w:szCs w:val="21"/>
              </w:rPr>
            </w:pPr>
            <w:r>
              <w:rPr>
                <w:color w:val="auto"/>
              </w:rPr>
              <w:t>H</w:t>
            </w:r>
            <w:r>
              <w:rPr>
                <w:color w:val="auto"/>
                <w:vertAlign w:val="subscript"/>
              </w:rPr>
              <w:t>2</w:t>
            </w:r>
            <w:r>
              <w:rPr>
                <w:color w:val="auto"/>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5" w:hRule="atLeast"/>
          <w:jc w:val="center"/>
        </w:trPr>
        <w:tc>
          <w:tcPr>
            <w:tcW w:w="1894" w:type="dxa"/>
            <w:vMerge w:val="continue"/>
            <w:tcBorders>
              <w:tl2br w:val="nil"/>
              <w:tr2bl w:val="nil"/>
            </w:tcBorders>
            <w:vAlign w:val="center"/>
          </w:tcPr>
          <w:p>
            <w:pPr>
              <w:pStyle w:val="164"/>
              <w:rPr>
                <w:color w:val="auto"/>
                <w:szCs w:val="21"/>
              </w:rPr>
            </w:pPr>
          </w:p>
        </w:tc>
        <w:tc>
          <w:tcPr>
            <w:tcW w:w="1983" w:type="dxa"/>
            <w:tcBorders>
              <w:tl2br w:val="nil"/>
              <w:tr2bl w:val="nil"/>
            </w:tcBorders>
            <w:vAlign w:val="center"/>
          </w:tcPr>
          <w:p>
            <w:pPr>
              <w:pStyle w:val="164"/>
              <w:rPr>
                <w:color w:val="auto"/>
                <w:szCs w:val="21"/>
              </w:rPr>
            </w:pPr>
            <w:r>
              <w:rPr>
                <w:color w:val="auto"/>
                <w:szCs w:val="21"/>
              </w:rPr>
              <w:t>浓度</w:t>
            </w:r>
            <w:r>
              <w:rPr>
                <w:rFonts w:hint="eastAsia"/>
                <w:color w:val="auto"/>
              </w:rPr>
              <w:t>(</w:t>
            </w:r>
            <w:r>
              <w:rPr>
                <w:color w:val="auto"/>
                <w:szCs w:val="21"/>
                <w:lang w:bidi="ar"/>
              </w:rPr>
              <w:t>μg</w:t>
            </w:r>
            <w:r>
              <w:rPr>
                <w:color w:val="auto"/>
              </w:rPr>
              <w:t>/m³</w:t>
            </w:r>
            <w:r>
              <w:rPr>
                <w:rFonts w:hint="eastAsia"/>
                <w:color w:val="auto"/>
              </w:rPr>
              <w:t>)</w:t>
            </w:r>
          </w:p>
        </w:tc>
        <w:tc>
          <w:tcPr>
            <w:tcW w:w="1628" w:type="dxa"/>
            <w:tcBorders>
              <w:tl2br w:val="nil"/>
              <w:tr2bl w:val="nil"/>
            </w:tcBorders>
            <w:vAlign w:val="center"/>
          </w:tcPr>
          <w:p>
            <w:pPr>
              <w:pStyle w:val="164"/>
              <w:rPr>
                <w:color w:val="auto"/>
                <w:szCs w:val="21"/>
              </w:rPr>
            </w:pPr>
            <w:r>
              <w:rPr>
                <w:color w:val="auto"/>
                <w:szCs w:val="21"/>
              </w:rPr>
              <w:t>占标率（%）</w:t>
            </w:r>
          </w:p>
        </w:tc>
        <w:tc>
          <w:tcPr>
            <w:tcW w:w="1711" w:type="dxa"/>
            <w:tcBorders>
              <w:tl2br w:val="nil"/>
              <w:tr2bl w:val="nil"/>
            </w:tcBorders>
            <w:vAlign w:val="center"/>
          </w:tcPr>
          <w:p>
            <w:pPr>
              <w:pStyle w:val="164"/>
              <w:rPr>
                <w:color w:val="auto"/>
                <w:szCs w:val="21"/>
              </w:rPr>
            </w:pPr>
            <w:r>
              <w:rPr>
                <w:color w:val="auto"/>
                <w:szCs w:val="21"/>
              </w:rPr>
              <w:t>浓度</w:t>
            </w:r>
            <w:r>
              <w:rPr>
                <w:rFonts w:hint="eastAsia"/>
                <w:color w:val="auto"/>
              </w:rPr>
              <w:t>(</w:t>
            </w:r>
            <w:r>
              <w:rPr>
                <w:color w:val="auto"/>
                <w:szCs w:val="21"/>
                <w:lang w:bidi="ar"/>
              </w:rPr>
              <w:t>μg</w:t>
            </w:r>
            <w:r>
              <w:rPr>
                <w:color w:val="auto"/>
              </w:rPr>
              <w:t>/m³</w:t>
            </w:r>
            <w:r>
              <w:rPr>
                <w:rFonts w:hint="eastAsia"/>
                <w:color w:val="auto"/>
              </w:rPr>
              <w:t>)</w:t>
            </w:r>
          </w:p>
        </w:tc>
        <w:tc>
          <w:tcPr>
            <w:tcW w:w="1621" w:type="dxa"/>
            <w:tcBorders>
              <w:tl2br w:val="nil"/>
              <w:tr2bl w:val="nil"/>
            </w:tcBorders>
            <w:vAlign w:val="center"/>
          </w:tcPr>
          <w:p>
            <w:pPr>
              <w:pStyle w:val="164"/>
              <w:rPr>
                <w:color w:val="auto"/>
                <w:szCs w:val="21"/>
              </w:rPr>
            </w:pPr>
            <w:r>
              <w:rPr>
                <w:color w:val="auto"/>
                <w:szCs w:val="21"/>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1</w:t>
            </w:r>
          </w:p>
        </w:tc>
        <w:tc>
          <w:tcPr>
            <w:tcW w:w="1983" w:type="dxa"/>
            <w:tcBorders>
              <w:tl2br w:val="nil"/>
              <w:tr2bl w:val="nil"/>
            </w:tcBorders>
            <w:vAlign w:val="center"/>
          </w:tcPr>
          <w:p>
            <w:pPr>
              <w:jc w:val="center"/>
              <w:rPr>
                <w:color w:val="auto"/>
                <w:szCs w:val="21"/>
                <w:lang w:bidi="ar"/>
              </w:rPr>
            </w:pPr>
            <w:r>
              <w:rPr>
                <w:color w:val="auto"/>
              </w:rPr>
              <w:t>0.5080</w:t>
            </w:r>
          </w:p>
        </w:tc>
        <w:tc>
          <w:tcPr>
            <w:tcW w:w="1628" w:type="dxa"/>
            <w:tcBorders>
              <w:tl2br w:val="nil"/>
              <w:tr2bl w:val="nil"/>
            </w:tcBorders>
            <w:vAlign w:val="center"/>
          </w:tcPr>
          <w:p>
            <w:pPr>
              <w:jc w:val="center"/>
              <w:rPr>
                <w:color w:val="auto"/>
                <w:szCs w:val="21"/>
                <w:lang w:bidi="ar"/>
              </w:rPr>
            </w:pPr>
            <w:r>
              <w:rPr>
                <w:color w:val="auto"/>
              </w:rPr>
              <w:t>0.25</w:t>
            </w:r>
          </w:p>
        </w:tc>
        <w:tc>
          <w:tcPr>
            <w:tcW w:w="1711" w:type="dxa"/>
            <w:tcBorders>
              <w:tl2br w:val="nil"/>
              <w:tr2bl w:val="nil"/>
            </w:tcBorders>
            <w:vAlign w:val="center"/>
          </w:tcPr>
          <w:p>
            <w:pPr>
              <w:jc w:val="center"/>
              <w:rPr>
                <w:color w:val="auto"/>
                <w:szCs w:val="21"/>
                <w:lang w:bidi="ar"/>
              </w:rPr>
            </w:pPr>
            <w:r>
              <w:rPr>
                <w:color w:val="auto"/>
              </w:rPr>
              <w:t>0.0193</w:t>
            </w:r>
          </w:p>
        </w:tc>
        <w:tc>
          <w:tcPr>
            <w:tcW w:w="1621" w:type="dxa"/>
            <w:tcBorders>
              <w:tl2br w:val="nil"/>
              <w:tr2bl w:val="nil"/>
            </w:tcBorders>
            <w:vAlign w:val="center"/>
          </w:tcPr>
          <w:p>
            <w:pPr>
              <w:jc w:val="center"/>
              <w:rPr>
                <w:color w:val="auto"/>
                <w:szCs w:val="21"/>
                <w:lang w:bidi="ar"/>
              </w:rPr>
            </w:pPr>
            <w:r>
              <w:rPr>
                <w:color w:val="auto"/>
              </w:rPr>
              <w:t>0.19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b/>
                <w:bCs/>
                <w:color w:val="auto"/>
                <w:szCs w:val="21"/>
                <w:lang w:bidi="ar"/>
              </w:rPr>
            </w:pPr>
            <w:r>
              <w:rPr>
                <w:b/>
                <w:bCs/>
                <w:color w:val="auto"/>
                <w:szCs w:val="21"/>
                <w:lang w:bidi="ar"/>
              </w:rPr>
              <w:t>9</w:t>
            </w:r>
          </w:p>
        </w:tc>
        <w:tc>
          <w:tcPr>
            <w:tcW w:w="1983" w:type="dxa"/>
            <w:tcBorders>
              <w:tl2br w:val="nil"/>
              <w:tr2bl w:val="nil"/>
            </w:tcBorders>
            <w:vAlign w:val="center"/>
          </w:tcPr>
          <w:p>
            <w:pPr>
              <w:jc w:val="center"/>
              <w:rPr>
                <w:b/>
                <w:bCs/>
                <w:color w:val="auto"/>
                <w:szCs w:val="21"/>
                <w:lang w:bidi="ar"/>
              </w:rPr>
            </w:pPr>
            <w:r>
              <w:rPr>
                <w:b/>
                <w:bCs/>
                <w:color w:val="auto"/>
              </w:rPr>
              <w:t>1.3372</w:t>
            </w:r>
          </w:p>
        </w:tc>
        <w:tc>
          <w:tcPr>
            <w:tcW w:w="1628" w:type="dxa"/>
            <w:tcBorders>
              <w:tl2br w:val="nil"/>
              <w:tr2bl w:val="nil"/>
            </w:tcBorders>
            <w:vAlign w:val="center"/>
          </w:tcPr>
          <w:p>
            <w:pPr>
              <w:jc w:val="center"/>
              <w:rPr>
                <w:b/>
                <w:bCs/>
                <w:color w:val="auto"/>
                <w:szCs w:val="21"/>
                <w:lang w:bidi="ar"/>
              </w:rPr>
            </w:pPr>
            <w:r>
              <w:rPr>
                <w:b/>
                <w:bCs/>
                <w:color w:val="auto"/>
              </w:rPr>
              <w:t>0.67</w:t>
            </w:r>
          </w:p>
        </w:tc>
        <w:tc>
          <w:tcPr>
            <w:tcW w:w="1711" w:type="dxa"/>
            <w:tcBorders>
              <w:tl2br w:val="nil"/>
              <w:tr2bl w:val="nil"/>
            </w:tcBorders>
            <w:vAlign w:val="center"/>
          </w:tcPr>
          <w:p>
            <w:pPr>
              <w:jc w:val="center"/>
              <w:rPr>
                <w:b/>
                <w:bCs/>
                <w:color w:val="auto"/>
                <w:szCs w:val="21"/>
                <w:lang w:bidi="ar"/>
              </w:rPr>
            </w:pPr>
            <w:r>
              <w:rPr>
                <w:b/>
                <w:bCs/>
                <w:color w:val="auto"/>
              </w:rPr>
              <w:t>0.0507</w:t>
            </w:r>
          </w:p>
        </w:tc>
        <w:tc>
          <w:tcPr>
            <w:tcW w:w="1621" w:type="dxa"/>
            <w:tcBorders>
              <w:tl2br w:val="nil"/>
              <w:tr2bl w:val="nil"/>
            </w:tcBorders>
            <w:vAlign w:val="center"/>
          </w:tcPr>
          <w:p>
            <w:pPr>
              <w:jc w:val="center"/>
              <w:rPr>
                <w:b/>
                <w:bCs/>
                <w:color w:val="auto"/>
                <w:szCs w:val="21"/>
                <w:lang w:bidi="ar"/>
              </w:rPr>
            </w:pPr>
            <w:r>
              <w:rPr>
                <w:b/>
                <w:bCs/>
                <w:color w:val="auto"/>
              </w:rPr>
              <w:t>0.51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lang w:bidi="ar"/>
              </w:rPr>
            </w:pPr>
            <w:r>
              <w:rPr>
                <w:color w:val="auto"/>
                <w:szCs w:val="21"/>
                <w:lang w:bidi="ar"/>
              </w:rPr>
              <w:t>25</w:t>
            </w:r>
          </w:p>
        </w:tc>
        <w:tc>
          <w:tcPr>
            <w:tcW w:w="1983" w:type="dxa"/>
            <w:tcBorders>
              <w:tl2br w:val="nil"/>
              <w:tr2bl w:val="nil"/>
            </w:tcBorders>
            <w:vAlign w:val="center"/>
          </w:tcPr>
          <w:p>
            <w:pPr>
              <w:jc w:val="center"/>
              <w:rPr>
                <w:color w:val="auto"/>
                <w:szCs w:val="21"/>
                <w:lang w:bidi="ar"/>
              </w:rPr>
            </w:pPr>
            <w:r>
              <w:rPr>
                <w:color w:val="auto"/>
              </w:rPr>
              <w:t>0.8788</w:t>
            </w:r>
          </w:p>
        </w:tc>
        <w:tc>
          <w:tcPr>
            <w:tcW w:w="1628" w:type="dxa"/>
            <w:tcBorders>
              <w:tl2br w:val="nil"/>
              <w:tr2bl w:val="nil"/>
            </w:tcBorders>
            <w:vAlign w:val="center"/>
          </w:tcPr>
          <w:p>
            <w:pPr>
              <w:jc w:val="center"/>
              <w:rPr>
                <w:color w:val="auto"/>
                <w:szCs w:val="21"/>
                <w:lang w:bidi="ar"/>
              </w:rPr>
            </w:pPr>
            <w:r>
              <w:rPr>
                <w:color w:val="auto"/>
              </w:rPr>
              <w:t>0.44</w:t>
            </w:r>
          </w:p>
        </w:tc>
        <w:tc>
          <w:tcPr>
            <w:tcW w:w="1711" w:type="dxa"/>
            <w:tcBorders>
              <w:tl2br w:val="nil"/>
              <w:tr2bl w:val="nil"/>
            </w:tcBorders>
            <w:vAlign w:val="center"/>
          </w:tcPr>
          <w:p>
            <w:pPr>
              <w:jc w:val="center"/>
              <w:rPr>
                <w:color w:val="auto"/>
                <w:szCs w:val="21"/>
                <w:lang w:bidi="ar"/>
              </w:rPr>
            </w:pPr>
            <w:r>
              <w:rPr>
                <w:color w:val="auto"/>
              </w:rPr>
              <w:t>0.0333</w:t>
            </w:r>
          </w:p>
        </w:tc>
        <w:tc>
          <w:tcPr>
            <w:tcW w:w="1621" w:type="dxa"/>
            <w:tcBorders>
              <w:tl2br w:val="nil"/>
              <w:tr2bl w:val="nil"/>
            </w:tcBorders>
            <w:vAlign w:val="center"/>
          </w:tcPr>
          <w:p>
            <w:pPr>
              <w:jc w:val="center"/>
              <w:rPr>
                <w:color w:val="auto"/>
                <w:szCs w:val="21"/>
                <w:lang w:bidi="ar"/>
              </w:rPr>
            </w:pPr>
            <w:r>
              <w:rPr>
                <w:color w:val="auto"/>
              </w:rPr>
              <w:t>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lang w:bidi="ar"/>
              </w:rPr>
            </w:pPr>
            <w:r>
              <w:rPr>
                <w:color w:val="auto"/>
                <w:szCs w:val="21"/>
                <w:lang w:bidi="ar"/>
              </w:rPr>
              <w:t>50</w:t>
            </w:r>
          </w:p>
        </w:tc>
        <w:tc>
          <w:tcPr>
            <w:tcW w:w="1983" w:type="dxa"/>
            <w:tcBorders>
              <w:tl2br w:val="nil"/>
              <w:tr2bl w:val="nil"/>
            </w:tcBorders>
            <w:vAlign w:val="center"/>
          </w:tcPr>
          <w:p>
            <w:pPr>
              <w:jc w:val="center"/>
              <w:rPr>
                <w:color w:val="auto"/>
                <w:szCs w:val="21"/>
                <w:lang w:bidi="ar"/>
              </w:rPr>
            </w:pPr>
            <w:r>
              <w:rPr>
                <w:color w:val="auto"/>
              </w:rPr>
              <w:t>0.4336</w:t>
            </w:r>
          </w:p>
        </w:tc>
        <w:tc>
          <w:tcPr>
            <w:tcW w:w="1628" w:type="dxa"/>
            <w:tcBorders>
              <w:tl2br w:val="nil"/>
              <w:tr2bl w:val="nil"/>
            </w:tcBorders>
            <w:vAlign w:val="center"/>
          </w:tcPr>
          <w:p>
            <w:pPr>
              <w:jc w:val="center"/>
              <w:rPr>
                <w:color w:val="auto"/>
                <w:szCs w:val="21"/>
                <w:lang w:bidi="ar"/>
              </w:rPr>
            </w:pPr>
            <w:r>
              <w:rPr>
                <w:color w:val="auto"/>
              </w:rPr>
              <w:t>0.22</w:t>
            </w:r>
          </w:p>
        </w:tc>
        <w:tc>
          <w:tcPr>
            <w:tcW w:w="1711" w:type="dxa"/>
            <w:tcBorders>
              <w:tl2br w:val="nil"/>
              <w:tr2bl w:val="nil"/>
            </w:tcBorders>
            <w:vAlign w:val="center"/>
          </w:tcPr>
          <w:p>
            <w:pPr>
              <w:jc w:val="center"/>
              <w:rPr>
                <w:color w:val="auto"/>
                <w:szCs w:val="21"/>
                <w:lang w:bidi="ar"/>
              </w:rPr>
            </w:pPr>
            <w:r>
              <w:rPr>
                <w:color w:val="auto"/>
              </w:rPr>
              <w:t>0.0164</w:t>
            </w:r>
          </w:p>
        </w:tc>
        <w:tc>
          <w:tcPr>
            <w:tcW w:w="1621" w:type="dxa"/>
            <w:tcBorders>
              <w:tl2br w:val="nil"/>
              <w:tr2bl w:val="nil"/>
            </w:tcBorders>
            <w:vAlign w:val="center"/>
          </w:tcPr>
          <w:p>
            <w:pPr>
              <w:jc w:val="center"/>
              <w:rPr>
                <w:color w:val="auto"/>
                <w:szCs w:val="21"/>
                <w:lang w:bidi="ar"/>
              </w:rPr>
            </w:pPr>
            <w:r>
              <w:rPr>
                <w:color w:val="auto"/>
              </w:rPr>
              <w:t>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75</w:t>
            </w:r>
          </w:p>
        </w:tc>
        <w:tc>
          <w:tcPr>
            <w:tcW w:w="1983" w:type="dxa"/>
            <w:tcBorders>
              <w:tl2br w:val="nil"/>
              <w:tr2bl w:val="nil"/>
            </w:tcBorders>
            <w:vAlign w:val="center"/>
          </w:tcPr>
          <w:p>
            <w:pPr>
              <w:jc w:val="center"/>
              <w:rPr>
                <w:color w:val="auto"/>
                <w:szCs w:val="21"/>
                <w:lang w:bidi="ar"/>
              </w:rPr>
            </w:pPr>
            <w:r>
              <w:rPr>
                <w:color w:val="auto"/>
              </w:rPr>
              <w:t>0.3572</w:t>
            </w:r>
          </w:p>
        </w:tc>
        <w:tc>
          <w:tcPr>
            <w:tcW w:w="1628" w:type="dxa"/>
            <w:tcBorders>
              <w:tl2br w:val="nil"/>
              <w:tr2bl w:val="nil"/>
            </w:tcBorders>
            <w:vAlign w:val="center"/>
          </w:tcPr>
          <w:p>
            <w:pPr>
              <w:jc w:val="center"/>
              <w:rPr>
                <w:color w:val="auto"/>
                <w:szCs w:val="21"/>
                <w:lang w:bidi="ar"/>
              </w:rPr>
            </w:pPr>
            <w:r>
              <w:rPr>
                <w:color w:val="auto"/>
              </w:rPr>
              <w:t>0.18</w:t>
            </w:r>
          </w:p>
        </w:tc>
        <w:tc>
          <w:tcPr>
            <w:tcW w:w="1711" w:type="dxa"/>
            <w:tcBorders>
              <w:tl2br w:val="nil"/>
              <w:tr2bl w:val="nil"/>
            </w:tcBorders>
            <w:vAlign w:val="center"/>
          </w:tcPr>
          <w:p>
            <w:pPr>
              <w:jc w:val="center"/>
              <w:rPr>
                <w:color w:val="auto"/>
                <w:szCs w:val="21"/>
                <w:lang w:bidi="ar"/>
              </w:rPr>
            </w:pPr>
            <w:r>
              <w:rPr>
                <w:color w:val="auto"/>
              </w:rPr>
              <w:t>0.0135</w:t>
            </w:r>
          </w:p>
        </w:tc>
        <w:tc>
          <w:tcPr>
            <w:tcW w:w="1621" w:type="dxa"/>
            <w:tcBorders>
              <w:tl2br w:val="nil"/>
              <w:tr2bl w:val="nil"/>
            </w:tcBorders>
            <w:vAlign w:val="center"/>
          </w:tcPr>
          <w:p>
            <w:pPr>
              <w:jc w:val="center"/>
              <w:rPr>
                <w:color w:val="auto"/>
                <w:szCs w:val="21"/>
                <w:lang w:bidi="ar"/>
              </w:rPr>
            </w:pPr>
            <w:r>
              <w:rPr>
                <w:color w:val="auto"/>
              </w:rPr>
              <w:t>0.14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100</w:t>
            </w:r>
          </w:p>
        </w:tc>
        <w:tc>
          <w:tcPr>
            <w:tcW w:w="1983" w:type="dxa"/>
            <w:tcBorders>
              <w:tl2br w:val="nil"/>
              <w:tr2bl w:val="nil"/>
            </w:tcBorders>
            <w:vAlign w:val="center"/>
          </w:tcPr>
          <w:p>
            <w:pPr>
              <w:jc w:val="center"/>
              <w:rPr>
                <w:color w:val="auto"/>
                <w:szCs w:val="21"/>
                <w:lang w:bidi="ar"/>
              </w:rPr>
            </w:pPr>
            <w:r>
              <w:rPr>
                <w:color w:val="auto"/>
              </w:rPr>
              <w:t>0.3261</w:t>
            </w:r>
          </w:p>
        </w:tc>
        <w:tc>
          <w:tcPr>
            <w:tcW w:w="1628" w:type="dxa"/>
            <w:tcBorders>
              <w:tl2br w:val="nil"/>
              <w:tr2bl w:val="nil"/>
            </w:tcBorders>
            <w:vAlign w:val="center"/>
          </w:tcPr>
          <w:p>
            <w:pPr>
              <w:jc w:val="center"/>
              <w:rPr>
                <w:color w:val="auto"/>
                <w:szCs w:val="21"/>
                <w:lang w:bidi="ar"/>
              </w:rPr>
            </w:pPr>
            <w:r>
              <w:rPr>
                <w:color w:val="auto"/>
              </w:rPr>
              <w:t>0.16</w:t>
            </w:r>
          </w:p>
        </w:tc>
        <w:tc>
          <w:tcPr>
            <w:tcW w:w="1711" w:type="dxa"/>
            <w:tcBorders>
              <w:tl2br w:val="nil"/>
              <w:tr2bl w:val="nil"/>
            </w:tcBorders>
            <w:vAlign w:val="center"/>
          </w:tcPr>
          <w:p>
            <w:pPr>
              <w:jc w:val="center"/>
              <w:rPr>
                <w:color w:val="auto"/>
                <w:szCs w:val="21"/>
                <w:lang w:bidi="ar"/>
              </w:rPr>
            </w:pPr>
            <w:r>
              <w:rPr>
                <w:color w:val="auto"/>
              </w:rPr>
              <w:t>0.0124</w:t>
            </w:r>
          </w:p>
        </w:tc>
        <w:tc>
          <w:tcPr>
            <w:tcW w:w="1621" w:type="dxa"/>
            <w:tcBorders>
              <w:tl2br w:val="nil"/>
              <w:tr2bl w:val="nil"/>
            </w:tcBorders>
            <w:vAlign w:val="center"/>
          </w:tcPr>
          <w:p>
            <w:pPr>
              <w:jc w:val="center"/>
              <w:rPr>
                <w:color w:val="auto"/>
                <w:szCs w:val="21"/>
                <w:lang w:bidi="ar"/>
              </w:rPr>
            </w:pPr>
            <w:r>
              <w:rPr>
                <w:color w:val="auto"/>
              </w:rPr>
              <w:t>0.12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200</w:t>
            </w:r>
          </w:p>
        </w:tc>
        <w:tc>
          <w:tcPr>
            <w:tcW w:w="1983" w:type="dxa"/>
            <w:tcBorders>
              <w:tl2br w:val="nil"/>
              <w:tr2bl w:val="nil"/>
            </w:tcBorders>
            <w:vAlign w:val="center"/>
          </w:tcPr>
          <w:p>
            <w:pPr>
              <w:pStyle w:val="164"/>
              <w:spacing w:line="240" w:lineRule="auto"/>
              <w:rPr>
                <w:color w:val="auto"/>
                <w:szCs w:val="21"/>
                <w:lang w:bidi="ar"/>
              </w:rPr>
            </w:pPr>
            <w:r>
              <w:rPr>
                <w:color w:val="auto"/>
                <w:szCs w:val="21"/>
                <w:lang w:bidi="ar"/>
              </w:rPr>
              <w:t>0.2607</w:t>
            </w:r>
          </w:p>
        </w:tc>
        <w:tc>
          <w:tcPr>
            <w:tcW w:w="1628" w:type="dxa"/>
            <w:tcBorders>
              <w:tl2br w:val="nil"/>
              <w:tr2bl w:val="nil"/>
            </w:tcBorders>
            <w:vAlign w:val="center"/>
          </w:tcPr>
          <w:p>
            <w:pPr>
              <w:pStyle w:val="164"/>
              <w:spacing w:line="240" w:lineRule="auto"/>
              <w:rPr>
                <w:color w:val="auto"/>
                <w:szCs w:val="21"/>
                <w:lang w:bidi="ar"/>
              </w:rPr>
            </w:pPr>
            <w:r>
              <w:rPr>
                <w:color w:val="auto"/>
                <w:szCs w:val="21"/>
                <w:lang w:bidi="ar"/>
              </w:rPr>
              <w:t>0.13</w:t>
            </w:r>
          </w:p>
        </w:tc>
        <w:tc>
          <w:tcPr>
            <w:tcW w:w="1711" w:type="dxa"/>
            <w:tcBorders>
              <w:tl2br w:val="nil"/>
              <w:tr2bl w:val="nil"/>
            </w:tcBorders>
            <w:vAlign w:val="center"/>
          </w:tcPr>
          <w:p>
            <w:pPr>
              <w:pStyle w:val="164"/>
              <w:spacing w:line="240" w:lineRule="auto"/>
              <w:rPr>
                <w:color w:val="auto"/>
                <w:szCs w:val="21"/>
                <w:lang w:bidi="ar"/>
              </w:rPr>
            </w:pPr>
            <w:r>
              <w:rPr>
                <w:color w:val="auto"/>
                <w:szCs w:val="21"/>
                <w:lang w:bidi="ar"/>
              </w:rPr>
              <w:t>0.0099</w:t>
            </w:r>
          </w:p>
        </w:tc>
        <w:tc>
          <w:tcPr>
            <w:tcW w:w="1621"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300</w:t>
            </w:r>
          </w:p>
        </w:tc>
        <w:tc>
          <w:tcPr>
            <w:tcW w:w="1983" w:type="dxa"/>
            <w:tcBorders>
              <w:tl2br w:val="nil"/>
              <w:tr2bl w:val="nil"/>
            </w:tcBorders>
            <w:vAlign w:val="center"/>
          </w:tcPr>
          <w:p>
            <w:pPr>
              <w:pStyle w:val="164"/>
              <w:spacing w:line="240" w:lineRule="auto"/>
              <w:rPr>
                <w:color w:val="auto"/>
                <w:szCs w:val="21"/>
                <w:lang w:bidi="ar"/>
              </w:rPr>
            </w:pPr>
            <w:r>
              <w:rPr>
                <w:color w:val="auto"/>
                <w:szCs w:val="21"/>
                <w:lang w:bidi="ar"/>
              </w:rPr>
              <w:t>0.2215</w:t>
            </w:r>
          </w:p>
        </w:tc>
        <w:tc>
          <w:tcPr>
            <w:tcW w:w="1628" w:type="dxa"/>
            <w:tcBorders>
              <w:tl2br w:val="nil"/>
              <w:tr2bl w:val="nil"/>
            </w:tcBorders>
            <w:vAlign w:val="center"/>
          </w:tcPr>
          <w:p>
            <w:pPr>
              <w:pStyle w:val="164"/>
              <w:spacing w:line="240" w:lineRule="auto"/>
              <w:rPr>
                <w:color w:val="auto"/>
                <w:szCs w:val="21"/>
                <w:lang w:bidi="ar"/>
              </w:rPr>
            </w:pPr>
            <w:r>
              <w:rPr>
                <w:color w:val="auto"/>
                <w:szCs w:val="21"/>
                <w:lang w:bidi="ar"/>
              </w:rPr>
              <w:t>0.11</w:t>
            </w:r>
          </w:p>
        </w:tc>
        <w:tc>
          <w:tcPr>
            <w:tcW w:w="1711" w:type="dxa"/>
            <w:tcBorders>
              <w:tl2br w:val="nil"/>
              <w:tr2bl w:val="nil"/>
            </w:tcBorders>
            <w:vAlign w:val="center"/>
          </w:tcPr>
          <w:p>
            <w:pPr>
              <w:pStyle w:val="164"/>
              <w:spacing w:line="240" w:lineRule="auto"/>
              <w:rPr>
                <w:color w:val="auto"/>
                <w:szCs w:val="21"/>
                <w:lang w:bidi="ar"/>
              </w:rPr>
            </w:pPr>
            <w:r>
              <w:rPr>
                <w:color w:val="auto"/>
                <w:szCs w:val="21"/>
                <w:lang w:bidi="ar"/>
              </w:rPr>
              <w:t>0.0084</w:t>
            </w:r>
          </w:p>
        </w:tc>
        <w:tc>
          <w:tcPr>
            <w:tcW w:w="1621"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400</w:t>
            </w:r>
          </w:p>
        </w:tc>
        <w:tc>
          <w:tcPr>
            <w:tcW w:w="1983" w:type="dxa"/>
            <w:tcBorders>
              <w:tl2br w:val="nil"/>
              <w:tr2bl w:val="nil"/>
            </w:tcBorders>
            <w:vAlign w:val="center"/>
          </w:tcPr>
          <w:p>
            <w:pPr>
              <w:pStyle w:val="164"/>
              <w:spacing w:line="240" w:lineRule="auto"/>
              <w:rPr>
                <w:color w:val="auto"/>
                <w:szCs w:val="21"/>
                <w:lang w:bidi="ar"/>
              </w:rPr>
            </w:pPr>
            <w:r>
              <w:rPr>
                <w:color w:val="auto"/>
                <w:szCs w:val="21"/>
                <w:lang w:bidi="ar"/>
              </w:rPr>
              <w:t>0.1913</w:t>
            </w:r>
          </w:p>
        </w:tc>
        <w:tc>
          <w:tcPr>
            <w:tcW w:w="1628" w:type="dxa"/>
            <w:tcBorders>
              <w:tl2br w:val="nil"/>
              <w:tr2bl w:val="nil"/>
            </w:tcBorders>
            <w:vAlign w:val="center"/>
          </w:tcPr>
          <w:p>
            <w:pPr>
              <w:pStyle w:val="164"/>
              <w:spacing w:line="240" w:lineRule="auto"/>
              <w:rPr>
                <w:color w:val="auto"/>
                <w:szCs w:val="21"/>
                <w:lang w:bidi="ar"/>
              </w:rPr>
            </w:pPr>
            <w:r>
              <w:rPr>
                <w:color w:val="auto"/>
                <w:szCs w:val="21"/>
                <w:lang w:bidi="ar"/>
              </w:rPr>
              <w:t>0.10</w:t>
            </w:r>
          </w:p>
        </w:tc>
        <w:tc>
          <w:tcPr>
            <w:tcW w:w="1711" w:type="dxa"/>
            <w:tcBorders>
              <w:tl2br w:val="nil"/>
              <w:tr2bl w:val="nil"/>
            </w:tcBorders>
            <w:vAlign w:val="center"/>
          </w:tcPr>
          <w:p>
            <w:pPr>
              <w:pStyle w:val="164"/>
              <w:spacing w:line="240" w:lineRule="auto"/>
              <w:rPr>
                <w:color w:val="auto"/>
                <w:szCs w:val="21"/>
                <w:lang w:bidi="ar"/>
              </w:rPr>
            </w:pPr>
            <w:r>
              <w:rPr>
                <w:color w:val="auto"/>
                <w:szCs w:val="21"/>
                <w:lang w:bidi="ar"/>
              </w:rPr>
              <w:t>0.0073</w:t>
            </w:r>
          </w:p>
        </w:tc>
        <w:tc>
          <w:tcPr>
            <w:tcW w:w="1621"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500</w:t>
            </w:r>
          </w:p>
        </w:tc>
        <w:tc>
          <w:tcPr>
            <w:tcW w:w="1983" w:type="dxa"/>
            <w:tcBorders>
              <w:tl2br w:val="nil"/>
              <w:tr2bl w:val="nil"/>
            </w:tcBorders>
            <w:vAlign w:val="center"/>
          </w:tcPr>
          <w:p>
            <w:pPr>
              <w:pStyle w:val="164"/>
              <w:spacing w:line="240" w:lineRule="auto"/>
              <w:rPr>
                <w:color w:val="auto"/>
                <w:szCs w:val="21"/>
                <w:lang w:bidi="ar"/>
              </w:rPr>
            </w:pPr>
            <w:r>
              <w:rPr>
                <w:color w:val="auto"/>
                <w:szCs w:val="21"/>
                <w:lang w:bidi="ar"/>
              </w:rPr>
              <w:t>0.1675</w:t>
            </w:r>
          </w:p>
        </w:tc>
        <w:tc>
          <w:tcPr>
            <w:tcW w:w="1628" w:type="dxa"/>
            <w:tcBorders>
              <w:tl2br w:val="nil"/>
              <w:tr2bl w:val="nil"/>
            </w:tcBorders>
            <w:vAlign w:val="center"/>
          </w:tcPr>
          <w:p>
            <w:pPr>
              <w:pStyle w:val="164"/>
              <w:spacing w:line="240" w:lineRule="auto"/>
              <w:rPr>
                <w:color w:val="auto"/>
                <w:szCs w:val="21"/>
                <w:lang w:bidi="ar"/>
              </w:rPr>
            </w:pPr>
            <w:r>
              <w:rPr>
                <w:color w:val="auto"/>
                <w:szCs w:val="21"/>
                <w:lang w:bidi="ar"/>
              </w:rPr>
              <w:t>0.08</w:t>
            </w:r>
          </w:p>
        </w:tc>
        <w:tc>
          <w:tcPr>
            <w:tcW w:w="1711" w:type="dxa"/>
            <w:tcBorders>
              <w:tl2br w:val="nil"/>
              <w:tr2bl w:val="nil"/>
            </w:tcBorders>
            <w:vAlign w:val="center"/>
          </w:tcPr>
          <w:p>
            <w:pPr>
              <w:pStyle w:val="164"/>
              <w:spacing w:line="240" w:lineRule="auto"/>
              <w:rPr>
                <w:color w:val="auto"/>
                <w:szCs w:val="21"/>
                <w:lang w:bidi="ar"/>
              </w:rPr>
            </w:pPr>
            <w:r>
              <w:rPr>
                <w:color w:val="auto"/>
                <w:szCs w:val="21"/>
                <w:lang w:bidi="ar"/>
              </w:rPr>
              <w:t>0.0064</w:t>
            </w:r>
          </w:p>
        </w:tc>
        <w:tc>
          <w:tcPr>
            <w:tcW w:w="1621"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700</w:t>
            </w:r>
          </w:p>
        </w:tc>
        <w:tc>
          <w:tcPr>
            <w:tcW w:w="1983" w:type="dxa"/>
            <w:tcBorders>
              <w:tl2br w:val="nil"/>
              <w:tr2bl w:val="nil"/>
            </w:tcBorders>
            <w:vAlign w:val="center"/>
          </w:tcPr>
          <w:p>
            <w:pPr>
              <w:pStyle w:val="164"/>
              <w:spacing w:line="240" w:lineRule="auto"/>
              <w:rPr>
                <w:color w:val="auto"/>
                <w:szCs w:val="21"/>
                <w:lang w:bidi="ar"/>
              </w:rPr>
            </w:pPr>
            <w:r>
              <w:rPr>
                <w:color w:val="auto"/>
                <w:szCs w:val="21"/>
                <w:lang w:bidi="ar"/>
              </w:rPr>
              <w:t>0.1328</w:t>
            </w:r>
          </w:p>
        </w:tc>
        <w:tc>
          <w:tcPr>
            <w:tcW w:w="1628" w:type="dxa"/>
            <w:tcBorders>
              <w:tl2br w:val="nil"/>
              <w:tr2bl w:val="nil"/>
            </w:tcBorders>
            <w:vAlign w:val="center"/>
          </w:tcPr>
          <w:p>
            <w:pPr>
              <w:pStyle w:val="164"/>
              <w:spacing w:line="240" w:lineRule="auto"/>
              <w:rPr>
                <w:color w:val="auto"/>
                <w:szCs w:val="21"/>
                <w:lang w:bidi="ar"/>
              </w:rPr>
            </w:pPr>
            <w:r>
              <w:rPr>
                <w:color w:val="auto"/>
                <w:szCs w:val="21"/>
                <w:lang w:bidi="ar"/>
              </w:rPr>
              <w:t>0.07</w:t>
            </w:r>
          </w:p>
        </w:tc>
        <w:tc>
          <w:tcPr>
            <w:tcW w:w="1711" w:type="dxa"/>
            <w:tcBorders>
              <w:tl2br w:val="nil"/>
              <w:tr2bl w:val="nil"/>
            </w:tcBorders>
            <w:vAlign w:val="center"/>
          </w:tcPr>
          <w:p>
            <w:pPr>
              <w:pStyle w:val="164"/>
              <w:spacing w:line="240" w:lineRule="auto"/>
              <w:rPr>
                <w:color w:val="auto"/>
                <w:szCs w:val="21"/>
                <w:lang w:bidi="ar"/>
              </w:rPr>
            </w:pPr>
            <w:r>
              <w:rPr>
                <w:color w:val="auto"/>
                <w:szCs w:val="21"/>
                <w:lang w:bidi="ar"/>
              </w:rPr>
              <w:t>0.0050</w:t>
            </w:r>
          </w:p>
        </w:tc>
        <w:tc>
          <w:tcPr>
            <w:tcW w:w="1621"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1000</w:t>
            </w:r>
          </w:p>
        </w:tc>
        <w:tc>
          <w:tcPr>
            <w:tcW w:w="1983" w:type="dxa"/>
            <w:tcBorders>
              <w:tl2br w:val="nil"/>
              <w:tr2bl w:val="nil"/>
            </w:tcBorders>
            <w:vAlign w:val="center"/>
          </w:tcPr>
          <w:p>
            <w:pPr>
              <w:pStyle w:val="164"/>
              <w:spacing w:line="240" w:lineRule="auto"/>
              <w:rPr>
                <w:color w:val="auto"/>
                <w:szCs w:val="21"/>
                <w:lang w:bidi="ar"/>
              </w:rPr>
            </w:pPr>
            <w:r>
              <w:rPr>
                <w:color w:val="auto"/>
                <w:szCs w:val="21"/>
                <w:lang w:bidi="ar"/>
              </w:rPr>
              <w:t>0.1008</w:t>
            </w:r>
          </w:p>
        </w:tc>
        <w:tc>
          <w:tcPr>
            <w:tcW w:w="1628" w:type="dxa"/>
            <w:tcBorders>
              <w:tl2br w:val="nil"/>
              <w:tr2bl w:val="nil"/>
            </w:tcBorders>
            <w:vAlign w:val="center"/>
          </w:tcPr>
          <w:p>
            <w:pPr>
              <w:pStyle w:val="164"/>
              <w:spacing w:line="240" w:lineRule="auto"/>
              <w:rPr>
                <w:color w:val="auto"/>
                <w:szCs w:val="21"/>
                <w:lang w:bidi="ar"/>
              </w:rPr>
            </w:pPr>
            <w:r>
              <w:rPr>
                <w:color w:val="auto"/>
                <w:szCs w:val="21"/>
                <w:lang w:bidi="ar"/>
              </w:rPr>
              <w:t>0.05</w:t>
            </w:r>
          </w:p>
        </w:tc>
        <w:tc>
          <w:tcPr>
            <w:tcW w:w="1711" w:type="dxa"/>
            <w:tcBorders>
              <w:tl2br w:val="nil"/>
              <w:tr2bl w:val="nil"/>
            </w:tcBorders>
            <w:vAlign w:val="center"/>
          </w:tcPr>
          <w:p>
            <w:pPr>
              <w:pStyle w:val="164"/>
              <w:spacing w:line="240" w:lineRule="auto"/>
              <w:rPr>
                <w:color w:val="auto"/>
                <w:szCs w:val="21"/>
                <w:lang w:bidi="ar"/>
              </w:rPr>
            </w:pPr>
            <w:r>
              <w:rPr>
                <w:color w:val="auto"/>
                <w:szCs w:val="21"/>
                <w:lang w:bidi="ar"/>
              </w:rPr>
              <w:t>0.0038</w:t>
            </w:r>
          </w:p>
        </w:tc>
        <w:tc>
          <w:tcPr>
            <w:tcW w:w="1621"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1500</w:t>
            </w:r>
          </w:p>
        </w:tc>
        <w:tc>
          <w:tcPr>
            <w:tcW w:w="1983" w:type="dxa"/>
            <w:tcBorders>
              <w:tl2br w:val="nil"/>
              <w:tr2bl w:val="nil"/>
            </w:tcBorders>
            <w:vAlign w:val="center"/>
          </w:tcPr>
          <w:p>
            <w:pPr>
              <w:pStyle w:val="164"/>
              <w:spacing w:line="240" w:lineRule="auto"/>
              <w:rPr>
                <w:color w:val="auto"/>
                <w:szCs w:val="21"/>
                <w:lang w:bidi="ar"/>
              </w:rPr>
            </w:pPr>
            <w:r>
              <w:rPr>
                <w:color w:val="auto"/>
                <w:szCs w:val="21"/>
                <w:lang w:bidi="ar"/>
              </w:rPr>
              <w:t>0.0723</w:t>
            </w:r>
          </w:p>
        </w:tc>
        <w:tc>
          <w:tcPr>
            <w:tcW w:w="1628" w:type="dxa"/>
            <w:tcBorders>
              <w:tl2br w:val="nil"/>
              <w:tr2bl w:val="nil"/>
            </w:tcBorders>
            <w:vAlign w:val="center"/>
          </w:tcPr>
          <w:p>
            <w:pPr>
              <w:pStyle w:val="164"/>
              <w:spacing w:line="240" w:lineRule="auto"/>
              <w:rPr>
                <w:color w:val="auto"/>
                <w:szCs w:val="21"/>
                <w:lang w:bidi="ar"/>
              </w:rPr>
            </w:pPr>
            <w:r>
              <w:rPr>
                <w:color w:val="auto"/>
                <w:szCs w:val="21"/>
                <w:lang w:bidi="ar"/>
              </w:rPr>
              <w:t>0.04</w:t>
            </w:r>
          </w:p>
        </w:tc>
        <w:tc>
          <w:tcPr>
            <w:tcW w:w="1711" w:type="dxa"/>
            <w:tcBorders>
              <w:tl2br w:val="nil"/>
              <w:tr2bl w:val="nil"/>
            </w:tcBorders>
            <w:vAlign w:val="center"/>
          </w:tcPr>
          <w:p>
            <w:pPr>
              <w:pStyle w:val="164"/>
              <w:spacing w:line="240" w:lineRule="auto"/>
              <w:rPr>
                <w:color w:val="auto"/>
                <w:szCs w:val="21"/>
                <w:lang w:bidi="ar"/>
              </w:rPr>
            </w:pPr>
            <w:r>
              <w:rPr>
                <w:color w:val="auto"/>
                <w:szCs w:val="21"/>
                <w:lang w:bidi="ar"/>
              </w:rPr>
              <w:t>0.0027</w:t>
            </w:r>
          </w:p>
        </w:tc>
        <w:tc>
          <w:tcPr>
            <w:tcW w:w="1621"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2000</w:t>
            </w:r>
          </w:p>
        </w:tc>
        <w:tc>
          <w:tcPr>
            <w:tcW w:w="1983" w:type="dxa"/>
            <w:tcBorders>
              <w:tl2br w:val="nil"/>
              <w:tr2bl w:val="nil"/>
            </w:tcBorders>
            <w:vAlign w:val="center"/>
          </w:tcPr>
          <w:p>
            <w:pPr>
              <w:pStyle w:val="164"/>
              <w:spacing w:line="240" w:lineRule="auto"/>
              <w:rPr>
                <w:color w:val="auto"/>
                <w:szCs w:val="21"/>
                <w:lang w:bidi="ar"/>
              </w:rPr>
            </w:pPr>
            <w:r>
              <w:rPr>
                <w:color w:val="auto"/>
                <w:szCs w:val="21"/>
                <w:lang w:bidi="ar"/>
              </w:rPr>
              <w:t>0.0576</w:t>
            </w:r>
          </w:p>
        </w:tc>
        <w:tc>
          <w:tcPr>
            <w:tcW w:w="1628" w:type="dxa"/>
            <w:tcBorders>
              <w:tl2br w:val="nil"/>
              <w:tr2bl w:val="nil"/>
            </w:tcBorders>
            <w:vAlign w:val="center"/>
          </w:tcPr>
          <w:p>
            <w:pPr>
              <w:pStyle w:val="164"/>
              <w:spacing w:line="240" w:lineRule="auto"/>
              <w:rPr>
                <w:color w:val="auto"/>
                <w:szCs w:val="21"/>
                <w:lang w:bidi="ar"/>
              </w:rPr>
            </w:pPr>
            <w:r>
              <w:rPr>
                <w:color w:val="auto"/>
                <w:szCs w:val="21"/>
                <w:lang w:bidi="ar"/>
              </w:rPr>
              <w:t>0.03</w:t>
            </w:r>
          </w:p>
        </w:tc>
        <w:tc>
          <w:tcPr>
            <w:tcW w:w="1711" w:type="dxa"/>
            <w:tcBorders>
              <w:tl2br w:val="nil"/>
              <w:tr2bl w:val="nil"/>
            </w:tcBorders>
            <w:vAlign w:val="center"/>
          </w:tcPr>
          <w:p>
            <w:pPr>
              <w:pStyle w:val="164"/>
              <w:spacing w:line="240" w:lineRule="auto"/>
              <w:rPr>
                <w:color w:val="auto"/>
                <w:szCs w:val="21"/>
                <w:lang w:bidi="ar"/>
              </w:rPr>
            </w:pPr>
            <w:r>
              <w:rPr>
                <w:color w:val="auto"/>
                <w:szCs w:val="21"/>
                <w:lang w:bidi="ar"/>
              </w:rPr>
              <w:t>0.0022</w:t>
            </w:r>
          </w:p>
        </w:tc>
        <w:tc>
          <w:tcPr>
            <w:tcW w:w="1621"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7" w:hRule="atLeast"/>
          <w:jc w:val="center"/>
        </w:trPr>
        <w:tc>
          <w:tcPr>
            <w:tcW w:w="1894" w:type="dxa"/>
            <w:tcBorders>
              <w:tl2br w:val="nil"/>
              <w:tr2bl w:val="nil"/>
            </w:tcBorders>
            <w:vAlign w:val="center"/>
          </w:tcPr>
          <w:p>
            <w:pPr>
              <w:pStyle w:val="164"/>
              <w:rPr>
                <w:color w:val="auto"/>
                <w:szCs w:val="21"/>
              </w:rPr>
            </w:pPr>
            <w:r>
              <w:rPr>
                <w:color w:val="auto"/>
                <w:szCs w:val="21"/>
                <w:lang w:bidi="ar"/>
              </w:rPr>
              <w:t>2500</w:t>
            </w:r>
          </w:p>
        </w:tc>
        <w:tc>
          <w:tcPr>
            <w:tcW w:w="1983" w:type="dxa"/>
            <w:tcBorders>
              <w:tl2br w:val="nil"/>
              <w:tr2bl w:val="nil"/>
            </w:tcBorders>
            <w:vAlign w:val="center"/>
          </w:tcPr>
          <w:p>
            <w:pPr>
              <w:pStyle w:val="164"/>
              <w:spacing w:line="240" w:lineRule="auto"/>
              <w:rPr>
                <w:color w:val="auto"/>
                <w:szCs w:val="21"/>
                <w:lang w:bidi="ar"/>
              </w:rPr>
            </w:pPr>
            <w:r>
              <w:rPr>
                <w:color w:val="auto"/>
                <w:szCs w:val="21"/>
                <w:lang w:bidi="ar"/>
              </w:rPr>
              <w:t>0.0487</w:t>
            </w:r>
          </w:p>
        </w:tc>
        <w:tc>
          <w:tcPr>
            <w:tcW w:w="1628"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.02</w:t>
            </w:r>
          </w:p>
        </w:tc>
        <w:tc>
          <w:tcPr>
            <w:tcW w:w="1711" w:type="dxa"/>
            <w:tcBorders>
              <w:tl2br w:val="nil"/>
              <w:tr2bl w:val="nil"/>
            </w:tcBorders>
            <w:vAlign w:val="center"/>
          </w:tcPr>
          <w:p>
            <w:pPr>
              <w:pStyle w:val="164"/>
              <w:spacing w:line="240" w:lineRule="auto"/>
              <w:rPr>
                <w:color w:val="auto"/>
                <w:szCs w:val="21"/>
                <w:lang w:bidi="ar"/>
              </w:rPr>
            </w:pPr>
            <w:r>
              <w:rPr>
                <w:color w:val="auto"/>
                <w:szCs w:val="21"/>
                <w:lang w:bidi="ar"/>
              </w:rPr>
              <w:t>0.0018</w:t>
            </w:r>
          </w:p>
        </w:tc>
        <w:tc>
          <w:tcPr>
            <w:tcW w:w="1621" w:type="dxa"/>
            <w:tcBorders>
              <w:tl2br w:val="nil"/>
              <w:tr2bl w:val="nil"/>
            </w:tcBorders>
            <w:vAlign w:val="center"/>
          </w:tcPr>
          <w:p>
            <w:pPr>
              <w:pStyle w:val="164"/>
              <w:spacing w:line="240" w:lineRule="auto"/>
              <w:rPr>
                <w:color w:val="auto"/>
                <w:szCs w:val="21"/>
                <w:lang w:bidi="ar"/>
              </w:rPr>
            </w:pPr>
            <w:r>
              <w:rPr>
                <w:rFonts w:hint="eastAsia"/>
                <w:color w:val="auto"/>
                <w:szCs w:val="21"/>
                <w:lang w:bidi="ar"/>
              </w:rPr>
              <w:t>0</w:t>
            </w:r>
            <w:r>
              <w:rPr>
                <w:color w:val="auto"/>
                <w:szCs w:val="21"/>
                <w:lang w:bidi="ar"/>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1894" w:type="dxa"/>
            <w:tcBorders>
              <w:tl2br w:val="nil"/>
              <w:tr2bl w:val="nil"/>
            </w:tcBorders>
            <w:vAlign w:val="center"/>
          </w:tcPr>
          <w:p>
            <w:pPr>
              <w:pStyle w:val="164"/>
              <w:rPr>
                <w:color w:val="auto"/>
                <w:szCs w:val="21"/>
              </w:rPr>
            </w:pPr>
            <w:r>
              <w:rPr>
                <w:color w:val="auto"/>
                <w:szCs w:val="21"/>
              </w:rPr>
              <w:t>下风向最大质量浓度及占标率/%</w:t>
            </w:r>
          </w:p>
        </w:tc>
        <w:tc>
          <w:tcPr>
            <w:tcW w:w="1983" w:type="dxa"/>
            <w:tcBorders>
              <w:tl2br w:val="nil"/>
              <w:tr2bl w:val="nil"/>
            </w:tcBorders>
            <w:vAlign w:val="center"/>
          </w:tcPr>
          <w:p>
            <w:pPr>
              <w:jc w:val="center"/>
              <w:rPr>
                <w:color w:val="auto"/>
                <w:szCs w:val="21"/>
                <w:lang w:bidi="ar"/>
              </w:rPr>
            </w:pPr>
            <w:r>
              <w:rPr>
                <w:color w:val="auto"/>
              </w:rPr>
              <w:t>1.3372</w:t>
            </w:r>
          </w:p>
        </w:tc>
        <w:tc>
          <w:tcPr>
            <w:tcW w:w="1628" w:type="dxa"/>
            <w:tcBorders>
              <w:tl2br w:val="nil"/>
              <w:tr2bl w:val="nil"/>
            </w:tcBorders>
            <w:vAlign w:val="center"/>
          </w:tcPr>
          <w:p>
            <w:pPr>
              <w:jc w:val="center"/>
              <w:rPr>
                <w:color w:val="auto"/>
                <w:szCs w:val="21"/>
                <w:lang w:bidi="ar"/>
              </w:rPr>
            </w:pPr>
            <w:r>
              <w:rPr>
                <w:color w:val="auto"/>
              </w:rPr>
              <w:t>0.67</w:t>
            </w:r>
          </w:p>
        </w:tc>
        <w:tc>
          <w:tcPr>
            <w:tcW w:w="1711" w:type="dxa"/>
            <w:tcBorders>
              <w:tl2br w:val="nil"/>
              <w:tr2bl w:val="nil"/>
            </w:tcBorders>
            <w:vAlign w:val="center"/>
          </w:tcPr>
          <w:p>
            <w:pPr>
              <w:jc w:val="center"/>
              <w:rPr>
                <w:color w:val="auto"/>
                <w:szCs w:val="21"/>
                <w:lang w:bidi="ar"/>
              </w:rPr>
            </w:pPr>
            <w:r>
              <w:rPr>
                <w:color w:val="auto"/>
              </w:rPr>
              <w:t>0.0507</w:t>
            </w:r>
          </w:p>
        </w:tc>
        <w:tc>
          <w:tcPr>
            <w:tcW w:w="1621" w:type="dxa"/>
            <w:tcBorders>
              <w:tl2br w:val="nil"/>
              <w:tr2bl w:val="nil"/>
            </w:tcBorders>
            <w:vAlign w:val="center"/>
          </w:tcPr>
          <w:p>
            <w:pPr>
              <w:jc w:val="center"/>
              <w:rPr>
                <w:color w:val="auto"/>
                <w:szCs w:val="21"/>
                <w:lang w:bidi="ar"/>
              </w:rPr>
            </w:pPr>
            <w:r>
              <w:rPr>
                <w:color w:val="auto"/>
              </w:rPr>
              <w:t>0.51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24" w:hRule="atLeast"/>
          <w:jc w:val="center"/>
        </w:trPr>
        <w:tc>
          <w:tcPr>
            <w:tcW w:w="1894" w:type="dxa"/>
            <w:tcBorders>
              <w:tl2br w:val="nil"/>
              <w:tr2bl w:val="nil"/>
            </w:tcBorders>
            <w:vAlign w:val="center"/>
          </w:tcPr>
          <w:p>
            <w:pPr>
              <w:pStyle w:val="164"/>
              <w:rPr>
                <w:color w:val="auto"/>
                <w:szCs w:val="21"/>
              </w:rPr>
            </w:pPr>
            <w:r>
              <w:rPr>
                <w:color w:val="auto"/>
                <w:szCs w:val="21"/>
              </w:rPr>
              <w:t>最大浓度出现距离/m</w:t>
            </w:r>
          </w:p>
        </w:tc>
        <w:tc>
          <w:tcPr>
            <w:tcW w:w="6943" w:type="dxa"/>
            <w:gridSpan w:val="4"/>
            <w:tcBorders>
              <w:tl2br w:val="nil"/>
              <w:tr2bl w:val="nil"/>
            </w:tcBorders>
            <w:vAlign w:val="center"/>
          </w:tcPr>
          <w:p>
            <w:pPr>
              <w:pStyle w:val="164"/>
              <w:rPr>
                <w:color w:val="auto"/>
                <w:szCs w:val="21"/>
                <w:lang w:bidi="ar"/>
              </w:rPr>
            </w:pPr>
            <w:r>
              <w:rPr>
                <w:color w:val="auto"/>
                <w:szCs w:val="21"/>
                <w:lang w:bidi="ar"/>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2" w:hRule="atLeast"/>
          <w:jc w:val="center"/>
        </w:trPr>
        <w:tc>
          <w:tcPr>
            <w:tcW w:w="1894" w:type="dxa"/>
            <w:tcBorders>
              <w:tl2br w:val="nil"/>
              <w:tr2bl w:val="nil"/>
            </w:tcBorders>
            <w:vAlign w:val="center"/>
          </w:tcPr>
          <w:p>
            <w:pPr>
              <w:pStyle w:val="164"/>
              <w:ind w:left="-105" w:leftChars="-50" w:right="-105" w:rightChars="-50"/>
              <w:rPr>
                <w:color w:val="auto"/>
                <w:szCs w:val="21"/>
              </w:rPr>
            </w:pPr>
            <w:r>
              <w:rPr>
                <w:color w:val="auto"/>
                <w:kern w:val="0"/>
                <w:szCs w:val="21"/>
                <w:lang w:bidi="ar"/>
              </w:rPr>
              <w:t>D10%最远距离</w:t>
            </w:r>
          </w:p>
        </w:tc>
        <w:tc>
          <w:tcPr>
            <w:tcW w:w="6943" w:type="dxa"/>
            <w:gridSpan w:val="4"/>
            <w:tcBorders>
              <w:tl2br w:val="nil"/>
              <w:tr2bl w:val="nil"/>
            </w:tcBorders>
            <w:vAlign w:val="center"/>
          </w:tcPr>
          <w:p>
            <w:pPr>
              <w:pStyle w:val="164"/>
              <w:ind w:left="-105" w:leftChars="-50" w:right="-105" w:rightChars="-50"/>
              <w:rPr>
                <w:color w:val="auto"/>
                <w:szCs w:val="21"/>
                <w:lang w:bidi="ar"/>
              </w:rPr>
            </w:pPr>
            <w:r>
              <w:rPr>
                <w:color w:val="auto"/>
                <w:szCs w:val="21"/>
                <w:lang w:bidi="ar"/>
              </w:rPr>
              <w:t>/</w:t>
            </w:r>
          </w:p>
        </w:tc>
      </w:tr>
    </w:tbl>
    <w:p>
      <w:pPr>
        <w:pStyle w:val="130"/>
        <w:spacing w:before="120" w:beforeLines="50"/>
        <w:ind w:firstLine="480"/>
        <w:rPr>
          <w:color w:val="auto"/>
        </w:rPr>
      </w:pPr>
      <w:r>
        <w:rPr>
          <w:color w:val="auto"/>
        </w:rPr>
        <w:t>综上，本项目</w:t>
      </w:r>
      <w:r>
        <w:rPr>
          <w:rFonts w:hint="eastAsia"/>
          <w:color w:val="auto"/>
        </w:rPr>
        <w:t>建成后全厂</w:t>
      </w:r>
      <w:r>
        <w:rPr>
          <w:color w:val="auto"/>
        </w:rPr>
        <w:t>各污染物最大落地浓度及最大占标率见下表。</w:t>
      </w:r>
    </w:p>
    <w:p>
      <w:pPr>
        <w:pStyle w:val="114"/>
        <w:spacing w:before="0" w:beforeLines="0"/>
        <w:rPr>
          <w:color w:val="auto"/>
        </w:rPr>
      </w:pPr>
      <w:r>
        <w:rPr>
          <w:color w:val="auto"/>
        </w:rPr>
        <w:t xml:space="preserve">表7.2-11  </w:t>
      </w:r>
      <w:r>
        <w:rPr>
          <w:rFonts w:hint="eastAsia"/>
          <w:color w:val="auto"/>
        </w:rPr>
        <w:t>本项目建成后全厂</w:t>
      </w:r>
      <w:r>
        <w:rPr>
          <w:color w:val="auto"/>
        </w:rPr>
        <w:t>各污染物最大落地浓度及最大占标率汇总表</w:t>
      </w:r>
    </w:p>
    <w:tbl>
      <w:tblPr>
        <w:tblStyle w:val="74"/>
        <w:tblW w:w="87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04"/>
        <w:gridCol w:w="1024"/>
        <w:gridCol w:w="1896"/>
        <w:gridCol w:w="2771"/>
        <w:gridCol w:w="202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21" w:hRule="atLeast"/>
        </w:trPr>
        <w:tc>
          <w:tcPr>
            <w:tcW w:w="2028" w:type="dxa"/>
            <w:gridSpan w:val="2"/>
            <w:vAlign w:val="center"/>
          </w:tcPr>
          <w:p>
            <w:pPr>
              <w:pStyle w:val="164"/>
              <w:rPr>
                <w:b/>
                <w:bCs/>
                <w:color w:val="auto"/>
                <w:szCs w:val="21"/>
              </w:rPr>
            </w:pPr>
            <w:r>
              <w:rPr>
                <w:b/>
                <w:bCs/>
                <w:color w:val="auto"/>
                <w:szCs w:val="21"/>
              </w:rPr>
              <w:t>污染物</w:t>
            </w:r>
          </w:p>
        </w:tc>
        <w:tc>
          <w:tcPr>
            <w:tcW w:w="1896" w:type="dxa"/>
            <w:vAlign w:val="center"/>
          </w:tcPr>
          <w:p>
            <w:pPr>
              <w:pStyle w:val="164"/>
              <w:rPr>
                <w:b/>
                <w:bCs/>
                <w:color w:val="auto"/>
                <w:szCs w:val="21"/>
              </w:rPr>
            </w:pPr>
            <w:r>
              <w:rPr>
                <w:b/>
                <w:bCs/>
                <w:color w:val="auto"/>
                <w:szCs w:val="21"/>
              </w:rPr>
              <w:t>下风向最大质量浓度</w:t>
            </w:r>
            <w:r>
              <w:rPr>
                <w:rFonts w:hint="eastAsia"/>
                <w:b/>
                <w:bCs/>
                <w:color w:val="auto"/>
              </w:rPr>
              <w:t>(</w:t>
            </w:r>
            <w:r>
              <w:rPr>
                <w:b/>
                <w:bCs/>
                <w:color w:val="auto"/>
                <w:szCs w:val="21"/>
                <w:lang w:bidi="ar"/>
              </w:rPr>
              <w:t>μg</w:t>
            </w:r>
            <w:r>
              <w:rPr>
                <w:b/>
                <w:bCs/>
                <w:color w:val="auto"/>
              </w:rPr>
              <w:t>/m³</w:t>
            </w:r>
            <w:r>
              <w:rPr>
                <w:rFonts w:hint="eastAsia"/>
                <w:b/>
                <w:bCs/>
                <w:color w:val="auto"/>
              </w:rPr>
              <w:t>)</w:t>
            </w:r>
          </w:p>
        </w:tc>
        <w:tc>
          <w:tcPr>
            <w:tcW w:w="2771" w:type="dxa"/>
            <w:vAlign w:val="center"/>
          </w:tcPr>
          <w:p>
            <w:pPr>
              <w:pStyle w:val="164"/>
              <w:rPr>
                <w:b/>
                <w:bCs/>
                <w:color w:val="auto"/>
                <w:szCs w:val="21"/>
              </w:rPr>
            </w:pPr>
            <w:r>
              <w:rPr>
                <w:b/>
                <w:bCs/>
                <w:color w:val="auto"/>
                <w:szCs w:val="21"/>
              </w:rPr>
              <w:t>下风向最大质量浓度占标率</w:t>
            </w:r>
            <w:r>
              <w:rPr>
                <w:b/>
                <w:bCs/>
                <w:color w:val="auto"/>
                <w:kern w:val="0"/>
                <w:szCs w:val="21"/>
              </w:rPr>
              <w:t>（%）</w:t>
            </w:r>
          </w:p>
        </w:tc>
        <w:tc>
          <w:tcPr>
            <w:tcW w:w="2025" w:type="dxa"/>
            <w:vAlign w:val="center"/>
          </w:tcPr>
          <w:p>
            <w:pPr>
              <w:pStyle w:val="164"/>
              <w:rPr>
                <w:b/>
                <w:bCs/>
                <w:color w:val="auto"/>
                <w:szCs w:val="21"/>
              </w:rPr>
            </w:pPr>
            <w:r>
              <w:rPr>
                <w:b/>
                <w:bCs/>
                <w:color w:val="auto"/>
                <w:szCs w:val="21"/>
              </w:rPr>
              <w:t>最大浓度出现距离</w:t>
            </w:r>
            <w:r>
              <w:rPr>
                <w:b/>
                <w:bCs/>
                <w:color w:val="auto"/>
                <w:kern w:val="0"/>
                <w:szCs w:val="21"/>
              </w:rPr>
              <w:t>（m）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trPr>
        <w:tc>
          <w:tcPr>
            <w:tcW w:w="1004" w:type="dxa"/>
            <w:vMerge w:val="restart"/>
            <w:vAlign w:val="center"/>
          </w:tcPr>
          <w:p>
            <w:pPr>
              <w:pStyle w:val="164"/>
              <w:rPr>
                <w:color w:val="auto"/>
                <w:szCs w:val="21"/>
              </w:rPr>
            </w:pPr>
            <w:bookmarkStart w:id="410" w:name="_Hlk109288838"/>
            <w:r>
              <w:rPr>
                <w:color w:val="auto"/>
                <w:szCs w:val="21"/>
              </w:rPr>
              <w:t>车间排气筒有组织点源</w:t>
            </w:r>
          </w:p>
        </w:tc>
        <w:tc>
          <w:tcPr>
            <w:tcW w:w="1024" w:type="dxa"/>
            <w:vAlign w:val="center"/>
          </w:tcPr>
          <w:p>
            <w:pPr>
              <w:pStyle w:val="164"/>
              <w:rPr>
                <w:color w:val="auto"/>
                <w:szCs w:val="21"/>
              </w:rPr>
            </w:pPr>
            <w:r>
              <w:rPr>
                <w:color w:val="auto"/>
                <w:szCs w:val="21"/>
              </w:rPr>
              <w:t>PM</w:t>
            </w:r>
            <w:r>
              <w:rPr>
                <w:color w:val="auto"/>
                <w:szCs w:val="21"/>
                <w:vertAlign w:val="subscript"/>
              </w:rPr>
              <w:t>10</w:t>
            </w:r>
          </w:p>
        </w:tc>
        <w:tc>
          <w:tcPr>
            <w:tcW w:w="1896" w:type="dxa"/>
            <w:vAlign w:val="center"/>
          </w:tcPr>
          <w:p>
            <w:pPr>
              <w:ind w:left="-105" w:leftChars="-50" w:right="-105" w:rightChars="-50"/>
              <w:jc w:val="center"/>
              <w:rPr>
                <w:color w:val="auto"/>
                <w:szCs w:val="21"/>
              </w:rPr>
            </w:pPr>
            <w:r>
              <w:rPr>
                <w:color w:val="auto"/>
                <w:szCs w:val="21"/>
                <w:lang w:bidi="ar"/>
              </w:rPr>
              <w:t>1.7520</w:t>
            </w:r>
          </w:p>
        </w:tc>
        <w:tc>
          <w:tcPr>
            <w:tcW w:w="2771" w:type="dxa"/>
            <w:vAlign w:val="center"/>
          </w:tcPr>
          <w:p>
            <w:pPr>
              <w:ind w:left="-105" w:leftChars="-50" w:right="-105" w:rightChars="-50"/>
              <w:jc w:val="center"/>
              <w:rPr>
                <w:color w:val="auto"/>
                <w:szCs w:val="21"/>
              </w:rPr>
            </w:pPr>
            <w:r>
              <w:rPr>
                <w:color w:val="auto"/>
                <w:szCs w:val="21"/>
                <w:lang w:bidi="ar"/>
              </w:rPr>
              <w:t>0.39</w:t>
            </w:r>
          </w:p>
        </w:tc>
        <w:tc>
          <w:tcPr>
            <w:tcW w:w="2025" w:type="dxa"/>
            <w:vMerge w:val="restart"/>
            <w:vAlign w:val="center"/>
          </w:tcPr>
          <w:p>
            <w:pPr>
              <w:pStyle w:val="164"/>
              <w:rPr>
                <w:color w:val="auto"/>
                <w:szCs w:val="21"/>
              </w:rPr>
            </w:pPr>
            <w:r>
              <w:rPr>
                <w:color w:val="auto"/>
                <w:szCs w:val="21"/>
              </w:rPr>
              <w:t>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trPr>
        <w:tc>
          <w:tcPr>
            <w:tcW w:w="1004" w:type="dxa"/>
            <w:vMerge w:val="continue"/>
            <w:vAlign w:val="center"/>
          </w:tcPr>
          <w:p>
            <w:pPr>
              <w:pStyle w:val="164"/>
              <w:rPr>
                <w:color w:val="auto"/>
                <w:szCs w:val="21"/>
              </w:rPr>
            </w:pPr>
          </w:p>
        </w:tc>
        <w:tc>
          <w:tcPr>
            <w:tcW w:w="1024" w:type="dxa"/>
            <w:vAlign w:val="center"/>
          </w:tcPr>
          <w:p>
            <w:pPr>
              <w:pStyle w:val="164"/>
              <w:rPr>
                <w:color w:val="auto"/>
                <w:szCs w:val="21"/>
              </w:rPr>
            </w:pPr>
            <w:r>
              <w:rPr>
                <w:color w:val="auto"/>
                <w:szCs w:val="21"/>
              </w:rPr>
              <w:t>H</w:t>
            </w:r>
            <w:r>
              <w:rPr>
                <w:color w:val="auto"/>
                <w:szCs w:val="21"/>
                <w:vertAlign w:val="subscript"/>
              </w:rPr>
              <w:t>2</w:t>
            </w:r>
            <w:r>
              <w:rPr>
                <w:color w:val="auto"/>
                <w:szCs w:val="21"/>
              </w:rPr>
              <w:t>S</w:t>
            </w:r>
          </w:p>
        </w:tc>
        <w:tc>
          <w:tcPr>
            <w:tcW w:w="1896" w:type="dxa"/>
            <w:vAlign w:val="center"/>
          </w:tcPr>
          <w:p>
            <w:pPr>
              <w:ind w:left="-105" w:leftChars="-50" w:right="-105" w:rightChars="-50"/>
              <w:jc w:val="center"/>
              <w:rPr>
                <w:color w:val="auto"/>
                <w:szCs w:val="21"/>
              </w:rPr>
            </w:pPr>
            <w:r>
              <w:rPr>
                <w:color w:val="auto"/>
                <w:szCs w:val="21"/>
                <w:lang w:bidi="ar"/>
              </w:rPr>
              <w:t>0.0110</w:t>
            </w:r>
          </w:p>
        </w:tc>
        <w:tc>
          <w:tcPr>
            <w:tcW w:w="2771" w:type="dxa"/>
            <w:vAlign w:val="center"/>
          </w:tcPr>
          <w:p>
            <w:pPr>
              <w:ind w:left="-105" w:leftChars="-50" w:right="-105" w:rightChars="-50"/>
              <w:jc w:val="center"/>
              <w:rPr>
                <w:color w:val="auto"/>
                <w:szCs w:val="21"/>
              </w:rPr>
            </w:pPr>
            <w:r>
              <w:rPr>
                <w:color w:val="auto"/>
                <w:szCs w:val="21"/>
                <w:lang w:bidi="ar"/>
              </w:rPr>
              <w:t>0.11</w:t>
            </w:r>
          </w:p>
        </w:tc>
        <w:tc>
          <w:tcPr>
            <w:tcW w:w="2025"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trPr>
        <w:tc>
          <w:tcPr>
            <w:tcW w:w="1004" w:type="dxa"/>
            <w:vMerge w:val="continue"/>
            <w:vAlign w:val="center"/>
          </w:tcPr>
          <w:p>
            <w:pPr>
              <w:pStyle w:val="164"/>
              <w:rPr>
                <w:color w:val="auto"/>
                <w:szCs w:val="21"/>
              </w:rPr>
            </w:pPr>
          </w:p>
        </w:tc>
        <w:tc>
          <w:tcPr>
            <w:tcW w:w="1024" w:type="dxa"/>
            <w:vAlign w:val="center"/>
          </w:tcPr>
          <w:p>
            <w:pPr>
              <w:pStyle w:val="164"/>
              <w:rPr>
                <w:color w:val="auto"/>
                <w:szCs w:val="21"/>
              </w:rPr>
            </w:pPr>
            <w:r>
              <w:rPr>
                <w:color w:val="auto"/>
                <w:szCs w:val="21"/>
              </w:rPr>
              <w:t>NH</w:t>
            </w:r>
            <w:r>
              <w:rPr>
                <w:color w:val="auto"/>
                <w:szCs w:val="21"/>
                <w:vertAlign w:val="subscript"/>
              </w:rPr>
              <w:t>3</w:t>
            </w:r>
          </w:p>
        </w:tc>
        <w:tc>
          <w:tcPr>
            <w:tcW w:w="1896" w:type="dxa"/>
            <w:vAlign w:val="center"/>
          </w:tcPr>
          <w:p>
            <w:pPr>
              <w:ind w:left="-105" w:leftChars="-50" w:right="-105" w:rightChars="-50"/>
              <w:jc w:val="center"/>
              <w:rPr>
                <w:color w:val="auto"/>
                <w:szCs w:val="21"/>
              </w:rPr>
            </w:pPr>
            <w:r>
              <w:rPr>
                <w:color w:val="auto"/>
                <w:szCs w:val="21"/>
                <w:lang w:bidi="ar"/>
              </w:rPr>
              <w:t>2.4092</w:t>
            </w:r>
          </w:p>
        </w:tc>
        <w:tc>
          <w:tcPr>
            <w:tcW w:w="2771" w:type="dxa"/>
            <w:vAlign w:val="center"/>
          </w:tcPr>
          <w:p>
            <w:pPr>
              <w:ind w:left="-105" w:leftChars="-50" w:right="-105" w:rightChars="-50"/>
              <w:jc w:val="center"/>
              <w:rPr>
                <w:color w:val="auto"/>
                <w:szCs w:val="21"/>
              </w:rPr>
            </w:pPr>
            <w:r>
              <w:rPr>
                <w:color w:val="auto"/>
                <w:szCs w:val="21"/>
                <w:lang w:bidi="ar"/>
              </w:rPr>
              <w:t>1.20</w:t>
            </w:r>
          </w:p>
        </w:tc>
        <w:tc>
          <w:tcPr>
            <w:tcW w:w="2025"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trPr>
        <w:tc>
          <w:tcPr>
            <w:tcW w:w="1004" w:type="dxa"/>
            <w:vMerge w:val="continue"/>
            <w:vAlign w:val="center"/>
          </w:tcPr>
          <w:p>
            <w:pPr>
              <w:pStyle w:val="164"/>
              <w:rPr>
                <w:color w:val="auto"/>
                <w:szCs w:val="21"/>
              </w:rPr>
            </w:pPr>
          </w:p>
        </w:tc>
        <w:tc>
          <w:tcPr>
            <w:tcW w:w="1024" w:type="dxa"/>
            <w:vAlign w:val="center"/>
          </w:tcPr>
          <w:p>
            <w:pPr>
              <w:pStyle w:val="164"/>
              <w:rPr>
                <w:color w:val="auto"/>
                <w:szCs w:val="21"/>
              </w:rPr>
            </w:pPr>
            <w:r>
              <w:rPr>
                <w:color w:val="auto"/>
                <w:szCs w:val="21"/>
              </w:rPr>
              <w:t>VOCs</w:t>
            </w:r>
          </w:p>
        </w:tc>
        <w:tc>
          <w:tcPr>
            <w:tcW w:w="1896" w:type="dxa"/>
            <w:vAlign w:val="center"/>
          </w:tcPr>
          <w:p>
            <w:pPr>
              <w:ind w:left="-105" w:leftChars="-50" w:right="-105" w:rightChars="-50"/>
              <w:jc w:val="center"/>
              <w:rPr>
                <w:color w:val="auto"/>
                <w:szCs w:val="21"/>
              </w:rPr>
            </w:pPr>
            <w:r>
              <w:rPr>
                <w:color w:val="auto"/>
                <w:szCs w:val="21"/>
                <w:lang w:bidi="ar"/>
              </w:rPr>
              <w:t>0.4052</w:t>
            </w:r>
          </w:p>
        </w:tc>
        <w:tc>
          <w:tcPr>
            <w:tcW w:w="2771" w:type="dxa"/>
            <w:vAlign w:val="center"/>
          </w:tcPr>
          <w:p>
            <w:pPr>
              <w:ind w:left="-105" w:leftChars="-50" w:right="-105" w:rightChars="-50"/>
              <w:jc w:val="center"/>
              <w:rPr>
                <w:color w:val="auto"/>
                <w:szCs w:val="21"/>
              </w:rPr>
            </w:pPr>
            <w:r>
              <w:rPr>
                <w:color w:val="auto"/>
                <w:szCs w:val="21"/>
                <w:lang w:bidi="ar"/>
              </w:rPr>
              <w:t>0.02</w:t>
            </w:r>
          </w:p>
        </w:tc>
        <w:tc>
          <w:tcPr>
            <w:tcW w:w="2025"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trPr>
        <w:tc>
          <w:tcPr>
            <w:tcW w:w="1004" w:type="dxa"/>
            <w:vMerge w:val="restart"/>
            <w:vAlign w:val="center"/>
          </w:tcPr>
          <w:p>
            <w:pPr>
              <w:pStyle w:val="164"/>
              <w:rPr>
                <w:color w:val="auto"/>
                <w:szCs w:val="21"/>
              </w:rPr>
            </w:pPr>
            <w:r>
              <w:rPr>
                <w:color w:val="auto"/>
                <w:szCs w:val="21"/>
              </w:rPr>
              <w:t>蒸煮车间无组织面源</w:t>
            </w:r>
          </w:p>
        </w:tc>
        <w:tc>
          <w:tcPr>
            <w:tcW w:w="1024" w:type="dxa"/>
            <w:vAlign w:val="center"/>
          </w:tcPr>
          <w:p>
            <w:pPr>
              <w:pStyle w:val="164"/>
              <w:rPr>
                <w:color w:val="auto"/>
                <w:szCs w:val="21"/>
              </w:rPr>
            </w:pPr>
            <w:r>
              <w:rPr>
                <w:color w:val="auto"/>
                <w:szCs w:val="21"/>
              </w:rPr>
              <w:t>NH</w:t>
            </w:r>
            <w:r>
              <w:rPr>
                <w:color w:val="auto"/>
                <w:szCs w:val="21"/>
                <w:vertAlign w:val="subscript"/>
              </w:rPr>
              <w:t>3</w:t>
            </w:r>
          </w:p>
        </w:tc>
        <w:tc>
          <w:tcPr>
            <w:tcW w:w="1896" w:type="dxa"/>
            <w:vAlign w:val="center"/>
          </w:tcPr>
          <w:p>
            <w:pPr>
              <w:jc w:val="center"/>
              <w:rPr>
                <w:color w:val="auto"/>
                <w:szCs w:val="21"/>
              </w:rPr>
            </w:pPr>
            <w:r>
              <w:rPr>
                <w:color w:val="auto"/>
              </w:rPr>
              <w:t>3.9446</w:t>
            </w:r>
          </w:p>
        </w:tc>
        <w:tc>
          <w:tcPr>
            <w:tcW w:w="2771" w:type="dxa"/>
            <w:vAlign w:val="center"/>
          </w:tcPr>
          <w:p>
            <w:pPr>
              <w:jc w:val="center"/>
              <w:rPr>
                <w:color w:val="auto"/>
                <w:szCs w:val="21"/>
              </w:rPr>
            </w:pPr>
            <w:r>
              <w:rPr>
                <w:color w:val="auto"/>
              </w:rPr>
              <w:t>1.97</w:t>
            </w:r>
          </w:p>
        </w:tc>
        <w:tc>
          <w:tcPr>
            <w:tcW w:w="2025" w:type="dxa"/>
            <w:vMerge w:val="restart"/>
            <w:vAlign w:val="center"/>
          </w:tcPr>
          <w:p>
            <w:pPr>
              <w:pStyle w:val="164"/>
              <w:rPr>
                <w:color w:val="auto"/>
                <w:szCs w:val="21"/>
              </w:rPr>
            </w:pPr>
            <w:r>
              <w:rPr>
                <w:color w:val="auto"/>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trPr>
        <w:tc>
          <w:tcPr>
            <w:tcW w:w="1004" w:type="dxa"/>
            <w:vMerge w:val="continue"/>
            <w:vAlign w:val="center"/>
          </w:tcPr>
          <w:p>
            <w:pPr>
              <w:pStyle w:val="164"/>
              <w:rPr>
                <w:color w:val="auto"/>
                <w:szCs w:val="21"/>
              </w:rPr>
            </w:pPr>
          </w:p>
        </w:tc>
        <w:tc>
          <w:tcPr>
            <w:tcW w:w="1024" w:type="dxa"/>
            <w:vAlign w:val="center"/>
          </w:tcPr>
          <w:p>
            <w:pPr>
              <w:pStyle w:val="164"/>
              <w:rPr>
                <w:color w:val="auto"/>
                <w:szCs w:val="21"/>
              </w:rPr>
            </w:pPr>
            <w:r>
              <w:rPr>
                <w:color w:val="auto"/>
                <w:szCs w:val="21"/>
              </w:rPr>
              <w:t>H</w:t>
            </w:r>
            <w:r>
              <w:rPr>
                <w:color w:val="auto"/>
                <w:szCs w:val="21"/>
                <w:vertAlign w:val="subscript"/>
              </w:rPr>
              <w:t>2</w:t>
            </w:r>
            <w:r>
              <w:rPr>
                <w:color w:val="auto"/>
                <w:szCs w:val="21"/>
              </w:rPr>
              <w:t>S</w:t>
            </w:r>
          </w:p>
        </w:tc>
        <w:tc>
          <w:tcPr>
            <w:tcW w:w="1896" w:type="dxa"/>
            <w:vAlign w:val="center"/>
          </w:tcPr>
          <w:p>
            <w:pPr>
              <w:jc w:val="center"/>
              <w:rPr>
                <w:color w:val="auto"/>
                <w:szCs w:val="21"/>
              </w:rPr>
            </w:pPr>
            <w:r>
              <w:rPr>
                <w:color w:val="auto"/>
              </w:rPr>
              <w:t>0.0243</w:t>
            </w:r>
          </w:p>
        </w:tc>
        <w:tc>
          <w:tcPr>
            <w:tcW w:w="2771" w:type="dxa"/>
            <w:vAlign w:val="center"/>
          </w:tcPr>
          <w:p>
            <w:pPr>
              <w:jc w:val="center"/>
              <w:rPr>
                <w:color w:val="auto"/>
                <w:szCs w:val="21"/>
              </w:rPr>
            </w:pPr>
            <w:r>
              <w:rPr>
                <w:color w:val="auto"/>
              </w:rPr>
              <w:t>0.24</w:t>
            </w:r>
          </w:p>
        </w:tc>
        <w:tc>
          <w:tcPr>
            <w:tcW w:w="2025"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trPr>
        <w:tc>
          <w:tcPr>
            <w:tcW w:w="1004" w:type="dxa"/>
            <w:vMerge w:val="continue"/>
            <w:vAlign w:val="center"/>
          </w:tcPr>
          <w:p>
            <w:pPr>
              <w:pStyle w:val="164"/>
              <w:rPr>
                <w:color w:val="auto"/>
                <w:szCs w:val="21"/>
              </w:rPr>
            </w:pPr>
          </w:p>
        </w:tc>
        <w:tc>
          <w:tcPr>
            <w:tcW w:w="1024" w:type="dxa"/>
            <w:vAlign w:val="center"/>
          </w:tcPr>
          <w:p>
            <w:pPr>
              <w:pStyle w:val="164"/>
              <w:rPr>
                <w:color w:val="auto"/>
                <w:szCs w:val="21"/>
              </w:rPr>
            </w:pPr>
            <w:r>
              <w:rPr>
                <w:color w:val="auto"/>
                <w:szCs w:val="21"/>
              </w:rPr>
              <w:t>VOCs</w:t>
            </w:r>
          </w:p>
        </w:tc>
        <w:tc>
          <w:tcPr>
            <w:tcW w:w="1896" w:type="dxa"/>
            <w:vAlign w:val="center"/>
          </w:tcPr>
          <w:p>
            <w:pPr>
              <w:jc w:val="center"/>
              <w:rPr>
                <w:color w:val="auto"/>
                <w:szCs w:val="21"/>
                <w:lang w:bidi="ar"/>
              </w:rPr>
            </w:pPr>
            <w:r>
              <w:rPr>
                <w:color w:val="auto"/>
              </w:rPr>
              <w:t>0.9103</w:t>
            </w:r>
          </w:p>
        </w:tc>
        <w:tc>
          <w:tcPr>
            <w:tcW w:w="2771" w:type="dxa"/>
            <w:vAlign w:val="center"/>
          </w:tcPr>
          <w:p>
            <w:pPr>
              <w:jc w:val="center"/>
              <w:rPr>
                <w:color w:val="auto"/>
                <w:szCs w:val="21"/>
              </w:rPr>
            </w:pPr>
            <w:r>
              <w:rPr>
                <w:color w:val="auto"/>
              </w:rPr>
              <w:t>0.05</w:t>
            </w:r>
          </w:p>
        </w:tc>
        <w:tc>
          <w:tcPr>
            <w:tcW w:w="2025" w:type="dxa"/>
            <w:vMerge w:val="continue"/>
            <w:vAlign w:val="center"/>
          </w:tcPr>
          <w:p>
            <w:pPr>
              <w:pStyle w:val="164"/>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4" w:hRule="atLeast"/>
        </w:trPr>
        <w:tc>
          <w:tcPr>
            <w:tcW w:w="1004" w:type="dxa"/>
            <w:vMerge w:val="restart"/>
            <w:vAlign w:val="center"/>
          </w:tcPr>
          <w:p>
            <w:pPr>
              <w:pStyle w:val="164"/>
              <w:rPr>
                <w:color w:val="auto"/>
                <w:szCs w:val="21"/>
              </w:rPr>
            </w:pPr>
            <w:r>
              <w:rPr>
                <w:color w:val="auto"/>
                <w:szCs w:val="21"/>
              </w:rPr>
              <w:t>污水站无组织面源</w:t>
            </w:r>
          </w:p>
        </w:tc>
        <w:tc>
          <w:tcPr>
            <w:tcW w:w="1024" w:type="dxa"/>
            <w:vAlign w:val="center"/>
          </w:tcPr>
          <w:p>
            <w:pPr>
              <w:pStyle w:val="164"/>
              <w:rPr>
                <w:color w:val="auto"/>
                <w:szCs w:val="21"/>
              </w:rPr>
            </w:pPr>
            <w:r>
              <w:rPr>
                <w:color w:val="auto"/>
                <w:szCs w:val="21"/>
              </w:rPr>
              <w:t>NH</w:t>
            </w:r>
            <w:r>
              <w:rPr>
                <w:color w:val="auto"/>
                <w:szCs w:val="21"/>
                <w:vertAlign w:val="subscript"/>
              </w:rPr>
              <w:t>3</w:t>
            </w:r>
          </w:p>
        </w:tc>
        <w:tc>
          <w:tcPr>
            <w:tcW w:w="1896" w:type="dxa"/>
            <w:vAlign w:val="center"/>
          </w:tcPr>
          <w:p>
            <w:pPr>
              <w:jc w:val="center"/>
              <w:rPr>
                <w:color w:val="auto"/>
                <w:szCs w:val="21"/>
                <w:lang w:bidi="ar"/>
              </w:rPr>
            </w:pPr>
            <w:r>
              <w:rPr>
                <w:color w:val="auto"/>
              </w:rPr>
              <w:t>1.3372</w:t>
            </w:r>
          </w:p>
        </w:tc>
        <w:tc>
          <w:tcPr>
            <w:tcW w:w="2771" w:type="dxa"/>
            <w:vAlign w:val="center"/>
          </w:tcPr>
          <w:p>
            <w:pPr>
              <w:jc w:val="center"/>
              <w:rPr>
                <w:color w:val="auto"/>
                <w:szCs w:val="21"/>
                <w:lang w:bidi="ar"/>
              </w:rPr>
            </w:pPr>
            <w:r>
              <w:rPr>
                <w:color w:val="auto"/>
              </w:rPr>
              <w:t>0.67</w:t>
            </w:r>
          </w:p>
        </w:tc>
        <w:tc>
          <w:tcPr>
            <w:tcW w:w="2025" w:type="dxa"/>
            <w:vMerge w:val="restart"/>
            <w:vAlign w:val="center"/>
          </w:tcPr>
          <w:p>
            <w:pPr>
              <w:pStyle w:val="164"/>
              <w:rPr>
                <w:color w:val="auto"/>
                <w:szCs w:val="21"/>
              </w:rPr>
            </w:pPr>
            <w:r>
              <w:rPr>
                <w:color w:val="auto"/>
                <w:szCs w:val="21"/>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7" w:hRule="atLeast"/>
        </w:trPr>
        <w:tc>
          <w:tcPr>
            <w:tcW w:w="1004" w:type="dxa"/>
            <w:vMerge w:val="continue"/>
            <w:vAlign w:val="center"/>
          </w:tcPr>
          <w:p>
            <w:pPr>
              <w:pStyle w:val="164"/>
              <w:rPr>
                <w:color w:val="auto"/>
                <w:szCs w:val="21"/>
              </w:rPr>
            </w:pPr>
          </w:p>
        </w:tc>
        <w:tc>
          <w:tcPr>
            <w:tcW w:w="1024" w:type="dxa"/>
            <w:vAlign w:val="center"/>
          </w:tcPr>
          <w:p>
            <w:pPr>
              <w:pStyle w:val="164"/>
              <w:rPr>
                <w:color w:val="auto"/>
                <w:szCs w:val="21"/>
              </w:rPr>
            </w:pPr>
            <w:r>
              <w:rPr>
                <w:color w:val="auto"/>
                <w:szCs w:val="21"/>
              </w:rPr>
              <w:t>H</w:t>
            </w:r>
            <w:r>
              <w:rPr>
                <w:color w:val="auto"/>
                <w:szCs w:val="21"/>
                <w:vertAlign w:val="subscript"/>
              </w:rPr>
              <w:t>2</w:t>
            </w:r>
            <w:r>
              <w:rPr>
                <w:color w:val="auto"/>
                <w:szCs w:val="21"/>
              </w:rPr>
              <w:t>S</w:t>
            </w:r>
          </w:p>
        </w:tc>
        <w:tc>
          <w:tcPr>
            <w:tcW w:w="1896" w:type="dxa"/>
            <w:vAlign w:val="center"/>
          </w:tcPr>
          <w:p>
            <w:pPr>
              <w:jc w:val="center"/>
              <w:rPr>
                <w:color w:val="auto"/>
                <w:szCs w:val="21"/>
                <w:lang w:bidi="ar"/>
              </w:rPr>
            </w:pPr>
            <w:r>
              <w:rPr>
                <w:color w:val="auto"/>
              </w:rPr>
              <w:t>0.0507</w:t>
            </w:r>
          </w:p>
        </w:tc>
        <w:tc>
          <w:tcPr>
            <w:tcW w:w="2771" w:type="dxa"/>
            <w:vAlign w:val="center"/>
          </w:tcPr>
          <w:p>
            <w:pPr>
              <w:jc w:val="center"/>
              <w:rPr>
                <w:color w:val="auto"/>
                <w:szCs w:val="21"/>
                <w:lang w:bidi="ar"/>
              </w:rPr>
            </w:pPr>
            <w:r>
              <w:rPr>
                <w:color w:val="auto"/>
              </w:rPr>
              <w:t>0.51</w:t>
            </w:r>
          </w:p>
        </w:tc>
        <w:tc>
          <w:tcPr>
            <w:tcW w:w="2025" w:type="dxa"/>
            <w:vMerge w:val="continue"/>
            <w:vAlign w:val="center"/>
          </w:tcPr>
          <w:p>
            <w:pPr>
              <w:pStyle w:val="164"/>
              <w:rPr>
                <w:color w:val="auto"/>
                <w:szCs w:val="21"/>
              </w:rPr>
            </w:pPr>
          </w:p>
        </w:tc>
      </w:tr>
      <w:bookmarkEnd w:id="410"/>
    </w:tbl>
    <w:p>
      <w:pPr>
        <w:pStyle w:val="130"/>
        <w:ind w:firstLine="480"/>
        <w:rPr>
          <w:color w:val="auto"/>
        </w:rPr>
      </w:pPr>
      <w:r>
        <w:rPr>
          <w:color w:val="auto"/>
        </w:rPr>
        <w:t>由估算模式的计算结果可知，本项目</w:t>
      </w:r>
      <w:r>
        <w:rPr>
          <w:rFonts w:hint="eastAsia"/>
          <w:color w:val="auto"/>
        </w:rPr>
        <w:t>建成后全厂</w:t>
      </w:r>
      <w:r>
        <w:rPr>
          <w:color w:val="auto"/>
        </w:rPr>
        <w:t>污染因子中最大质量浓度占标率为1.97%，大于1%，小于10%。根据《环境影响评价技术导则·大气环境》（HJ2.2-2018），大气环境影响评价等级定为二级，不进行进一步预测与评价。</w:t>
      </w:r>
    </w:p>
    <w:p>
      <w:pPr>
        <w:pStyle w:val="130"/>
        <w:ind w:firstLine="480"/>
        <w:rPr>
          <w:color w:val="auto"/>
        </w:rPr>
      </w:pPr>
      <w:r>
        <w:rPr>
          <w:color w:val="auto"/>
        </w:rPr>
        <w:t>（7）本项目主要废气污染物厂界浓度实际监测结果分析</w:t>
      </w:r>
    </w:p>
    <w:p>
      <w:pPr>
        <w:pStyle w:val="130"/>
        <w:ind w:firstLine="480"/>
        <w:rPr>
          <w:color w:val="auto"/>
        </w:rPr>
      </w:pPr>
      <w:r>
        <w:rPr>
          <w:color w:val="auto"/>
        </w:rPr>
        <w:t>因本项目主体工程已建设完成</w:t>
      </w:r>
      <w:r>
        <w:rPr>
          <w:rFonts w:hint="eastAsia"/>
          <w:color w:val="auto"/>
        </w:rPr>
        <w:t>并可正常运行</w:t>
      </w:r>
      <w:r>
        <w:rPr>
          <w:color w:val="auto"/>
        </w:rPr>
        <w:t>，故运营期主要废气污染物厂界浓度及达标情况，由宁夏中科精科检测技术有限公司于2021年12月21日~22日进行了现场监测（监测报告详见附件11），厂界浓度监测结果见表7.2-12。</w:t>
      </w:r>
    </w:p>
    <w:p>
      <w:pPr>
        <w:jc w:val="center"/>
        <w:rPr>
          <w:b/>
          <w:color w:val="auto"/>
          <w:sz w:val="24"/>
          <w:szCs w:val="24"/>
        </w:rPr>
      </w:pPr>
      <w:r>
        <w:rPr>
          <w:b/>
          <w:color w:val="auto"/>
          <w:sz w:val="24"/>
          <w:szCs w:val="24"/>
        </w:rPr>
        <w:t xml:space="preserve">表7.2-12  厂界浓度监测结果一览表 </w:t>
      </w:r>
    </w:p>
    <w:tbl>
      <w:tblPr>
        <w:tblStyle w:val="74"/>
        <w:tblW w:w="857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6"/>
        <w:gridCol w:w="728"/>
        <w:gridCol w:w="877"/>
        <w:gridCol w:w="873"/>
        <w:gridCol w:w="866"/>
        <w:gridCol w:w="909"/>
        <w:gridCol w:w="909"/>
        <w:gridCol w:w="1021"/>
        <w:gridCol w:w="693"/>
        <w:gridCol w:w="6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tcBorders>
              <w:tl2br w:val="nil"/>
              <w:tr2bl w:val="nil"/>
            </w:tcBorders>
            <w:vAlign w:val="center"/>
          </w:tcPr>
          <w:p>
            <w:pPr>
              <w:jc w:val="center"/>
              <w:rPr>
                <w:color w:val="auto"/>
                <w:szCs w:val="21"/>
                <w:lang w:bidi="ar"/>
              </w:rPr>
            </w:pPr>
            <w:r>
              <w:rPr>
                <w:color w:val="auto"/>
                <w:szCs w:val="21"/>
                <w:lang w:bidi="ar"/>
              </w:rPr>
              <w:t>检测项目</w:t>
            </w:r>
          </w:p>
        </w:tc>
        <w:tc>
          <w:tcPr>
            <w:tcW w:w="728" w:type="dxa"/>
            <w:tcBorders>
              <w:tl2br w:val="nil"/>
              <w:tr2bl w:val="nil"/>
            </w:tcBorders>
            <w:vAlign w:val="center"/>
          </w:tcPr>
          <w:p>
            <w:pPr>
              <w:jc w:val="center"/>
              <w:rPr>
                <w:color w:val="auto"/>
                <w:szCs w:val="21"/>
                <w:lang w:bidi="ar"/>
              </w:rPr>
            </w:pPr>
            <w:r>
              <w:rPr>
                <w:color w:val="auto"/>
                <w:szCs w:val="21"/>
                <w:lang w:bidi="ar"/>
              </w:rPr>
              <w:t>检测日期</w:t>
            </w:r>
          </w:p>
        </w:tc>
        <w:tc>
          <w:tcPr>
            <w:tcW w:w="877" w:type="dxa"/>
            <w:tcBorders>
              <w:tl2br w:val="nil"/>
              <w:tr2bl w:val="nil"/>
            </w:tcBorders>
            <w:vAlign w:val="center"/>
          </w:tcPr>
          <w:p>
            <w:pPr>
              <w:jc w:val="center"/>
              <w:rPr>
                <w:color w:val="auto"/>
                <w:szCs w:val="21"/>
                <w:lang w:bidi="ar"/>
              </w:rPr>
            </w:pPr>
            <w:r>
              <w:rPr>
                <w:color w:val="auto"/>
                <w:szCs w:val="21"/>
                <w:lang w:bidi="ar"/>
              </w:rPr>
              <w:t>检测频次</w:t>
            </w:r>
          </w:p>
        </w:tc>
        <w:tc>
          <w:tcPr>
            <w:tcW w:w="873" w:type="dxa"/>
            <w:tcBorders>
              <w:tl2br w:val="nil"/>
              <w:tr2bl w:val="nil"/>
            </w:tcBorders>
            <w:vAlign w:val="center"/>
          </w:tcPr>
          <w:p>
            <w:pPr>
              <w:jc w:val="center"/>
              <w:rPr>
                <w:color w:val="auto"/>
                <w:szCs w:val="21"/>
                <w:lang w:bidi="ar"/>
              </w:rPr>
            </w:pPr>
            <w:r>
              <w:rPr>
                <w:color w:val="auto"/>
                <w:szCs w:val="21"/>
                <w:lang w:bidi="ar"/>
              </w:rPr>
              <w:t>O1#</w:t>
            </w:r>
          </w:p>
        </w:tc>
        <w:tc>
          <w:tcPr>
            <w:tcW w:w="866" w:type="dxa"/>
            <w:tcBorders>
              <w:tl2br w:val="nil"/>
              <w:tr2bl w:val="nil"/>
            </w:tcBorders>
            <w:vAlign w:val="center"/>
          </w:tcPr>
          <w:p>
            <w:pPr>
              <w:jc w:val="center"/>
              <w:rPr>
                <w:color w:val="auto"/>
                <w:szCs w:val="21"/>
                <w:lang w:bidi="ar"/>
              </w:rPr>
            </w:pPr>
            <w:r>
              <w:rPr>
                <w:color w:val="auto"/>
                <w:szCs w:val="21"/>
                <w:lang w:bidi="ar"/>
              </w:rPr>
              <w:t>O2#</w:t>
            </w:r>
          </w:p>
        </w:tc>
        <w:tc>
          <w:tcPr>
            <w:tcW w:w="909" w:type="dxa"/>
            <w:tcBorders>
              <w:tl2br w:val="nil"/>
              <w:tr2bl w:val="nil"/>
            </w:tcBorders>
            <w:vAlign w:val="center"/>
          </w:tcPr>
          <w:p>
            <w:pPr>
              <w:jc w:val="center"/>
              <w:rPr>
                <w:color w:val="auto"/>
                <w:szCs w:val="21"/>
                <w:lang w:bidi="ar"/>
              </w:rPr>
            </w:pPr>
            <w:r>
              <w:rPr>
                <w:color w:val="auto"/>
                <w:szCs w:val="21"/>
                <w:lang w:bidi="ar"/>
              </w:rPr>
              <w:t>O3#</w:t>
            </w:r>
          </w:p>
        </w:tc>
        <w:tc>
          <w:tcPr>
            <w:tcW w:w="909" w:type="dxa"/>
            <w:tcBorders>
              <w:tl2br w:val="nil"/>
              <w:tr2bl w:val="nil"/>
            </w:tcBorders>
            <w:vAlign w:val="center"/>
          </w:tcPr>
          <w:p>
            <w:pPr>
              <w:jc w:val="center"/>
              <w:rPr>
                <w:color w:val="auto"/>
                <w:szCs w:val="21"/>
                <w:lang w:bidi="ar"/>
              </w:rPr>
            </w:pPr>
            <w:r>
              <w:rPr>
                <w:color w:val="auto"/>
                <w:szCs w:val="21"/>
                <w:lang w:bidi="ar"/>
              </w:rPr>
              <w:t>O4#</w:t>
            </w:r>
          </w:p>
        </w:tc>
        <w:tc>
          <w:tcPr>
            <w:tcW w:w="1021" w:type="dxa"/>
            <w:tcBorders>
              <w:tl2br w:val="nil"/>
              <w:tr2bl w:val="nil"/>
            </w:tcBorders>
            <w:vAlign w:val="center"/>
          </w:tcPr>
          <w:p>
            <w:pPr>
              <w:jc w:val="center"/>
              <w:rPr>
                <w:color w:val="auto"/>
                <w:szCs w:val="24"/>
              </w:rPr>
            </w:pPr>
            <w:r>
              <w:rPr>
                <w:color w:val="auto"/>
                <w:szCs w:val="24"/>
              </w:rPr>
              <w:t>最大检测浓度值</w:t>
            </w:r>
          </w:p>
        </w:tc>
        <w:tc>
          <w:tcPr>
            <w:tcW w:w="693" w:type="dxa"/>
            <w:tcBorders>
              <w:tl2br w:val="nil"/>
              <w:tr2bl w:val="nil"/>
            </w:tcBorders>
            <w:vAlign w:val="center"/>
          </w:tcPr>
          <w:p>
            <w:pPr>
              <w:jc w:val="center"/>
              <w:rPr>
                <w:color w:val="auto"/>
                <w:szCs w:val="24"/>
              </w:rPr>
            </w:pPr>
            <w:r>
              <w:rPr>
                <w:color w:val="auto"/>
                <w:szCs w:val="24"/>
              </w:rPr>
              <w:t>标准限值</w:t>
            </w:r>
          </w:p>
        </w:tc>
        <w:tc>
          <w:tcPr>
            <w:tcW w:w="695" w:type="dxa"/>
            <w:tcBorders>
              <w:tl2br w:val="nil"/>
              <w:tr2bl w:val="nil"/>
            </w:tcBorders>
            <w:vAlign w:val="center"/>
          </w:tcPr>
          <w:p>
            <w:pPr>
              <w:jc w:val="center"/>
              <w:rPr>
                <w:color w:val="auto"/>
                <w:szCs w:val="24"/>
              </w:rPr>
            </w:pPr>
            <w:r>
              <w:rPr>
                <w:color w:val="auto"/>
                <w:szCs w:val="24"/>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restart"/>
            <w:tcBorders>
              <w:tl2br w:val="nil"/>
              <w:tr2bl w:val="nil"/>
            </w:tcBorders>
            <w:vAlign w:val="center"/>
          </w:tcPr>
          <w:p>
            <w:pPr>
              <w:jc w:val="center"/>
              <w:rPr>
                <w:color w:val="auto"/>
                <w:szCs w:val="21"/>
                <w:lang w:bidi="ar"/>
              </w:rPr>
            </w:pPr>
            <w:r>
              <w:rPr>
                <w:color w:val="auto"/>
                <w:szCs w:val="21"/>
                <w:lang w:bidi="ar"/>
              </w:rPr>
              <w:t>臭气浓度 (无量纲)</w:t>
            </w:r>
          </w:p>
        </w:tc>
        <w:tc>
          <w:tcPr>
            <w:tcW w:w="728" w:type="dxa"/>
            <w:vMerge w:val="restart"/>
            <w:tcBorders>
              <w:tl2br w:val="nil"/>
              <w:tr2bl w:val="nil"/>
            </w:tcBorders>
            <w:vAlign w:val="center"/>
          </w:tcPr>
          <w:p>
            <w:pPr>
              <w:jc w:val="center"/>
              <w:rPr>
                <w:color w:val="auto"/>
                <w:szCs w:val="21"/>
                <w:lang w:bidi="ar"/>
              </w:rPr>
            </w:pPr>
            <w:r>
              <w:rPr>
                <w:color w:val="auto"/>
                <w:szCs w:val="21"/>
                <w:lang w:bidi="ar"/>
              </w:rPr>
              <w:t>12月21日</w:t>
            </w:r>
          </w:p>
        </w:tc>
        <w:tc>
          <w:tcPr>
            <w:tcW w:w="877" w:type="dxa"/>
            <w:tcBorders>
              <w:tl2br w:val="nil"/>
              <w:tr2bl w:val="nil"/>
            </w:tcBorders>
            <w:vAlign w:val="center"/>
          </w:tcPr>
          <w:p>
            <w:pPr>
              <w:jc w:val="center"/>
              <w:rPr>
                <w:color w:val="auto"/>
                <w:szCs w:val="21"/>
                <w:lang w:bidi="ar"/>
              </w:rPr>
            </w:pPr>
            <w:r>
              <w:rPr>
                <w:color w:val="auto"/>
                <w:szCs w:val="21"/>
                <w:lang w:bidi="ar"/>
              </w:rPr>
              <w:t>第一次</w:t>
            </w:r>
          </w:p>
        </w:tc>
        <w:tc>
          <w:tcPr>
            <w:tcW w:w="873" w:type="dxa"/>
            <w:tcBorders>
              <w:tl2br w:val="nil"/>
              <w:tr2bl w:val="nil"/>
            </w:tcBorders>
            <w:vAlign w:val="center"/>
          </w:tcPr>
          <w:p>
            <w:pPr>
              <w:jc w:val="center"/>
              <w:rPr>
                <w:color w:val="auto"/>
                <w:szCs w:val="21"/>
                <w:lang w:bidi="ar"/>
              </w:rPr>
            </w:pPr>
            <w:r>
              <w:rPr>
                <w:color w:val="auto"/>
                <w:szCs w:val="21"/>
                <w:lang w:bidi="ar"/>
              </w:rPr>
              <w:t>15</w:t>
            </w:r>
          </w:p>
        </w:tc>
        <w:tc>
          <w:tcPr>
            <w:tcW w:w="866" w:type="dxa"/>
            <w:tcBorders>
              <w:tl2br w:val="nil"/>
              <w:tr2bl w:val="nil"/>
            </w:tcBorders>
            <w:vAlign w:val="center"/>
          </w:tcPr>
          <w:p>
            <w:pPr>
              <w:jc w:val="center"/>
              <w:rPr>
                <w:color w:val="auto"/>
                <w:szCs w:val="21"/>
                <w:lang w:bidi="ar"/>
              </w:rPr>
            </w:pPr>
            <w:r>
              <w:rPr>
                <w:color w:val="auto"/>
                <w:szCs w:val="21"/>
                <w:lang w:bidi="ar"/>
              </w:rPr>
              <w:t>13</w:t>
            </w:r>
          </w:p>
        </w:tc>
        <w:tc>
          <w:tcPr>
            <w:tcW w:w="909" w:type="dxa"/>
            <w:tcBorders>
              <w:tl2br w:val="nil"/>
              <w:tr2bl w:val="nil"/>
            </w:tcBorders>
            <w:vAlign w:val="center"/>
          </w:tcPr>
          <w:p>
            <w:pPr>
              <w:jc w:val="center"/>
              <w:rPr>
                <w:color w:val="auto"/>
                <w:szCs w:val="21"/>
                <w:lang w:bidi="ar"/>
              </w:rPr>
            </w:pPr>
            <w:r>
              <w:rPr>
                <w:color w:val="auto"/>
                <w:szCs w:val="21"/>
                <w:lang w:bidi="ar"/>
              </w:rPr>
              <w:t>13</w:t>
            </w:r>
          </w:p>
        </w:tc>
        <w:tc>
          <w:tcPr>
            <w:tcW w:w="909" w:type="dxa"/>
            <w:tcBorders>
              <w:tl2br w:val="nil"/>
              <w:tr2bl w:val="nil"/>
            </w:tcBorders>
            <w:vAlign w:val="center"/>
          </w:tcPr>
          <w:p>
            <w:pPr>
              <w:jc w:val="center"/>
              <w:rPr>
                <w:color w:val="auto"/>
                <w:szCs w:val="21"/>
                <w:lang w:bidi="ar"/>
              </w:rPr>
            </w:pPr>
            <w:r>
              <w:rPr>
                <w:color w:val="auto"/>
                <w:szCs w:val="21"/>
                <w:lang w:bidi="ar"/>
              </w:rPr>
              <w:t>14</w:t>
            </w:r>
          </w:p>
        </w:tc>
        <w:tc>
          <w:tcPr>
            <w:tcW w:w="1021" w:type="dxa"/>
            <w:vMerge w:val="restart"/>
            <w:tcBorders>
              <w:tl2br w:val="nil"/>
              <w:tr2bl w:val="nil"/>
            </w:tcBorders>
            <w:vAlign w:val="center"/>
          </w:tcPr>
          <w:p>
            <w:pPr>
              <w:jc w:val="center"/>
              <w:rPr>
                <w:color w:val="auto"/>
                <w:szCs w:val="24"/>
              </w:rPr>
            </w:pPr>
            <w:r>
              <w:rPr>
                <w:color w:val="auto"/>
                <w:szCs w:val="24"/>
              </w:rPr>
              <w:t>15</w:t>
            </w:r>
          </w:p>
        </w:tc>
        <w:tc>
          <w:tcPr>
            <w:tcW w:w="693" w:type="dxa"/>
            <w:vMerge w:val="restart"/>
            <w:tcBorders>
              <w:tl2br w:val="nil"/>
              <w:tr2bl w:val="nil"/>
            </w:tcBorders>
            <w:vAlign w:val="center"/>
          </w:tcPr>
          <w:p>
            <w:pPr>
              <w:jc w:val="center"/>
              <w:rPr>
                <w:color w:val="auto"/>
                <w:szCs w:val="24"/>
              </w:rPr>
            </w:pPr>
            <w:r>
              <w:rPr>
                <w:color w:val="auto"/>
                <w:szCs w:val="24"/>
              </w:rPr>
              <w:t>20</w:t>
            </w:r>
          </w:p>
        </w:tc>
        <w:tc>
          <w:tcPr>
            <w:tcW w:w="695"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1"/>
                <w:lang w:bidi="ar"/>
              </w:rPr>
            </w:pPr>
          </w:p>
        </w:tc>
        <w:tc>
          <w:tcPr>
            <w:tcW w:w="728" w:type="dxa"/>
            <w:vMerge w:val="continue"/>
            <w:tcBorders>
              <w:tl2br w:val="nil"/>
              <w:tr2bl w:val="nil"/>
            </w:tcBorders>
            <w:vAlign w:val="center"/>
          </w:tcPr>
          <w:p>
            <w:pPr>
              <w:jc w:val="center"/>
              <w:rPr>
                <w:color w:val="auto"/>
                <w:szCs w:val="21"/>
                <w:lang w:bidi="ar"/>
              </w:rPr>
            </w:pPr>
          </w:p>
        </w:tc>
        <w:tc>
          <w:tcPr>
            <w:tcW w:w="877" w:type="dxa"/>
            <w:tcBorders>
              <w:tl2br w:val="nil"/>
              <w:tr2bl w:val="nil"/>
            </w:tcBorders>
            <w:vAlign w:val="center"/>
          </w:tcPr>
          <w:p>
            <w:pPr>
              <w:jc w:val="center"/>
              <w:rPr>
                <w:color w:val="auto"/>
                <w:szCs w:val="21"/>
                <w:lang w:bidi="ar"/>
              </w:rPr>
            </w:pPr>
            <w:r>
              <w:rPr>
                <w:color w:val="auto"/>
                <w:szCs w:val="21"/>
                <w:lang w:bidi="ar"/>
              </w:rPr>
              <w:t>第二次</w:t>
            </w:r>
          </w:p>
        </w:tc>
        <w:tc>
          <w:tcPr>
            <w:tcW w:w="873" w:type="dxa"/>
            <w:tcBorders>
              <w:tl2br w:val="nil"/>
              <w:tr2bl w:val="nil"/>
            </w:tcBorders>
            <w:vAlign w:val="center"/>
          </w:tcPr>
          <w:p>
            <w:pPr>
              <w:jc w:val="center"/>
              <w:rPr>
                <w:color w:val="auto"/>
                <w:szCs w:val="21"/>
                <w:lang w:bidi="ar"/>
              </w:rPr>
            </w:pPr>
            <w:r>
              <w:rPr>
                <w:color w:val="auto"/>
                <w:szCs w:val="21"/>
                <w:lang w:bidi="ar"/>
              </w:rPr>
              <w:t>14</w:t>
            </w:r>
          </w:p>
        </w:tc>
        <w:tc>
          <w:tcPr>
            <w:tcW w:w="866" w:type="dxa"/>
            <w:tcBorders>
              <w:tl2br w:val="nil"/>
              <w:tr2bl w:val="nil"/>
            </w:tcBorders>
            <w:vAlign w:val="center"/>
          </w:tcPr>
          <w:p>
            <w:pPr>
              <w:jc w:val="center"/>
              <w:rPr>
                <w:color w:val="auto"/>
                <w:szCs w:val="21"/>
                <w:lang w:bidi="ar"/>
              </w:rPr>
            </w:pPr>
            <w:r>
              <w:rPr>
                <w:color w:val="auto"/>
                <w:szCs w:val="21"/>
                <w:lang w:bidi="ar"/>
              </w:rPr>
              <w:t>12</w:t>
            </w:r>
          </w:p>
        </w:tc>
        <w:tc>
          <w:tcPr>
            <w:tcW w:w="909" w:type="dxa"/>
            <w:tcBorders>
              <w:tl2br w:val="nil"/>
              <w:tr2bl w:val="nil"/>
            </w:tcBorders>
            <w:vAlign w:val="center"/>
          </w:tcPr>
          <w:p>
            <w:pPr>
              <w:jc w:val="center"/>
              <w:rPr>
                <w:color w:val="auto"/>
                <w:szCs w:val="21"/>
                <w:lang w:bidi="ar"/>
              </w:rPr>
            </w:pPr>
            <w:r>
              <w:rPr>
                <w:color w:val="auto"/>
                <w:szCs w:val="21"/>
                <w:lang w:bidi="ar"/>
              </w:rPr>
              <w:t>15</w:t>
            </w:r>
          </w:p>
        </w:tc>
        <w:tc>
          <w:tcPr>
            <w:tcW w:w="909" w:type="dxa"/>
            <w:tcBorders>
              <w:tl2br w:val="nil"/>
              <w:tr2bl w:val="nil"/>
            </w:tcBorders>
            <w:vAlign w:val="center"/>
          </w:tcPr>
          <w:p>
            <w:pPr>
              <w:jc w:val="center"/>
              <w:rPr>
                <w:color w:val="auto"/>
                <w:szCs w:val="21"/>
                <w:lang w:bidi="ar"/>
              </w:rPr>
            </w:pPr>
            <w:r>
              <w:rPr>
                <w:color w:val="auto"/>
                <w:szCs w:val="21"/>
                <w:lang w:bidi="ar"/>
              </w:rPr>
              <w:t>13</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1"/>
                <w:lang w:bidi="ar"/>
              </w:rPr>
            </w:pPr>
          </w:p>
        </w:tc>
        <w:tc>
          <w:tcPr>
            <w:tcW w:w="728" w:type="dxa"/>
            <w:vMerge w:val="continue"/>
            <w:tcBorders>
              <w:tl2br w:val="nil"/>
              <w:tr2bl w:val="nil"/>
            </w:tcBorders>
            <w:vAlign w:val="center"/>
          </w:tcPr>
          <w:p>
            <w:pPr>
              <w:jc w:val="center"/>
              <w:rPr>
                <w:color w:val="auto"/>
                <w:szCs w:val="21"/>
                <w:lang w:bidi="ar"/>
              </w:rPr>
            </w:pPr>
          </w:p>
        </w:tc>
        <w:tc>
          <w:tcPr>
            <w:tcW w:w="877" w:type="dxa"/>
            <w:tcBorders>
              <w:tl2br w:val="nil"/>
              <w:tr2bl w:val="nil"/>
            </w:tcBorders>
            <w:vAlign w:val="center"/>
          </w:tcPr>
          <w:p>
            <w:pPr>
              <w:jc w:val="center"/>
              <w:rPr>
                <w:color w:val="auto"/>
                <w:szCs w:val="21"/>
                <w:lang w:bidi="ar"/>
              </w:rPr>
            </w:pPr>
            <w:r>
              <w:rPr>
                <w:color w:val="auto"/>
                <w:szCs w:val="21"/>
                <w:lang w:bidi="ar"/>
              </w:rPr>
              <w:t>第三次</w:t>
            </w:r>
          </w:p>
        </w:tc>
        <w:tc>
          <w:tcPr>
            <w:tcW w:w="873" w:type="dxa"/>
            <w:tcBorders>
              <w:tl2br w:val="nil"/>
              <w:tr2bl w:val="nil"/>
            </w:tcBorders>
            <w:vAlign w:val="center"/>
          </w:tcPr>
          <w:p>
            <w:pPr>
              <w:jc w:val="center"/>
              <w:rPr>
                <w:color w:val="auto"/>
                <w:szCs w:val="21"/>
                <w:lang w:bidi="ar"/>
              </w:rPr>
            </w:pPr>
            <w:r>
              <w:rPr>
                <w:color w:val="auto"/>
                <w:szCs w:val="21"/>
                <w:lang w:bidi="ar"/>
              </w:rPr>
              <w:t>13</w:t>
            </w:r>
          </w:p>
        </w:tc>
        <w:tc>
          <w:tcPr>
            <w:tcW w:w="866" w:type="dxa"/>
            <w:tcBorders>
              <w:tl2br w:val="nil"/>
              <w:tr2bl w:val="nil"/>
            </w:tcBorders>
            <w:vAlign w:val="center"/>
          </w:tcPr>
          <w:p>
            <w:pPr>
              <w:jc w:val="center"/>
              <w:rPr>
                <w:color w:val="auto"/>
                <w:szCs w:val="21"/>
                <w:lang w:bidi="ar"/>
              </w:rPr>
            </w:pPr>
            <w:r>
              <w:rPr>
                <w:color w:val="auto"/>
                <w:szCs w:val="21"/>
                <w:lang w:bidi="ar"/>
              </w:rPr>
              <w:t>15</w:t>
            </w:r>
          </w:p>
        </w:tc>
        <w:tc>
          <w:tcPr>
            <w:tcW w:w="909" w:type="dxa"/>
            <w:tcBorders>
              <w:tl2br w:val="nil"/>
              <w:tr2bl w:val="nil"/>
            </w:tcBorders>
            <w:vAlign w:val="center"/>
          </w:tcPr>
          <w:p>
            <w:pPr>
              <w:jc w:val="center"/>
              <w:rPr>
                <w:color w:val="auto"/>
                <w:szCs w:val="21"/>
                <w:lang w:bidi="ar"/>
              </w:rPr>
            </w:pPr>
            <w:r>
              <w:rPr>
                <w:color w:val="auto"/>
                <w:szCs w:val="21"/>
                <w:lang w:bidi="ar"/>
              </w:rPr>
              <w:t>14</w:t>
            </w:r>
          </w:p>
        </w:tc>
        <w:tc>
          <w:tcPr>
            <w:tcW w:w="909" w:type="dxa"/>
            <w:tcBorders>
              <w:tl2br w:val="nil"/>
              <w:tr2bl w:val="nil"/>
            </w:tcBorders>
            <w:vAlign w:val="center"/>
          </w:tcPr>
          <w:p>
            <w:pPr>
              <w:jc w:val="center"/>
              <w:rPr>
                <w:color w:val="auto"/>
                <w:szCs w:val="21"/>
                <w:lang w:bidi="ar"/>
              </w:rPr>
            </w:pPr>
            <w:r>
              <w:rPr>
                <w:color w:val="auto"/>
                <w:szCs w:val="21"/>
                <w:lang w:bidi="ar"/>
              </w:rPr>
              <w:t>15</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第四次</w:t>
            </w:r>
          </w:p>
        </w:tc>
        <w:tc>
          <w:tcPr>
            <w:tcW w:w="873" w:type="dxa"/>
            <w:tcBorders>
              <w:tl2br w:val="nil"/>
              <w:tr2bl w:val="nil"/>
            </w:tcBorders>
            <w:vAlign w:val="center"/>
          </w:tcPr>
          <w:p>
            <w:pPr>
              <w:jc w:val="center"/>
              <w:rPr>
                <w:color w:val="auto"/>
                <w:szCs w:val="24"/>
              </w:rPr>
            </w:pPr>
            <w:r>
              <w:rPr>
                <w:color w:val="auto"/>
                <w:szCs w:val="24"/>
              </w:rPr>
              <w:t>14</w:t>
            </w:r>
          </w:p>
        </w:tc>
        <w:tc>
          <w:tcPr>
            <w:tcW w:w="866" w:type="dxa"/>
            <w:tcBorders>
              <w:tl2br w:val="nil"/>
              <w:tr2bl w:val="nil"/>
            </w:tcBorders>
            <w:vAlign w:val="center"/>
          </w:tcPr>
          <w:p>
            <w:pPr>
              <w:jc w:val="center"/>
              <w:rPr>
                <w:color w:val="auto"/>
                <w:szCs w:val="24"/>
              </w:rPr>
            </w:pPr>
            <w:r>
              <w:rPr>
                <w:color w:val="auto"/>
                <w:szCs w:val="24"/>
              </w:rPr>
              <w:t>14</w:t>
            </w:r>
          </w:p>
        </w:tc>
        <w:tc>
          <w:tcPr>
            <w:tcW w:w="909" w:type="dxa"/>
            <w:tcBorders>
              <w:tl2br w:val="nil"/>
              <w:tr2bl w:val="nil"/>
            </w:tcBorders>
            <w:vAlign w:val="center"/>
          </w:tcPr>
          <w:p>
            <w:pPr>
              <w:jc w:val="center"/>
              <w:rPr>
                <w:color w:val="auto"/>
                <w:szCs w:val="24"/>
              </w:rPr>
            </w:pPr>
            <w:r>
              <w:rPr>
                <w:color w:val="auto"/>
                <w:szCs w:val="24"/>
              </w:rPr>
              <w:t>13</w:t>
            </w:r>
          </w:p>
        </w:tc>
        <w:tc>
          <w:tcPr>
            <w:tcW w:w="909" w:type="dxa"/>
            <w:tcBorders>
              <w:tl2br w:val="nil"/>
              <w:tr2bl w:val="nil"/>
            </w:tcBorders>
            <w:vAlign w:val="center"/>
          </w:tcPr>
          <w:p>
            <w:pPr>
              <w:jc w:val="center"/>
              <w:rPr>
                <w:color w:val="auto"/>
                <w:szCs w:val="24"/>
              </w:rPr>
            </w:pPr>
            <w:r>
              <w:rPr>
                <w:color w:val="auto"/>
                <w:szCs w:val="24"/>
              </w:rPr>
              <w:t>13</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restart"/>
            <w:tcBorders>
              <w:tl2br w:val="nil"/>
              <w:tr2bl w:val="nil"/>
            </w:tcBorders>
            <w:vAlign w:val="center"/>
          </w:tcPr>
          <w:p>
            <w:pPr>
              <w:jc w:val="center"/>
              <w:rPr>
                <w:color w:val="auto"/>
                <w:szCs w:val="24"/>
              </w:rPr>
            </w:pPr>
            <w:r>
              <w:rPr>
                <w:color w:val="auto"/>
                <w:szCs w:val="24"/>
              </w:rPr>
              <w:t>12月22日</w:t>
            </w:r>
          </w:p>
        </w:tc>
        <w:tc>
          <w:tcPr>
            <w:tcW w:w="877" w:type="dxa"/>
            <w:tcBorders>
              <w:tl2br w:val="nil"/>
              <w:tr2bl w:val="nil"/>
            </w:tcBorders>
            <w:vAlign w:val="center"/>
          </w:tcPr>
          <w:p>
            <w:pPr>
              <w:jc w:val="center"/>
              <w:rPr>
                <w:color w:val="auto"/>
                <w:szCs w:val="24"/>
              </w:rPr>
            </w:pPr>
            <w:r>
              <w:rPr>
                <w:color w:val="auto"/>
                <w:szCs w:val="24"/>
              </w:rPr>
              <w:t>第一次</w:t>
            </w:r>
          </w:p>
        </w:tc>
        <w:tc>
          <w:tcPr>
            <w:tcW w:w="873" w:type="dxa"/>
            <w:tcBorders>
              <w:tl2br w:val="nil"/>
              <w:tr2bl w:val="nil"/>
            </w:tcBorders>
            <w:vAlign w:val="center"/>
          </w:tcPr>
          <w:p>
            <w:pPr>
              <w:jc w:val="center"/>
              <w:rPr>
                <w:color w:val="auto"/>
                <w:szCs w:val="24"/>
              </w:rPr>
            </w:pPr>
            <w:r>
              <w:rPr>
                <w:color w:val="auto"/>
                <w:szCs w:val="24"/>
              </w:rPr>
              <w:t>13</w:t>
            </w:r>
          </w:p>
        </w:tc>
        <w:tc>
          <w:tcPr>
            <w:tcW w:w="866" w:type="dxa"/>
            <w:tcBorders>
              <w:tl2br w:val="nil"/>
              <w:tr2bl w:val="nil"/>
            </w:tcBorders>
            <w:vAlign w:val="center"/>
          </w:tcPr>
          <w:p>
            <w:pPr>
              <w:jc w:val="center"/>
              <w:rPr>
                <w:color w:val="auto"/>
                <w:szCs w:val="24"/>
              </w:rPr>
            </w:pPr>
            <w:r>
              <w:rPr>
                <w:color w:val="auto"/>
                <w:szCs w:val="24"/>
              </w:rPr>
              <w:t>14</w:t>
            </w:r>
          </w:p>
        </w:tc>
        <w:tc>
          <w:tcPr>
            <w:tcW w:w="909" w:type="dxa"/>
            <w:tcBorders>
              <w:tl2br w:val="nil"/>
              <w:tr2bl w:val="nil"/>
            </w:tcBorders>
            <w:vAlign w:val="center"/>
          </w:tcPr>
          <w:p>
            <w:pPr>
              <w:jc w:val="center"/>
              <w:rPr>
                <w:color w:val="auto"/>
                <w:szCs w:val="24"/>
              </w:rPr>
            </w:pPr>
            <w:r>
              <w:rPr>
                <w:color w:val="auto"/>
                <w:szCs w:val="24"/>
              </w:rPr>
              <w:t>12</w:t>
            </w:r>
          </w:p>
        </w:tc>
        <w:tc>
          <w:tcPr>
            <w:tcW w:w="909" w:type="dxa"/>
            <w:tcBorders>
              <w:tl2br w:val="nil"/>
              <w:tr2bl w:val="nil"/>
            </w:tcBorders>
            <w:vAlign w:val="center"/>
          </w:tcPr>
          <w:p>
            <w:pPr>
              <w:jc w:val="center"/>
              <w:rPr>
                <w:color w:val="auto"/>
                <w:szCs w:val="24"/>
              </w:rPr>
            </w:pPr>
            <w:r>
              <w:rPr>
                <w:color w:val="auto"/>
                <w:szCs w:val="24"/>
              </w:rPr>
              <w:t>13</w:t>
            </w:r>
          </w:p>
        </w:tc>
        <w:tc>
          <w:tcPr>
            <w:tcW w:w="1021" w:type="dxa"/>
            <w:vMerge w:val="restart"/>
            <w:tcBorders>
              <w:tl2br w:val="nil"/>
              <w:tr2bl w:val="nil"/>
            </w:tcBorders>
            <w:vAlign w:val="center"/>
          </w:tcPr>
          <w:p>
            <w:pPr>
              <w:jc w:val="center"/>
              <w:rPr>
                <w:color w:val="auto"/>
                <w:szCs w:val="24"/>
              </w:rPr>
            </w:pPr>
            <w:r>
              <w:rPr>
                <w:color w:val="auto"/>
                <w:szCs w:val="24"/>
              </w:rPr>
              <w:t>15</w:t>
            </w:r>
          </w:p>
        </w:tc>
        <w:tc>
          <w:tcPr>
            <w:tcW w:w="693" w:type="dxa"/>
            <w:vMerge w:val="restart"/>
            <w:tcBorders>
              <w:tl2br w:val="nil"/>
              <w:tr2bl w:val="nil"/>
            </w:tcBorders>
            <w:vAlign w:val="center"/>
          </w:tcPr>
          <w:p>
            <w:pPr>
              <w:jc w:val="center"/>
              <w:rPr>
                <w:color w:val="auto"/>
                <w:szCs w:val="24"/>
              </w:rPr>
            </w:pPr>
            <w:r>
              <w:rPr>
                <w:color w:val="auto"/>
                <w:szCs w:val="24"/>
              </w:rPr>
              <w:t>20</w:t>
            </w:r>
          </w:p>
        </w:tc>
        <w:tc>
          <w:tcPr>
            <w:tcW w:w="695"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continue"/>
            <w:tcBorders>
              <w:tl2br w:val="nil"/>
              <w:tr2bl w:val="nil"/>
            </w:tcBorders>
            <w:vAlign w:val="center"/>
          </w:tcPr>
          <w:p>
            <w:pPr>
              <w:rPr>
                <w:color w:val="auto"/>
                <w:szCs w:val="24"/>
              </w:rPr>
            </w:pPr>
          </w:p>
        </w:tc>
        <w:tc>
          <w:tcPr>
            <w:tcW w:w="877" w:type="dxa"/>
            <w:tcBorders>
              <w:tl2br w:val="nil"/>
              <w:tr2bl w:val="nil"/>
            </w:tcBorders>
            <w:vAlign w:val="center"/>
          </w:tcPr>
          <w:p>
            <w:pPr>
              <w:jc w:val="center"/>
              <w:rPr>
                <w:color w:val="auto"/>
                <w:szCs w:val="24"/>
              </w:rPr>
            </w:pPr>
            <w:r>
              <w:rPr>
                <w:color w:val="auto"/>
                <w:szCs w:val="24"/>
              </w:rPr>
              <w:t>第二次</w:t>
            </w:r>
          </w:p>
        </w:tc>
        <w:tc>
          <w:tcPr>
            <w:tcW w:w="873" w:type="dxa"/>
            <w:tcBorders>
              <w:tl2br w:val="nil"/>
              <w:tr2bl w:val="nil"/>
            </w:tcBorders>
            <w:vAlign w:val="center"/>
          </w:tcPr>
          <w:p>
            <w:pPr>
              <w:jc w:val="center"/>
              <w:rPr>
                <w:color w:val="auto"/>
                <w:szCs w:val="24"/>
              </w:rPr>
            </w:pPr>
            <w:r>
              <w:rPr>
                <w:color w:val="auto"/>
                <w:szCs w:val="24"/>
              </w:rPr>
              <w:t>13</w:t>
            </w:r>
          </w:p>
        </w:tc>
        <w:tc>
          <w:tcPr>
            <w:tcW w:w="866" w:type="dxa"/>
            <w:tcBorders>
              <w:tl2br w:val="nil"/>
              <w:tr2bl w:val="nil"/>
            </w:tcBorders>
            <w:vAlign w:val="center"/>
          </w:tcPr>
          <w:p>
            <w:pPr>
              <w:jc w:val="center"/>
              <w:rPr>
                <w:color w:val="auto"/>
                <w:szCs w:val="24"/>
              </w:rPr>
            </w:pPr>
            <w:r>
              <w:rPr>
                <w:color w:val="auto"/>
                <w:szCs w:val="24"/>
              </w:rPr>
              <w:t>14</w:t>
            </w:r>
          </w:p>
        </w:tc>
        <w:tc>
          <w:tcPr>
            <w:tcW w:w="909" w:type="dxa"/>
            <w:tcBorders>
              <w:tl2br w:val="nil"/>
              <w:tr2bl w:val="nil"/>
            </w:tcBorders>
            <w:vAlign w:val="center"/>
          </w:tcPr>
          <w:p>
            <w:pPr>
              <w:jc w:val="center"/>
              <w:rPr>
                <w:color w:val="auto"/>
                <w:szCs w:val="24"/>
              </w:rPr>
            </w:pPr>
            <w:r>
              <w:rPr>
                <w:color w:val="auto"/>
                <w:szCs w:val="24"/>
              </w:rPr>
              <w:t>13</w:t>
            </w:r>
          </w:p>
        </w:tc>
        <w:tc>
          <w:tcPr>
            <w:tcW w:w="909" w:type="dxa"/>
            <w:tcBorders>
              <w:tl2br w:val="nil"/>
              <w:tr2bl w:val="nil"/>
            </w:tcBorders>
            <w:vAlign w:val="center"/>
          </w:tcPr>
          <w:p>
            <w:pPr>
              <w:jc w:val="center"/>
              <w:rPr>
                <w:color w:val="auto"/>
                <w:szCs w:val="24"/>
              </w:rPr>
            </w:pPr>
            <w:r>
              <w:rPr>
                <w:color w:val="auto"/>
                <w:szCs w:val="24"/>
              </w:rPr>
              <w:t>13</w:t>
            </w:r>
          </w:p>
        </w:tc>
        <w:tc>
          <w:tcPr>
            <w:tcW w:w="1021" w:type="dxa"/>
            <w:vMerge w:val="continue"/>
            <w:tcBorders>
              <w:tl2br w:val="nil"/>
              <w:tr2bl w:val="nil"/>
            </w:tcBorders>
            <w:vAlign w:val="center"/>
          </w:tcPr>
          <w:p>
            <w:pPr>
              <w:rPr>
                <w:color w:val="auto"/>
                <w:szCs w:val="24"/>
              </w:rPr>
            </w:pPr>
          </w:p>
        </w:tc>
        <w:tc>
          <w:tcPr>
            <w:tcW w:w="693" w:type="dxa"/>
            <w:vMerge w:val="continue"/>
            <w:tcBorders>
              <w:tl2br w:val="nil"/>
              <w:tr2bl w:val="nil"/>
            </w:tcBorders>
            <w:vAlign w:val="center"/>
          </w:tcPr>
          <w:p>
            <w:pPr>
              <w:rPr>
                <w:color w:val="auto"/>
                <w:szCs w:val="24"/>
              </w:rPr>
            </w:pPr>
          </w:p>
        </w:tc>
        <w:tc>
          <w:tcPr>
            <w:tcW w:w="695" w:type="dxa"/>
            <w:vMerge w:val="continue"/>
            <w:tcBorders>
              <w:tl2br w:val="nil"/>
              <w:tr2bl w:val="nil"/>
            </w:tcBorders>
            <w:vAlign w:val="center"/>
          </w:tcPr>
          <w:p>
            <w:pP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continue"/>
            <w:tcBorders>
              <w:tl2br w:val="nil"/>
              <w:tr2bl w:val="nil"/>
            </w:tcBorders>
            <w:vAlign w:val="center"/>
          </w:tcPr>
          <w:p>
            <w:pPr>
              <w:rPr>
                <w:color w:val="auto"/>
                <w:szCs w:val="24"/>
              </w:rPr>
            </w:pPr>
          </w:p>
        </w:tc>
        <w:tc>
          <w:tcPr>
            <w:tcW w:w="877" w:type="dxa"/>
            <w:tcBorders>
              <w:tl2br w:val="nil"/>
              <w:tr2bl w:val="nil"/>
            </w:tcBorders>
            <w:vAlign w:val="center"/>
          </w:tcPr>
          <w:p>
            <w:pPr>
              <w:jc w:val="center"/>
              <w:rPr>
                <w:color w:val="auto"/>
                <w:szCs w:val="24"/>
              </w:rPr>
            </w:pPr>
            <w:r>
              <w:rPr>
                <w:color w:val="auto"/>
                <w:szCs w:val="24"/>
              </w:rPr>
              <w:t>第二次</w:t>
            </w:r>
          </w:p>
        </w:tc>
        <w:tc>
          <w:tcPr>
            <w:tcW w:w="873" w:type="dxa"/>
            <w:tcBorders>
              <w:tl2br w:val="nil"/>
              <w:tr2bl w:val="nil"/>
            </w:tcBorders>
            <w:vAlign w:val="center"/>
          </w:tcPr>
          <w:p>
            <w:pPr>
              <w:jc w:val="center"/>
              <w:rPr>
                <w:color w:val="auto"/>
                <w:szCs w:val="24"/>
              </w:rPr>
            </w:pPr>
            <w:r>
              <w:rPr>
                <w:color w:val="auto"/>
                <w:szCs w:val="24"/>
              </w:rPr>
              <w:t>14</w:t>
            </w:r>
          </w:p>
        </w:tc>
        <w:tc>
          <w:tcPr>
            <w:tcW w:w="866" w:type="dxa"/>
            <w:tcBorders>
              <w:tl2br w:val="nil"/>
              <w:tr2bl w:val="nil"/>
            </w:tcBorders>
            <w:vAlign w:val="center"/>
          </w:tcPr>
          <w:p>
            <w:pPr>
              <w:jc w:val="center"/>
              <w:rPr>
                <w:color w:val="auto"/>
                <w:szCs w:val="24"/>
              </w:rPr>
            </w:pPr>
            <w:r>
              <w:rPr>
                <w:color w:val="auto"/>
                <w:szCs w:val="24"/>
              </w:rPr>
              <w:t>13</w:t>
            </w:r>
          </w:p>
        </w:tc>
        <w:tc>
          <w:tcPr>
            <w:tcW w:w="909" w:type="dxa"/>
            <w:tcBorders>
              <w:tl2br w:val="nil"/>
              <w:tr2bl w:val="nil"/>
            </w:tcBorders>
            <w:vAlign w:val="center"/>
          </w:tcPr>
          <w:p>
            <w:pPr>
              <w:jc w:val="center"/>
              <w:rPr>
                <w:color w:val="auto"/>
                <w:szCs w:val="24"/>
              </w:rPr>
            </w:pPr>
            <w:r>
              <w:rPr>
                <w:color w:val="auto"/>
                <w:szCs w:val="24"/>
              </w:rPr>
              <w:t>15</w:t>
            </w:r>
          </w:p>
        </w:tc>
        <w:tc>
          <w:tcPr>
            <w:tcW w:w="909" w:type="dxa"/>
            <w:tcBorders>
              <w:tl2br w:val="nil"/>
              <w:tr2bl w:val="nil"/>
            </w:tcBorders>
            <w:vAlign w:val="center"/>
          </w:tcPr>
          <w:p>
            <w:pPr>
              <w:jc w:val="center"/>
              <w:rPr>
                <w:color w:val="auto"/>
                <w:szCs w:val="24"/>
              </w:rPr>
            </w:pPr>
            <w:r>
              <w:rPr>
                <w:color w:val="auto"/>
                <w:szCs w:val="24"/>
              </w:rPr>
              <w:t>15</w:t>
            </w:r>
          </w:p>
        </w:tc>
        <w:tc>
          <w:tcPr>
            <w:tcW w:w="1021" w:type="dxa"/>
            <w:vMerge w:val="continue"/>
            <w:tcBorders>
              <w:tl2br w:val="nil"/>
              <w:tr2bl w:val="nil"/>
            </w:tcBorders>
            <w:vAlign w:val="center"/>
          </w:tcPr>
          <w:p>
            <w:pPr>
              <w:rPr>
                <w:color w:val="auto"/>
                <w:szCs w:val="24"/>
              </w:rPr>
            </w:pPr>
          </w:p>
        </w:tc>
        <w:tc>
          <w:tcPr>
            <w:tcW w:w="693" w:type="dxa"/>
            <w:vMerge w:val="continue"/>
            <w:tcBorders>
              <w:tl2br w:val="nil"/>
              <w:tr2bl w:val="nil"/>
            </w:tcBorders>
            <w:vAlign w:val="center"/>
          </w:tcPr>
          <w:p>
            <w:pPr>
              <w:rPr>
                <w:color w:val="auto"/>
                <w:szCs w:val="24"/>
              </w:rPr>
            </w:pPr>
          </w:p>
        </w:tc>
        <w:tc>
          <w:tcPr>
            <w:tcW w:w="695" w:type="dxa"/>
            <w:vMerge w:val="continue"/>
            <w:tcBorders>
              <w:tl2br w:val="nil"/>
              <w:tr2bl w:val="nil"/>
            </w:tcBorders>
            <w:vAlign w:val="center"/>
          </w:tcPr>
          <w:p>
            <w:pP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continue"/>
            <w:tcBorders>
              <w:tl2br w:val="nil"/>
              <w:tr2bl w:val="nil"/>
            </w:tcBorders>
            <w:vAlign w:val="center"/>
          </w:tcPr>
          <w:p>
            <w:pPr>
              <w:rPr>
                <w:color w:val="auto"/>
                <w:szCs w:val="24"/>
              </w:rPr>
            </w:pPr>
          </w:p>
        </w:tc>
        <w:tc>
          <w:tcPr>
            <w:tcW w:w="877" w:type="dxa"/>
            <w:tcBorders>
              <w:tl2br w:val="nil"/>
              <w:tr2bl w:val="nil"/>
            </w:tcBorders>
            <w:vAlign w:val="center"/>
          </w:tcPr>
          <w:p>
            <w:pPr>
              <w:jc w:val="center"/>
              <w:rPr>
                <w:color w:val="auto"/>
                <w:szCs w:val="24"/>
              </w:rPr>
            </w:pPr>
            <w:r>
              <w:rPr>
                <w:color w:val="auto"/>
                <w:szCs w:val="24"/>
              </w:rPr>
              <w:t>第四次</w:t>
            </w:r>
          </w:p>
        </w:tc>
        <w:tc>
          <w:tcPr>
            <w:tcW w:w="873" w:type="dxa"/>
            <w:tcBorders>
              <w:tl2br w:val="nil"/>
              <w:tr2bl w:val="nil"/>
            </w:tcBorders>
            <w:vAlign w:val="center"/>
          </w:tcPr>
          <w:p>
            <w:pPr>
              <w:jc w:val="center"/>
              <w:rPr>
                <w:color w:val="auto"/>
                <w:szCs w:val="24"/>
              </w:rPr>
            </w:pPr>
            <w:r>
              <w:rPr>
                <w:color w:val="auto"/>
                <w:szCs w:val="24"/>
              </w:rPr>
              <w:t>13</w:t>
            </w:r>
          </w:p>
        </w:tc>
        <w:tc>
          <w:tcPr>
            <w:tcW w:w="866" w:type="dxa"/>
            <w:tcBorders>
              <w:tl2br w:val="nil"/>
              <w:tr2bl w:val="nil"/>
            </w:tcBorders>
            <w:vAlign w:val="center"/>
          </w:tcPr>
          <w:p>
            <w:pPr>
              <w:jc w:val="center"/>
              <w:rPr>
                <w:color w:val="auto"/>
                <w:szCs w:val="24"/>
              </w:rPr>
            </w:pPr>
            <w:r>
              <w:rPr>
                <w:color w:val="auto"/>
                <w:szCs w:val="24"/>
              </w:rPr>
              <w:t>13</w:t>
            </w:r>
          </w:p>
        </w:tc>
        <w:tc>
          <w:tcPr>
            <w:tcW w:w="909" w:type="dxa"/>
            <w:tcBorders>
              <w:tl2br w:val="nil"/>
              <w:tr2bl w:val="nil"/>
            </w:tcBorders>
            <w:vAlign w:val="center"/>
          </w:tcPr>
          <w:p>
            <w:pPr>
              <w:jc w:val="center"/>
              <w:rPr>
                <w:color w:val="auto"/>
                <w:szCs w:val="24"/>
              </w:rPr>
            </w:pPr>
            <w:r>
              <w:rPr>
                <w:color w:val="auto"/>
                <w:szCs w:val="24"/>
              </w:rPr>
              <w:t>13</w:t>
            </w:r>
          </w:p>
        </w:tc>
        <w:tc>
          <w:tcPr>
            <w:tcW w:w="909" w:type="dxa"/>
            <w:tcBorders>
              <w:tl2br w:val="nil"/>
              <w:tr2bl w:val="nil"/>
            </w:tcBorders>
            <w:vAlign w:val="center"/>
          </w:tcPr>
          <w:p>
            <w:pPr>
              <w:jc w:val="center"/>
              <w:rPr>
                <w:color w:val="auto"/>
                <w:szCs w:val="24"/>
              </w:rPr>
            </w:pPr>
            <w:r>
              <w:rPr>
                <w:color w:val="auto"/>
                <w:szCs w:val="24"/>
              </w:rPr>
              <w:t>14</w:t>
            </w:r>
          </w:p>
        </w:tc>
        <w:tc>
          <w:tcPr>
            <w:tcW w:w="1021" w:type="dxa"/>
            <w:vMerge w:val="continue"/>
            <w:tcBorders>
              <w:tl2br w:val="nil"/>
              <w:tr2bl w:val="nil"/>
            </w:tcBorders>
            <w:vAlign w:val="center"/>
          </w:tcPr>
          <w:p>
            <w:pPr>
              <w:rPr>
                <w:color w:val="auto"/>
                <w:szCs w:val="24"/>
              </w:rPr>
            </w:pPr>
          </w:p>
        </w:tc>
        <w:tc>
          <w:tcPr>
            <w:tcW w:w="693" w:type="dxa"/>
            <w:vMerge w:val="continue"/>
            <w:tcBorders>
              <w:tl2br w:val="nil"/>
              <w:tr2bl w:val="nil"/>
            </w:tcBorders>
            <w:vAlign w:val="center"/>
          </w:tcPr>
          <w:p>
            <w:pPr>
              <w:rPr>
                <w:color w:val="auto"/>
                <w:szCs w:val="24"/>
              </w:rPr>
            </w:pPr>
          </w:p>
        </w:tc>
        <w:tc>
          <w:tcPr>
            <w:tcW w:w="695" w:type="dxa"/>
            <w:vMerge w:val="continue"/>
            <w:tcBorders>
              <w:tl2br w:val="nil"/>
              <w:tr2bl w:val="nil"/>
            </w:tcBorders>
            <w:vAlign w:val="center"/>
          </w:tcPr>
          <w:p>
            <w:pP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restart"/>
            <w:tcBorders>
              <w:tl2br w:val="nil"/>
              <w:tr2bl w:val="nil"/>
            </w:tcBorders>
            <w:vAlign w:val="center"/>
          </w:tcPr>
          <w:p>
            <w:pPr>
              <w:jc w:val="center"/>
              <w:rPr>
                <w:color w:val="auto"/>
                <w:szCs w:val="24"/>
              </w:rPr>
            </w:pPr>
            <w:r>
              <w:rPr>
                <w:color w:val="auto"/>
                <w:szCs w:val="24"/>
              </w:rPr>
              <w:t>氨</w:t>
            </w:r>
          </w:p>
          <w:p>
            <w:pPr>
              <w:jc w:val="center"/>
              <w:rPr>
                <w:color w:val="auto"/>
                <w:szCs w:val="24"/>
              </w:rPr>
            </w:pPr>
            <w:r>
              <w:rPr>
                <w:color w:val="auto"/>
                <w:szCs w:val="24"/>
              </w:rPr>
              <w:t>(mg/m</w:t>
            </w:r>
            <w:r>
              <w:rPr>
                <w:color w:val="auto"/>
                <w:szCs w:val="24"/>
                <w:vertAlign w:val="superscript"/>
              </w:rPr>
              <w:t>3</w:t>
            </w:r>
            <w:r>
              <w:rPr>
                <w:color w:val="auto"/>
                <w:szCs w:val="24"/>
              </w:rPr>
              <w:t>)</w:t>
            </w:r>
          </w:p>
        </w:tc>
        <w:tc>
          <w:tcPr>
            <w:tcW w:w="728" w:type="dxa"/>
            <w:vMerge w:val="restart"/>
            <w:tcBorders>
              <w:tl2br w:val="nil"/>
              <w:tr2bl w:val="nil"/>
            </w:tcBorders>
            <w:vAlign w:val="center"/>
          </w:tcPr>
          <w:p>
            <w:pPr>
              <w:jc w:val="center"/>
              <w:rPr>
                <w:color w:val="auto"/>
                <w:szCs w:val="24"/>
              </w:rPr>
            </w:pPr>
            <w:r>
              <w:rPr>
                <w:color w:val="auto"/>
                <w:szCs w:val="24"/>
              </w:rPr>
              <w:t>12月21日</w:t>
            </w:r>
          </w:p>
        </w:tc>
        <w:tc>
          <w:tcPr>
            <w:tcW w:w="877" w:type="dxa"/>
            <w:tcBorders>
              <w:tl2br w:val="nil"/>
              <w:tr2bl w:val="nil"/>
            </w:tcBorders>
            <w:vAlign w:val="center"/>
          </w:tcPr>
          <w:p>
            <w:pPr>
              <w:jc w:val="center"/>
              <w:rPr>
                <w:color w:val="auto"/>
                <w:szCs w:val="24"/>
              </w:rPr>
            </w:pPr>
            <w:r>
              <w:rPr>
                <w:color w:val="auto"/>
                <w:szCs w:val="24"/>
              </w:rPr>
              <w:t>第一次</w:t>
            </w:r>
          </w:p>
        </w:tc>
        <w:tc>
          <w:tcPr>
            <w:tcW w:w="873" w:type="dxa"/>
            <w:tcBorders>
              <w:tl2br w:val="nil"/>
              <w:tr2bl w:val="nil"/>
            </w:tcBorders>
            <w:vAlign w:val="center"/>
          </w:tcPr>
          <w:p>
            <w:pPr>
              <w:jc w:val="center"/>
              <w:rPr>
                <w:color w:val="auto"/>
                <w:szCs w:val="24"/>
              </w:rPr>
            </w:pPr>
            <w:r>
              <w:rPr>
                <w:color w:val="auto"/>
                <w:szCs w:val="24"/>
              </w:rPr>
              <w:t>0.11</w:t>
            </w:r>
          </w:p>
        </w:tc>
        <w:tc>
          <w:tcPr>
            <w:tcW w:w="866" w:type="dxa"/>
            <w:tcBorders>
              <w:tl2br w:val="nil"/>
              <w:tr2bl w:val="nil"/>
            </w:tcBorders>
            <w:vAlign w:val="center"/>
          </w:tcPr>
          <w:p>
            <w:pPr>
              <w:jc w:val="center"/>
              <w:rPr>
                <w:color w:val="auto"/>
                <w:szCs w:val="24"/>
              </w:rPr>
            </w:pPr>
            <w:r>
              <w:rPr>
                <w:color w:val="auto"/>
                <w:szCs w:val="24"/>
              </w:rPr>
              <w:t>0.13</w:t>
            </w:r>
          </w:p>
        </w:tc>
        <w:tc>
          <w:tcPr>
            <w:tcW w:w="909" w:type="dxa"/>
            <w:tcBorders>
              <w:tl2br w:val="nil"/>
              <w:tr2bl w:val="nil"/>
            </w:tcBorders>
            <w:vAlign w:val="center"/>
          </w:tcPr>
          <w:p>
            <w:pPr>
              <w:jc w:val="center"/>
              <w:rPr>
                <w:color w:val="auto"/>
                <w:szCs w:val="24"/>
              </w:rPr>
            </w:pPr>
            <w:r>
              <w:rPr>
                <w:color w:val="auto"/>
                <w:szCs w:val="24"/>
              </w:rPr>
              <w:t>0.1</w:t>
            </w:r>
          </w:p>
        </w:tc>
        <w:tc>
          <w:tcPr>
            <w:tcW w:w="909" w:type="dxa"/>
            <w:tcBorders>
              <w:tl2br w:val="nil"/>
              <w:tr2bl w:val="nil"/>
            </w:tcBorders>
            <w:vAlign w:val="center"/>
          </w:tcPr>
          <w:p>
            <w:pPr>
              <w:jc w:val="center"/>
              <w:rPr>
                <w:color w:val="auto"/>
                <w:szCs w:val="24"/>
              </w:rPr>
            </w:pPr>
            <w:r>
              <w:rPr>
                <w:color w:val="auto"/>
                <w:szCs w:val="24"/>
              </w:rPr>
              <w:t>0.1</w:t>
            </w:r>
          </w:p>
        </w:tc>
        <w:tc>
          <w:tcPr>
            <w:tcW w:w="1021" w:type="dxa"/>
            <w:vMerge w:val="restart"/>
            <w:tcBorders>
              <w:tl2br w:val="nil"/>
              <w:tr2bl w:val="nil"/>
            </w:tcBorders>
            <w:vAlign w:val="center"/>
          </w:tcPr>
          <w:p>
            <w:pPr>
              <w:jc w:val="center"/>
              <w:rPr>
                <w:color w:val="auto"/>
                <w:szCs w:val="24"/>
              </w:rPr>
            </w:pPr>
            <w:r>
              <w:rPr>
                <w:color w:val="auto"/>
                <w:szCs w:val="24"/>
              </w:rPr>
              <w:t>0.16</w:t>
            </w:r>
          </w:p>
        </w:tc>
        <w:tc>
          <w:tcPr>
            <w:tcW w:w="693" w:type="dxa"/>
            <w:vMerge w:val="restart"/>
            <w:tcBorders>
              <w:tl2br w:val="nil"/>
              <w:tr2bl w:val="nil"/>
            </w:tcBorders>
            <w:vAlign w:val="center"/>
          </w:tcPr>
          <w:p>
            <w:pPr>
              <w:jc w:val="center"/>
              <w:rPr>
                <w:color w:val="auto"/>
                <w:szCs w:val="24"/>
              </w:rPr>
            </w:pPr>
            <w:r>
              <w:rPr>
                <w:color w:val="auto"/>
                <w:szCs w:val="24"/>
              </w:rPr>
              <w:t>1.5</w:t>
            </w:r>
          </w:p>
        </w:tc>
        <w:tc>
          <w:tcPr>
            <w:tcW w:w="695"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第二次</w:t>
            </w:r>
          </w:p>
        </w:tc>
        <w:tc>
          <w:tcPr>
            <w:tcW w:w="873" w:type="dxa"/>
            <w:tcBorders>
              <w:tl2br w:val="nil"/>
              <w:tr2bl w:val="nil"/>
            </w:tcBorders>
            <w:vAlign w:val="center"/>
          </w:tcPr>
          <w:p>
            <w:pPr>
              <w:jc w:val="center"/>
              <w:rPr>
                <w:color w:val="auto"/>
                <w:szCs w:val="24"/>
              </w:rPr>
            </w:pPr>
            <w:r>
              <w:rPr>
                <w:color w:val="auto"/>
                <w:szCs w:val="24"/>
              </w:rPr>
              <w:t>0.09</w:t>
            </w:r>
          </w:p>
        </w:tc>
        <w:tc>
          <w:tcPr>
            <w:tcW w:w="866" w:type="dxa"/>
            <w:tcBorders>
              <w:tl2br w:val="nil"/>
              <w:tr2bl w:val="nil"/>
            </w:tcBorders>
            <w:vAlign w:val="center"/>
          </w:tcPr>
          <w:p>
            <w:pPr>
              <w:jc w:val="center"/>
              <w:rPr>
                <w:color w:val="auto"/>
                <w:szCs w:val="24"/>
              </w:rPr>
            </w:pPr>
            <w:r>
              <w:rPr>
                <w:color w:val="auto"/>
                <w:szCs w:val="24"/>
              </w:rPr>
              <w:t>0.16</w:t>
            </w:r>
          </w:p>
        </w:tc>
        <w:tc>
          <w:tcPr>
            <w:tcW w:w="909" w:type="dxa"/>
            <w:tcBorders>
              <w:tl2br w:val="nil"/>
              <w:tr2bl w:val="nil"/>
            </w:tcBorders>
            <w:vAlign w:val="center"/>
          </w:tcPr>
          <w:p>
            <w:pPr>
              <w:jc w:val="center"/>
              <w:rPr>
                <w:color w:val="auto"/>
                <w:szCs w:val="24"/>
              </w:rPr>
            </w:pPr>
            <w:r>
              <w:rPr>
                <w:color w:val="auto"/>
                <w:szCs w:val="24"/>
              </w:rPr>
              <w:t>0.13</w:t>
            </w:r>
          </w:p>
        </w:tc>
        <w:tc>
          <w:tcPr>
            <w:tcW w:w="909" w:type="dxa"/>
            <w:tcBorders>
              <w:tl2br w:val="nil"/>
              <w:tr2bl w:val="nil"/>
            </w:tcBorders>
            <w:vAlign w:val="center"/>
          </w:tcPr>
          <w:p>
            <w:pPr>
              <w:jc w:val="center"/>
              <w:rPr>
                <w:color w:val="auto"/>
                <w:szCs w:val="24"/>
              </w:rPr>
            </w:pPr>
            <w:r>
              <w:rPr>
                <w:color w:val="auto"/>
                <w:szCs w:val="24"/>
              </w:rPr>
              <w:t>0.08</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第三次</w:t>
            </w:r>
          </w:p>
        </w:tc>
        <w:tc>
          <w:tcPr>
            <w:tcW w:w="873" w:type="dxa"/>
            <w:tcBorders>
              <w:tl2br w:val="nil"/>
              <w:tr2bl w:val="nil"/>
            </w:tcBorders>
            <w:vAlign w:val="center"/>
          </w:tcPr>
          <w:p>
            <w:pPr>
              <w:jc w:val="center"/>
              <w:rPr>
                <w:color w:val="auto"/>
                <w:szCs w:val="24"/>
              </w:rPr>
            </w:pPr>
            <w:r>
              <w:rPr>
                <w:color w:val="auto"/>
                <w:szCs w:val="24"/>
              </w:rPr>
              <w:t>0.15</w:t>
            </w:r>
          </w:p>
        </w:tc>
        <w:tc>
          <w:tcPr>
            <w:tcW w:w="866" w:type="dxa"/>
            <w:tcBorders>
              <w:tl2br w:val="nil"/>
              <w:tr2bl w:val="nil"/>
            </w:tcBorders>
            <w:vAlign w:val="center"/>
          </w:tcPr>
          <w:p>
            <w:pPr>
              <w:jc w:val="center"/>
              <w:rPr>
                <w:color w:val="auto"/>
                <w:szCs w:val="24"/>
              </w:rPr>
            </w:pPr>
            <w:r>
              <w:rPr>
                <w:color w:val="auto"/>
                <w:szCs w:val="24"/>
              </w:rPr>
              <w:t>0.14</w:t>
            </w:r>
          </w:p>
        </w:tc>
        <w:tc>
          <w:tcPr>
            <w:tcW w:w="909" w:type="dxa"/>
            <w:tcBorders>
              <w:tl2br w:val="nil"/>
              <w:tr2bl w:val="nil"/>
            </w:tcBorders>
            <w:vAlign w:val="center"/>
          </w:tcPr>
          <w:p>
            <w:pPr>
              <w:jc w:val="center"/>
              <w:rPr>
                <w:color w:val="auto"/>
                <w:szCs w:val="24"/>
              </w:rPr>
            </w:pPr>
            <w:r>
              <w:rPr>
                <w:color w:val="auto"/>
                <w:szCs w:val="24"/>
              </w:rPr>
              <w:t>0.09</w:t>
            </w:r>
          </w:p>
        </w:tc>
        <w:tc>
          <w:tcPr>
            <w:tcW w:w="909" w:type="dxa"/>
            <w:tcBorders>
              <w:tl2br w:val="nil"/>
              <w:tr2bl w:val="nil"/>
            </w:tcBorders>
            <w:vAlign w:val="center"/>
          </w:tcPr>
          <w:p>
            <w:pPr>
              <w:jc w:val="center"/>
              <w:rPr>
                <w:color w:val="auto"/>
                <w:szCs w:val="24"/>
              </w:rPr>
            </w:pPr>
            <w:r>
              <w:rPr>
                <w:color w:val="auto"/>
                <w:szCs w:val="24"/>
              </w:rPr>
              <w:t>0.06</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第四次</w:t>
            </w:r>
          </w:p>
        </w:tc>
        <w:tc>
          <w:tcPr>
            <w:tcW w:w="873" w:type="dxa"/>
            <w:tcBorders>
              <w:tl2br w:val="nil"/>
              <w:tr2bl w:val="nil"/>
            </w:tcBorders>
            <w:vAlign w:val="center"/>
          </w:tcPr>
          <w:p>
            <w:pPr>
              <w:jc w:val="center"/>
              <w:rPr>
                <w:color w:val="auto"/>
                <w:szCs w:val="24"/>
              </w:rPr>
            </w:pPr>
            <w:r>
              <w:rPr>
                <w:color w:val="auto"/>
                <w:szCs w:val="24"/>
              </w:rPr>
              <w:t>0.07</w:t>
            </w:r>
          </w:p>
        </w:tc>
        <w:tc>
          <w:tcPr>
            <w:tcW w:w="866" w:type="dxa"/>
            <w:tcBorders>
              <w:tl2br w:val="nil"/>
              <w:tr2bl w:val="nil"/>
            </w:tcBorders>
            <w:vAlign w:val="center"/>
          </w:tcPr>
          <w:p>
            <w:pPr>
              <w:jc w:val="center"/>
              <w:rPr>
                <w:color w:val="auto"/>
                <w:szCs w:val="24"/>
              </w:rPr>
            </w:pPr>
            <w:r>
              <w:rPr>
                <w:color w:val="auto"/>
                <w:szCs w:val="24"/>
              </w:rPr>
              <w:t>0.12</w:t>
            </w:r>
          </w:p>
        </w:tc>
        <w:tc>
          <w:tcPr>
            <w:tcW w:w="909" w:type="dxa"/>
            <w:tcBorders>
              <w:tl2br w:val="nil"/>
              <w:tr2bl w:val="nil"/>
            </w:tcBorders>
            <w:vAlign w:val="center"/>
          </w:tcPr>
          <w:p>
            <w:pPr>
              <w:jc w:val="center"/>
              <w:rPr>
                <w:color w:val="auto"/>
                <w:szCs w:val="24"/>
              </w:rPr>
            </w:pPr>
            <w:r>
              <w:rPr>
                <w:color w:val="auto"/>
                <w:szCs w:val="24"/>
              </w:rPr>
              <w:t>0.14</w:t>
            </w:r>
          </w:p>
        </w:tc>
        <w:tc>
          <w:tcPr>
            <w:tcW w:w="909" w:type="dxa"/>
            <w:tcBorders>
              <w:tl2br w:val="nil"/>
              <w:tr2bl w:val="nil"/>
            </w:tcBorders>
            <w:vAlign w:val="center"/>
          </w:tcPr>
          <w:p>
            <w:pPr>
              <w:jc w:val="center"/>
              <w:rPr>
                <w:color w:val="auto"/>
                <w:szCs w:val="24"/>
              </w:rPr>
            </w:pPr>
            <w:r>
              <w:rPr>
                <w:color w:val="auto"/>
                <w:szCs w:val="24"/>
              </w:rPr>
              <w:t>0.11</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restart"/>
            <w:tcBorders>
              <w:tl2br w:val="nil"/>
              <w:tr2bl w:val="nil"/>
            </w:tcBorders>
            <w:vAlign w:val="center"/>
          </w:tcPr>
          <w:p>
            <w:pPr>
              <w:jc w:val="center"/>
              <w:rPr>
                <w:color w:val="auto"/>
                <w:szCs w:val="24"/>
              </w:rPr>
            </w:pPr>
            <w:r>
              <w:rPr>
                <w:color w:val="auto"/>
                <w:szCs w:val="24"/>
              </w:rPr>
              <w:t>12月22日</w:t>
            </w:r>
          </w:p>
        </w:tc>
        <w:tc>
          <w:tcPr>
            <w:tcW w:w="877" w:type="dxa"/>
            <w:tcBorders>
              <w:tl2br w:val="nil"/>
              <w:tr2bl w:val="nil"/>
            </w:tcBorders>
            <w:vAlign w:val="center"/>
          </w:tcPr>
          <w:p>
            <w:pPr>
              <w:jc w:val="center"/>
              <w:rPr>
                <w:color w:val="auto"/>
                <w:szCs w:val="24"/>
              </w:rPr>
            </w:pPr>
            <w:r>
              <w:rPr>
                <w:color w:val="auto"/>
                <w:szCs w:val="24"/>
              </w:rPr>
              <w:t>第一次</w:t>
            </w:r>
          </w:p>
        </w:tc>
        <w:tc>
          <w:tcPr>
            <w:tcW w:w="873" w:type="dxa"/>
            <w:tcBorders>
              <w:tl2br w:val="nil"/>
              <w:tr2bl w:val="nil"/>
            </w:tcBorders>
            <w:vAlign w:val="center"/>
          </w:tcPr>
          <w:p>
            <w:pPr>
              <w:jc w:val="center"/>
              <w:rPr>
                <w:color w:val="auto"/>
                <w:szCs w:val="24"/>
              </w:rPr>
            </w:pPr>
            <w:r>
              <w:rPr>
                <w:color w:val="auto"/>
                <w:szCs w:val="24"/>
              </w:rPr>
              <w:t>0.06</w:t>
            </w:r>
          </w:p>
        </w:tc>
        <w:tc>
          <w:tcPr>
            <w:tcW w:w="866" w:type="dxa"/>
            <w:tcBorders>
              <w:tl2br w:val="nil"/>
              <w:tr2bl w:val="nil"/>
            </w:tcBorders>
            <w:vAlign w:val="center"/>
          </w:tcPr>
          <w:p>
            <w:pPr>
              <w:jc w:val="center"/>
              <w:rPr>
                <w:color w:val="auto"/>
                <w:szCs w:val="24"/>
              </w:rPr>
            </w:pPr>
            <w:r>
              <w:rPr>
                <w:color w:val="auto"/>
                <w:szCs w:val="24"/>
              </w:rPr>
              <w:t>0.17</w:t>
            </w:r>
          </w:p>
        </w:tc>
        <w:tc>
          <w:tcPr>
            <w:tcW w:w="909" w:type="dxa"/>
            <w:tcBorders>
              <w:tl2br w:val="nil"/>
              <w:tr2bl w:val="nil"/>
            </w:tcBorders>
            <w:vAlign w:val="center"/>
          </w:tcPr>
          <w:p>
            <w:pPr>
              <w:jc w:val="center"/>
              <w:rPr>
                <w:color w:val="auto"/>
                <w:szCs w:val="24"/>
              </w:rPr>
            </w:pPr>
            <w:r>
              <w:rPr>
                <w:color w:val="auto"/>
                <w:szCs w:val="24"/>
              </w:rPr>
              <w:t>0.13</w:t>
            </w:r>
          </w:p>
        </w:tc>
        <w:tc>
          <w:tcPr>
            <w:tcW w:w="909" w:type="dxa"/>
            <w:tcBorders>
              <w:tl2br w:val="nil"/>
              <w:tr2bl w:val="nil"/>
            </w:tcBorders>
            <w:vAlign w:val="center"/>
          </w:tcPr>
          <w:p>
            <w:pPr>
              <w:jc w:val="center"/>
              <w:rPr>
                <w:color w:val="auto"/>
                <w:szCs w:val="24"/>
              </w:rPr>
            </w:pPr>
            <w:r>
              <w:rPr>
                <w:color w:val="auto"/>
                <w:szCs w:val="24"/>
              </w:rPr>
              <w:t>0.08</w:t>
            </w:r>
          </w:p>
        </w:tc>
        <w:tc>
          <w:tcPr>
            <w:tcW w:w="1021" w:type="dxa"/>
            <w:vMerge w:val="restart"/>
            <w:tcBorders>
              <w:tl2br w:val="nil"/>
              <w:tr2bl w:val="nil"/>
            </w:tcBorders>
            <w:vAlign w:val="center"/>
          </w:tcPr>
          <w:p>
            <w:pPr>
              <w:jc w:val="center"/>
              <w:rPr>
                <w:color w:val="auto"/>
                <w:szCs w:val="24"/>
              </w:rPr>
            </w:pPr>
            <w:r>
              <w:rPr>
                <w:color w:val="auto"/>
                <w:szCs w:val="24"/>
              </w:rPr>
              <w:t>0.18</w:t>
            </w:r>
          </w:p>
        </w:tc>
        <w:tc>
          <w:tcPr>
            <w:tcW w:w="693" w:type="dxa"/>
            <w:vMerge w:val="restart"/>
            <w:tcBorders>
              <w:tl2br w:val="nil"/>
              <w:tr2bl w:val="nil"/>
            </w:tcBorders>
            <w:vAlign w:val="center"/>
          </w:tcPr>
          <w:p>
            <w:pPr>
              <w:jc w:val="center"/>
              <w:rPr>
                <w:color w:val="auto"/>
                <w:szCs w:val="24"/>
              </w:rPr>
            </w:pPr>
            <w:r>
              <w:rPr>
                <w:color w:val="auto"/>
                <w:szCs w:val="24"/>
              </w:rPr>
              <w:t>1.5</w:t>
            </w:r>
          </w:p>
        </w:tc>
        <w:tc>
          <w:tcPr>
            <w:tcW w:w="695"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第二次</w:t>
            </w:r>
          </w:p>
        </w:tc>
        <w:tc>
          <w:tcPr>
            <w:tcW w:w="873" w:type="dxa"/>
            <w:tcBorders>
              <w:tl2br w:val="nil"/>
              <w:tr2bl w:val="nil"/>
            </w:tcBorders>
            <w:vAlign w:val="center"/>
          </w:tcPr>
          <w:p>
            <w:pPr>
              <w:jc w:val="center"/>
              <w:rPr>
                <w:color w:val="auto"/>
                <w:szCs w:val="24"/>
              </w:rPr>
            </w:pPr>
            <w:r>
              <w:rPr>
                <w:color w:val="auto"/>
                <w:szCs w:val="24"/>
              </w:rPr>
              <w:t>0.08</w:t>
            </w:r>
          </w:p>
        </w:tc>
        <w:tc>
          <w:tcPr>
            <w:tcW w:w="866" w:type="dxa"/>
            <w:tcBorders>
              <w:tl2br w:val="nil"/>
              <w:tr2bl w:val="nil"/>
            </w:tcBorders>
            <w:vAlign w:val="center"/>
          </w:tcPr>
          <w:p>
            <w:pPr>
              <w:jc w:val="center"/>
              <w:rPr>
                <w:color w:val="auto"/>
                <w:szCs w:val="24"/>
              </w:rPr>
            </w:pPr>
            <w:r>
              <w:rPr>
                <w:color w:val="auto"/>
                <w:szCs w:val="24"/>
              </w:rPr>
              <w:t>0.1</w:t>
            </w:r>
          </w:p>
        </w:tc>
        <w:tc>
          <w:tcPr>
            <w:tcW w:w="909" w:type="dxa"/>
            <w:tcBorders>
              <w:tl2br w:val="nil"/>
              <w:tr2bl w:val="nil"/>
            </w:tcBorders>
            <w:vAlign w:val="center"/>
          </w:tcPr>
          <w:p>
            <w:pPr>
              <w:jc w:val="center"/>
              <w:rPr>
                <w:color w:val="auto"/>
                <w:szCs w:val="24"/>
              </w:rPr>
            </w:pPr>
            <w:r>
              <w:rPr>
                <w:color w:val="auto"/>
                <w:szCs w:val="24"/>
              </w:rPr>
              <w:t>0.09</w:t>
            </w:r>
          </w:p>
        </w:tc>
        <w:tc>
          <w:tcPr>
            <w:tcW w:w="909" w:type="dxa"/>
            <w:tcBorders>
              <w:tl2br w:val="nil"/>
              <w:tr2bl w:val="nil"/>
            </w:tcBorders>
            <w:vAlign w:val="center"/>
          </w:tcPr>
          <w:p>
            <w:pPr>
              <w:jc w:val="center"/>
              <w:rPr>
                <w:color w:val="auto"/>
                <w:szCs w:val="24"/>
              </w:rPr>
            </w:pPr>
            <w:r>
              <w:rPr>
                <w:color w:val="auto"/>
                <w:szCs w:val="24"/>
              </w:rPr>
              <w:t>0.06</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第三次</w:t>
            </w:r>
          </w:p>
        </w:tc>
        <w:tc>
          <w:tcPr>
            <w:tcW w:w="873" w:type="dxa"/>
            <w:tcBorders>
              <w:tl2br w:val="nil"/>
              <w:tr2bl w:val="nil"/>
            </w:tcBorders>
            <w:vAlign w:val="center"/>
          </w:tcPr>
          <w:p>
            <w:pPr>
              <w:jc w:val="center"/>
              <w:rPr>
                <w:color w:val="auto"/>
                <w:szCs w:val="24"/>
              </w:rPr>
            </w:pPr>
            <w:r>
              <w:rPr>
                <w:color w:val="auto"/>
                <w:szCs w:val="24"/>
              </w:rPr>
              <w:t>0.13</w:t>
            </w:r>
          </w:p>
        </w:tc>
        <w:tc>
          <w:tcPr>
            <w:tcW w:w="866" w:type="dxa"/>
            <w:tcBorders>
              <w:tl2br w:val="nil"/>
              <w:tr2bl w:val="nil"/>
            </w:tcBorders>
            <w:vAlign w:val="center"/>
          </w:tcPr>
          <w:p>
            <w:pPr>
              <w:jc w:val="center"/>
              <w:rPr>
                <w:color w:val="auto"/>
                <w:szCs w:val="24"/>
              </w:rPr>
            </w:pPr>
            <w:r>
              <w:rPr>
                <w:color w:val="auto"/>
                <w:szCs w:val="24"/>
              </w:rPr>
              <w:t>0.18</w:t>
            </w:r>
          </w:p>
        </w:tc>
        <w:tc>
          <w:tcPr>
            <w:tcW w:w="909" w:type="dxa"/>
            <w:tcBorders>
              <w:tl2br w:val="nil"/>
              <w:tr2bl w:val="nil"/>
            </w:tcBorders>
            <w:vAlign w:val="center"/>
          </w:tcPr>
          <w:p>
            <w:pPr>
              <w:jc w:val="center"/>
              <w:rPr>
                <w:color w:val="auto"/>
                <w:szCs w:val="24"/>
              </w:rPr>
            </w:pPr>
            <w:r>
              <w:rPr>
                <w:color w:val="auto"/>
                <w:szCs w:val="24"/>
              </w:rPr>
              <w:t>0.15</w:t>
            </w:r>
          </w:p>
        </w:tc>
        <w:tc>
          <w:tcPr>
            <w:tcW w:w="909" w:type="dxa"/>
            <w:tcBorders>
              <w:tl2br w:val="nil"/>
              <w:tr2bl w:val="nil"/>
            </w:tcBorders>
            <w:vAlign w:val="center"/>
          </w:tcPr>
          <w:p>
            <w:pPr>
              <w:jc w:val="center"/>
              <w:rPr>
                <w:color w:val="auto"/>
                <w:szCs w:val="24"/>
              </w:rPr>
            </w:pPr>
            <w:r>
              <w:rPr>
                <w:color w:val="auto"/>
                <w:szCs w:val="24"/>
              </w:rPr>
              <w:t>0.1</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第四次</w:t>
            </w:r>
          </w:p>
        </w:tc>
        <w:tc>
          <w:tcPr>
            <w:tcW w:w="873" w:type="dxa"/>
            <w:tcBorders>
              <w:tl2br w:val="nil"/>
              <w:tr2bl w:val="nil"/>
            </w:tcBorders>
            <w:vAlign w:val="center"/>
          </w:tcPr>
          <w:p>
            <w:pPr>
              <w:jc w:val="center"/>
              <w:rPr>
                <w:color w:val="auto"/>
                <w:szCs w:val="24"/>
              </w:rPr>
            </w:pPr>
            <w:r>
              <w:rPr>
                <w:color w:val="auto"/>
                <w:szCs w:val="24"/>
              </w:rPr>
              <w:t>0.08</w:t>
            </w:r>
          </w:p>
        </w:tc>
        <w:tc>
          <w:tcPr>
            <w:tcW w:w="866" w:type="dxa"/>
            <w:tcBorders>
              <w:tl2br w:val="nil"/>
              <w:tr2bl w:val="nil"/>
            </w:tcBorders>
            <w:vAlign w:val="center"/>
          </w:tcPr>
          <w:p>
            <w:pPr>
              <w:jc w:val="center"/>
              <w:rPr>
                <w:color w:val="auto"/>
                <w:szCs w:val="24"/>
              </w:rPr>
            </w:pPr>
            <w:r>
              <w:rPr>
                <w:color w:val="auto"/>
                <w:szCs w:val="24"/>
              </w:rPr>
              <w:t>0.15</w:t>
            </w:r>
          </w:p>
        </w:tc>
        <w:tc>
          <w:tcPr>
            <w:tcW w:w="909" w:type="dxa"/>
            <w:tcBorders>
              <w:tl2br w:val="nil"/>
              <w:tr2bl w:val="nil"/>
            </w:tcBorders>
            <w:vAlign w:val="center"/>
          </w:tcPr>
          <w:p>
            <w:pPr>
              <w:jc w:val="center"/>
              <w:rPr>
                <w:color w:val="auto"/>
                <w:szCs w:val="24"/>
              </w:rPr>
            </w:pPr>
            <w:r>
              <w:rPr>
                <w:color w:val="auto"/>
                <w:szCs w:val="24"/>
              </w:rPr>
              <w:t>0.14</w:t>
            </w:r>
          </w:p>
        </w:tc>
        <w:tc>
          <w:tcPr>
            <w:tcW w:w="909" w:type="dxa"/>
            <w:tcBorders>
              <w:tl2br w:val="nil"/>
              <w:tr2bl w:val="nil"/>
            </w:tcBorders>
            <w:vAlign w:val="center"/>
          </w:tcPr>
          <w:p>
            <w:pPr>
              <w:jc w:val="center"/>
              <w:rPr>
                <w:color w:val="auto"/>
                <w:szCs w:val="24"/>
              </w:rPr>
            </w:pPr>
            <w:r>
              <w:rPr>
                <w:color w:val="auto"/>
                <w:szCs w:val="24"/>
              </w:rPr>
              <w:t>0.12</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restart"/>
            <w:tcBorders>
              <w:tl2br w:val="nil"/>
              <w:tr2bl w:val="nil"/>
            </w:tcBorders>
            <w:vAlign w:val="center"/>
          </w:tcPr>
          <w:p>
            <w:pPr>
              <w:jc w:val="center"/>
              <w:rPr>
                <w:color w:val="auto"/>
                <w:szCs w:val="24"/>
              </w:rPr>
            </w:pPr>
            <w:r>
              <w:rPr>
                <w:color w:val="auto"/>
                <w:szCs w:val="24"/>
              </w:rPr>
              <w:t>硫化氢</w:t>
            </w:r>
          </w:p>
          <w:p>
            <w:pPr>
              <w:jc w:val="center"/>
              <w:rPr>
                <w:color w:val="auto"/>
                <w:szCs w:val="24"/>
              </w:rPr>
            </w:pPr>
            <w:r>
              <w:rPr>
                <w:color w:val="auto"/>
                <w:szCs w:val="24"/>
              </w:rPr>
              <w:t>(mg/m</w:t>
            </w:r>
            <w:r>
              <w:rPr>
                <w:color w:val="auto"/>
                <w:szCs w:val="24"/>
                <w:vertAlign w:val="superscript"/>
              </w:rPr>
              <w:t>3</w:t>
            </w:r>
            <w:r>
              <w:rPr>
                <w:color w:val="auto"/>
                <w:szCs w:val="24"/>
              </w:rPr>
              <w:t>)</w:t>
            </w:r>
          </w:p>
        </w:tc>
        <w:tc>
          <w:tcPr>
            <w:tcW w:w="728" w:type="dxa"/>
            <w:vMerge w:val="restart"/>
            <w:tcBorders>
              <w:tl2br w:val="nil"/>
              <w:tr2bl w:val="nil"/>
            </w:tcBorders>
            <w:vAlign w:val="center"/>
          </w:tcPr>
          <w:p>
            <w:pPr>
              <w:jc w:val="center"/>
              <w:rPr>
                <w:color w:val="auto"/>
                <w:szCs w:val="24"/>
              </w:rPr>
            </w:pPr>
            <w:r>
              <w:rPr>
                <w:color w:val="auto"/>
                <w:szCs w:val="24"/>
              </w:rPr>
              <w:t>12月21日</w:t>
            </w:r>
          </w:p>
        </w:tc>
        <w:tc>
          <w:tcPr>
            <w:tcW w:w="877" w:type="dxa"/>
            <w:tcBorders>
              <w:tl2br w:val="nil"/>
              <w:tr2bl w:val="nil"/>
            </w:tcBorders>
            <w:vAlign w:val="center"/>
          </w:tcPr>
          <w:p>
            <w:pPr>
              <w:jc w:val="center"/>
              <w:rPr>
                <w:color w:val="auto"/>
                <w:szCs w:val="24"/>
              </w:rPr>
            </w:pPr>
            <w:r>
              <w:rPr>
                <w:color w:val="auto"/>
                <w:szCs w:val="24"/>
              </w:rPr>
              <w:t>第一次</w:t>
            </w:r>
          </w:p>
        </w:tc>
        <w:tc>
          <w:tcPr>
            <w:tcW w:w="873" w:type="dxa"/>
            <w:tcBorders>
              <w:tl2br w:val="nil"/>
              <w:tr2bl w:val="nil"/>
            </w:tcBorders>
            <w:vAlign w:val="center"/>
          </w:tcPr>
          <w:p>
            <w:pPr>
              <w:jc w:val="center"/>
              <w:rPr>
                <w:color w:val="auto"/>
                <w:szCs w:val="24"/>
              </w:rPr>
            </w:pPr>
            <w:r>
              <w:rPr>
                <w:color w:val="auto"/>
                <w:szCs w:val="24"/>
              </w:rPr>
              <w:t>0.003</w:t>
            </w:r>
          </w:p>
        </w:tc>
        <w:tc>
          <w:tcPr>
            <w:tcW w:w="866" w:type="dxa"/>
            <w:tcBorders>
              <w:tl2br w:val="nil"/>
              <w:tr2bl w:val="nil"/>
            </w:tcBorders>
            <w:vAlign w:val="center"/>
          </w:tcPr>
          <w:p>
            <w:pPr>
              <w:jc w:val="center"/>
              <w:rPr>
                <w:color w:val="auto"/>
                <w:szCs w:val="24"/>
              </w:rPr>
            </w:pPr>
            <w:r>
              <w:rPr>
                <w:color w:val="auto"/>
                <w:szCs w:val="24"/>
              </w:rPr>
              <w:t>0.006</w:t>
            </w:r>
          </w:p>
        </w:tc>
        <w:tc>
          <w:tcPr>
            <w:tcW w:w="909" w:type="dxa"/>
            <w:tcBorders>
              <w:tl2br w:val="nil"/>
              <w:tr2bl w:val="nil"/>
            </w:tcBorders>
            <w:vAlign w:val="center"/>
          </w:tcPr>
          <w:p>
            <w:pPr>
              <w:jc w:val="center"/>
              <w:rPr>
                <w:color w:val="auto"/>
                <w:szCs w:val="24"/>
              </w:rPr>
            </w:pPr>
            <w:r>
              <w:rPr>
                <w:color w:val="auto"/>
                <w:szCs w:val="24"/>
              </w:rPr>
              <w:t>0.005</w:t>
            </w:r>
          </w:p>
        </w:tc>
        <w:tc>
          <w:tcPr>
            <w:tcW w:w="909" w:type="dxa"/>
            <w:tcBorders>
              <w:tl2br w:val="nil"/>
              <w:tr2bl w:val="nil"/>
            </w:tcBorders>
            <w:vAlign w:val="center"/>
          </w:tcPr>
          <w:p>
            <w:pPr>
              <w:jc w:val="center"/>
              <w:rPr>
                <w:color w:val="auto"/>
                <w:szCs w:val="24"/>
              </w:rPr>
            </w:pPr>
            <w:r>
              <w:rPr>
                <w:color w:val="auto"/>
                <w:szCs w:val="24"/>
              </w:rPr>
              <w:t>0.008</w:t>
            </w:r>
          </w:p>
        </w:tc>
        <w:tc>
          <w:tcPr>
            <w:tcW w:w="1021" w:type="dxa"/>
            <w:vMerge w:val="restart"/>
            <w:tcBorders>
              <w:tl2br w:val="nil"/>
              <w:tr2bl w:val="nil"/>
            </w:tcBorders>
            <w:vAlign w:val="center"/>
          </w:tcPr>
          <w:p>
            <w:pPr>
              <w:jc w:val="center"/>
              <w:rPr>
                <w:color w:val="auto"/>
                <w:szCs w:val="24"/>
              </w:rPr>
            </w:pPr>
            <w:r>
              <w:rPr>
                <w:color w:val="auto"/>
                <w:szCs w:val="24"/>
              </w:rPr>
              <w:t>0.008</w:t>
            </w:r>
          </w:p>
        </w:tc>
        <w:tc>
          <w:tcPr>
            <w:tcW w:w="693" w:type="dxa"/>
            <w:vMerge w:val="restart"/>
            <w:tcBorders>
              <w:tl2br w:val="nil"/>
              <w:tr2bl w:val="nil"/>
            </w:tcBorders>
            <w:vAlign w:val="center"/>
          </w:tcPr>
          <w:p>
            <w:pPr>
              <w:jc w:val="center"/>
              <w:rPr>
                <w:color w:val="auto"/>
                <w:szCs w:val="24"/>
              </w:rPr>
            </w:pPr>
            <w:r>
              <w:rPr>
                <w:color w:val="auto"/>
                <w:szCs w:val="24"/>
              </w:rPr>
              <w:t>0.06</w:t>
            </w:r>
          </w:p>
        </w:tc>
        <w:tc>
          <w:tcPr>
            <w:tcW w:w="695"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第二次</w:t>
            </w:r>
          </w:p>
        </w:tc>
        <w:tc>
          <w:tcPr>
            <w:tcW w:w="873" w:type="dxa"/>
            <w:tcBorders>
              <w:tl2br w:val="nil"/>
              <w:tr2bl w:val="nil"/>
            </w:tcBorders>
            <w:vAlign w:val="center"/>
          </w:tcPr>
          <w:p>
            <w:pPr>
              <w:jc w:val="center"/>
              <w:rPr>
                <w:color w:val="auto"/>
                <w:szCs w:val="24"/>
              </w:rPr>
            </w:pPr>
            <w:r>
              <w:rPr>
                <w:color w:val="auto"/>
                <w:szCs w:val="24"/>
              </w:rPr>
              <w:t>0.007</w:t>
            </w:r>
          </w:p>
        </w:tc>
        <w:tc>
          <w:tcPr>
            <w:tcW w:w="866" w:type="dxa"/>
            <w:tcBorders>
              <w:tl2br w:val="nil"/>
              <w:tr2bl w:val="nil"/>
            </w:tcBorders>
            <w:vAlign w:val="center"/>
          </w:tcPr>
          <w:p>
            <w:pPr>
              <w:jc w:val="center"/>
              <w:rPr>
                <w:color w:val="auto"/>
                <w:szCs w:val="24"/>
              </w:rPr>
            </w:pPr>
            <w:r>
              <w:rPr>
                <w:color w:val="auto"/>
                <w:szCs w:val="24"/>
              </w:rPr>
              <w:t>0.005</w:t>
            </w:r>
          </w:p>
        </w:tc>
        <w:tc>
          <w:tcPr>
            <w:tcW w:w="909" w:type="dxa"/>
            <w:tcBorders>
              <w:tl2br w:val="nil"/>
              <w:tr2bl w:val="nil"/>
            </w:tcBorders>
            <w:vAlign w:val="center"/>
          </w:tcPr>
          <w:p>
            <w:pPr>
              <w:jc w:val="center"/>
              <w:rPr>
                <w:color w:val="auto"/>
                <w:szCs w:val="24"/>
              </w:rPr>
            </w:pPr>
            <w:r>
              <w:rPr>
                <w:color w:val="auto"/>
                <w:szCs w:val="24"/>
              </w:rPr>
              <w:t>0.003</w:t>
            </w:r>
          </w:p>
        </w:tc>
        <w:tc>
          <w:tcPr>
            <w:tcW w:w="909" w:type="dxa"/>
            <w:tcBorders>
              <w:tl2br w:val="nil"/>
              <w:tr2bl w:val="nil"/>
            </w:tcBorders>
            <w:vAlign w:val="center"/>
          </w:tcPr>
          <w:p>
            <w:pPr>
              <w:jc w:val="center"/>
              <w:rPr>
                <w:color w:val="auto"/>
                <w:szCs w:val="24"/>
              </w:rPr>
            </w:pPr>
            <w:r>
              <w:rPr>
                <w:color w:val="auto"/>
                <w:szCs w:val="24"/>
              </w:rPr>
              <w:t>0.006</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第三次</w:t>
            </w:r>
          </w:p>
        </w:tc>
        <w:tc>
          <w:tcPr>
            <w:tcW w:w="873" w:type="dxa"/>
            <w:tcBorders>
              <w:tl2br w:val="nil"/>
              <w:tr2bl w:val="nil"/>
            </w:tcBorders>
            <w:vAlign w:val="center"/>
          </w:tcPr>
          <w:p>
            <w:pPr>
              <w:jc w:val="center"/>
              <w:rPr>
                <w:color w:val="auto"/>
                <w:szCs w:val="24"/>
              </w:rPr>
            </w:pPr>
            <w:r>
              <w:rPr>
                <w:color w:val="auto"/>
                <w:szCs w:val="24"/>
              </w:rPr>
              <w:t>0.005</w:t>
            </w:r>
          </w:p>
        </w:tc>
        <w:tc>
          <w:tcPr>
            <w:tcW w:w="866" w:type="dxa"/>
            <w:tcBorders>
              <w:tl2br w:val="nil"/>
              <w:tr2bl w:val="nil"/>
            </w:tcBorders>
            <w:vAlign w:val="center"/>
          </w:tcPr>
          <w:p>
            <w:pPr>
              <w:jc w:val="center"/>
              <w:rPr>
                <w:color w:val="auto"/>
                <w:szCs w:val="24"/>
              </w:rPr>
            </w:pPr>
            <w:r>
              <w:rPr>
                <w:color w:val="auto"/>
                <w:szCs w:val="24"/>
              </w:rPr>
              <w:t>0.004</w:t>
            </w:r>
          </w:p>
        </w:tc>
        <w:tc>
          <w:tcPr>
            <w:tcW w:w="909" w:type="dxa"/>
            <w:tcBorders>
              <w:tl2br w:val="nil"/>
              <w:tr2bl w:val="nil"/>
            </w:tcBorders>
            <w:vAlign w:val="center"/>
          </w:tcPr>
          <w:p>
            <w:pPr>
              <w:jc w:val="center"/>
              <w:rPr>
                <w:color w:val="auto"/>
                <w:szCs w:val="24"/>
              </w:rPr>
            </w:pPr>
            <w:r>
              <w:rPr>
                <w:color w:val="auto"/>
                <w:szCs w:val="24"/>
              </w:rPr>
              <w:t>0.002</w:t>
            </w:r>
          </w:p>
        </w:tc>
        <w:tc>
          <w:tcPr>
            <w:tcW w:w="909" w:type="dxa"/>
            <w:tcBorders>
              <w:tl2br w:val="nil"/>
              <w:tr2bl w:val="nil"/>
            </w:tcBorders>
            <w:vAlign w:val="center"/>
          </w:tcPr>
          <w:p>
            <w:pPr>
              <w:jc w:val="center"/>
              <w:rPr>
                <w:color w:val="auto"/>
                <w:szCs w:val="24"/>
              </w:rPr>
            </w:pPr>
            <w:r>
              <w:rPr>
                <w:color w:val="auto"/>
                <w:szCs w:val="24"/>
              </w:rPr>
              <w:t>0.004</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第四次</w:t>
            </w:r>
          </w:p>
        </w:tc>
        <w:tc>
          <w:tcPr>
            <w:tcW w:w="873" w:type="dxa"/>
            <w:tcBorders>
              <w:tl2br w:val="nil"/>
              <w:tr2bl w:val="nil"/>
            </w:tcBorders>
            <w:vAlign w:val="center"/>
          </w:tcPr>
          <w:p>
            <w:pPr>
              <w:jc w:val="center"/>
              <w:rPr>
                <w:color w:val="auto"/>
                <w:szCs w:val="24"/>
              </w:rPr>
            </w:pPr>
            <w:r>
              <w:rPr>
                <w:color w:val="auto"/>
                <w:szCs w:val="24"/>
              </w:rPr>
              <w:t>0.004</w:t>
            </w:r>
          </w:p>
        </w:tc>
        <w:tc>
          <w:tcPr>
            <w:tcW w:w="866" w:type="dxa"/>
            <w:tcBorders>
              <w:tl2br w:val="nil"/>
              <w:tr2bl w:val="nil"/>
            </w:tcBorders>
            <w:vAlign w:val="center"/>
          </w:tcPr>
          <w:p>
            <w:pPr>
              <w:jc w:val="center"/>
              <w:rPr>
                <w:color w:val="auto"/>
                <w:szCs w:val="24"/>
              </w:rPr>
            </w:pPr>
            <w:r>
              <w:rPr>
                <w:color w:val="auto"/>
                <w:szCs w:val="24"/>
              </w:rPr>
              <w:t>0.002</w:t>
            </w:r>
          </w:p>
        </w:tc>
        <w:tc>
          <w:tcPr>
            <w:tcW w:w="909" w:type="dxa"/>
            <w:tcBorders>
              <w:tl2br w:val="nil"/>
              <w:tr2bl w:val="nil"/>
            </w:tcBorders>
            <w:vAlign w:val="center"/>
          </w:tcPr>
          <w:p>
            <w:pPr>
              <w:jc w:val="center"/>
              <w:rPr>
                <w:color w:val="auto"/>
                <w:szCs w:val="24"/>
              </w:rPr>
            </w:pPr>
            <w:r>
              <w:rPr>
                <w:color w:val="auto"/>
                <w:szCs w:val="24"/>
              </w:rPr>
              <w:t>0.005</w:t>
            </w:r>
          </w:p>
        </w:tc>
        <w:tc>
          <w:tcPr>
            <w:tcW w:w="909" w:type="dxa"/>
            <w:tcBorders>
              <w:tl2br w:val="nil"/>
              <w:tr2bl w:val="nil"/>
            </w:tcBorders>
            <w:vAlign w:val="center"/>
          </w:tcPr>
          <w:p>
            <w:pPr>
              <w:jc w:val="center"/>
              <w:rPr>
                <w:color w:val="auto"/>
                <w:szCs w:val="24"/>
              </w:rPr>
            </w:pPr>
            <w:r>
              <w:rPr>
                <w:color w:val="auto"/>
                <w:szCs w:val="24"/>
              </w:rPr>
              <w:t>0.003</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restart"/>
            <w:tcBorders>
              <w:tl2br w:val="nil"/>
              <w:tr2bl w:val="nil"/>
            </w:tcBorders>
            <w:vAlign w:val="center"/>
          </w:tcPr>
          <w:p>
            <w:pPr>
              <w:jc w:val="center"/>
              <w:rPr>
                <w:color w:val="auto"/>
                <w:szCs w:val="24"/>
              </w:rPr>
            </w:pPr>
            <w:r>
              <w:rPr>
                <w:color w:val="auto"/>
                <w:szCs w:val="24"/>
              </w:rPr>
              <w:t>12月22日</w:t>
            </w:r>
          </w:p>
        </w:tc>
        <w:tc>
          <w:tcPr>
            <w:tcW w:w="877" w:type="dxa"/>
            <w:tcBorders>
              <w:tl2br w:val="nil"/>
              <w:tr2bl w:val="nil"/>
            </w:tcBorders>
            <w:vAlign w:val="center"/>
          </w:tcPr>
          <w:p>
            <w:pPr>
              <w:jc w:val="center"/>
              <w:rPr>
                <w:color w:val="auto"/>
                <w:szCs w:val="24"/>
              </w:rPr>
            </w:pPr>
            <w:r>
              <w:rPr>
                <w:color w:val="auto"/>
                <w:szCs w:val="24"/>
              </w:rPr>
              <w:t>第一次</w:t>
            </w:r>
          </w:p>
        </w:tc>
        <w:tc>
          <w:tcPr>
            <w:tcW w:w="873" w:type="dxa"/>
            <w:tcBorders>
              <w:tl2br w:val="nil"/>
              <w:tr2bl w:val="nil"/>
            </w:tcBorders>
            <w:vAlign w:val="center"/>
          </w:tcPr>
          <w:p>
            <w:pPr>
              <w:jc w:val="center"/>
              <w:rPr>
                <w:color w:val="auto"/>
                <w:szCs w:val="24"/>
              </w:rPr>
            </w:pPr>
            <w:r>
              <w:rPr>
                <w:color w:val="auto"/>
                <w:szCs w:val="24"/>
              </w:rPr>
              <w:t>0.006</w:t>
            </w:r>
          </w:p>
        </w:tc>
        <w:tc>
          <w:tcPr>
            <w:tcW w:w="866" w:type="dxa"/>
            <w:tcBorders>
              <w:tl2br w:val="nil"/>
              <w:tr2bl w:val="nil"/>
            </w:tcBorders>
            <w:vAlign w:val="center"/>
          </w:tcPr>
          <w:p>
            <w:pPr>
              <w:jc w:val="center"/>
              <w:rPr>
                <w:color w:val="auto"/>
                <w:szCs w:val="24"/>
              </w:rPr>
            </w:pPr>
            <w:r>
              <w:rPr>
                <w:color w:val="auto"/>
                <w:szCs w:val="24"/>
              </w:rPr>
              <w:t>0.003</w:t>
            </w:r>
          </w:p>
        </w:tc>
        <w:tc>
          <w:tcPr>
            <w:tcW w:w="909" w:type="dxa"/>
            <w:tcBorders>
              <w:tl2br w:val="nil"/>
              <w:tr2bl w:val="nil"/>
            </w:tcBorders>
            <w:vAlign w:val="center"/>
          </w:tcPr>
          <w:p>
            <w:pPr>
              <w:jc w:val="center"/>
              <w:rPr>
                <w:color w:val="auto"/>
                <w:szCs w:val="24"/>
              </w:rPr>
            </w:pPr>
            <w:r>
              <w:rPr>
                <w:color w:val="auto"/>
                <w:szCs w:val="24"/>
              </w:rPr>
              <w:t>0.002</w:t>
            </w:r>
          </w:p>
        </w:tc>
        <w:tc>
          <w:tcPr>
            <w:tcW w:w="909" w:type="dxa"/>
            <w:tcBorders>
              <w:tl2br w:val="nil"/>
              <w:tr2bl w:val="nil"/>
            </w:tcBorders>
            <w:vAlign w:val="center"/>
          </w:tcPr>
          <w:p>
            <w:pPr>
              <w:jc w:val="center"/>
              <w:rPr>
                <w:color w:val="auto"/>
                <w:szCs w:val="24"/>
              </w:rPr>
            </w:pPr>
            <w:r>
              <w:rPr>
                <w:color w:val="auto"/>
                <w:szCs w:val="24"/>
              </w:rPr>
              <w:t>0.007</w:t>
            </w:r>
          </w:p>
        </w:tc>
        <w:tc>
          <w:tcPr>
            <w:tcW w:w="1021" w:type="dxa"/>
            <w:vMerge w:val="restart"/>
            <w:tcBorders>
              <w:tl2br w:val="nil"/>
              <w:tr2bl w:val="nil"/>
            </w:tcBorders>
            <w:vAlign w:val="center"/>
          </w:tcPr>
          <w:p>
            <w:pPr>
              <w:jc w:val="center"/>
              <w:rPr>
                <w:color w:val="auto"/>
                <w:szCs w:val="24"/>
              </w:rPr>
            </w:pPr>
            <w:r>
              <w:rPr>
                <w:color w:val="auto"/>
                <w:szCs w:val="24"/>
              </w:rPr>
              <w:t>0.009</w:t>
            </w:r>
          </w:p>
        </w:tc>
        <w:tc>
          <w:tcPr>
            <w:tcW w:w="693" w:type="dxa"/>
            <w:vMerge w:val="restart"/>
            <w:tcBorders>
              <w:tl2br w:val="nil"/>
              <w:tr2bl w:val="nil"/>
            </w:tcBorders>
            <w:vAlign w:val="center"/>
          </w:tcPr>
          <w:p>
            <w:pPr>
              <w:jc w:val="center"/>
              <w:rPr>
                <w:color w:val="auto"/>
                <w:szCs w:val="24"/>
              </w:rPr>
            </w:pPr>
            <w:r>
              <w:rPr>
                <w:color w:val="auto"/>
                <w:szCs w:val="24"/>
              </w:rPr>
              <w:t>0.06</w:t>
            </w:r>
          </w:p>
        </w:tc>
        <w:tc>
          <w:tcPr>
            <w:tcW w:w="695"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第二次</w:t>
            </w:r>
          </w:p>
        </w:tc>
        <w:tc>
          <w:tcPr>
            <w:tcW w:w="873" w:type="dxa"/>
            <w:tcBorders>
              <w:tl2br w:val="nil"/>
              <w:tr2bl w:val="nil"/>
            </w:tcBorders>
            <w:vAlign w:val="center"/>
          </w:tcPr>
          <w:p>
            <w:pPr>
              <w:jc w:val="center"/>
              <w:rPr>
                <w:color w:val="auto"/>
                <w:szCs w:val="24"/>
              </w:rPr>
            </w:pPr>
            <w:r>
              <w:rPr>
                <w:color w:val="auto"/>
                <w:szCs w:val="24"/>
              </w:rPr>
              <w:t>0.002</w:t>
            </w:r>
          </w:p>
        </w:tc>
        <w:tc>
          <w:tcPr>
            <w:tcW w:w="866" w:type="dxa"/>
            <w:tcBorders>
              <w:tl2br w:val="nil"/>
              <w:tr2bl w:val="nil"/>
            </w:tcBorders>
            <w:vAlign w:val="center"/>
          </w:tcPr>
          <w:p>
            <w:pPr>
              <w:jc w:val="center"/>
              <w:rPr>
                <w:color w:val="auto"/>
                <w:szCs w:val="24"/>
              </w:rPr>
            </w:pPr>
            <w:r>
              <w:rPr>
                <w:color w:val="auto"/>
                <w:szCs w:val="24"/>
              </w:rPr>
              <w:t>0.005</w:t>
            </w:r>
          </w:p>
        </w:tc>
        <w:tc>
          <w:tcPr>
            <w:tcW w:w="909" w:type="dxa"/>
            <w:tcBorders>
              <w:tl2br w:val="nil"/>
              <w:tr2bl w:val="nil"/>
            </w:tcBorders>
            <w:vAlign w:val="center"/>
          </w:tcPr>
          <w:p>
            <w:pPr>
              <w:jc w:val="center"/>
              <w:rPr>
                <w:color w:val="auto"/>
                <w:szCs w:val="24"/>
              </w:rPr>
            </w:pPr>
            <w:r>
              <w:rPr>
                <w:color w:val="auto"/>
                <w:szCs w:val="24"/>
              </w:rPr>
              <w:t>0.008</w:t>
            </w:r>
          </w:p>
        </w:tc>
        <w:tc>
          <w:tcPr>
            <w:tcW w:w="909" w:type="dxa"/>
            <w:tcBorders>
              <w:tl2br w:val="nil"/>
              <w:tr2bl w:val="nil"/>
            </w:tcBorders>
            <w:vAlign w:val="center"/>
          </w:tcPr>
          <w:p>
            <w:pPr>
              <w:jc w:val="center"/>
              <w:rPr>
                <w:color w:val="auto"/>
                <w:szCs w:val="24"/>
              </w:rPr>
            </w:pPr>
            <w:r>
              <w:rPr>
                <w:color w:val="auto"/>
                <w:szCs w:val="24"/>
              </w:rPr>
              <w:t>0.005</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第三次</w:t>
            </w:r>
          </w:p>
        </w:tc>
        <w:tc>
          <w:tcPr>
            <w:tcW w:w="873" w:type="dxa"/>
            <w:tcBorders>
              <w:tl2br w:val="nil"/>
              <w:tr2bl w:val="nil"/>
            </w:tcBorders>
            <w:vAlign w:val="center"/>
          </w:tcPr>
          <w:p>
            <w:pPr>
              <w:jc w:val="center"/>
              <w:rPr>
                <w:color w:val="auto"/>
                <w:szCs w:val="24"/>
              </w:rPr>
            </w:pPr>
            <w:r>
              <w:rPr>
                <w:color w:val="auto"/>
                <w:szCs w:val="24"/>
              </w:rPr>
              <w:t>0.004</w:t>
            </w:r>
          </w:p>
        </w:tc>
        <w:tc>
          <w:tcPr>
            <w:tcW w:w="866" w:type="dxa"/>
            <w:tcBorders>
              <w:tl2br w:val="nil"/>
              <w:tr2bl w:val="nil"/>
            </w:tcBorders>
            <w:vAlign w:val="center"/>
          </w:tcPr>
          <w:p>
            <w:pPr>
              <w:jc w:val="center"/>
              <w:rPr>
                <w:color w:val="auto"/>
                <w:szCs w:val="24"/>
              </w:rPr>
            </w:pPr>
            <w:r>
              <w:rPr>
                <w:color w:val="auto"/>
                <w:szCs w:val="24"/>
              </w:rPr>
              <w:t>0.006</w:t>
            </w:r>
          </w:p>
        </w:tc>
        <w:tc>
          <w:tcPr>
            <w:tcW w:w="909" w:type="dxa"/>
            <w:tcBorders>
              <w:tl2br w:val="nil"/>
              <w:tr2bl w:val="nil"/>
            </w:tcBorders>
            <w:vAlign w:val="center"/>
          </w:tcPr>
          <w:p>
            <w:pPr>
              <w:jc w:val="center"/>
              <w:rPr>
                <w:color w:val="auto"/>
                <w:szCs w:val="24"/>
              </w:rPr>
            </w:pPr>
            <w:r>
              <w:rPr>
                <w:color w:val="auto"/>
                <w:szCs w:val="24"/>
              </w:rPr>
              <w:t>0.006</w:t>
            </w:r>
          </w:p>
        </w:tc>
        <w:tc>
          <w:tcPr>
            <w:tcW w:w="909" w:type="dxa"/>
            <w:tcBorders>
              <w:tl2br w:val="nil"/>
              <w:tr2bl w:val="nil"/>
            </w:tcBorders>
            <w:vAlign w:val="center"/>
          </w:tcPr>
          <w:p>
            <w:pPr>
              <w:jc w:val="center"/>
              <w:rPr>
                <w:color w:val="auto"/>
                <w:szCs w:val="24"/>
              </w:rPr>
            </w:pPr>
            <w:r>
              <w:rPr>
                <w:color w:val="auto"/>
                <w:szCs w:val="24"/>
              </w:rPr>
              <w:t>0.002</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jc w:val="cente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第四次</w:t>
            </w:r>
          </w:p>
        </w:tc>
        <w:tc>
          <w:tcPr>
            <w:tcW w:w="873" w:type="dxa"/>
            <w:tcBorders>
              <w:tl2br w:val="nil"/>
              <w:tr2bl w:val="nil"/>
            </w:tcBorders>
            <w:vAlign w:val="center"/>
          </w:tcPr>
          <w:p>
            <w:pPr>
              <w:jc w:val="center"/>
              <w:rPr>
                <w:color w:val="auto"/>
                <w:szCs w:val="24"/>
              </w:rPr>
            </w:pPr>
            <w:r>
              <w:rPr>
                <w:color w:val="auto"/>
                <w:szCs w:val="24"/>
              </w:rPr>
              <w:t>0.007</w:t>
            </w:r>
          </w:p>
        </w:tc>
        <w:tc>
          <w:tcPr>
            <w:tcW w:w="866" w:type="dxa"/>
            <w:tcBorders>
              <w:tl2br w:val="nil"/>
              <w:tr2bl w:val="nil"/>
            </w:tcBorders>
            <w:vAlign w:val="center"/>
          </w:tcPr>
          <w:p>
            <w:pPr>
              <w:jc w:val="center"/>
              <w:rPr>
                <w:color w:val="auto"/>
                <w:szCs w:val="24"/>
              </w:rPr>
            </w:pPr>
            <w:r>
              <w:rPr>
                <w:color w:val="auto"/>
                <w:szCs w:val="24"/>
              </w:rPr>
              <w:t>0.004</w:t>
            </w:r>
          </w:p>
        </w:tc>
        <w:tc>
          <w:tcPr>
            <w:tcW w:w="909" w:type="dxa"/>
            <w:tcBorders>
              <w:tl2br w:val="nil"/>
              <w:tr2bl w:val="nil"/>
            </w:tcBorders>
            <w:vAlign w:val="center"/>
          </w:tcPr>
          <w:p>
            <w:pPr>
              <w:jc w:val="center"/>
              <w:rPr>
                <w:color w:val="auto"/>
                <w:szCs w:val="24"/>
              </w:rPr>
            </w:pPr>
            <w:r>
              <w:rPr>
                <w:color w:val="auto"/>
                <w:szCs w:val="24"/>
              </w:rPr>
              <w:t>0.003</w:t>
            </w:r>
          </w:p>
        </w:tc>
        <w:tc>
          <w:tcPr>
            <w:tcW w:w="909" w:type="dxa"/>
            <w:tcBorders>
              <w:tl2br w:val="nil"/>
              <w:tr2bl w:val="nil"/>
            </w:tcBorders>
            <w:vAlign w:val="center"/>
          </w:tcPr>
          <w:p>
            <w:pPr>
              <w:jc w:val="center"/>
              <w:rPr>
                <w:color w:val="auto"/>
                <w:szCs w:val="24"/>
              </w:rPr>
            </w:pPr>
            <w:r>
              <w:rPr>
                <w:color w:val="auto"/>
                <w:szCs w:val="24"/>
              </w:rPr>
              <w:t>0.009</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restart"/>
            <w:tcBorders>
              <w:tl2br w:val="nil"/>
              <w:tr2bl w:val="nil"/>
            </w:tcBorders>
            <w:vAlign w:val="center"/>
          </w:tcPr>
          <w:p>
            <w:pPr>
              <w:jc w:val="center"/>
              <w:rPr>
                <w:color w:val="auto"/>
                <w:szCs w:val="24"/>
              </w:rPr>
            </w:pPr>
            <w:r>
              <w:rPr>
                <w:color w:val="auto"/>
                <w:szCs w:val="24"/>
              </w:rPr>
              <w:t>非甲烷总烃</w:t>
            </w:r>
          </w:p>
          <w:p>
            <w:pPr>
              <w:jc w:val="center"/>
              <w:rPr>
                <w:color w:val="auto"/>
                <w:szCs w:val="24"/>
              </w:rPr>
            </w:pPr>
            <w:r>
              <w:rPr>
                <w:color w:val="auto"/>
                <w:szCs w:val="24"/>
              </w:rPr>
              <w:t>(mg/m</w:t>
            </w:r>
            <w:r>
              <w:rPr>
                <w:color w:val="auto"/>
                <w:szCs w:val="24"/>
                <w:vertAlign w:val="superscript"/>
              </w:rPr>
              <w:t>3</w:t>
            </w:r>
            <w:r>
              <w:rPr>
                <w:color w:val="auto"/>
                <w:szCs w:val="24"/>
              </w:rPr>
              <w:t>)</w:t>
            </w:r>
          </w:p>
        </w:tc>
        <w:tc>
          <w:tcPr>
            <w:tcW w:w="728" w:type="dxa"/>
            <w:vMerge w:val="restart"/>
            <w:tcBorders>
              <w:tl2br w:val="nil"/>
              <w:tr2bl w:val="nil"/>
            </w:tcBorders>
            <w:vAlign w:val="center"/>
          </w:tcPr>
          <w:p>
            <w:pPr>
              <w:jc w:val="center"/>
              <w:rPr>
                <w:color w:val="auto"/>
                <w:szCs w:val="24"/>
              </w:rPr>
            </w:pPr>
            <w:r>
              <w:rPr>
                <w:color w:val="auto"/>
                <w:szCs w:val="24"/>
              </w:rPr>
              <w:t>12月</w:t>
            </w:r>
          </w:p>
          <w:p>
            <w:pPr>
              <w:jc w:val="center"/>
              <w:rPr>
                <w:color w:val="auto"/>
                <w:szCs w:val="24"/>
              </w:rPr>
            </w:pPr>
            <w:r>
              <w:rPr>
                <w:color w:val="auto"/>
                <w:szCs w:val="24"/>
              </w:rPr>
              <w:t>21日</w:t>
            </w:r>
          </w:p>
        </w:tc>
        <w:tc>
          <w:tcPr>
            <w:tcW w:w="877" w:type="dxa"/>
            <w:tcBorders>
              <w:tl2br w:val="nil"/>
              <w:tr2bl w:val="nil"/>
            </w:tcBorders>
            <w:vAlign w:val="center"/>
          </w:tcPr>
          <w:p>
            <w:pPr>
              <w:jc w:val="center"/>
              <w:rPr>
                <w:color w:val="auto"/>
                <w:szCs w:val="24"/>
              </w:rPr>
            </w:pPr>
            <w:r>
              <w:rPr>
                <w:color w:val="auto"/>
                <w:szCs w:val="24"/>
              </w:rPr>
              <w:t>第一次</w:t>
            </w:r>
          </w:p>
        </w:tc>
        <w:tc>
          <w:tcPr>
            <w:tcW w:w="873" w:type="dxa"/>
            <w:tcBorders>
              <w:tl2br w:val="nil"/>
              <w:tr2bl w:val="nil"/>
            </w:tcBorders>
            <w:vAlign w:val="center"/>
          </w:tcPr>
          <w:p>
            <w:pPr>
              <w:jc w:val="center"/>
              <w:rPr>
                <w:color w:val="auto"/>
                <w:szCs w:val="24"/>
              </w:rPr>
            </w:pPr>
            <w:r>
              <w:rPr>
                <w:color w:val="auto"/>
                <w:szCs w:val="24"/>
              </w:rPr>
              <w:t>0.61</w:t>
            </w:r>
          </w:p>
        </w:tc>
        <w:tc>
          <w:tcPr>
            <w:tcW w:w="866" w:type="dxa"/>
            <w:tcBorders>
              <w:tl2br w:val="nil"/>
              <w:tr2bl w:val="nil"/>
            </w:tcBorders>
            <w:vAlign w:val="center"/>
          </w:tcPr>
          <w:p>
            <w:pPr>
              <w:jc w:val="center"/>
              <w:rPr>
                <w:color w:val="auto"/>
                <w:szCs w:val="24"/>
              </w:rPr>
            </w:pPr>
            <w:r>
              <w:rPr>
                <w:color w:val="auto"/>
                <w:szCs w:val="24"/>
              </w:rPr>
              <w:t>0.52</w:t>
            </w:r>
          </w:p>
        </w:tc>
        <w:tc>
          <w:tcPr>
            <w:tcW w:w="909" w:type="dxa"/>
            <w:tcBorders>
              <w:tl2br w:val="nil"/>
              <w:tr2bl w:val="nil"/>
            </w:tcBorders>
            <w:vAlign w:val="center"/>
          </w:tcPr>
          <w:p>
            <w:pPr>
              <w:jc w:val="center"/>
              <w:rPr>
                <w:color w:val="auto"/>
                <w:szCs w:val="24"/>
              </w:rPr>
            </w:pPr>
            <w:r>
              <w:rPr>
                <w:color w:val="auto"/>
                <w:szCs w:val="24"/>
              </w:rPr>
              <w:t>0.63</w:t>
            </w:r>
          </w:p>
        </w:tc>
        <w:tc>
          <w:tcPr>
            <w:tcW w:w="909" w:type="dxa"/>
            <w:tcBorders>
              <w:tl2br w:val="nil"/>
              <w:tr2bl w:val="nil"/>
            </w:tcBorders>
            <w:vAlign w:val="center"/>
          </w:tcPr>
          <w:p>
            <w:pPr>
              <w:jc w:val="center"/>
              <w:rPr>
                <w:color w:val="auto"/>
                <w:szCs w:val="24"/>
              </w:rPr>
            </w:pPr>
            <w:r>
              <w:rPr>
                <w:color w:val="auto"/>
                <w:szCs w:val="24"/>
              </w:rPr>
              <w:t>0.66</w:t>
            </w:r>
          </w:p>
        </w:tc>
        <w:tc>
          <w:tcPr>
            <w:tcW w:w="1021" w:type="dxa"/>
            <w:vMerge w:val="restart"/>
            <w:tcBorders>
              <w:tl2br w:val="nil"/>
              <w:tr2bl w:val="nil"/>
            </w:tcBorders>
            <w:vAlign w:val="center"/>
          </w:tcPr>
          <w:p>
            <w:pPr>
              <w:jc w:val="center"/>
              <w:rPr>
                <w:color w:val="auto"/>
                <w:szCs w:val="24"/>
              </w:rPr>
            </w:pPr>
            <w:r>
              <w:rPr>
                <w:color w:val="auto"/>
                <w:szCs w:val="24"/>
              </w:rPr>
              <w:t>0.74</w:t>
            </w:r>
          </w:p>
        </w:tc>
        <w:tc>
          <w:tcPr>
            <w:tcW w:w="693" w:type="dxa"/>
            <w:vMerge w:val="restart"/>
            <w:tcBorders>
              <w:tl2br w:val="nil"/>
              <w:tr2bl w:val="nil"/>
            </w:tcBorders>
            <w:vAlign w:val="center"/>
          </w:tcPr>
          <w:p>
            <w:pPr>
              <w:jc w:val="center"/>
              <w:rPr>
                <w:color w:val="auto"/>
                <w:szCs w:val="24"/>
              </w:rPr>
            </w:pPr>
            <w:r>
              <w:rPr>
                <w:color w:val="auto"/>
                <w:szCs w:val="24"/>
              </w:rPr>
              <w:t>4.0</w:t>
            </w:r>
          </w:p>
        </w:tc>
        <w:tc>
          <w:tcPr>
            <w:tcW w:w="695"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第二次</w:t>
            </w:r>
          </w:p>
        </w:tc>
        <w:tc>
          <w:tcPr>
            <w:tcW w:w="873" w:type="dxa"/>
            <w:tcBorders>
              <w:tl2br w:val="nil"/>
              <w:tr2bl w:val="nil"/>
            </w:tcBorders>
            <w:vAlign w:val="center"/>
          </w:tcPr>
          <w:p>
            <w:pPr>
              <w:jc w:val="center"/>
              <w:rPr>
                <w:color w:val="auto"/>
                <w:szCs w:val="24"/>
              </w:rPr>
            </w:pPr>
            <w:r>
              <w:rPr>
                <w:color w:val="auto"/>
                <w:szCs w:val="24"/>
              </w:rPr>
              <w:t>0.51</w:t>
            </w:r>
          </w:p>
        </w:tc>
        <w:tc>
          <w:tcPr>
            <w:tcW w:w="866" w:type="dxa"/>
            <w:tcBorders>
              <w:tl2br w:val="nil"/>
              <w:tr2bl w:val="nil"/>
            </w:tcBorders>
            <w:vAlign w:val="center"/>
          </w:tcPr>
          <w:p>
            <w:pPr>
              <w:jc w:val="center"/>
              <w:rPr>
                <w:color w:val="auto"/>
                <w:szCs w:val="24"/>
              </w:rPr>
            </w:pPr>
            <w:r>
              <w:rPr>
                <w:color w:val="auto"/>
                <w:szCs w:val="24"/>
              </w:rPr>
              <w:t>0.55</w:t>
            </w:r>
          </w:p>
        </w:tc>
        <w:tc>
          <w:tcPr>
            <w:tcW w:w="909" w:type="dxa"/>
            <w:tcBorders>
              <w:tl2br w:val="nil"/>
              <w:tr2bl w:val="nil"/>
            </w:tcBorders>
            <w:vAlign w:val="center"/>
          </w:tcPr>
          <w:p>
            <w:pPr>
              <w:jc w:val="center"/>
              <w:rPr>
                <w:color w:val="auto"/>
                <w:szCs w:val="24"/>
              </w:rPr>
            </w:pPr>
            <w:r>
              <w:rPr>
                <w:color w:val="auto"/>
                <w:szCs w:val="24"/>
              </w:rPr>
              <w:t>0.58</w:t>
            </w:r>
          </w:p>
        </w:tc>
        <w:tc>
          <w:tcPr>
            <w:tcW w:w="909" w:type="dxa"/>
            <w:tcBorders>
              <w:tl2br w:val="nil"/>
              <w:tr2bl w:val="nil"/>
            </w:tcBorders>
            <w:vAlign w:val="center"/>
          </w:tcPr>
          <w:p>
            <w:pPr>
              <w:jc w:val="center"/>
              <w:rPr>
                <w:color w:val="auto"/>
                <w:szCs w:val="24"/>
              </w:rPr>
            </w:pPr>
            <w:r>
              <w:rPr>
                <w:color w:val="auto"/>
                <w:szCs w:val="24"/>
              </w:rPr>
              <w:t>0.74</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第三次</w:t>
            </w:r>
          </w:p>
        </w:tc>
        <w:tc>
          <w:tcPr>
            <w:tcW w:w="873" w:type="dxa"/>
            <w:tcBorders>
              <w:tl2br w:val="nil"/>
              <w:tr2bl w:val="nil"/>
            </w:tcBorders>
            <w:vAlign w:val="center"/>
          </w:tcPr>
          <w:p>
            <w:pPr>
              <w:jc w:val="center"/>
              <w:rPr>
                <w:color w:val="auto"/>
                <w:szCs w:val="24"/>
              </w:rPr>
            </w:pPr>
            <w:r>
              <w:rPr>
                <w:color w:val="auto"/>
                <w:szCs w:val="24"/>
              </w:rPr>
              <w:t>0.5</w:t>
            </w:r>
          </w:p>
        </w:tc>
        <w:tc>
          <w:tcPr>
            <w:tcW w:w="866" w:type="dxa"/>
            <w:tcBorders>
              <w:tl2br w:val="nil"/>
              <w:tr2bl w:val="nil"/>
            </w:tcBorders>
            <w:vAlign w:val="center"/>
          </w:tcPr>
          <w:p>
            <w:pPr>
              <w:jc w:val="center"/>
              <w:rPr>
                <w:color w:val="auto"/>
                <w:szCs w:val="24"/>
              </w:rPr>
            </w:pPr>
            <w:r>
              <w:rPr>
                <w:color w:val="auto"/>
                <w:szCs w:val="24"/>
              </w:rPr>
              <w:t>0.59</w:t>
            </w:r>
          </w:p>
        </w:tc>
        <w:tc>
          <w:tcPr>
            <w:tcW w:w="909" w:type="dxa"/>
            <w:tcBorders>
              <w:tl2br w:val="nil"/>
              <w:tr2bl w:val="nil"/>
            </w:tcBorders>
            <w:vAlign w:val="center"/>
          </w:tcPr>
          <w:p>
            <w:pPr>
              <w:jc w:val="center"/>
              <w:rPr>
                <w:color w:val="auto"/>
                <w:szCs w:val="24"/>
              </w:rPr>
            </w:pPr>
            <w:r>
              <w:rPr>
                <w:color w:val="auto"/>
                <w:szCs w:val="24"/>
              </w:rPr>
              <w:t>0.5</w:t>
            </w:r>
          </w:p>
        </w:tc>
        <w:tc>
          <w:tcPr>
            <w:tcW w:w="909" w:type="dxa"/>
            <w:tcBorders>
              <w:tl2br w:val="nil"/>
              <w:tr2bl w:val="nil"/>
            </w:tcBorders>
            <w:vAlign w:val="center"/>
          </w:tcPr>
          <w:p>
            <w:pPr>
              <w:jc w:val="center"/>
              <w:rPr>
                <w:color w:val="auto"/>
                <w:szCs w:val="24"/>
              </w:rPr>
            </w:pPr>
            <w:r>
              <w:rPr>
                <w:color w:val="auto"/>
                <w:szCs w:val="24"/>
              </w:rPr>
              <w:t>0.64</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continue"/>
            <w:tcBorders>
              <w:tl2br w:val="nil"/>
              <w:tr2bl w:val="nil"/>
            </w:tcBorders>
            <w:vAlign w:val="center"/>
          </w:tcPr>
          <w:p>
            <w:pPr>
              <w:jc w:val="center"/>
              <w:rPr>
                <w:color w:val="auto"/>
                <w:szCs w:val="24"/>
              </w:rPr>
            </w:pPr>
          </w:p>
        </w:tc>
        <w:tc>
          <w:tcPr>
            <w:tcW w:w="877" w:type="dxa"/>
            <w:tcBorders>
              <w:tl2br w:val="nil"/>
              <w:tr2bl w:val="nil"/>
            </w:tcBorders>
            <w:vAlign w:val="center"/>
          </w:tcPr>
          <w:p>
            <w:pPr>
              <w:jc w:val="center"/>
              <w:rPr>
                <w:color w:val="auto"/>
                <w:szCs w:val="24"/>
              </w:rPr>
            </w:pPr>
            <w:r>
              <w:rPr>
                <w:color w:val="auto"/>
                <w:szCs w:val="24"/>
              </w:rPr>
              <w:t>第四次</w:t>
            </w:r>
          </w:p>
        </w:tc>
        <w:tc>
          <w:tcPr>
            <w:tcW w:w="873" w:type="dxa"/>
            <w:tcBorders>
              <w:tl2br w:val="nil"/>
              <w:tr2bl w:val="nil"/>
            </w:tcBorders>
            <w:vAlign w:val="center"/>
          </w:tcPr>
          <w:p>
            <w:pPr>
              <w:jc w:val="center"/>
              <w:rPr>
                <w:color w:val="auto"/>
                <w:szCs w:val="24"/>
              </w:rPr>
            </w:pPr>
            <w:r>
              <w:rPr>
                <w:color w:val="auto"/>
                <w:szCs w:val="24"/>
              </w:rPr>
              <w:t>0.52</w:t>
            </w:r>
          </w:p>
        </w:tc>
        <w:tc>
          <w:tcPr>
            <w:tcW w:w="866" w:type="dxa"/>
            <w:tcBorders>
              <w:tl2br w:val="nil"/>
              <w:tr2bl w:val="nil"/>
            </w:tcBorders>
            <w:vAlign w:val="center"/>
          </w:tcPr>
          <w:p>
            <w:pPr>
              <w:jc w:val="center"/>
              <w:rPr>
                <w:color w:val="auto"/>
                <w:szCs w:val="24"/>
              </w:rPr>
            </w:pPr>
            <w:r>
              <w:rPr>
                <w:color w:val="auto"/>
                <w:szCs w:val="24"/>
              </w:rPr>
              <w:t>0.51</w:t>
            </w:r>
          </w:p>
        </w:tc>
        <w:tc>
          <w:tcPr>
            <w:tcW w:w="909" w:type="dxa"/>
            <w:tcBorders>
              <w:tl2br w:val="nil"/>
              <w:tr2bl w:val="nil"/>
            </w:tcBorders>
            <w:vAlign w:val="center"/>
          </w:tcPr>
          <w:p>
            <w:pPr>
              <w:jc w:val="center"/>
              <w:rPr>
                <w:color w:val="auto"/>
                <w:szCs w:val="24"/>
              </w:rPr>
            </w:pPr>
            <w:r>
              <w:rPr>
                <w:color w:val="auto"/>
                <w:szCs w:val="24"/>
              </w:rPr>
              <w:t>0.63</w:t>
            </w:r>
          </w:p>
        </w:tc>
        <w:tc>
          <w:tcPr>
            <w:tcW w:w="909" w:type="dxa"/>
            <w:tcBorders>
              <w:tl2br w:val="nil"/>
              <w:tr2bl w:val="nil"/>
            </w:tcBorders>
            <w:vAlign w:val="center"/>
          </w:tcPr>
          <w:p>
            <w:pPr>
              <w:jc w:val="center"/>
              <w:rPr>
                <w:color w:val="auto"/>
                <w:szCs w:val="24"/>
              </w:rPr>
            </w:pPr>
            <w:r>
              <w:rPr>
                <w:color w:val="auto"/>
                <w:szCs w:val="24"/>
              </w:rPr>
              <w:t>0.65</w:t>
            </w:r>
          </w:p>
        </w:tc>
        <w:tc>
          <w:tcPr>
            <w:tcW w:w="1021" w:type="dxa"/>
            <w:vMerge w:val="continue"/>
            <w:tcBorders>
              <w:tl2br w:val="nil"/>
              <w:tr2bl w:val="nil"/>
            </w:tcBorders>
            <w:vAlign w:val="center"/>
          </w:tcPr>
          <w:p>
            <w:pPr>
              <w:jc w:val="center"/>
              <w:rPr>
                <w:color w:val="auto"/>
                <w:szCs w:val="24"/>
              </w:rPr>
            </w:pPr>
          </w:p>
        </w:tc>
        <w:tc>
          <w:tcPr>
            <w:tcW w:w="693" w:type="dxa"/>
            <w:vMerge w:val="continue"/>
            <w:tcBorders>
              <w:tl2br w:val="nil"/>
              <w:tr2bl w:val="nil"/>
            </w:tcBorders>
            <w:vAlign w:val="center"/>
          </w:tcPr>
          <w:p>
            <w:pPr>
              <w:jc w:val="center"/>
              <w:rPr>
                <w:color w:val="auto"/>
                <w:szCs w:val="24"/>
              </w:rPr>
            </w:pPr>
          </w:p>
        </w:tc>
        <w:tc>
          <w:tcPr>
            <w:tcW w:w="695"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restart"/>
            <w:tcBorders>
              <w:tl2br w:val="nil"/>
              <w:tr2bl w:val="nil"/>
            </w:tcBorders>
            <w:vAlign w:val="center"/>
          </w:tcPr>
          <w:p>
            <w:pPr>
              <w:jc w:val="center"/>
              <w:rPr>
                <w:color w:val="auto"/>
                <w:szCs w:val="24"/>
              </w:rPr>
            </w:pPr>
            <w:r>
              <w:rPr>
                <w:color w:val="auto"/>
                <w:szCs w:val="24"/>
              </w:rPr>
              <w:t>12月22日</w:t>
            </w:r>
          </w:p>
        </w:tc>
        <w:tc>
          <w:tcPr>
            <w:tcW w:w="877" w:type="dxa"/>
            <w:tcBorders>
              <w:tl2br w:val="nil"/>
              <w:tr2bl w:val="nil"/>
            </w:tcBorders>
            <w:vAlign w:val="center"/>
          </w:tcPr>
          <w:p>
            <w:pPr>
              <w:jc w:val="center"/>
              <w:rPr>
                <w:color w:val="auto"/>
                <w:szCs w:val="24"/>
              </w:rPr>
            </w:pPr>
            <w:r>
              <w:rPr>
                <w:color w:val="auto"/>
                <w:szCs w:val="24"/>
              </w:rPr>
              <w:t>第一次</w:t>
            </w:r>
          </w:p>
        </w:tc>
        <w:tc>
          <w:tcPr>
            <w:tcW w:w="873" w:type="dxa"/>
            <w:tcBorders>
              <w:tl2br w:val="nil"/>
              <w:tr2bl w:val="nil"/>
            </w:tcBorders>
            <w:vAlign w:val="center"/>
          </w:tcPr>
          <w:p>
            <w:pPr>
              <w:jc w:val="center"/>
              <w:rPr>
                <w:color w:val="auto"/>
                <w:szCs w:val="24"/>
              </w:rPr>
            </w:pPr>
            <w:r>
              <w:rPr>
                <w:color w:val="auto"/>
                <w:szCs w:val="24"/>
              </w:rPr>
              <w:t>0.45</w:t>
            </w:r>
          </w:p>
        </w:tc>
        <w:tc>
          <w:tcPr>
            <w:tcW w:w="866" w:type="dxa"/>
            <w:tcBorders>
              <w:tl2br w:val="nil"/>
              <w:tr2bl w:val="nil"/>
            </w:tcBorders>
            <w:vAlign w:val="center"/>
          </w:tcPr>
          <w:p>
            <w:pPr>
              <w:jc w:val="center"/>
              <w:rPr>
                <w:color w:val="auto"/>
                <w:szCs w:val="24"/>
              </w:rPr>
            </w:pPr>
            <w:r>
              <w:rPr>
                <w:color w:val="auto"/>
                <w:szCs w:val="24"/>
              </w:rPr>
              <w:t>0.52</w:t>
            </w:r>
          </w:p>
        </w:tc>
        <w:tc>
          <w:tcPr>
            <w:tcW w:w="909" w:type="dxa"/>
            <w:tcBorders>
              <w:tl2br w:val="nil"/>
              <w:tr2bl w:val="nil"/>
            </w:tcBorders>
            <w:vAlign w:val="center"/>
          </w:tcPr>
          <w:p>
            <w:pPr>
              <w:jc w:val="center"/>
              <w:rPr>
                <w:color w:val="auto"/>
                <w:szCs w:val="24"/>
              </w:rPr>
            </w:pPr>
            <w:r>
              <w:rPr>
                <w:color w:val="auto"/>
                <w:szCs w:val="24"/>
              </w:rPr>
              <w:t>0.49</w:t>
            </w:r>
          </w:p>
        </w:tc>
        <w:tc>
          <w:tcPr>
            <w:tcW w:w="909" w:type="dxa"/>
            <w:tcBorders>
              <w:tl2br w:val="nil"/>
              <w:tr2bl w:val="nil"/>
            </w:tcBorders>
            <w:vAlign w:val="center"/>
          </w:tcPr>
          <w:p>
            <w:pPr>
              <w:jc w:val="center"/>
              <w:rPr>
                <w:color w:val="auto"/>
                <w:szCs w:val="24"/>
              </w:rPr>
            </w:pPr>
            <w:r>
              <w:rPr>
                <w:color w:val="auto"/>
                <w:szCs w:val="24"/>
              </w:rPr>
              <w:t>0.66</w:t>
            </w:r>
          </w:p>
        </w:tc>
        <w:tc>
          <w:tcPr>
            <w:tcW w:w="1021" w:type="dxa"/>
            <w:vMerge w:val="restart"/>
            <w:tcBorders>
              <w:tl2br w:val="nil"/>
              <w:tr2bl w:val="nil"/>
            </w:tcBorders>
            <w:vAlign w:val="center"/>
          </w:tcPr>
          <w:p>
            <w:pPr>
              <w:jc w:val="center"/>
              <w:rPr>
                <w:color w:val="auto"/>
                <w:szCs w:val="24"/>
              </w:rPr>
            </w:pPr>
            <w:r>
              <w:rPr>
                <w:color w:val="auto"/>
                <w:szCs w:val="24"/>
              </w:rPr>
              <w:t>0.73</w:t>
            </w:r>
          </w:p>
        </w:tc>
        <w:tc>
          <w:tcPr>
            <w:tcW w:w="693" w:type="dxa"/>
            <w:vMerge w:val="restart"/>
            <w:tcBorders>
              <w:tl2br w:val="nil"/>
              <w:tr2bl w:val="nil"/>
            </w:tcBorders>
            <w:vAlign w:val="center"/>
          </w:tcPr>
          <w:p>
            <w:pPr>
              <w:jc w:val="center"/>
              <w:rPr>
                <w:color w:val="auto"/>
                <w:szCs w:val="24"/>
              </w:rPr>
            </w:pPr>
            <w:r>
              <w:rPr>
                <w:color w:val="auto"/>
                <w:szCs w:val="24"/>
              </w:rPr>
              <w:t>4.0</w:t>
            </w:r>
          </w:p>
        </w:tc>
        <w:tc>
          <w:tcPr>
            <w:tcW w:w="695"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continue"/>
            <w:tcBorders>
              <w:tl2br w:val="nil"/>
              <w:tr2bl w:val="nil"/>
            </w:tcBorders>
            <w:vAlign w:val="center"/>
          </w:tcPr>
          <w:p>
            <w:pPr>
              <w:rPr>
                <w:color w:val="auto"/>
                <w:szCs w:val="24"/>
              </w:rPr>
            </w:pPr>
          </w:p>
        </w:tc>
        <w:tc>
          <w:tcPr>
            <w:tcW w:w="877" w:type="dxa"/>
            <w:tcBorders>
              <w:tl2br w:val="nil"/>
              <w:tr2bl w:val="nil"/>
            </w:tcBorders>
            <w:vAlign w:val="center"/>
          </w:tcPr>
          <w:p>
            <w:pPr>
              <w:jc w:val="center"/>
              <w:rPr>
                <w:color w:val="auto"/>
                <w:szCs w:val="24"/>
              </w:rPr>
            </w:pPr>
            <w:r>
              <w:rPr>
                <w:color w:val="auto"/>
                <w:szCs w:val="24"/>
              </w:rPr>
              <w:t>第二次</w:t>
            </w:r>
          </w:p>
        </w:tc>
        <w:tc>
          <w:tcPr>
            <w:tcW w:w="873" w:type="dxa"/>
            <w:tcBorders>
              <w:tl2br w:val="nil"/>
              <w:tr2bl w:val="nil"/>
            </w:tcBorders>
            <w:vAlign w:val="center"/>
          </w:tcPr>
          <w:p>
            <w:pPr>
              <w:jc w:val="center"/>
              <w:rPr>
                <w:color w:val="auto"/>
                <w:szCs w:val="24"/>
              </w:rPr>
            </w:pPr>
            <w:r>
              <w:rPr>
                <w:color w:val="auto"/>
                <w:szCs w:val="24"/>
              </w:rPr>
              <w:t>0.47</w:t>
            </w:r>
          </w:p>
        </w:tc>
        <w:tc>
          <w:tcPr>
            <w:tcW w:w="866" w:type="dxa"/>
            <w:tcBorders>
              <w:tl2br w:val="nil"/>
              <w:tr2bl w:val="nil"/>
            </w:tcBorders>
            <w:vAlign w:val="center"/>
          </w:tcPr>
          <w:p>
            <w:pPr>
              <w:jc w:val="center"/>
              <w:rPr>
                <w:color w:val="auto"/>
                <w:szCs w:val="24"/>
              </w:rPr>
            </w:pPr>
            <w:r>
              <w:rPr>
                <w:color w:val="auto"/>
                <w:szCs w:val="24"/>
              </w:rPr>
              <w:t>0.5</w:t>
            </w:r>
          </w:p>
        </w:tc>
        <w:tc>
          <w:tcPr>
            <w:tcW w:w="909" w:type="dxa"/>
            <w:tcBorders>
              <w:tl2br w:val="nil"/>
              <w:tr2bl w:val="nil"/>
            </w:tcBorders>
            <w:vAlign w:val="center"/>
          </w:tcPr>
          <w:p>
            <w:pPr>
              <w:jc w:val="center"/>
              <w:rPr>
                <w:color w:val="auto"/>
                <w:szCs w:val="24"/>
              </w:rPr>
            </w:pPr>
            <w:r>
              <w:rPr>
                <w:color w:val="auto"/>
                <w:szCs w:val="24"/>
              </w:rPr>
              <w:t>0.55</w:t>
            </w:r>
          </w:p>
        </w:tc>
        <w:tc>
          <w:tcPr>
            <w:tcW w:w="909" w:type="dxa"/>
            <w:tcBorders>
              <w:tl2br w:val="nil"/>
              <w:tr2bl w:val="nil"/>
            </w:tcBorders>
            <w:vAlign w:val="center"/>
          </w:tcPr>
          <w:p>
            <w:pPr>
              <w:jc w:val="center"/>
              <w:rPr>
                <w:color w:val="auto"/>
                <w:szCs w:val="24"/>
              </w:rPr>
            </w:pPr>
            <w:r>
              <w:rPr>
                <w:color w:val="auto"/>
                <w:szCs w:val="24"/>
              </w:rPr>
              <w:t>0.64</w:t>
            </w:r>
          </w:p>
        </w:tc>
        <w:tc>
          <w:tcPr>
            <w:tcW w:w="1021" w:type="dxa"/>
            <w:vMerge w:val="continue"/>
            <w:tcBorders>
              <w:tl2br w:val="nil"/>
              <w:tr2bl w:val="nil"/>
            </w:tcBorders>
            <w:vAlign w:val="center"/>
          </w:tcPr>
          <w:p>
            <w:pPr>
              <w:rPr>
                <w:color w:val="auto"/>
                <w:szCs w:val="24"/>
              </w:rPr>
            </w:pPr>
          </w:p>
        </w:tc>
        <w:tc>
          <w:tcPr>
            <w:tcW w:w="693" w:type="dxa"/>
            <w:vMerge w:val="continue"/>
            <w:tcBorders>
              <w:tl2br w:val="nil"/>
              <w:tr2bl w:val="nil"/>
            </w:tcBorders>
            <w:vAlign w:val="center"/>
          </w:tcPr>
          <w:p>
            <w:pPr>
              <w:rPr>
                <w:color w:val="auto"/>
                <w:szCs w:val="24"/>
              </w:rPr>
            </w:pPr>
          </w:p>
        </w:tc>
        <w:tc>
          <w:tcPr>
            <w:tcW w:w="695" w:type="dxa"/>
            <w:vMerge w:val="continue"/>
            <w:tcBorders>
              <w:tl2br w:val="nil"/>
              <w:tr2bl w:val="nil"/>
            </w:tcBorders>
            <w:vAlign w:val="center"/>
          </w:tcPr>
          <w:p>
            <w:pP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continue"/>
            <w:tcBorders>
              <w:tl2br w:val="nil"/>
              <w:tr2bl w:val="nil"/>
            </w:tcBorders>
            <w:vAlign w:val="center"/>
          </w:tcPr>
          <w:p>
            <w:pPr>
              <w:rPr>
                <w:color w:val="auto"/>
                <w:szCs w:val="24"/>
              </w:rPr>
            </w:pPr>
          </w:p>
        </w:tc>
        <w:tc>
          <w:tcPr>
            <w:tcW w:w="877" w:type="dxa"/>
            <w:tcBorders>
              <w:tl2br w:val="nil"/>
              <w:tr2bl w:val="nil"/>
            </w:tcBorders>
            <w:vAlign w:val="center"/>
          </w:tcPr>
          <w:p>
            <w:pPr>
              <w:jc w:val="center"/>
              <w:rPr>
                <w:color w:val="auto"/>
                <w:szCs w:val="24"/>
              </w:rPr>
            </w:pPr>
            <w:r>
              <w:rPr>
                <w:color w:val="auto"/>
                <w:szCs w:val="24"/>
              </w:rPr>
              <w:t>第三次</w:t>
            </w:r>
          </w:p>
        </w:tc>
        <w:tc>
          <w:tcPr>
            <w:tcW w:w="873" w:type="dxa"/>
            <w:tcBorders>
              <w:tl2br w:val="nil"/>
              <w:tr2bl w:val="nil"/>
            </w:tcBorders>
            <w:vAlign w:val="center"/>
          </w:tcPr>
          <w:p>
            <w:pPr>
              <w:jc w:val="center"/>
              <w:rPr>
                <w:color w:val="auto"/>
                <w:szCs w:val="24"/>
              </w:rPr>
            </w:pPr>
            <w:r>
              <w:rPr>
                <w:color w:val="auto"/>
                <w:szCs w:val="24"/>
              </w:rPr>
              <w:t>0.53</w:t>
            </w:r>
          </w:p>
        </w:tc>
        <w:tc>
          <w:tcPr>
            <w:tcW w:w="866" w:type="dxa"/>
            <w:tcBorders>
              <w:tl2br w:val="nil"/>
              <w:tr2bl w:val="nil"/>
            </w:tcBorders>
            <w:vAlign w:val="center"/>
          </w:tcPr>
          <w:p>
            <w:pPr>
              <w:jc w:val="center"/>
              <w:rPr>
                <w:color w:val="auto"/>
                <w:szCs w:val="24"/>
              </w:rPr>
            </w:pPr>
            <w:r>
              <w:rPr>
                <w:color w:val="auto"/>
                <w:szCs w:val="24"/>
              </w:rPr>
              <w:t>0.54</w:t>
            </w:r>
          </w:p>
        </w:tc>
        <w:tc>
          <w:tcPr>
            <w:tcW w:w="909" w:type="dxa"/>
            <w:tcBorders>
              <w:tl2br w:val="nil"/>
              <w:tr2bl w:val="nil"/>
            </w:tcBorders>
            <w:vAlign w:val="center"/>
          </w:tcPr>
          <w:p>
            <w:pPr>
              <w:jc w:val="center"/>
              <w:rPr>
                <w:color w:val="auto"/>
                <w:szCs w:val="24"/>
              </w:rPr>
            </w:pPr>
            <w:r>
              <w:rPr>
                <w:color w:val="auto"/>
                <w:szCs w:val="24"/>
              </w:rPr>
              <w:t>0.53</w:t>
            </w:r>
          </w:p>
        </w:tc>
        <w:tc>
          <w:tcPr>
            <w:tcW w:w="909" w:type="dxa"/>
            <w:tcBorders>
              <w:tl2br w:val="nil"/>
              <w:tr2bl w:val="nil"/>
            </w:tcBorders>
            <w:vAlign w:val="center"/>
          </w:tcPr>
          <w:p>
            <w:pPr>
              <w:jc w:val="center"/>
              <w:rPr>
                <w:color w:val="auto"/>
                <w:szCs w:val="24"/>
              </w:rPr>
            </w:pPr>
            <w:r>
              <w:rPr>
                <w:color w:val="auto"/>
                <w:szCs w:val="24"/>
              </w:rPr>
              <w:t>0.69</w:t>
            </w:r>
          </w:p>
        </w:tc>
        <w:tc>
          <w:tcPr>
            <w:tcW w:w="1021" w:type="dxa"/>
            <w:vMerge w:val="continue"/>
            <w:tcBorders>
              <w:tl2br w:val="nil"/>
              <w:tr2bl w:val="nil"/>
            </w:tcBorders>
            <w:vAlign w:val="center"/>
          </w:tcPr>
          <w:p>
            <w:pPr>
              <w:rPr>
                <w:color w:val="auto"/>
                <w:szCs w:val="24"/>
              </w:rPr>
            </w:pPr>
          </w:p>
        </w:tc>
        <w:tc>
          <w:tcPr>
            <w:tcW w:w="693" w:type="dxa"/>
            <w:vMerge w:val="continue"/>
            <w:tcBorders>
              <w:tl2br w:val="nil"/>
              <w:tr2bl w:val="nil"/>
            </w:tcBorders>
            <w:vAlign w:val="center"/>
          </w:tcPr>
          <w:p>
            <w:pPr>
              <w:rPr>
                <w:color w:val="auto"/>
                <w:szCs w:val="24"/>
              </w:rPr>
            </w:pPr>
          </w:p>
        </w:tc>
        <w:tc>
          <w:tcPr>
            <w:tcW w:w="695" w:type="dxa"/>
            <w:vMerge w:val="continue"/>
            <w:tcBorders>
              <w:tl2br w:val="nil"/>
              <w:tr2bl w:val="nil"/>
            </w:tcBorders>
            <w:vAlign w:val="center"/>
          </w:tcPr>
          <w:p>
            <w:pP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continue"/>
            <w:tcBorders>
              <w:tl2br w:val="nil"/>
              <w:tr2bl w:val="nil"/>
            </w:tcBorders>
            <w:vAlign w:val="center"/>
          </w:tcPr>
          <w:p>
            <w:pPr>
              <w:rPr>
                <w:color w:val="auto"/>
                <w:szCs w:val="24"/>
              </w:rPr>
            </w:pPr>
          </w:p>
        </w:tc>
        <w:tc>
          <w:tcPr>
            <w:tcW w:w="728" w:type="dxa"/>
            <w:vMerge w:val="continue"/>
            <w:tcBorders>
              <w:tl2br w:val="nil"/>
              <w:tr2bl w:val="nil"/>
            </w:tcBorders>
            <w:vAlign w:val="center"/>
          </w:tcPr>
          <w:p>
            <w:pPr>
              <w:rPr>
                <w:color w:val="auto"/>
                <w:szCs w:val="24"/>
              </w:rPr>
            </w:pPr>
          </w:p>
        </w:tc>
        <w:tc>
          <w:tcPr>
            <w:tcW w:w="877" w:type="dxa"/>
            <w:tcBorders>
              <w:tl2br w:val="nil"/>
              <w:tr2bl w:val="nil"/>
            </w:tcBorders>
            <w:vAlign w:val="center"/>
          </w:tcPr>
          <w:p>
            <w:pPr>
              <w:jc w:val="center"/>
              <w:rPr>
                <w:color w:val="auto"/>
                <w:szCs w:val="24"/>
              </w:rPr>
            </w:pPr>
            <w:r>
              <w:rPr>
                <w:color w:val="auto"/>
                <w:szCs w:val="24"/>
              </w:rPr>
              <w:t>第四次</w:t>
            </w:r>
          </w:p>
        </w:tc>
        <w:tc>
          <w:tcPr>
            <w:tcW w:w="873" w:type="dxa"/>
            <w:tcBorders>
              <w:tl2br w:val="nil"/>
              <w:tr2bl w:val="nil"/>
            </w:tcBorders>
            <w:vAlign w:val="center"/>
          </w:tcPr>
          <w:p>
            <w:pPr>
              <w:jc w:val="center"/>
              <w:rPr>
                <w:color w:val="auto"/>
                <w:szCs w:val="24"/>
              </w:rPr>
            </w:pPr>
            <w:r>
              <w:rPr>
                <w:color w:val="auto"/>
                <w:szCs w:val="24"/>
              </w:rPr>
              <w:t>0.48</w:t>
            </w:r>
          </w:p>
        </w:tc>
        <w:tc>
          <w:tcPr>
            <w:tcW w:w="866" w:type="dxa"/>
            <w:tcBorders>
              <w:tl2br w:val="nil"/>
              <w:tr2bl w:val="nil"/>
            </w:tcBorders>
            <w:vAlign w:val="center"/>
          </w:tcPr>
          <w:p>
            <w:pPr>
              <w:jc w:val="center"/>
              <w:rPr>
                <w:color w:val="auto"/>
                <w:szCs w:val="24"/>
              </w:rPr>
            </w:pPr>
            <w:r>
              <w:rPr>
                <w:color w:val="auto"/>
                <w:szCs w:val="24"/>
              </w:rPr>
              <w:t>0.52</w:t>
            </w:r>
          </w:p>
        </w:tc>
        <w:tc>
          <w:tcPr>
            <w:tcW w:w="909" w:type="dxa"/>
            <w:tcBorders>
              <w:tl2br w:val="nil"/>
              <w:tr2bl w:val="nil"/>
            </w:tcBorders>
            <w:vAlign w:val="center"/>
          </w:tcPr>
          <w:p>
            <w:pPr>
              <w:jc w:val="center"/>
              <w:rPr>
                <w:color w:val="auto"/>
                <w:szCs w:val="24"/>
              </w:rPr>
            </w:pPr>
            <w:r>
              <w:rPr>
                <w:color w:val="auto"/>
                <w:szCs w:val="24"/>
              </w:rPr>
              <w:t>0.63</w:t>
            </w:r>
          </w:p>
        </w:tc>
        <w:tc>
          <w:tcPr>
            <w:tcW w:w="909" w:type="dxa"/>
            <w:tcBorders>
              <w:tl2br w:val="nil"/>
              <w:tr2bl w:val="nil"/>
            </w:tcBorders>
            <w:vAlign w:val="center"/>
          </w:tcPr>
          <w:p>
            <w:pPr>
              <w:jc w:val="center"/>
              <w:rPr>
                <w:color w:val="auto"/>
                <w:szCs w:val="24"/>
              </w:rPr>
            </w:pPr>
            <w:r>
              <w:rPr>
                <w:color w:val="auto"/>
                <w:szCs w:val="24"/>
              </w:rPr>
              <w:t>0.73</w:t>
            </w:r>
          </w:p>
        </w:tc>
        <w:tc>
          <w:tcPr>
            <w:tcW w:w="1021" w:type="dxa"/>
            <w:vMerge w:val="continue"/>
            <w:tcBorders>
              <w:tl2br w:val="nil"/>
              <w:tr2bl w:val="nil"/>
            </w:tcBorders>
            <w:vAlign w:val="center"/>
          </w:tcPr>
          <w:p>
            <w:pPr>
              <w:rPr>
                <w:color w:val="auto"/>
                <w:szCs w:val="24"/>
              </w:rPr>
            </w:pPr>
          </w:p>
        </w:tc>
        <w:tc>
          <w:tcPr>
            <w:tcW w:w="693" w:type="dxa"/>
            <w:vMerge w:val="continue"/>
            <w:tcBorders>
              <w:tl2br w:val="nil"/>
              <w:tr2bl w:val="nil"/>
            </w:tcBorders>
            <w:vAlign w:val="center"/>
          </w:tcPr>
          <w:p>
            <w:pPr>
              <w:rPr>
                <w:color w:val="auto"/>
                <w:szCs w:val="24"/>
              </w:rPr>
            </w:pPr>
          </w:p>
        </w:tc>
        <w:tc>
          <w:tcPr>
            <w:tcW w:w="695" w:type="dxa"/>
            <w:vMerge w:val="continue"/>
            <w:tcBorders>
              <w:tl2br w:val="nil"/>
              <w:tr2bl w:val="nil"/>
            </w:tcBorders>
            <w:vAlign w:val="center"/>
          </w:tcPr>
          <w:p>
            <w:pP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006" w:type="dxa"/>
            <w:vMerge w:val="restart"/>
            <w:tcBorders>
              <w:tl2br w:val="nil"/>
              <w:tr2bl w:val="nil"/>
            </w:tcBorders>
            <w:vAlign w:val="center"/>
          </w:tcPr>
          <w:p>
            <w:pPr>
              <w:jc w:val="center"/>
              <w:rPr>
                <w:color w:val="auto"/>
                <w:szCs w:val="24"/>
              </w:rPr>
            </w:pPr>
            <w:r>
              <w:rPr>
                <w:color w:val="auto"/>
                <w:szCs w:val="24"/>
              </w:rPr>
              <w:t>备注</w:t>
            </w:r>
          </w:p>
        </w:tc>
        <w:tc>
          <w:tcPr>
            <w:tcW w:w="7571" w:type="dxa"/>
            <w:gridSpan w:val="9"/>
            <w:tcBorders>
              <w:tl2br w:val="nil"/>
              <w:tr2bl w:val="nil"/>
            </w:tcBorders>
            <w:vAlign w:val="center"/>
          </w:tcPr>
          <w:p>
            <w:pPr>
              <w:rPr>
                <w:color w:val="auto"/>
                <w:szCs w:val="24"/>
              </w:rPr>
            </w:pPr>
            <w:r>
              <w:rPr>
                <w:color w:val="auto"/>
                <w:szCs w:val="24"/>
              </w:rPr>
              <w:t>1、 当检测结果低于方法检出限时，用“ND”表示；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80" w:hRule="atLeast"/>
          <w:jc w:val="center"/>
        </w:trPr>
        <w:tc>
          <w:tcPr>
            <w:tcW w:w="1006" w:type="dxa"/>
            <w:vMerge w:val="continue"/>
            <w:tcBorders>
              <w:tl2br w:val="nil"/>
              <w:tr2bl w:val="nil"/>
            </w:tcBorders>
            <w:vAlign w:val="center"/>
          </w:tcPr>
          <w:p>
            <w:pPr>
              <w:rPr>
                <w:color w:val="auto"/>
                <w:szCs w:val="24"/>
              </w:rPr>
            </w:pPr>
          </w:p>
        </w:tc>
        <w:tc>
          <w:tcPr>
            <w:tcW w:w="7571" w:type="dxa"/>
            <w:gridSpan w:val="9"/>
            <w:tcBorders>
              <w:tl2br w:val="nil"/>
              <w:tr2bl w:val="nil"/>
            </w:tcBorders>
            <w:vAlign w:val="center"/>
          </w:tcPr>
          <w:p>
            <w:pPr>
              <w:rPr>
                <w:color w:val="auto"/>
                <w:szCs w:val="24"/>
              </w:rPr>
            </w:pPr>
            <w:r>
              <w:rPr>
                <w:color w:val="auto"/>
                <w:szCs w:val="24"/>
              </w:rPr>
              <w:t>2、点位布设：01#：项目厂界外东侧偏北3m处、02#：项目厂界外东侧3m处、03#：项目厂界外东南侧3m处、04#：项目厂界外南侧偏东3m处。</w:t>
            </w:r>
          </w:p>
        </w:tc>
      </w:tr>
    </w:tbl>
    <w:p>
      <w:pPr>
        <w:spacing w:line="460" w:lineRule="exact"/>
        <w:ind w:firstLine="480" w:firstLineChars="200"/>
        <w:rPr>
          <w:color w:val="auto"/>
          <w:sz w:val="24"/>
          <w:szCs w:val="24"/>
        </w:rPr>
      </w:pPr>
      <w:r>
        <w:rPr>
          <w:color w:val="auto"/>
          <w:sz w:val="24"/>
          <w:szCs w:val="24"/>
        </w:rPr>
        <w:t>由上表可知，本项目运营期间厂界处非甲烷总烃和颗粒物满足《大气污染物综合排放标准》（GB16297-1996）表2周界外无组织排放监控浓度限值要求；氨、硫化氢、臭气浓度（无量纲）排放满足《恶臭污染物排放标准》（GB14554-93）二级标准的厂界标准值要求。</w:t>
      </w:r>
    </w:p>
    <w:p>
      <w:pPr>
        <w:pStyle w:val="130"/>
        <w:spacing w:line="460" w:lineRule="exact"/>
        <w:ind w:firstLine="480"/>
        <w:rPr>
          <w:color w:val="auto"/>
        </w:rPr>
      </w:pPr>
      <w:r>
        <w:rPr>
          <w:color w:val="auto"/>
        </w:rPr>
        <w:t>（8）环境敏感目标（阳沟村希望小学）环境空气质量实际监测结果分析</w:t>
      </w:r>
    </w:p>
    <w:p>
      <w:pPr>
        <w:pStyle w:val="130"/>
        <w:spacing w:line="460" w:lineRule="exact"/>
        <w:ind w:firstLine="480"/>
        <w:rPr>
          <w:color w:val="auto"/>
        </w:rPr>
      </w:pPr>
      <w:r>
        <w:rPr>
          <w:color w:val="auto"/>
        </w:rPr>
        <w:t>因本项目主体工程已建设完成</w:t>
      </w:r>
      <w:r>
        <w:rPr>
          <w:rFonts w:hint="eastAsia"/>
          <w:color w:val="auto"/>
        </w:rPr>
        <w:t>并可正常运行</w:t>
      </w:r>
      <w:r>
        <w:rPr>
          <w:color w:val="auto"/>
        </w:rPr>
        <w:t>，为进一步确定本项目运营期间对环境敏感目标（阳沟村希望小学）的影响情况，由宁夏中科精科检测技术有限公司于2021年12月21日~22日对环境敏感目标（阳沟村希望小学）的空气质量状况进行了现场实际监测（监测报告详见附件11），环境敏感目标环境空气质量监测结果见下表。</w:t>
      </w:r>
    </w:p>
    <w:p>
      <w:pPr>
        <w:spacing w:before="120" w:beforeLines="50"/>
        <w:jc w:val="center"/>
        <w:rPr>
          <w:b/>
          <w:color w:val="auto"/>
          <w:sz w:val="24"/>
          <w:szCs w:val="24"/>
        </w:rPr>
      </w:pPr>
      <w:r>
        <w:rPr>
          <w:b/>
          <w:color w:val="auto"/>
          <w:sz w:val="24"/>
          <w:szCs w:val="24"/>
        </w:rPr>
        <w:t>表7.2-13  环境敏感目标（阳沟村希望小学）环境空气质量监测结果一览表</w:t>
      </w:r>
    </w:p>
    <w:tbl>
      <w:tblPr>
        <w:tblStyle w:val="74"/>
        <w:tblW w:w="881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60"/>
        <w:gridCol w:w="1325"/>
        <w:gridCol w:w="1518"/>
        <w:gridCol w:w="1352"/>
        <w:gridCol w:w="1186"/>
        <w:gridCol w:w="986"/>
        <w:gridCol w:w="9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88" w:hRule="atLeast"/>
          <w:jc w:val="center"/>
        </w:trPr>
        <w:tc>
          <w:tcPr>
            <w:tcW w:w="1460" w:type="dxa"/>
            <w:tcBorders>
              <w:tl2br w:val="nil"/>
              <w:tr2bl w:val="nil"/>
            </w:tcBorders>
            <w:vAlign w:val="center"/>
          </w:tcPr>
          <w:p>
            <w:pPr>
              <w:jc w:val="center"/>
              <w:rPr>
                <w:color w:val="auto"/>
                <w:szCs w:val="21"/>
                <w:lang w:bidi="ar"/>
              </w:rPr>
            </w:pPr>
            <w:r>
              <w:rPr>
                <w:color w:val="auto"/>
                <w:szCs w:val="21"/>
                <w:lang w:bidi="ar"/>
              </w:rPr>
              <w:t>检测项目</w:t>
            </w:r>
          </w:p>
        </w:tc>
        <w:tc>
          <w:tcPr>
            <w:tcW w:w="1325" w:type="dxa"/>
            <w:tcBorders>
              <w:tl2br w:val="nil"/>
              <w:tr2bl w:val="nil"/>
            </w:tcBorders>
            <w:vAlign w:val="center"/>
          </w:tcPr>
          <w:p>
            <w:pPr>
              <w:jc w:val="center"/>
              <w:rPr>
                <w:color w:val="auto"/>
                <w:szCs w:val="21"/>
                <w:lang w:bidi="ar"/>
              </w:rPr>
            </w:pPr>
            <w:r>
              <w:rPr>
                <w:color w:val="auto"/>
                <w:szCs w:val="21"/>
                <w:lang w:bidi="ar"/>
              </w:rPr>
              <w:t>检测日期</w:t>
            </w:r>
          </w:p>
        </w:tc>
        <w:tc>
          <w:tcPr>
            <w:tcW w:w="1518" w:type="dxa"/>
            <w:tcBorders>
              <w:tl2br w:val="nil"/>
              <w:tr2bl w:val="nil"/>
            </w:tcBorders>
            <w:vAlign w:val="center"/>
          </w:tcPr>
          <w:p>
            <w:pPr>
              <w:jc w:val="center"/>
              <w:rPr>
                <w:color w:val="auto"/>
                <w:szCs w:val="21"/>
                <w:lang w:bidi="ar"/>
              </w:rPr>
            </w:pPr>
            <w:r>
              <w:rPr>
                <w:color w:val="auto"/>
                <w:szCs w:val="21"/>
                <w:lang w:bidi="ar"/>
              </w:rPr>
              <w:t>检测频次</w:t>
            </w:r>
          </w:p>
        </w:tc>
        <w:tc>
          <w:tcPr>
            <w:tcW w:w="1352" w:type="dxa"/>
            <w:tcBorders>
              <w:tl2br w:val="nil"/>
              <w:tr2bl w:val="nil"/>
            </w:tcBorders>
            <w:vAlign w:val="center"/>
          </w:tcPr>
          <w:p>
            <w:pPr>
              <w:jc w:val="center"/>
              <w:rPr>
                <w:color w:val="auto"/>
                <w:szCs w:val="21"/>
                <w:lang w:bidi="ar"/>
              </w:rPr>
            </w:pPr>
            <w:r>
              <w:rPr>
                <w:color w:val="auto"/>
                <w:szCs w:val="21"/>
                <w:lang w:bidi="ar"/>
              </w:rPr>
              <w:t>O5#</w:t>
            </w:r>
          </w:p>
        </w:tc>
        <w:tc>
          <w:tcPr>
            <w:tcW w:w="1186" w:type="dxa"/>
            <w:tcBorders>
              <w:tl2br w:val="nil"/>
              <w:tr2bl w:val="nil"/>
            </w:tcBorders>
            <w:vAlign w:val="center"/>
          </w:tcPr>
          <w:p>
            <w:pPr>
              <w:jc w:val="center"/>
              <w:rPr>
                <w:color w:val="auto"/>
                <w:szCs w:val="24"/>
              </w:rPr>
            </w:pPr>
            <w:r>
              <w:rPr>
                <w:color w:val="auto"/>
                <w:szCs w:val="24"/>
              </w:rPr>
              <w:t>最大检测浓度值</w:t>
            </w:r>
          </w:p>
        </w:tc>
        <w:tc>
          <w:tcPr>
            <w:tcW w:w="986" w:type="dxa"/>
            <w:tcBorders>
              <w:tl2br w:val="nil"/>
              <w:tr2bl w:val="nil"/>
            </w:tcBorders>
            <w:vAlign w:val="center"/>
          </w:tcPr>
          <w:p>
            <w:pPr>
              <w:jc w:val="center"/>
              <w:rPr>
                <w:color w:val="auto"/>
                <w:szCs w:val="24"/>
              </w:rPr>
            </w:pPr>
            <w:r>
              <w:rPr>
                <w:color w:val="auto"/>
                <w:szCs w:val="24"/>
              </w:rPr>
              <w:t>标准限值</w:t>
            </w:r>
          </w:p>
        </w:tc>
        <w:tc>
          <w:tcPr>
            <w:tcW w:w="987" w:type="dxa"/>
            <w:tcBorders>
              <w:tl2br w:val="nil"/>
              <w:tr2bl w:val="nil"/>
            </w:tcBorders>
            <w:vAlign w:val="center"/>
          </w:tcPr>
          <w:p>
            <w:pPr>
              <w:jc w:val="center"/>
              <w:rPr>
                <w:color w:val="auto"/>
                <w:szCs w:val="24"/>
              </w:rPr>
            </w:pPr>
            <w:r>
              <w:rPr>
                <w:color w:val="auto"/>
                <w:szCs w:val="24"/>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restart"/>
            <w:tcBorders>
              <w:tl2br w:val="nil"/>
              <w:tr2bl w:val="nil"/>
            </w:tcBorders>
            <w:vAlign w:val="center"/>
          </w:tcPr>
          <w:p>
            <w:pPr>
              <w:jc w:val="center"/>
              <w:rPr>
                <w:color w:val="auto"/>
                <w:szCs w:val="21"/>
                <w:lang w:bidi="ar"/>
              </w:rPr>
            </w:pPr>
            <w:r>
              <w:rPr>
                <w:color w:val="auto"/>
                <w:szCs w:val="21"/>
                <w:lang w:bidi="ar"/>
              </w:rPr>
              <w:t>臭气浓度 (无量纲)</w:t>
            </w:r>
          </w:p>
        </w:tc>
        <w:tc>
          <w:tcPr>
            <w:tcW w:w="1325" w:type="dxa"/>
            <w:vMerge w:val="restart"/>
            <w:tcBorders>
              <w:tl2br w:val="nil"/>
              <w:tr2bl w:val="nil"/>
            </w:tcBorders>
            <w:vAlign w:val="center"/>
          </w:tcPr>
          <w:p>
            <w:pPr>
              <w:jc w:val="center"/>
              <w:rPr>
                <w:color w:val="auto"/>
                <w:szCs w:val="21"/>
                <w:lang w:bidi="ar"/>
              </w:rPr>
            </w:pPr>
            <w:r>
              <w:rPr>
                <w:color w:val="auto"/>
                <w:szCs w:val="21"/>
                <w:lang w:bidi="ar"/>
              </w:rPr>
              <w:t>12月21日</w:t>
            </w:r>
          </w:p>
        </w:tc>
        <w:tc>
          <w:tcPr>
            <w:tcW w:w="1518" w:type="dxa"/>
            <w:tcBorders>
              <w:tl2br w:val="nil"/>
              <w:tr2bl w:val="nil"/>
            </w:tcBorders>
            <w:vAlign w:val="center"/>
          </w:tcPr>
          <w:p>
            <w:pPr>
              <w:jc w:val="center"/>
              <w:rPr>
                <w:color w:val="auto"/>
                <w:szCs w:val="21"/>
                <w:lang w:bidi="ar"/>
              </w:rPr>
            </w:pPr>
            <w:r>
              <w:rPr>
                <w:color w:val="auto"/>
                <w:szCs w:val="21"/>
                <w:lang w:bidi="ar"/>
              </w:rPr>
              <w:t>第一次</w:t>
            </w:r>
          </w:p>
        </w:tc>
        <w:tc>
          <w:tcPr>
            <w:tcW w:w="1352" w:type="dxa"/>
            <w:tcBorders>
              <w:tl2br w:val="nil"/>
              <w:tr2bl w:val="nil"/>
            </w:tcBorders>
            <w:vAlign w:val="center"/>
          </w:tcPr>
          <w:p>
            <w:pPr>
              <w:jc w:val="center"/>
              <w:rPr>
                <w:color w:val="auto"/>
                <w:szCs w:val="21"/>
                <w:lang w:bidi="ar"/>
              </w:rPr>
            </w:pPr>
            <w:r>
              <w:rPr>
                <w:color w:val="auto"/>
                <w:szCs w:val="21"/>
                <w:lang w:bidi="ar"/>
              </w:rPr>
              <w:t>&lt;10</w:t>
            </w:r>
          </w:p>
        </w:tc>
        <w:tc>
          <w:tcPr>
            <w:tcW w:w="1186" w:type="dxa"/>
            <w:vMerge w:val="restart"/>
            <w:tcBorders>
              <w:tl2br w:val="nil"/>
              <w:tr2bl w:val="nil"/>
            </w:tcBorders>
            <w:vAlign w:val="center"/>
          </w:tcPr>
          <w:p>
            <w:pPr>
              <w:jc w:val="center"/>
              <w:rPr>
                <w:color w:val="auto"/>
                <w:szCs w:val="24"/>
              </w:rPr>
            </w:pPr>
            <w:r>
              <w:rPr>
                <w:color w:val="auto"/>
                <w:szCs w:val="24"/>
              </w:rPr>
              <w:t>10</w:t>
            </w:r>
          </w:p>
        </w:tc>
        <w:tc>
          <w:tcPr>
            <w:tcW w:w="986" w:type="dxa"/>
            <w:vMerge w:val="restart"/>
            <w:tcBorders>
              <w:tl2br w:val="nil"/>
              <w:tr2bl w:val="nil"/>
            </w:tcBorders>
            <w:vAlign w:val="center"/>
          </w:tcPr>
          <w:p>
            <w:pPr>
              <w:jc w:val="center"/>
              <w:rPr>
                <w:color w:val="auto"/>
                <w:szCs w:val="24"/>
              </w:rPr>
            </w:pPr>
            <w:r>
              <w:rPr>
                <w:color w:val="auto"/>
                <w:szCs w:val="24"/>
              </w:rPr>
              <w:t>/</w:t>
            </w:r>
          </w:p>
        </w:tc>
        <w:tc>
          <w:tcPr>
            <w:tcW w:w="987" w:type="dxa"/>
            <w:vMerge w:val="restart"/>
            <w:tcBorders>
              <w:tl2br w:val="nil"/>
              <w:tr2bl w:val="nil"/>
            </w:tcBorders>
            <w:vAlign w:val="center"/>
          </w:tcPr>
          <w:p>
            <w:pPr>
              <w:jc w:val="center"/>
              <w:rPr>
                <w:color w:val="auto"/>
                <w:szCs w:val="24"/>
              </w:rPr>
            </w:pPr>
            <w:r>
              <w:rPr>
                <w:color w:val="auto"/>
                <w:szCs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1"/>
                <w:lang w:bidi="ar"/>
              </w:rPr>
            </w:pPr>
          </w:p>
        </w:tc>
        <w:tc>
          <w:tcPr>
            <w:tcW w:w="1325" w:type="dxa"/>
            <w:vMerge w:val="continue"/>
            <w:tcBorders>
              <w:tl2br w:val="nil"/>
              <w:tr2bl w:val="nil"/>
            </w:tcBorders>
            <w:vAlign w:val="center"/>
          </w:tcPr>
          <w:p>
            <w:pPr>
              <w:jc w:val="center"/>
              <w:rPr>
                <w:color w:val="auto"/>
                <w:szCs w:val="21"/>
                <w:lang w:bidi="ar"/>
              </w:rPr>
            </w:pPr>
          </w:p>
        </w:tc>
        <w:tc>
          <w:tcPr>
            <w:tcW w:w="1518" w:type="dxa"/>
            <w:tcBorders>
              <w:tl2br w:val="nil"/>
              <w:tr2bl w:val="nil"/>
            </w:tcBorders>
            <w:vAlign w:val="center"/>
          </w:tcPr>
          <w:p>
            <w:pPr>
              <w:jc w:val="center"/>
              <w:rPr>
                <w:color w:val="auto"/>
                <w:szCs w:val="21"/>
                <w:lang w:bidi="ar"/>
              </w:rPr>
            </w:pPr>
            <w:r>
              <w:rPr>
                <w:color w:val="auto"/>
                <w:szCs w:val="21"/>
                <w:lang w:bidi="ar"/>
              </w:rPr>
              <w:t>第二次</w:t>
            </w:r>
          </w:p>
        </w:tc>
        <w:tc>
          <w:tcPr>
            <w:tcW w:w="1352" w:type="dxa"/>
            <w:tcBorders>
              <w:tl2br w:val="nil"/>
              <w:tr2bl w:val="nil"/>
            </w:tcBorders>
            <w:vAlign w:val="center"/>
          </w:tcPr>
          <w:p>
            <w:pPr>
              <w:jc w:val="center"/>
              <w:rPr>
                <w:color w:val="auto"/>
                <w:szCs w:val="21"/>
                <w:lang w:bidi="ar"/>
              </w:rPr>
            </w:pPr>
            <w:r>
              <w:rPr>
                <w:color w:val="auto"/>
                <w:szCs w:val="21"/>
                <w:lang w:bidi="ar"/>
              </w:rPr>
              <w:t>10</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1"/>
                <w:lang w:bidi="ar"/>
              </w:rPr>
            </w:pPr>
          </w:p>
        </w:tc>
        <w:tc>
          <w:tcPr>
            <w:tcW w:w="1325" w:type="dxa"/>
            <w:vMerge w:val="continue"/>
            <w:tcBorders>
              <w:tl2br w:val="nil"/>
              <w:tr2bl w:val="nil"/>
            </w:tcBorders>
            <w:vAlign w:val="center"/>
          </w:tcPr>
          <w:p>
            <w:pPr>
              <w:jc w:val="center"/>
              <w:rPr>
                <w:color w:val="auto"/>
                <w:szCs w:val="21"/>
                <w:lang w:bidi="ar"/>
              </w:rPr>
            </w:pPr>
          </w:p>
        </w:tc>
        <w:tc>
          <w:tcPr>
            <w:tcW w:w="1518" w:type="dxa"/>
            <w:tcBorders>
              <w:tl2br w:val="nil"/>
              <w:tr2bl w:val="nil"/>
            </w:tcBorders>
            <w:vAlign w:val="center"/>
          </w:tcPr>
          <w:p>
            <w:pPr>
              <w:jc w:val="center"/>
              <w:rPr>
                <w:color w:val="auto"/>
                <w:szCs w:val="21"/>
                <w:lang w:bidi="ar"/>
              </w:rPr>
            </w:pPr>
            <w:r>
              <w:rPr>
                <w:color w:val="auto"/>
                <w:szCs w:val="21"/>
                <w:lang w:bidi="ar"/>
              </w:rPr>
              <w:t>第三次</w:t>
            </w:r>
          </w:p>
        </w:tc>
        <w:tc>
          <w:tcPr>
            <w:tcW w:w="1352" w:type="dxa"/>
            <w:tcBorders>
              <w:tl2br w:val="nil"/>
              <w:tr2bl w:val="nil"/>
            </w:tcBorders>
            <w:vAlign w:val="center"/>
          </w:tcPr>
          <w:p>
            <w:pPr>
              <w:jc w:val="center"/>
              <w:rPr>
                <w:color w:val="auto"/>
                <w:szCs w:val="21"/>
                <w:lang w:bidi="ar"/>
              </w:rPr>
            </w:pPr>
            <w:r>
              <w:rPr>
                <w:color w:val="auto"/>
                <w:szCs w:val="21"/>
                <w:lang w:bidi="ar"/>
              </w:rPr>
              <w:t>&lt;10</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第四次</w:t>
            </w:r>
          </w:p>
        </w:tc>
        <w:tc>
          <w:tcPr>
            <w:tcW w:w="1352" w:type="dxa"/>
            <w:tcBorders>
              <w:tl2br w:val="nil"/>
              <w:tr2bl w:val="nil"/>
            </w:tcBorders>
            <w:vAlign w:val="center"/>
          </w:tcPr>
          <w:p>
            <w:pPr>
              <w:jc w:val="center"/>
              <w:rPr>
                <w:color w:val="auto"/>
                <w:szCs w:val="24"/>
              </w:rPr>
            </w:pPr>
            <w:r>
              <w:rPr>
                <w:color w:val="auto"/>
                <w:szCs w:val="24"/>
              </w:rPr>
              <w:t>&lt;10</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restart"/>
            <w:tcBorders>
              <w:tl2br w:val="nil"/>
              <w:tr2bl w:val="nil"/>
            </w:tcBorders>
            <w:vAlign w:val="center"/>
          </w:tcPr>
          <w:p>
            <w:pPr>
              <w:jc w:val="center"/>
              <w:rPr>
                <w:color w:val="auto"/>
                <w:szCs w:val="24"/>
              </w:rPr>
            </w:pPr>
            <w:r>
              <w:rPr>
                <w:color w:val="auto"/>
                <w:szCs w:val="24"/>
              </w:rPr>
              <w:t>12月22日</w:t>
            </w:r>
          </w:p>
        </w:tc>
        <w:tc>
          <w:tcPr>
            <w:tcW w:w="1518" w:type="dxa"/>
            <w:tcBorders>
              <w:tl2br w:val="nil"/>
              <w:tr2bl w:val="nil"/>
            </w:tcBorders>
            <w:vAlign w:val="center"/>
          </w:tcPr>
          <w:p>
            <w:pPr>
              <w:jc w:val="center"/>
              <w:rPr>
                <w:color w:val="auto"/>
                <w:szCs w:val="24"/>
              </w:rPr>
            </w:pPr>
            <w:r>
              <w:rPr>
                <w:color w:val="auto"/>
                <w:szCs w:val="24"/>
              </w:rPr>
              <w:t>第一次</w:t>
            </w:r>
          </w:p>
        </w:tc>
        <w:tc>
          <w:tcPr>
            <w:tcW w:w="1352" w:type="dxa"/>
            <w:tcBorders>
              <w:tl2br w:val="nil"/>
              <w:tr2bl w:val="nil"/>
            </w:tcBorders>
            <w:vAlign w:val="center"/>
          </w:tcPr>
          <w:p>
            <w:pPr>
              <w:jc w:val="center"/>
              <w:rPr>
                <w:color w:val="auto"/>
                <w:szCs w:val="24"/>
              </w:rPr>
            </w:pPr>
            <w:r>
              <w:rPr>
                <w:color w:val="auto"/>
                <w:szCs w:val="24"/>
              </w:rPr>
              <w:t>&lt;10</w:t>
            </w:r>
          </w:p>
        </w:tc>
        <w:tc>
          <w:tcPr>
            <w:tcW w:w="1186" w:type="dxa"/>
            <w:vMerge w:val="restart"/>
            <w:tcBorders>
              <w:tl2br w:val="nil"/>
              <w:tr2bl w:val="nil"/>
            </w:tcBorders>
            <w:vAlign w:val="center"/>
          </w:tcPr>
          <w:p>
            <w:pPr>
              <w:jc w:val="center"/>
              <w:rPr>
                <w:color w:val="auto"/>
                <w:szCs w:val="24"/>
              </w:rPr>
            </w:pPr>
            <w:r>
              <w:rPr>
                <w:color w:val="auto"/>
                <w:szCs w:val="24"/>
              </w:rPr>
              <w:t>10</w:t>
            </w:r>
          </w:p>
        </w:tc>
        <w:tc>
          <w:tcPr>
            <w:tcW w:w="986" w:type="dxa"/>
            <w:vMerge w:val="restart"/>
            <w:tcBorders>
              <w:tl2br w:val="nil"/>
              <w:tr2bl w:val="nil"/>
            </w:tcBorders>
            <w:vAlign w:val="center"/>
          </w:tcPr>
          <w:p>
            <w:pPr>
              <w:jc w:val="center"/>
              <w:rPr>
                <w:color w:val="auto"/>
                <w:szCs w:val="24"/>
              </w:rPr>
            </w:pPr>
            <w:r>
              <w:rPr>
                <w:color w:val="auto"/>
                <w:szCs w:val="24"/>
              </w:rPr>
              <w:t>/</w:t>
            </w:r>
          </w:p>
        </w:tc>
        <w:tc>
          <w:tcPr>
            <w:tcW w:w="987" w:type="dxa"/>
            <w:vMerge w:val="restart"/>
            <w:tcBorders>
              <w:tl2br w:val="nil"/>
              <w:tr2bl w:val="nil"/>
            </w:tcBorders>
            <w:vAlign w:val="center"/>
          </w:tcPr>
          <w:p>
            <w:pPr>
              <w:jc w:val="center"/>
              <w:rPr>
                <w:color w:val="auto"/>
                <w:szCs w:val="24"/>
              </w:rPr>
            </w:pPr>
            <w:r>
              <w:rPr>
                <w:color w:val="auto"/>
                <w:szCs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rPr>
                <w:color w:val="auto"/>
                <w:szCs w:val="24"/>
              </w:rPr>
            </w:pPr>
          </w:p>
        </w:tc>
        <w:tc>
          <w:tcPr>
            <w:tcW w:w="1325" w:type="dxa"/>
            <w:vMerge w:val="continue"/>
            <w:tcBorders>
              <w:tl2br w:val="nil"/>
              <w:tr2bl w:val="nil"/>
            </w:tcBorders>
            <w:vAlign w:val="center"/>
          </w:tcPr>
          <w:p>
            <w:pPr>
              <w:rPr>
                <w:color w:val="auto"/>
                <w:szCs w:val="24"/>
              </w:rPr>
            </w:pPr>
          </w:p>
        </w:tc>
        <w:tc>
          <w:tcPr>
            <w:tcW w:w="1518" w:type="dxa"/>
            <w:tcBorders>
              <w:tl2br w:val="nil"/>
              <w:tr2bl w:val="nil"/>
            </w:tcBorders>
            <w:vAlign w:val="center"/>
          </w:tcPr>
          <w:p>
            <w:pPr>
              <w:jc w:val="center"/>
              <w:rPr>
                <w:color w:val="auto"/>
                <w:szCs w:val="24"/>
              </w:rPr>
            </w:pPr>
            <w:r>
              <w:rPr>
                <w:color w:val="auto"/>
                <w:szCs w:val="24"/>
              </w:rPr>
              <w:t>第二次</w:t>
            </w:r>
          </w:p>
        </w:tc>
        <w:tc>
          <w:tcPr>
            <w:tcW w:w="1352" w:type="dxa"/>
            <w:tcBorders>
              <w:tl2br w:val="nil"/>
              <w:tr2bl w:val="nil"/>
            </w:tcBorders>
            <w:vAlign w:val="center"/>
          </w:tcPr>
          <w:p>
            <w:pPr>
              <w:jc w:val="center"/>
              <w:rPr>
                <w:color w:val="auto"/>
                <w:szCs w:val="24"/>
              </w:rPr>
            </w:pPr>
            <w:r>
              <w:rPr>
                <w:color w:val="auto"/>
                <w:szCs w:val="24"/>
              </w:rPr>
              <w:t>&lt;10</w:t>
            </w:r>
          </w:p>
        </w:tc>
        <w:tc>
          <w:tcPr>
            <w:tcW w:w="1186" w:type="dxa"/>
            <w:vMerge w:val="continue"/>
            <w:tcBorders>
              <w:tl2br w:val="nil"/>
              <w:tr2bl w:val="nil"/>
            </w:tcBorders>
            <w:vAlign w:val="center"/>
          </w:tcPr>
          <w:p>
            <w:pPr>
              <w:rPr>
                <w:color w:val="auto"/>
                <w:szCs w:val="24"/>
              </w:rPr>
            </w:pPr>
          </w:p>
        </w:tc>
        <w:tc>
          <w:tcPr>
            <w:tcW w:w="986" w:type="dxa"/>
            <w:vMerge w:val="continue"/>
            <w:tcBorders>
              <w:tl2br w:val="nil"/>
              <w:tr2bl w:val="nil"/>
            </w:tcBorders>
            <w:vAlign w:val="center"/>
          </w:tcPr>
          <w:p>
            <w:pPr>
              <w:rPr>
                <w:color w:val="auto"/>
                <w:szCs w:val="24"/>
              </w:rPr>
            </w:pPr>
          </w:p>
        </w:tc>
        <w:tc>
          <w:tcPr>
            <w:tcW w:w="987" w:type="dxa"/>
            <w:vMerge w:val="continue"/>
            <w:tcBorders>
              <w:tl2br w:val="nil"/>
              <w:tr2bl w:val="nil"/>
            </w:tcBorders>
            <w:vAlign w:val="center"/>
          </w:tcPr>
          <w:p>
            <w:pP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rPr>
                <w:color w:val="auto"/>
                <w:szCs w:val="24"/>
              </w:rPr>
            </w:pPr>
          </w:p>
        </w:tc>
        <w:tc>
          <w:tcPr>
            <w:tcW w:w="1325" w:type="dxa"/>
            <w:vMerge w:val="continue"/>
            <w:tcBorders>
              <w:tl2br w:val="nil"/>
              <w:tr2bl w:val="nil"/>
            </w:tcBorders>
            <w:vAlign w:val="center"/>
          </w:tcPr>
          <w:p>
            <w:pPr>
              <w:rPr>
                <w:color w:val="auto"/>
                <w:szCs w:val="24"/>
              </w:rPr>
            </w:pPr>
          </w:p>
        </w:tc>
        <w:tc>
          <w:tcPr>
            <w:tcW w:w="1518" w:type="dxa"/>
            <w:tcBorders>
              <w:tl2br w:val="nil"/>
              <w:tr2bl w:val="nil"/>
            </w:tcBorders>
            <w:vAlign w:val="center"/>
          </w:tcPr>
          <w:p>
            <w:pPr>
              <w:jc w:val="center"/>
              <w:rPr>
                <w:color w:val="auto"/>
                <w:szCs w:val="24"/>
              </w:rPr>
            </w:pPr>
            <w:r>
              <w:rPr>
                <w:color w:val="auto"/>
                <w:szCs w:val="24"/>
              </w:rPr>
              <w:t>第二次</w:t>
            </w:r>
          </w:p>
        </w:tc>
        <w:tc>
          <w:tcPr>
            <w:tcW w:w="1352" w:type="dxa"/>
            <w:tcBorders>
              <w:tl2br w:val="nil"/>
              <w:tr2bl w:val="nil"/>
            </w:tcBorders>
            <w:vAlign w:val="center"/>
          </w:tcPr>
          <w:p>
            <w:pPr>
              <w:jc w:val="center"/>
              <w:rPr>
                <w:color w:val="auto"/>
                <w:szCs w:val="24"/>
              </w:rPr>
            </w:pPr>
            <w:r>
              <w:rPr>
                <w:color w:val="auto"/>
                <w:szCs w:val="24"/>
              </w:rPr>
              <w:t>&lt;10</w:t>
            </w:r>
          </w:p>
        </w:tc>
        <w:tc>
          <w:tcPr>
            <w:tcW w:w="1186" w:type="dxa"/>
            <w:vMerge w:val="continue"/>
            <w:tcBorders>
              <w:tl2br w:val="nil"/>
              <w:tr2bl w:val="nil"/>
            </w:tcBorders>
            <w:vAlign w:val="center"/>
          </w:tcPr>
          <w:p>
            <w:pPr>
              <w:rPr>
                <w:color w:val="auto"/>
                <w:szCs w:val="24"/>
              </w:rPr>
            </w:pPr>
          </w:p>
        </w:tc>
        <w:tc>
          <w:tcPr>
            <w:tcW w:w="986" w:type="dxa"/>
            <w:vMerge w:val="continue"/>
            <w:tcBorders>
              <w:tl2br w:val="nil"/>
              <w:tr2bl w:val="nil"/>
            </w:tcBorders>
            <w:vAlign w:val="center"/>
          </w:tcPr>
          <w:p>
            <w:pPr>
              <w:rPr>
                <w:color w:val="auto"/>
                <w:szCs w:val="24"/>
              </w:rPr>
            </w:pPr>
          </w:p>
        </w:tc>
        <w:tc>
          <w:tcPr>
            <w:tcW w:w="987" w:type="dxa"/>
            <w:vMerge w:val="continue"/>
            <w:tcBorders>
              <w:tl2br w:val="nil"/>
              <w:tr2bl w:val="nil"/>
            </w:tcBorders>
            <w:vAlign w:val="center"/>
          </w:tcPr>
          <w:p>
            <w:pP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rPr>
                <w:color w:val="auto"/>
                <w:szCs w:val="24"/>
              </w:rPr>
            </w:pPr>
          </w:p>
        </w:tc>
        <w:tc>
          <w:tcPr>
            <w:tcW w:w="1325" w:type="dxa"/>
            <w:vMerge w:val="continue"/>
            <w:tcBorders>
              <w:tl2br w:val="nil"/>
              <w:tr2bl w:val="nil"/>
            </w:tcBorders>
            <w:vAlign w:val="center"/>
          </w:tcPr>
          <w:p>
            <w:pPr>
              <w:rPr>
                <w:color w:val="auto"/>
                <w:szCs w:val="24"/>
              </w:rPr>
            </w:pPr>
          </w:p>
        </w:tc>
        <w:tc>
          <w:tcPr>
            <w:tcW w:w="1518" w:type="dxa"/>
            <w:tcBorders>
              <w:tl2br w:val="nil"/>
              <w:tr2bl w:val="nil"/>
            </w:tcBorders>
            <w:vAlign w:val="center"/>
          </w:tcPr>
          <w:p>
            <w:pPr>
              <w:jc w:val="center"/>
              <w:rPr>
                <w:color w:val="auto"/>
                <w:szCs w:val="24"/>
              </w:rPr>
            </w:pPr>
            <w:r>
              <w:rPr>
                <w:color w:val="auto"/>
                <w:szCs w:val="24"/>
              </w:rPr>
              <w:t>第四次</w:t>
            </w:r>
          </w:p>
        </w:tc>
        <w:tc>
          <w:tcPr>
            <w:tcW w:w="1352" w:type="dxa"/>
            <w:tcBorders>
              <w:tl2br w:val="nil"/>
              <w:tr2bl w:val="nil"/>
            </w:tcBorders>
            <w:vAlign w:val="center"/>
          </w:tcPr>
          <w:p>
            <w:pPr>
              <w:jc w:val="center"/>
              <w:rPr>
                <w:color w:val="auto"/>
                <w:szCs w:val="24"/>
              </w:rPr>
            </w:pPr>
            <w:r>
              <w:rPr>
                <w:color w:val="auto"/>
                <w:szCs w:val="24"/>
              </w:rPr>
              <w:t>10</w:t>
            </w:r>
          </w:p>
        </w:tc>
        <w:tc>
          <w:tcPr>
            <w:tcW w:w="1186" w:type="dxa"/>
            <w:vMerge w:val="continue"/>
            <w:tcBorders>
              <w:tl2br w:val="nil"/>
              <w:tr2bl w:val="nil"/>
            </w:tcBorders>
            <w:vAlign w:val="center"/>
          </w:tcPr>
          <w:p>
            <w:pPr>
              <w:rPr>
                <w:color w:val="auto"/>
                <w:szCs w:val="24"/>
              </w:rPr>
            </w:pPr>
          </w:p>
        </w:tc>
        <w:tc>
          <w:tcPr>
            <w:tcW w:w="986" w:type="dxa"/>
            <w:vMerge w:val="continue"/>
            <w:tcBorders>
              <w:tl2br w:val="nil"/>
              <w:tr2bl w:val="nil"/>
            </w:tcBorders>
            <w:vAlign w:val="center"/>
          </w:tcPr>
          <w:p>
            <w:pPr>
              <w:rPr>
                <w:color w:val="auto"/>
                <w:szCs w:val="24"/>
              </w:rPr>
            </w:pPr>
          </w:p>
        </w:tc>
        <w:tc>
          <w:tcPr>
            <w:tcW w:w="987" w:type="dxa"/>
            <w:vMerge w:val="continue"/>
            <w:tcBorders>
              <w:tl2br w:val="nil"/>
              <w:tr2bl w:val="nil"/>
            </w:tcBorders>
            <w:vAlign w:val="center"/>
          </w:tcPr>
          <w:p>
            <w:pP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restart"/>
            <w:tcBorders>
              <w:tl2br w:val="nil"/>
              <w:tr2bl w:val="nil"/>
            </w:tcBorders>
            <w:vAlign w:val="center"/>
          </w:tcPr>
          <w:p>
            <w:pPr>
              <w:jc w:val="center"/>
              <w:rPr>
                <w:color w:val="auto"/>
                <w:szCs w:val="24"/>
              </w:rPr>
            </w:pPr>
            <w:r>
              <w:rPr>
                <w:color w:val="auto"/>
                <w:szCs w:val="24"/>
              </w:rPr>
              <w:t>氨</w:t>
            </w:r>
          </w:p>
          <w:p>
            <w:pPr>
              <w:jc w:val="center"/>
              <w:rPr>
                <w:color w:val="auto"/>
                <w:szCs w:val="24"/>
              </w:rPr>
            </w:pPr>
            <w:r>
              <w:rPr>
                <w:color w:val="auto"/>
                <w:szCs w:val="24"/>
              </w:rPr>
              <w:t>(mg/m</w:t>
            </w:r>
            <w:r>
              <w:rPr>
                <w:color w:val="auto"/>
                <w:szCs w:val="24"/>
                <w:vertAlign w:val="superscript"/>
              </w:rPr>
              <w:t>3</w:t>
            </w:r>
            <w:r>
              <w:rPr>
                <w:color w:val="auto"/>
                <w:szCs w:val="24"/>
              </w:rPr>
              <w:t>)</w:t>
            </w:r>
          </w:p>
        </w:tc>
        <w:tc>
          <w:tcPr>
            <w:tcW w:w="1325" w:type="dxa"/>
            <w:vMerge w:val="restart"/>
            <w:tcBorders>
              <w:tl2br w:val="nil"/>
              <w:tr2bl w:val="nil"/>
            </w:tcBorders>
            <w:vAlign w:val="center"/>
          </w:tcPr>
          <w:p>
            <w:pPr>
              <w:jc w:val="center"/>
              <w:rPr>
                <w:color w:val="auto"/>
                <w:szCs w:val="24"/>
              </w:rPr>
            </w:pPr>
            <w:r>
              <w:rPr>
                <w:color w:val="auto"/>
                <w:szCs w:val="24"/>
              </w:rPr>
              <w:t>12月21日</w:t>
            </w:r>
          </w:p>
        </w:tc>
        <w:tc>
          <w:tcPr>
            <w:tcW w:w="1518" w:type="dxa"/>
            <w:tcBorders>
              <w:tl2br w:val="nil"/>
              <w:tr2bl w:val="nil"/>
            </w:tcBorders>
            <w:vAlign w:val="center"/>
          </w:tcPr>
          <w:p>
            <w:pPr>
              <w:jc w:val="center"/>
              <w:rPr>
                <w:color w:val="auto"/>
                <w:szCs w:val="24"/>
              </w:rPr>
            </w:pPr>
            <w:r>
              <w:rPr>
                <w:color w:val="auto"/>
                <w:szCs w:val="24"/>
              </w:rPr>
              <w:t>第一次</w:t>
            </w:r>
          </w:p>
        </w:tc>
        <w:tc>
          <w:tcPr>
            <w:tcW w:w="1352" w:type="dxa"/>
            <w:tcBorders>
              <w:tl2br w:val="nil"/>
              <w:tr2bl w:val="nil"/>
            </w:tcBorders>
            <w:vAlign w:val="center"/>
          </w:tcPr>
          <w:p>
            <w:pPr>
              <w:jc w:val="center"/>
              <w:rPr>
                <w:color w:val="auto"/>
                <w:szCs w:val="24"/>
              </w:rPr>
            </w:pPr>
            <w:r>
              <w:rPr>
                <w:color w:val="auto"/>
                <w:szCs w:val="24"/>
              </w:rPr>
              <w:t>0.14</w:t>
            </w:r>
          </w:p>
        </w:tc>
        <w:tc>
          <w:tcPr>
            <w:tcW w:w="1186" w:type="dxa"/>
            <w:vMerge w:val="restart"/>
            <w:tcBorders>
              <w:tl2br w:val="nil"/>
              <w:tr2bl w:val="nil"/>
            </w:tcBorders>
            <w:vAlign w:val="center"/>
          </w:tcPr>
          <w:p>
            <w:pPr>
              <w:jc w:val="center"/>
              <w:rPr>
                <w:color w:val="auto"/>
                <w:szCs w:val="24"/>
              </w:rPr>
            </w:pPr>
            <w:r>
              <w:rPr>
                <w:color w:val="auto"/>
                <w:szCs w:val="24"/>
              </w:rPr>
              <w:t>0.14</w:t>
            </w:r>
          </w:p>
        </w:tc>
        <w:tc>
          <w:tcPr>
            <w:tcW w:w="986" w:type="dxa"/>
            <w:vMerge w:val="restart"/>
            <w:tcBorders>
              <w:tl2br w:val="nil"/>
              <w:tr2bl w:val="nil"/>
            </w:tcBorders>
            <w:vAlign w:val="center"/>
          </w:tcPr>
          <w:p>
            <w:pPr>
              <w:jc w:val="center"/>
              <w:rPr>
                <w:color w:val="auto"/>
                <w:szCs w:val="24"/>
              </w:rPr>
            </w:pPr>
            <w:r>
              <w:rPr>
                <w:color w:val="auto"/>
                <w:szCs w:val="24"/>
              </w:rPr>
              <w:t>0.2</w:t>
            </w:r>
          </w:p>
        </w:tc>
        <w:tc>
          <w:tcPr>
            <w:tcW w:w="987"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第二次</w:t>
            </w:r>
          </w:p>
        </w:tc>
        <w:tc>
          <w:tcPr>
            <w:tcW w:w="1352" w:type="dxa"/>
            <w:tcBorders>
              <w:tl2br w:val="nil"/>
              <w:tr2bl w:val="nil"/>
            </w:tcBorders>
            <w:vAlign w:val="center"/>
          </w:tcPr>
          <w:p>
            <w:pPr>
              <w:jc w:val="center"/>
              <w:rPr>
                <w:color w:val="auto"/>
                <w:szCs w:val="24"/>
              </w:rPr>
            </w:pPr>
            <w:r>
              <w:rPr>
                <w:color w:val="auto"/>
                <w:szCs w:val="24"/>
              </w:rPr>
              <w:t>0.14</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第三次</w:t>
            </w:r>
          </w:p>
        </w:tc>
        <w:tc>
          <w:tcPr>
            <w:tcW w:w="1352" w:type="dxa"/>
            <w:tcBorders>
              <w:tl2br w:val="nil"/>
              <w:tr2bl w:val="nil"/>
            </w:tcBorders>
            <w:vAlign w:val="center"/>
          </w:tcPr>
          <w:p>
            <w:pPr>
              <w:jc w:val="center"/>
              <w:rPr>
                <w:color w:val="auto"/>
                <w:szCs w:val="24"/>
              </w:rPr>
            </w:pPr>
            <w:r>
              <w:rPr>
                <w:color w:val="auto"/>
                <w:szCs w:val="24"/>
              </w:rPr>
              <w:t>0.09</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第四次</w:t>
            </w:r>
          </w:p>
        </w:tc>
        <w:tc>
          <w:tcPr>
            <w:tcW w:w="1352" w:type="dxa"/>
            <w:tcBorders>
              <w:tl2br w:val="nil"/>
              <w:tr2bl w:val="nil"/>
            </w:tcBorders>
            <w:vAlign w:val="center"/>
          </w:tcPr>
          <w:p>
            <w:pPr>
              <w:jc w:val="center"/>
              <w:rPr>
                <w:color w:val="auto"/>
                <w:szCs w:val="24"/>
              </w:rPr>
            </w:pPr>
            <w:r>
              <w:rPr>
                <w:color w:val="auto"/>
                <w:szCs w:val="24"/>
              </w:rPr>
              <w:t>0.12</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restart"/>
            <w:tcBorders>
              <w:tl2br w:val="nil"/>
              <w:tr2bl w:val="nil"/>
            </w:tcBorders>
            <w:vAlign w:val="center"/>
          </w:tcPr>
          <w:p>
            <w:pPr>
              <w:jc w:val="center"/>
              <w:rPr>
                <w:color w:val="auto"/>
                <w:szCs w:val="24"/>
              </w:rPr>
            </w:pPr>
            <w:r>
              <w:rPr>
                <w:color w:val="auto"/>
                <w:szCs w:val="24"/>
              </w:rPr>
              <w:t>12月22日</w:t>
            </w:r>
          </w:p>
        </w:tc>
        <w:tc>
          <w:tcPr>
            <w:tcW w:w="1518" w:type="dxa"/>
            <w:tcBorders>
              <w:tl2br w:val="nil"/>
              <w:tr2bl w:val="nil"/>
            </w:tcBorders>
            <w:vAlign w:val="center"/>
          </w:tcPr>
          <w:p>
            <w:pPr>
              <w:jc w:val="center"/>
              <w:rPr>
                <w:color w:val="auto"/>
                <w:szCs w:val="24"/>
              </w:rPr>
            </w:pPr>
            <w:r>
              <w:rPr>
                <w:color w:val="auto"/>
                <w:szCs w:val="24"/>
              </w:rPr>
              <w:t>第一次</w:t>
            </w:r>
          </w:p>
        </w:tc>
        <w:tc>
          <w:tcPr>
            <w:tcW w:w="1352" w:type="dxa"/>
            <w:tcBorders>
              <w:tl2br w:val="nil"/>
              <w:tr2bl w:val="nil"/>
            </w:tcBorders>
            <w:vAlign w:val="center"/>
          </w:tcPr>
          <w:p>
            <w:pPr>
              <w:jc w:val="center"/>
              <w:rPr>
                <w:color w:val="auto"/>
                <w:szCs w:val="24"/>
              </w:rPr>
            </w:pPr>
            <w:r>
              <w:rPr>
                <w:color w:val="auto"/>
                <w:szCs w:val="24"/>
              </w:rPr>
              <w:t>0.17</w:t>
            </w:r>
          </w:p>
        </w:tc>
        <w:tc>
          <w:tcPr>
            <w:tcW w:w="1186" w:type="dxa"/>
            <w:vMerge w:val="restart"/>
            <w:tcBorders>
              <w:tl2br w:val="nil"/>
              <w:tr2bl w:val="nil"/>
            </w:tcBorders>
            <w:vAlign w:val="center"/>
          </w:tcPr>
          <w:p>
            <w:pPr>
              <w:jc w:val="center"/>
              <w:rPr>
                <w:color w:val="auto"/>
                <w:szCs w:val="24"/>
              </w:rPr>
            </w:pPr>
            <w:r>
              <w:rPr>
                <w:color w:val="auto"/>
                <w:szCs w:val="24"/>
              </w:rPr>
              <w:t>0.17</w:t>
            </w:r>
          </w:p>
        </w:tc>
        <w:tc>
          <w:tcPr>
            <w:tcW w:w="986" w:type="dxa"/>
            <w:vMerge w:val="restart"/>
            <w:tcBorders>
              <w:tl2br w:val="nil"/>
              <w:tr2bl w:val="nil"/>
            </w:tcBorders>
            <w:vAlign w:val="center"/>
          </w:tcPr>
          <w:p>
            <w:pPr>
              <w:jc w:val="center"/>
              <w:rPr>
                <w:color w:val="auto"/>
                <w:szCs w:val="24"/>
              </w:rPr>
            </w:pPr>
            <w:r>
              <w:rPr>
                <w:color w:val="auto"/>
                <w:szCs w:val="24"/>
              </w:rPr>
              <w:t>0.2</w:t>
            </w:r>
          </w:p>
        </w:tc>
        <w:tc>
          <w:tcPr>
            <w:tcW w:w="987"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第二次</w:t>
            </w:r>
          </w:p>
        </w:tc>
        <w:tc>
          <w:tcPr>
            <w:tcW w:w="1352" w:type="dxa"/>
            <w:tcBorders>
              <w:tl2br w:val="nil"/>
              <w:tr2bl w:val="nil"/>
            </w:tcBorders>
            <w:vAlign w:val="center"/>
          </w:tcPr>
          <w:p>
            <w:pPr>
              <w:jc w:val="center"/>
              <w:rPr>
                <w:color w:val="auto"/>
                <w:szCs w:val="24"/>
              </w:rPr>
            </w:pPr>
            <w:r>
              <w:rPr>
                <w:color w:val="auto"/>
                <w:szCs w:val="24"/>
              </w:rPr>
              <w:t>0.13</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第三次</w:t>
            </w:r>
          </w:p>
        </w:tc>
        <w:tc>
          <w:tcPr>
            <w:tcW w:w="1352" w:type="dxa"/>
            <w:tcBorders>
              <w:tl2br w:val="nil"/>
              <w:tr2bl w:val="nil"/>
            </w:tcBorders>
            <w:vAlign w:val="center"/>
          </w:tcPr>
          <w:p>
            <w:pPr>
              <w:jc w:val="center"/>
              <w:rPr>
                <w:color w:val="auto"/>
                <w:szCs w:val="24"/>
              </w:rPr>
            </w:pPr>
            <w:r>
              <w:rPr>
                <w:color w:val="auto"/>
                <w:szCs w:val="24"/>
              </w:rPr>
              <w:t>0.12</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第四次</w:t>
            </w:r>
          </w:p>
        </w:tc>
        <w:tc>
          <w:tcPr>
            <w:tcW w:w="1352" w:type="dxa"/>
            <w:tcBorders>
              <w:tl2br w:val="nil"/>
              <w:tr2bl w:val="nil"/>
            </w:tcBorders>
            <w:vAlign w:val="center"/>
          </w:tcPr>
          <w:p>
            <w:pPr>
              <w:jc w:val="center"/>
              <w:rPr>
                <w:color w:val="auto"/>
                <w:szCs w:val="24"/>
              </w:rPr>
            </w:pPr>
            <w:r>
              <w:rPr>
                <w:color w:val="auto"/>
                <w:szCs w:val="24"/>
              </w:rPr>
              <w:t>0.17</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restart"/>
            <w:tcBorders>
              <w:tl2br w:val="nil"/>
              <w:tr2bl w:val="nil"/>
            </w:tcBorders>
            <w:vAlign w:val="center"/>
          </w:tcPr>
          <w:p>
            <w:pPr>
              <w:jc w:val="center"/>
              <w:rPr>
                <w:color w:val="auto"/>
                <w:szCs w:val="24"/>
              </w:rPr>
            </w:pPr>
            <w:r>
              <w:rPr>
                <w:color w:val="auto"/>
                <w:szCs w:val="24"/>
              </w:rPr>
              <w:t>硫化氢</w:t>
            </w:r>
          </w:p>
          <w:p>
            <w:pPr>
              <w:jc w:val="center"/>
              <w:rPr>
                <w:color w:val="auto"/>
                <w:szCs w:val="24"/>
              </w:rPr>
            </w:pPr>
            <w:r>
              <w:rPr>
                <w:color w:val="auto"/>
                <w:szCs w:val="24"/>
              </w:rPr>
              <w:t>(mg/m</w:t>
            </w:r>
            <w:r>
              <w:rPr>
                <w:color w:val="auto"/>
                <w:szCs w:val="24"/>
                <w:vertAlign w:val="superscript"/>
              </w:rPr>
              <w:t>3</w:t>
            </w:r>
            <w:r>
              <w:rPr>
                <w:color w:val="auto"/>
                <w:szCs w:val="24"/>
              </w:rPr>
              <w:t>)</w:t>
            </w:r>
          </w:p>
        </w:tc>
        <w:tc>
          <w:tcPr>
            <w:tcW w:w="1325" w:type="dxa"/>
            <w:vMerge w:val="restart"/>
            <w:tcBorders>
              <w:tl2br w:val="nil"/>
              <w:tr2bl w:val="nil"/>
            </w:tcBorders>
            <w:vAlign w:val="center"/>
          </w:tcPr>
          <w:p>
            <w:pPr>
              <w:jc w:val="center"/>
              <w:rPr>
                <w:color w:val="auto"/>
                <w:szCs w:val="24"/>
              </w:rPr>
            </w:pPr>
            <w:r>
              <w:rPr>
                <w:color w:val="auto"/>
                <w:szCs w:val="24"/>
              </w:rPr>
              <w:t>12月21日</w:t>
            </w:r>
          </w:p>
        </w:tc>
        <w:tc>
          <w:tcPr>
            <w:tcW w:w="1518" w:type="dxa"/>
            <w:tcBorders>
              <w:tl2br w:val="nil"/>
              <w:tr2bl w:val="nil"/>
            </w:tcBorders>
            <w:vAlign w:val="center"/>
          </w:tcPr>
          <w:p>
            <w:pPr>
              <w:jc w:val="center"/>
              <w:rPr>
                <w:color w:val="auto"/>
                <w:szCs w:val="24"/>
              </w:rPr>
            </w:pPr>
            <w:r>
              <w:rPr>
                <w:color w:val="auto"/>
                <w:szCs w:val="24"/>
              </w:rPr>
              <w:t>第一次</w:t>
            </w:r>
          </w:p>
        </w:tc>
        <w:tc>
          <w:tcPr>
            <w:tcW w:w="1352" w:type="dxa"/>
            <w:tcBorders>
              <w:tl2br w:val="nil"/>
              <w:tr2bl w:val="nil"/>
            </w:tcBorders>
            <w:vAlign w:val="center"/>
          </w:tcPr>
          <w:p>
            <w:pPr>
              <w:jc w:val="center"/>
              <w:rPr>
                <w:color w:val="auto"/>
                <w:szCs w:val="24"/>
              </w:rPr>
            </w:pPr>
            <w:r>
              <w:rPr>
                <w:color w:val="auto"/>
                <w:szCs w:val="24"/>
              </w:rPr>
              <w:t>0.003</w:t>
            </w:r>
          </w:p>
        </w:tc>
        <w:tc>
          <w:tcPr>
            <w:tcW w:w="1186" w:type="dxa"/>
            <w:vMerge w:val="restart"/>
            <w:tcBorders>
              <w:tl2br w:val="nil"/>
              <w:tr2bl w:val="nil"/>
            </w:tcBorders>
            <w:vAlign w:val="center"/>
          </w:tcPr>
          <w:p>
            <w:pPr>
              <w:jc w:val="center"/>
              <w:rPr>
                <w:color w:val="auto"/>
                <w:szCs w:val="24"/>
              </w:rPr>
            </w:pPr>
            <w:r>
              <w:rPr>
                <w:color w:val="auto"/>
                <w:szCs w:val="24"/>
              </w:rPr>
              <w:t>0.006</w:t>
            </w:r>
          </w:p>
        </w:tc>
        <w:tc>
          <w:tcPr>
            <w:tcW w:w="986" w:type="dxa"/>
            <w:vMerge w:val="restart"/>
            <w:tcBorders>
              <w:tl2br w:val="nil"/>
              <w:tr2bl w:val="nil"/>
            </w:tcBorders>
            <w:vAlign w:val="center"/>
          </w:tcPr>
          <w:p>
            <w:pPr>
              <w:jc w:val="center"/>
              <w:rPr>
                <w:color w:val="auto"/>
                <w:szCs w:val="24"/>
              </w:rPr>
            </w:pPr>
            <w:r>
              <w:rPr>
                <w:color w:val="auto"/>
                <w:szCs w:val="24"/>
              </w:rPr>
              <w:t>0.01</w:t>
            </w:r>
          </w:p>
        </w:tc>
        <w:tc>
          <w:tcPr>
            <w:tcW w:w="987"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第二次</w:t>
            </w:r>
          </w:p>
        </w:tc>
        <w:tc>
          <w:tcPr>
            <w:tcW w:w="1352" w:type="dxa"/>
            <w:tcBorders>
              <w:tl2br w:val="nil"/>
              <w:tr2bl w:val="nil"/>
            </w:tcBorders>
            <w:vAlign w:val="center"/>
          </w:tcPr>
          <w:p>
            <w:pPr>
              <w:jc w:val="center"/>
              <w:rPr>
                <w:color w:val="auto"/>
                <w:szCs w:val="24"/>
              </w:rPr>
            </w:pPr>
            <w:r>
              <w:rPr>
                <w:color w:val="auto"/>
                <w:szCs w:val="24"/>
              </w:rPr>
              <w:t>0.002</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4"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第三次</w:t>
            </w:r>
          </w:p>
        </w:tc>
        <w:tc>
          <w:tcPr>
            <w:tcW w:w="1352" w:type="dxa"/>
            <w:tcBorders>
              <w:tl2br w:val="nil"/>
              <w:tr2bl w:val="nil"/>
            </w:tcBorders>
            <w:vAlign w:val="center"/>
          </w:tcPr>
          <w:p>
            <w:pPr>
              <w:jc w:val="center"/>
              <w:rPr>
                <w:color w:val="auto"/>
                <w:szCs w:val="24"/>
              </w:rPr>
            </w:pPr>
            <w:r>
              <w:rPr>
                <w:color w:val="auto"/>
                <w:szCs w:val="24"/>
              </w:rPr>
              <w:t>0.005</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第四次</w:t>
            </w:r>
          </w:p>
        </w:tc>
        <w:tc>
          <w:tcPr>
            <w:tcW w:w="1352" w:type="dxa"/>
            <w:tcBorders>
              <w:tl2br w:val="nil"/>
              <w:tr2bl w:val="nil"/>
            </w:tcBorders>
            <w:vAlign w:val="center"/>
          </w:tcPr>
          <w:p>
            <w:pPr>
              <w:jc w:val="center"/>
              <w:rPr>
                <w:color w:val="auto"/>
                <w:szCs w:val="24"/>
              </w:rPr>
            </w:pPr>
            <w:r>
              <w:rPr>
                <w:color w:val="auto"/>
                <w:szCs w:val="24"/>
              </w:rPr>
              <w:t>0.006</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restart"/>
            <w:tcBorders>
              <w:tl2br w:val="nil"/>
              <w:tr2bl w:val="nil"/>
            </w:tcBorders>
            <w:vAlign w:val="center"/>
          </w:tcPr>
          <w:p>
            <w:pPr>
              <w:jc w:val="center"/>
              <w:rPr>
                <w:color w:val="auto"/>
                <w:szCs w:val="24"/>
              </w:rPr>
            </w:pPr>
            <w:r>
              <w:rPr>
                <w:color w:val="auto"/>
                <w:szCs w:val="24"/>
              </w:rPr>
              <w:t>12月22日</w:t>
            </w:r>
          </w:p>
        </w:tc>
        <w:tc>
          <w:tcPr>
            <w:tcW w:w="1518" w:type="dxa"/>
            <w:tcBorders>
              <w:tl2br w:val="nil"/>
              <w:tr2bl w:val="nil"/>
            </w:tcBorders>
            <w:vAlign w:val="center"/>
          </w:tcPr>
          <w:p>
            <w:pPr>
              <w:jc w:val="center"/>
              <w:rPr>
                <w:color w:val="auto"/>
                <w:szCs w:val="24"/>
              </w:rPr>
            </w:pPr>
            <w:r>
              <w:rPr>
                <w:color w:val="auto"/>
                <w:szCs w:val="24"/>
              </w:rPr>
              <w:t>第一次</w:t>
            </w:r>
          </w:p>
        </w:tc>
        <w:tc>
          <w:tcPr>
            <w:tcW w:w="1352" w:type="dxa"/>
            <w:tcBorders>
              <w:tl2br w:val="nil"/>
              <w:tr2bl w:val="nil"/>
            </w:tcBorders>
            <w:vAlign w:val="center"/>
          </w:tcPr>
          <w:p>
            <w:pPr>
              <w:jc w:val="center"/>
              <w:rPr>
                <w:color w:val="auto"/>
                <w:szCs w:val="24"/>
              </w:rPr>
            </w:pPr>
            <w:r>
              <w:rPr>
                <w:color w:val="auto"/>
                <w:szCs w:val="24"/>
              </w:rPr>
              <w:t>0.008</w:t>
            </w:r>
          </w:p>
        </w:tc>
        <w:tc>
          <w:tcPr>
            <w:tcW w:w="1186" w:type="dxa"/>
            <w:vMerge w:val="restart"/>
            <w:tcBorders>
              <w:tl2br w:val="nil"/>
              <w:tr2bl w:val="nil"/>
            </w:tcBorders>
            <w:vAlign w:val="center"/>
          </w:tcPr>
          <w:p>
            <w:pPr>
              <w:jc w:val="center"/>
              <w:rPr>
                <w:color w:val="auto"/>
                <w:szCs w:val="24"/>
              </w:rPr>
            </w:pPr>
            <w:r>
              <w:rPr>
                <w:color w:val="auto"/>
                <w:szCs w:val="24"/>
              </w:rPr>
              <w:t>0.008</w:t>
            </w:r>
          </w:p>
        </w:tc>
        <w:tc>
          <w:tcPr>
            <w:tcW w:w="986" w:type="dxa"/>
            <w:vMerge w:val="restart"/>
            <w:tcBorders>
              <w:tl2br w:val="nil"/>
              <w:tr2bl w:val="nil"/>
            </w:tcBorders>
            <w:vAlign w:val="center"/>
          </w:tcPr>
          <w:p>
            <w:pPr>
              <w:jc w:val="center"/>
              <w:rPr>
                <w:color w:val="auto"/>
                <w:szCs w:val="24"/>
              </w:rPr>
            </w:pPr>
            <w:r>
              <w:rPr>
                <w:color w:val="auto"/>
                <w:szCs w:val="24"/>
              </w:rPr>
              <w:t>0.01</w:t>
            </w:r>
          </w:p>
        </w:tc>
        <w:tc>
          <w:tcPr>
            <w:tcW w:w="987" w:type="dxa"/>
            <w:vMerge w:val="restart"/>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第二次</w:t>
            </w:r>
          </w:p>
        </w:tc>
        <w:tc>
          <w:tcPr>
            <w:tcW w:w="1352" w:type="dxa"/>
            <w:tcBorders>
              <w:tl2br w:val="nil"/>
              <w:tr2bl w:val="nil"/>
            </w:tcBorders>
            <w:vAlign w:val="center"/>
          </w:tcPr>
          <w:p>
            <w:pPr>
              <w:jc w:val="center"/>
              <w:rPr>
                <w:color w:val="auto"/>
                <w:szCs w:val="24"/>
              </w:rPr>
            </w:pPr>
            <w:r>
              <w:rPr>
                <w:color w:val="auto"/>
                <w:szCs w:val="24"/>
              </w:rPr>
              <w:t>0.003</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第三次</w:t>
            </w:r>
          </w:p>
        </w:tc>
        <w:tc>
          <w:tcPr>
            <w:tcW w:w="1352" w:type="dxa"/>
            <w:tcBorders>
              <w:tl2br w:val="nil"/>
              <w:tr2bl w:val="nil"/>
            </w:tcBorders>
            <w:vAlign w:val="center"/>
          </w:tcPr>
          <w:p>
            <w:pPr>
              <w:jc w:val="center"/>
              <w:rPr>
                <w:color w:val="auto"/>
                <w:szCs w:val="24"/>
              </w:rPr>
            </w:pPr>
            <w:r>
              <w:rPr>
                <w:color w:val="auto"/>
                <w:szCs w:val="24"/>
              </w:rPr>
              <w:t>0.006</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3" w:hRule="atLeast"/>
          <w:jc w:val="center"/>
        </w:trPr>
        <w:tc>
          <w:tcPr>
            <w:tcW w:w="1460" w:type="dxa"/>
            <w:vMerge w:val="continue"/>
            <w:tcBorders>
              <w:tl2br w:val="nil"/>
              <w:tr2bl w:val="nil"/>
            </w:tcBorders>
            <w:vAlign w:val="center"/>
          </w:tcPr>
          <w:p>
            <w:pPr>
              <w:jc w:val="center"/>
              <w:rPr>
                <w:color w:val="auto"/>
                <w:szCs w:val="24"/>
              </w:rPr>
            </w:pPr>
          </w:p>
        </w:tc>
        <w:tc>
          <w:tcPr>
            <w:tcW w:w="1325" w:type="dxa"/>
            <w:vMerge w:val="continue"/>
            <w:tcBorders>
              <w:tl2br w:val="nil"/>
              <w:tr2bl w:val="nil"/>
            </w:tcBorders>
            <w:vAlign w:val="center"/>
          </w:tcPr>
          <w:p>
            <w:pPr>
              <w:jc w:val="center"/>
              <w:rPr>
                <w:color w:val="auto"/>
                <w:szCs w:val="24"/>
              </w:rPr>
            </w:pPr>
          </w:p>
        </w:tc>
        <w:tc>
          <w:tcPr>
            <w:tcW w:w="1518" w:type="dxa"/>
            <w:tcBorders>
              <w:tl2br w:val="nil"/>
              <w:tr2bl w:val="nil"/>
            </w:tcBorders>
            <w:vAlign w:val="center"/>
          </w:tcPr>
          <w:p>
            <w:pPr>
              <w:jc w:val="center"/>
              <w:rPr>
                <w:color w:val="auto"/>
                <w:szCs w:val="24"/>
              </w:rPr>
            </w:pPr>
            <w:r>
              <w:rPr>
                <w:color w:val="auto"/>
                <w:szCs w:val="24"/>
              </w:rPr>
              <w:t>第四次</w:t>
            </w:r>
          </w:p>
        </w:tc>
        <w:tc>
          <w:tcPr>
            <w:tcW w:w="1352" w:type="dxa"/>
            <w:tcBorders>
              <w:tl2br w:val="nil"/>
              <w:tr2bl w:val="nil"/>
            </w:tcBorders>
            <w:vAlign w:val="center"/>
          </w:tcPr>
          <w:p>
            <w:pPr>
              <w:jc w:val="center"/>
              <w:rPr>
                <w:color w:val="auto"/>
                <w:szCs w:val="24"/>
              </w:rPr>
            </w:pPr>
            <w:r>
              <w:rPr>
                <w:color w:val="auto"/>
                <w:szCs w:val="24"/>
              </w:rPr>
              <w:t>0.002</w:t>
            </w:r>
          </w:p>
        </w:tc>
        <w:tc>
          <w:tcPr>
            <w:tcW w:w="1186" w:type="dxa"/>
            <w:vMerge w:val="continue"/>
            <w:tcBorders>
              <w:tl2br w:val="nil"/>
              <w:tr2bl w:val="nil"/>
            </w:tcBorders>
            <w:vAlign w:val="center"/>
          </w:tcPr>
          <w:p>
            <w:pPr>
              <w:jc w:val="center"/>
              <w:rPr>
                <w:color w:val="auto"/>
                <w:szCs w:val="24"/>
              </w:rPr>
            </w:pPr>
          </w:p>
        </w:tc>
        <w:tc>
          <w:tcPr>
            <w:tcW w:w="986" w:type="dxa"/>
            <w:vMerge w:val="continue"/>
            <w:tcBorders>
              <w:tl2br w:val="nil"/>
              <w:tr2bl w:val="nil"/>
            </w:tcBorders>
            <w:vAlign w:val="center"/>
          </w:tcPr>
          <w:p>
            <w:pPr>
              <w:jc w:val="center"/>
              <w:rPr>
                <w:color w:val="auto"/>
                <w:szCs w:val="24"/>
              </w:rPr>
            </w:pPr>
          </w:p>
        </w:tc>
        <w:tc>
          <w:tcPr>
            <w:tcW w:w="987" w:type="dxa"/>
            <w:vMerge w:val="continue"/>
            <w:tcBorders>
              <w:tl2br w:val="nil"/>
              <w:tr2bl w:val="nil"/>
            </w:tcBorders>
            <w:vAlign w:val="center"/>
          </w:tcPr>
          <w:p>
            <w:pPr>
              <w:jc w:val="center"/>
              <w:rPr>
                <w:color w:val="auto"/>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1460" w:type="dxa"/>
            <w:vMerge w:val="restart"/>
            <w:tcBorders>
              <w:tl2br w:val="nil"/>
              <w:tr2bl w:val="nil"/>
            </w:tcBorders>
            <w:vAlign w:val="center"/>
          </w:tcPr>
          <w:p>
            <w:pPr>
              <w:jc w:val="center"/>
              <w:rPr>
                <w:color w:val="auto"/>
                <w:szCs w:val="24"/>
              </w:rPr>
            </w:pPr>
            <w:r>
              <w:rPr>
                <w:color w:val="auto"/>
                <w:szCs w:val="24"/>
              </w:rPr>
              <w:t>总悬浮颗粒物 (mg/m</w:t>
            </w:r>
            <w:r>
              <w:rPr>
                <w:color w:val="auto"/>
                <w:szCs w:val="24"/>
                <w:vertAlign w:val="superscript"/>
              </w:rPr>
              <w:t>3</w:t>
            </w:r>
            <w:r>
              <w:rPr>
                <w:color w:val="auto"/>
                <w:szCs w:val="24"/>
              </w:rPr>
              <w:t>)</w:t>
            </w:r>
          </w:p>
        </w:tc>
        <w:tc>
          <w:tcPr>
            <w:tcW w:w="1325" w:type="dxa"/>
            <w:tcBorders>
              <w:tl2br w:val="nil"/>
              <w:tr2bl w:val="nil"/>
            </w:tcBorders>
            <w:vAlign w:val="center"/>
          </w:tcPr>
          <w:p>
            <w:pPr>
              <w:jc w:val="center"/>
              <w:rPr>
                <w:color w:val="auto"/>
                <w:szCs w:val="24"/>
              </w:rPr>
            </w:pPr>
            <w:r>
              <w:rPr>
                <w:color w:val="auto"/>
                <w:szCs w:val="24"/>
              </w:rPr>
              <w:t>12月21日</w:t>
            </w:r>
          </w:p>
        </w:tc>
        <w:tc>
          <w:tcPr>
            <w:tcW w:w="1518" w:type="dxa"/>
            <w:tcBorders>
              <w:tl2br w:val="nil"/>
              <w:tr2bl w:val="nil"/>
            </w:tcBorders>
            <w:vAlign w:val="center"/>
          </w:tcPr>
          <w:p>
            <w:pPr>
              <w:jc w:val="center"/>
              <w:rPr>
                <w:color w:val="auto"/>
                <w:szCs w:val="24"/>
              </w:rPr>
            </w:pPr>
            <w:r>
              <w:rPr>
                <w:color w:val="auto"/>
                <w:szCs w:val="24"/>
              </w:rPr>
              <w:t>日均值</w:t>
            </w:r>
          </w:p>
        </w:tc>
        <w:tc>
          <w:tcPr>
            <w:tcW w:w="1352" w:type="dxa"/>
            <w:tcBorders>
              <w:tl2br w:val="nil"/>
              <w:tr2bl w:val="nil"/>
            </w:tcBorders>
            <w:vAlign w:val="center"/>
          </w:tcPr>
          <w:p>
            <w:pPr>
              <w:jc w:val="center"/>
              <w:rPr>
                <w:color w:val="auto"/>
                <w:szCs w:val="24"/>
              </w:rPr>
            </w:pPr>
            <w:r>
              <w:rPr>
                <w:color w:val="auto"/>
                <w:szCs w:val="24"/>
              </w:rPr>
              <w:t>0.143</w:t>
            </w:r>
          </w:p>
        </w:tc>
        <w:tc>
          <w:tcPr>
            <w:tcW w:w="1186" w:type="dxa"/>
            <w:tcBorders>
              <w:tl2br w:val="nil"/>
              <w:tr2bl w:val="nil"/>
            </w:tcBorders>
            <w:vAlign w:val="center"/>
          </w:tcPr>
          <w:p>
            <w:pPr>
              <w:jc w:val="center"/>
              <w:rPr>
                <w:color w:val="auto"/>
                <w:szCs w:val="24"/>
              </w:rPr>
            </w:pPr>
            <w:r>
              <w:rPr>
                <w:color w:val="auto"/>
                <w:szCs w:val="24"/>
              </w:rPr>
              <w:t>/</w:t>
            </w:r>
          </w:p>
        </w:tc>
        <w:tc>
          <w:tcPr>
            <w:tcW w:w="986" w:type="dxa"/>
            <w:tcBorders>
              <w:tl2br w:val="nil"/>
              <w:tr2bl w:val="nil"/>
            </w:tcBorders>
            <w:vAlign w:val="center"/>
          </w:tcPr>
          <w:p>
            <w:pPr>
              <w:jc w:val="center"/>
              <w:rPr>
                <w:color w:val="auto"/>
                <w:szCs w:val="24"/>
              </w:rPr>
            </w:pPr>
            <w:r>
              <w:rPr>
                <w:color w:val="auto"/>
                <w:szCs w:val="24"/>
              </w:rPr>
              <w:t>0.3</w:t>
            </w:r>
          </w:p>
        </w:tc>
        <w:tc>
          <w:tcPr>
            <w:tcW w:w="987" w:type="dxa"/>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jc w:val="center"/>
        </w:trPr>
        <w:tc>
          <w:tcPr>
            <w:tcW w:w="1460" w:type="dxa"/>
            <w:vMerge w:val="continue"/>
            <w:tcBorders>
              <w:tl2br w:val="nil"/>
              <w:tr2bl w:val="nil"/>
            </w:tcBorders>
            <w:vAlign w:val="center"/>
          </w:tcPr>
          <w:p>
            <w:pPr>
              <w:jc w:val="center"/>
              <w:rPr>
                <w:color w:val="auto"/>
                <w:szCs w:val="24"/>
              </w:rPr>
            </w:pPr>
          </w:p>
        </w:tc>
        <w:tc>
          <w:tcPr>
            <w:tcW w:w="1325" w:type="dxa"/>
            <w:tcBorders>
              <w:tl2br w:val="nil"/>
              <w:tr2bl w:val="nil"/>
            </w:tcBorders>
            <w:vAlign w:val="center"/>
          </w:tcPr>
          <w:p>
            <w:pPr>
              <w:jc w:val="center"/>
              <w:rPr>
                <w:color w:val="auto"/>
                <w:szCs w:val="24"/>
              </w:rPr>
            </w:pPr>
            <w:r>
              <w:rPr>
                <w:color w:val="auto"/>
                <w:szCs w:val="24"/>
              </w:rPr>
              <w:t>12月22日</w:t>
            </w:r>
          </w:p>
        </w:tc>
        <w:tc>
          <w:tcPr>
            <w:tcW w:w="1518" w:type="dxa"/>
            <w:tcBorders>
              <w:tl2br w:val="nil"/>
              <w:tr2bl w:val="nil"/>
            </w:tcBorders>
            <w:vAlign w:val="center"/>
          </w:tcPr>
          <w:p>
            <w:pPr>
              <w:jc w:val="center"/>
              <w:rPr>
                <w:color w:val="auto"/>
                <w:szCs w:val="24"/>
              </w:rPr>
            </w:pPr>
            <w:r>
              <w:rPr>
                <w:color w:val="auto"/>
                <w:szCs w:val="24"/>
              </w:rPr>
              <w:t>日均值</w:t>
            </w:r>
          </w:p>
        </w:tc>
        <w:tc>
          <w:tcPr>
            <w:tcW w:w="1352" w:type="dxa"/>
            <w:tcBorders>
              <w:tl2br w:val="nil"/>
              <w:tr2bl w:val="nil"/>
            </w:tcBorders>
            <w:vAlign w:val="center"/>
          </w:tcPr>
          <w:p>
            <w:pPr>
              <w:jc w:val="center"/>
              <w:rPr>
                <w:color w:val="auto"/>
                <w:szCs w:val="24"/>
              </w:rPr>
            </w:pPr>
            <w:r>
              <w:rPr>
                <w:color w:val="auto"/>
                <w:szCs w:val="24"/>
              </w:rPr>
              <w:t>0.143</w:t>
            </w:r>
          </w:p>
        </w:tc>
        <w:tc>
          <w:tcPr>
            <w:tcW w:w="1186" w:type="dxa"/>
            <w:tcBorders>
              <w:tl2br w:val="nil"/>
              <w:tr2bl w:val="nil"/>
            </w:tcBorders>
            <w:vAlign w:val="center"/>
          </w:tcPr>
          <w:p>
            <w:pPr>
              <w:jc w:val="center"/>
              <w:rPr>
                <w:color w:val="auto"/>
                <w:szCs w:val="24"/>
              </w:rPr>
            </w:pPr>
            <w:r>
              <w:rPr>
                <w:color w:val="auto"/>
                <w:szCs w:val="24"/>
              </w:rPr>
              <w:t>/</w:t>
            </w:r>
          </w:p>
        </w:tc>
        <w:tc>
          <w:tcPr>
            <w:tcW w:w="986" w:type="dxa"/>
            <w:tcBorders>
              <w:tl2br w:val="nil"/>
              <w:tr2bl w:val="nil"/>
            </w:tcBorders>
            <w:vAlign w:val="center"/>
          </w:tcPr>
          <w:p>
            <w:pPr>
              <w:jc w:val="center"/>
              <w:rPr>
                <w:color w:val="auto"/>
                <w:szCs w:val="24"/>
              </w:rPr>
            </w:pPr>
            <w:r>
              <w:rPr>
                <w:color w:val="auto"/>
                <w:szCs w:val="24"/>
              </w:rPr>
              <w:t>0.3</w:t>
            </w:r>
          </w:p>
        </w:tc>
        <w:tc>
          <w:tcPr>
            <w:tcW w:w="987" w:type="dxa"/>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460" w:type="dxa"/>
            <w:vMerge w:val="restart"/>
            <w:tcBorders>
              <w:tl2br w:val="nil"/>
              <w:tr2bl w:val="nil"/>
            </w:tcBorders>
            <w:vAlign w:val="center"/>
          </w:tcPr>
          <w:p>
            <w:pPr>
              <w:jc w:val="center"/>
              <w:rPr>
                <w:color w:val="auto"/>
                <w:szCs w:val="24"/>
              </w:rPr>
            </w:pPr>
            <w:r>
              <w:rPr>
                <w:color w:val="auto"/>
                <w:szCs w:val="24"/>
              </w:rPr>
              <w:t>TVOC</w:t>
            </w:r>
          </w:p>
          <w:p>
            <w:pPr>
              <w:jc w:val="center"/>
              <w:rPr>
                <w:color w:val="auto"/>
                <w:szCs w:val="24"/>
              </w:rPr>
            </w:pPr>
            <w:r>
              <w:rPr>
                <w:color w:val="auto"/>
                <w:szCs w:val="24"/>
              </w:rPr>
              <w:t>(mg/m</w:t>
            </w:r>
            <w:r>
              <w:rPr>
                <w:color w:val="auto"/>
                <w:szCs w:val="24"/>
                <w:vertAlign w:val="superscript"/>
              </w:rPr>
              <w:t>3</w:t>
            </w:r>
            <w:r>
              <w:rPr>
                <w:color w:val="auto"/>
                <w:szCs w:val="24"/>
              </w:rPr>
              <w:t>)</w:t>
            </w:r>
          </w:p>
        </w:tc>
        <w:tc>
          <w:tcPr>
            <w:tcW w:w="1325" w:type="dxa"/>
            <w:tcBorders>
              <w:tl2br w:val="nil"/>
              <w:tr2bl w:val="nil"/>
            </w:tcBorders>
            <w:vAlign w:val="center"/>
          </w:tcPr>
          <w:p>
            <w:pPr>
              <w:jc w:val="center"/>
              <w:rPr>
                <w:color w:val="auto"/>
                <w:szCs w:val="24"/>
              </w:rPr>
            </w:pPr>
            <w:r>
              <w:rPr>
                <w:color w:val="auto"/>
                <w:szCs w:val="24"/>
              </w:rPr>
              <w:t>12月21日</w:t>
            </w:r>
          </w:p>
        </w:tc>
        <w:tc>
          <w:tcPr>
            <w:tcW w:w="1518" w:type="dxa"/>
            <w:tcBorders>
              <w:tl2br w:val="nil"/>
              <w:tr2bl w:val="nil"/>
            </w:tcBorders>
            <w:vAlign w:val="center"/>
          </w:tcPr>
          <w:p>
            <w:pPr>
              <w:jc w:val="center"/>
              <w:rPr>
                <w:color w:val="auto"/>
                <w:szCs w:val="24"/>
              </w:rPr>
            </w:pPr>
            <w:r>
              <w:rPr>
                <w:color w:val="auto"/>
                <w:szCs w:val="24"/>
              </w:rPr>
              <w:t>8h平均值</w:t>
            </w:r>
          </w:p>
        </w:tc>
        <w:tc>
          <w:tcPr>
            <w:tcW w:w="1352" w:type="dxa"/>
            <w:tcBorders>
              <w:tl2br w:val="nil"/>
              <w:tr2bl w:val="nil"/>
            </w:tcBorders>
            <w:vAlign w:val="center"/>
          </w:tcPr>
          <w:p>
            <w:pPr>
              <w:jc w:val="center"/>
              <w:rPr>
                <w:color w:val="auto"/>
                <w:szCs w:val="24"/>
              </w:rPr>
            </w:pPr>
            <w:r>
              <w:rPr>
                <w:color w:val="auto"/>
                <w:szCs w:val="24"/>
              </w:rPr>
              <w:t>ND</w:t>
            </w:r>
          </w:p>
        </w:tc>
        <w:tc>
          <w:tcPr>
            <w:tcW w:w="1186" w:type="dxa"/>
            <w:tcBorders>
              <w:tl2br w:val="nil"/>
              <w:tr2bl w:val="nil"/>
            </w:tcBorders>
            <w:vAlign w:val="center"/>
          </w:tcPr>
          <w:p>
            <w:pPr>
              <w:jc w:val="center"/>
              <w:rPr>
                <w:color w:val="auto"/>
                <w:szCs w:val="24"/>
              </w:rPr>
            </w:pPr>
            <w:r>
              <w:rPr>
                <w:color w:val="auto"/>
                <w:szCs w:val="24"/>
              </w:rPr>
              <w:t>/</w:t>
            </w:r>
          </w:p>
        </w:tc>
        <w:tc>
          <w:tcPr>
            <w:tcW w:w="986" w:type="dxa"/>
            <w:tcBorders>
              <w:tl2br w:val="nil"/>
              <w:tr2bl w:val="nil"/>
            </w:tcBorders>
            <w:vAlign w:val="center"/>
          </w:tcPr>
          <w:p>
            <w:pPr>
              <w:jc w:val="center"/>
              <w:rPr>
                <w:color w:val="auto"/>
                <w:szCs w:val="24"/>
              </w:rPr>
            </w:pPr>
            <w:r>
              <w:rPr>
                <w:color w:val="auto"/>
                <w:szCs w:val="24"/>
              </w:rPr>
              <w:t>0.6</w:t>
            </w:r>
          </w:p>
        </w:tc>
        <w:tc>
          <w:tcPr>
            <w:tcW w:w="987" w:type="dxa"/>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1460" w:type="dxa"/>
            <w:vMerge w:val="continue"/>
            <w:tcBorders>
              <w:tl2br w:val="nil"/>
              <w:tr2bl w:val="nil"/>
            </w:tcBorders>
            <w:vAlign w:val="center"/>
          </w:tcPr>
          <w:p>
            <w:pPr>
              <w:rPr>
                <w:color w:val="auto"/>
                <w:szCs w:val="24"/>
              </w:rPr>
            </w:pPr>
          </w:p>
        </w:tc>
        <w:tc>
          <w:tcPr>
            <w:tcW w:w="1325" w:type="dxa"/>
            <w:tcBorders>
              <w:tl2br w:val="nil"/>
              <w:tr2bl w:val="nil"/>
            </w:tcBorders>
            <w:vAlign w:val="center"/>
          </w:tcPr>
          <w:p>
            <w:pPr>
              <w:jc w:val="center"/>
              <w:rPr>
                <w:color w:val="auto"/>
                <w:szCs w:val="24"/>
              </w:rPr>
            </w:pPr>
            <w:r>
              <w:rPr>
                <w:color w:val="auto"/>
                <w:szCs w:val="24"/>
              </w:rPr>
              <w:t>12月22日</w:t>
            </w:r>
          </w:p>
        </w:tc>
        <w:tc>
          <w:tcPr>
            <w:tcW w:w="1518" w:type="dxa"/>
            <w:tcBorders>
              <w:tl2br w:val="nil"/>
              <w:tr2bl w:val="nil"/>
            </w:tcBorders>
            <w:vAlign w:val="center"/>
          </w:tcPr>
          <w:p>
            <w:pPr>
              <w:jc w:val="center"/>
              <w:rPr>
                <w:color w:val="auto"/>
                <w:szCs w:val="24"/>
              </w:rPr>
            </w:pPr>
            <w:r>
              <w:rPr>
                <w:color w:val="auto"/>
                <w:szCs w:val="24"/>
              </w:rPr>
              <w:t>8h平均值</w:t>
            </w:r>
          </w:p>
        </w:tc>
        <w:tc>
          <w:tcPr>
            <w:tcW w:w="1352" w:type="dxa"/>
            <w:tcBorders>
              <w:tl2br w:val="nil"/>
              <w:tr2bl w:val="nil"/>
            </w:tcBorders>
            <w:vAlign w:val="center"/>
          </w:tcPr>
          <w:p>
            <w:pPr>
              <w:jc w:val="center"/>
              <w:rPr>
                <w:color w:val="auto"/>
                <w:szCs w:val="24"/>
              </w:rPr>
            </w:pPr>
            <w:r>
              <w:rPr>
                <w:color w:val="auto"/>
                <w:szCs w:val="24"/>
              </w:rPr>
              <w:t>ND</w:t>
            </w:r>
          </w:p>
        </w:tc>
        <w:tc>
          <w:tcPr>
            <w:tcW w:w="1186" w:type="dxa"/>
            <w:tcBorders>
              <w:tl2br w:val="nil"/>
              <w:tr2bl w:val="nil"/>
            </w:tcBorders>
            <w:vAlign w:val="center"/>
          </w:tcPr>
          <w:p>
            <w:pPr>
              <w:jc w:val="center"/>
              <w:rPr>
                <w:color w:val="auto"/>
                <w:szCs w:val="24"/>
              </w:rPr>
            </w:pPr>
            <w:r>
              <w:rPr>
                <w:color w:val="auto"/>
                <w:szCs w:val="24"/>
              </w:rPr>
              <w:t>/</w:t>
            </w:r>
          </w:p>
        </w:tc>
        <w:tc>
          <w:tcPr>
            <w:tcW w:w="986" w:type="dxa"/>
            <w:tcBorders>
              <w:tl2br w:val="nil"/>
              <w:tr2bl w:val="nil"/>
            </w:tcBorders>
            <w:vAlign w:val="center"/>
          </w:tcPr>
          <w:p>
            <w:pPr>
              <w:jc w:val="center"/>
              <w:rPr>
                <w:color w:val="auto"/>
                <w:szCs w:val="24"/>
              </w:rPr>
            </w:pPr>
            <w:r>
              <w:rPr>
                <w:color w:val="auto"/>
                <w:szCs w:val="24"/>
              </w:rPr>
              <w:t>0.6</w:t>
            </w:r>
          </w:p>
        </w:tc>
        <w:tc>
          <w:tcPr>
            <w:tcW w:w="987" w:type="dxa"/>
            <w:tcBorders>
              <w:tl2br w:val="nil"/>
              <w:tr2bl w:val="nil"/>
            </w:tcBorders>
            <w:vAlign w:val="center"/>
          </w:tcPr>
          <w:p>
            <w:pPr>
              <w:jc w:val="center"/>
              <w:rPr>
                <w:color w:val="auto"/>
                <w:szCs w:val="24"/>
              </w:rPr>
            </w:pPr>
            <w:r>
              <w:rPr>
                <w:color w:val="auto"/>
                <w:szCs w:val="24"/>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54" w:hRule="atLeast"/>
          <w:jc w:val="center"/>
        </w:trPr>
        <w:tc>
          <w:tcPr>
            <w:tcW w:w="1460" w:type="dxa"/>
            <w:tcBorders>
              <w:tl2br w:val="nil"/>
              <w:tr2bl w:val="nil"/>
            </w:tcBorders>
            <w:vAlign w:val="center"/>
          </w:tcPr>
          <w:p>
            <w:pPr>
              <w:jc w:val="center"/>
              <w:rPr>
                <w:color w:val="auto"/>
                <w:szCs w:val="24"/>
              </w:rPr>
            </w:pPr>
            <w:r>
              <w:rPr>
                <w:color w:val="auto"/>
                <w:szCs w:val="24"/>
              </w:rPr>
              <w:t>备注</w:t>
            </w:r>
          </w:p>
        </w:tc>
        <w:tc>
          <w:tcPr>
            <w:tcW w:w="7354" w:type="dxa"/>
            <w:gridSpan w:val="6"/>
            <w:tcBorders>
              <w:tl2br w:val="nil"/>
              <w:tr2bl w:val="nil"/>
            </w:tcBorders>
            <w:vAlign w:val="center"/>
          </w:tcPr>
          <w:p>
            <w:pPr>
              <w:rPr>
                <w:color w:val="auto"/>
              </w:rPr>
            </w:pPr>
            <w:r>
              <w:rPr>
                <w:color w:val="auto"/>
              </w:rPr>
              <w:t>1、当检测结果低于方法检出限时，用“ND”表示；</w:t>
            </w:r>
          </w:p>
          <w:p>
            <w:pPr>
              <w:rPr>
                <w:color w:val="auto"/>
                <w:szCs w:val="24"/>
              </w:rPr>
            </w:pPr>
            <w:r>
              <w:rPr>
                <w:color w:val="auto"/>
              </w:rPr>
              <w:t>2、点位布设：05#：阳沟村希望小学南侧门口外2m。</w:t>
            </w:r>
          </w:p>
        </w:tc>
      </w:tr>
    </w:tbl>
    <w:p>
      <w:pPr>
        <w:pStyle w:val="130"/>
        <w:spacing w:before="120" w:beforeLines="50"/>
        <w:ind w:firstLine="480"/>
        <w:rPr>
          <w:color w:val="auto"/>
        </w:rPr>
      </w:pPr>
      <w:r>
        <w:rPr>
          <w:color w:val="auto"/>
        </w:rPr>
        <w:t>由上表可知，本项目运营期间环境敏感目标（阳沟村希望小学）环境空气质量满足《环境空气质量标准》（GB3095-2012）及2018年修改单二级标准及</w:t>
      </w:r>
      <w:r>
        <w:rPr>
          <w:rFonts w:eastAsiaTheme="minorEastAsia"/>
          <w:color w:val="auto"/>
          <w:szCs w:val="21"/>
        </w:rPr>
        <w:t>《环境影响评价技术导则 大气环境》（HJ2.2-2018）附录D其他污染物空气质量浓度参考限值的要求，</w:t>
      </w:r>
      <w:r>
        <w:rPr>
          <w:color w:val="auto"/>
        </w:rPr>
        <w:t>本项目对其影响较小。</w:t>
      </w:r>
    </w:p>
    <w:p>
      <w:pPr>
        <w:pStyle w:val="130"/>
        <w:kinsoku w:val="0"/>
        <w:overflowPunct w:val="0"/>
        <w:autoSpaceDE w:val="0"/>
        <w:autoSpaceDN w:val="0"/>
        <w:ind w:firstLine="480"/>
        <w:rPr>
          <w:color w:val="auto"/>
        </w:rPr>
      </w:pPr>
      <w:r>
        <w:rPr>
          <w:color w:val="auto"/>
        </w:rPr>
        <w:t>（9）大气环境防护距离</w:t>
      </w:r>
    </w:p>
    <w:p>
      <w:pPr>
        <w:pStyle w:val="130"/>
        <w:kinsoku w:val="0"/>
        <w:overflowPunct w:val="0"/>
        <w:autoSpaceDE w:val="0"/>
        <w:autoSpaceDN w:val="0"/>
        <w:ind w:firstLine="480"/>
        <w:rPr>
          <w:color w:val="auto"/>
        </w:rPr>
      </w:pPr>
      <w:r>
        <w:rPr>
          <w:color w:val="auto"/>
        </w:rPr>
        <w:t>根据《环境影响评价技术导则大气环境》（HJ2.2-2018），大气环境防护距离为厂界外大气污染物短期贡献浓度超过环境质量浓度限值的区域，由于本项目</w:t>
      </w:r>
      <w:r>
        <w:rPr>
          <w:rFonts w:hint="eastAsia"/>
          <w:color w:val="auto"/>
        </w:rPr>
        <w:t>建成后全厂</w:t>
      </w:r>
      <w:r>
        <w:rPr>
          <w:color w:val="auto"/>
        </w:rPr>
        <w:t>厂界外无大气污染物短期贡献浓度超标点，因此，本项目不需要设置大气环境防护距离。</w:t>
      </w:r>
    </w:p>
    <w:p>
      <w:pPr>
        <w:pStyle w:val="130"/>
        <w:ind w:firstLine="480"/>
        <w:rPr>
          <w:color w:val="auto"/>
        </w:rPr>
      </w:pPr>
      <w:r>
        <w:rPr>
          <w:color w:val="auto"/>
        </w:rPr>
        <w:t>（10）卫生防护距离</w:t>
      </w:r>
    </w:p>
    <w:p>
      <w:pPr>
        <w:tabs>
          <w:tab w:val="left" w:pos="1200"/>
          <w:tab w:val="center" w:pos="4312"/>
        </w:tabs>
        <w:adjustRightInd w:val="0"/>
        <w:snapToGrid w:val="0"/>
        <w:spacing w:line="360" w:lineRule="auto"/>
        <w:ind w:firstLine="561"/>
        <w:rPr>
          <w:color w:val="auto"/>
          <w:kern w:val="0"/>
          <w:sz w:val="24"/>
          <w:szCs w:val="24"/>
          <w:lang w:bidi="zh-CN"/>
        </w:rPr>
      </w:pPr>
      <w:r>
        <w:rPr>
          <w:color w:val="auto"/>
          <w:sz w:val="24"/>
          <w:szCs w:val="24"/>
        </w:rPr>
        <w:t>本项目现有工程设置卫生防护距离为100m，并综合考虑行业特性及现行的《环境影响评价技术导则大气环境》（HJ2.2-2018）中相关要求，</w:t>
      </w:r>
      <w:r>
        <w:rPr>
          <w:color w:val="auto"/>
          <w:kern w:val="0"/>
          <w:sz w:val="24"/>
          <w:szCs w:val="24"/>
          <w:lang w:bidi="zh-CN"/>
        </w:rPr>
        <w:t>本项目</w:t>
      </w:r>
      <w:r>
        <w:rPr>
          <w:rFonts w:hint="eastAsia"/>
          <w:color w:val="auto"/>
          <w:kern w:val="0"/>
          <w:sz w:val="24"/>
          <w:szCs w:val="24"/>
          <w:lang w:bidi="zh-CN"/>
        </w:rPr>
        <w:t>建成后</w:t>
      </w:r>
      <w:r>
        <w:rPr>
          <w:color w:val="auto"/>
          <w:kern w:val="0"/>
          <w:sz w:val="24"/>
          <w:szCs w:val="24"/>
          <w:lang w:bidi="zh-CN"/>
        </w:rPr>
        <w:t>全厂设置卫生防护距离100m。</w:t>
      </w:r>
    </w:p>
    <w:p>
      <w:pPr>
        <w:tabs>
          <w:tab w:val="left" w:pos="1200"/>
          <w:tab w:val="center" w:pos="4312"/>
        </w:tabs>
        <w:adjustRightInd w:val="0"/>
        <w:snapToGrid w:val="0"/>
        <w:spacing w:line="360" w:lineRule="auto"/>
        <w:ind w:firstLine="561"/>
        <w:rPr>
          <w:color w:val="auto"/>
          <w:sz w:val="24"/>
          <w:szCs w:val="24"/>
        </w:rPr>
      </w:pPr>
      <w:r>
        <w:rPr>
          <w:color w:val="auto"/>
          <w:sz w:val="24"/>
          <w:szCs w:val="24"/>
        </w:rPr>
        <w:t>本项目厂址周边100m范围内无居民区、医院、学校等环境敏感保护目标，本次评价要求建设单位在后续发展规划建设过程中，在本次设定的防护距离范围内不得新建居民区、学校、医院等环境空气敏感保护目标。</w:t>
      </w:r>
    </w:p>
    <w:p>
      <w:pPr>
        <w:pStyle w:val="130"/>
        <w:ind w:firstLine="480"/>
        <w:rPr>
          <w:color w:val="auto"/>
        </w:rPr>
      </w:pPr>
      <w:r>
        <w:rPr>
          <w:color w:val="auto"/>
        </w:rPr>
        <w:t>（11）污染物排放量核算</w:t>
      </w:r>
    </w:p>
    <w:p>
      <w:pPr>
        <w:pStyle w:val="130"/>
        <w:ind w:firstLine="480"/>
        <w:rPr>
          <w:color w:val="auto"/>
        </w:rPr>
      </w:pPr>
      <w:r>
        <w:rPr>
          <w:rFonts w:hint="eastAsia"/>
          <w:color w:val="auto"/>
        </w:rPr>
        <w:t>本项目建成后全厂</w:t>
      </w:r>
      <w:r>
        <w:rPr>
          <w:color w:val="auto"/>
        </w:rPr>
        <w:t>大气污染物有组织排放量核算情况见表7.2-14。</w:t>
      </w:r>
    </w:p>
    <w:p>
      <w:pPr>
        <w:pStyle w:val="114"/>
        <w:spacing w:before="0" w:beforeLines="0"/>
        <w:rPr>
          <w:color w:val="auto"/>
        </w:rPr>
      </w:pPr>
      <w:r>
        <w:rPr>
          <w:color w:val="auto"/>
        </w:rPr>
        <w:t>表</w:t>
      </w:r>
      <w:r>
        <w:rPr>
          <w:rFonts w:eastAsia="Times New Roman"/>
          <w:color w:val="auto"/>
        </w:rPr>
        <w:t>7.2-</w:t>
      </w:r>
      <w:r>
        <w:rPr>
          <w:color w:val="auto"/>
        </w:rPr>
        <w:t>14</w:t>
      </w:r>
      <w:r>
        <w:rPr>
          <w:rFonts w:eastAsia="Times New Roman"/>
          <w:color w:val="auto"/>
        </w:rPr>
        <w:t xml:space="preserve">  </w:t>
      </w:r>
      <w:r>
        <w:rPr>
          <w:rFonts w:hint="eastAsia" w:ascii="宋体" w:hAnsi="宋体" w:cs="宋体"/>
          <w:color w:val="auto"/>
        </w:rPr>
        <w:t>本项目建成后全厂</w:t>
      </w:r>
      <w:r>
        <w:rPr>
          <w:color w:val="auto"/>
        </w:rPr>
        <w:t>大气污染物有组织排放量核算表</w:t>
      </w:r>
    </w:p>
    <w:tbl>
      <w:tblPr>
        <w:tblStyle w:val="74"/>
        <w:tblW w:w="8917"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12"/>
        <w:gridCol w:w="1075"/>
        <w:gridCol w:w="1728"/>
        <w:gridCol w:w="2088"/>
        <w:gridCol w:w="1791"/>
        <w:gridCol w:w="162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612" w:type="dxa"/>
            <w:vAlign w:val="center"/>
          </w:tcPr>
          <w:p>
            <w:pPr>
              <w:autoSpaceDE w:val="0"/>
              <w:autoSpaceDN w:val="0"/>
              <w:jc w:val="center"/>
              <w:rPr>
                <w:color w:val="auto"/>
                <w:kern w:val="0"/>
                <w:szCs w:val="21"/>
                <w:lang w:eastAsia="en-US"/>
              </w:rPr>
            </w:pPr>
            <w:r>
              <w:rPr>
                <w:color w:val="auto"/>
                <w:kern w:val="0"/>
                <w:szCs w:val="21"/>
                <w:lang w:eastAsia="en-US"/>
              </w:rPr>
              <w:t>序</w:t>
            </w:r>
          </w:p>
          <w:p>
            <w:pPr>
              <w:autoSpaceDE w:val="0"/>
              <w:autoSpaceDN w:val="0"/>
              <w:jc w:val="center"/>
              <w:rPr>
                <w:color w:val="auto"/>
                <w:kern w:val="0"/>
                <w:szCs w:val="21"/>
                <w:lang w:eastAsia="en-US"/>
              </w:rPr>
            </w:pPr>
            <w:r>
              <w:rPr>
                <w:color w:val="auto"/>
                <w:kern w:val="0"/>
                <w:szCs w:val="21"/>
                <w:lang w:eastAsia="en-US"/>
              </w:rPr>
              <w:t>号</w:t>
            </w:r>
          </w:p>
        </w:tc>
        <w:tc>
          <w:tcPr>
            <w:tcW w:w="1075" w:type="dxa"/>
            <w:vAlign w:val="center"/>
          </w:tcPr>
          <w:p>
            <w:pPr>
              <w:autoSpaceDE w:val="0"/>
              <w:autoSpaceDN w:val="0"/>
              <w:jc w:val="center"/>
              <w:rPr>
                <w:color w:val="auto"/>
                <w:kern w:val="0"/>
                <w:szCs w:val="21"/>
                <w:lang w:eastAsia="en-US"/>
              </w:rPr>
            </w:pPr>
            <w:r>
              <w:rPr>
                <w:color w:val="auto"/>
                <w:kern w:val="0"/>
                <w:szCs w:val="21"/>
                <w:lang w:eastAsia="en-US"/>
              </w:rPr>
              <w:t>排放口</w:t>
            </w:r>
          </w:p>
          <w:p>
            <w:pPr>
              <w:autoSpaceDE w:val="0"/>
              <w:autoSpaceDN w:val="0"/>
              <w:jc w:val="center"/>
              <w:rPr>
                <w:color w:val="auto"/>
                <w:kern w:val="0"/>
                <w:szCs w:val="21"/>
                <w:lang w:eastAsia="en-US"/>
              </w:rPr>
            </w:pPr>
            <w:r>
              <w:rPr>
                <w:color w:val="auto"/>
                <w:kern w:val="0"/>
                <w:szCs w:val="21"/>
                <w:lang w:eastAsia="en-US"/>
              </w:rPr>
              <w:t>编号</w:t>
            </w:r>
          </w:p>
        </w:tc>
        <w:tc>
          <w:tcPr>
            <w:tcW w:w="1728" w:type="dxa"/>
            <w:vAlign w:val="center"/>
          </w:tcPr>
          <w:p>
            <w:pPr>
              <w:autoSpaceDE w:val="0"/>
              <w:autoSpaceDN w:val="0"/>
              <w:jc w:val="center"/>
              <w:rPr>
                <w:color w:val="auto"/>
                <w:kern w:val="0"/>
                <w:szCs w:val="21"/>
                <w:lang w:eastAsia="en-US"/>
              </w:rPr>
            </w:pPr>
            <w:r>
              <w:rPr>
                <w:color w:val="auto"/>
                <w:kern w:val="0"/>
                <w:szCs w:val="21"/>
                <w:lang w:eastAsia="en-US"/>
              </w:rPr>
              <w:t>污染物</w:t>
            </w:r>
          </w:p>
        </w:tc>
        <w:tc>
          <w:tcPr>
            <w:tcW w:w="2088" w:type="dxa"/>
            <w:vAlign w:val="center"/>
          </w:tcPr>
          <w:p>
            <w:pPr>
              <w:autoSpaceDE w:val="0"/>
              <w:autoSpaceDN w:val="0"/>
              <w:jc w:val="center"/>
              <w:rPr>
                <w:rFonts w:eastAsia="Times New Roman"/>
                <w:color w:val="auto"/>
                <w:kern w:val="0"/>
                <w:szCs w:val="21"/>
              </w:rPr>
            </w:pPr>
            <w:r>
              <w:rPr>
                <w:color w:val="auto"/>
                <w:kern w:val="0"/>
                <w:szCs w:val="21"/>
              </w:rPr>
              <w:t>核算排放浓度</w:t>
            </w:r>
            <w:r>
              <w:rPr>
                <w:rFonts w:eastAsia="Times New Roman"/>
                <w:color w:val="auto"/>
                <w:kern w:val="0"/>
                <w:szCs w:val="21"/>
              </w:rPr>
              <w:t>/</w:t>
            </w:r>
          </w:p>
          <w:p>
            <w:pPr>
              <w:autoSpaceDE w:val="0"/>
              <w:autoSpaceDN w:val="0"/>
              <w:jc w:val="center"/>
              <w:rPr>
                <w:color w:val="auto"/>
                <w:kern w:val="0"/>
                <w:szCs w:val="21"/>
              </w:rPr>
            </w:pPr>
            <w:r>
              <w:rPr>
                <w:color w:val="auto"/>
                <w:kern w:val="0"/>
                <w:szCs w:val="21"/>
              </w:rPr>
              <w:t>（</w:t>
            </w:r>
            <w:r>
              <w:rPr>
                <w:rFonts w:eastAsia="Times New Roman"/>
                <w:color w:val="auto"/>
                <w:kern w:val="0"/>
                <w:szCs w:val="21"/>
              </w:rPr>
              <w:t>mg/m</w:t>
            </w:r>
            <w:r>
              <w:rPr>
                <w:rFonts w:eastAsia="Times New Roman"/>
                <w:color w:val="auto"/>
                <w:kern w:val="0"/>
                <w:szCs w:val="21"/>
                <w:vertAlign w:val="superscript"/>
              </w:rPr>
              <w:t>3</w:t>
            </w:r>
            <w:r>
              <w:rPr>
                <w:color w:val="auto"/>
                <w:kern w:val="0"/>
                <w:szCs w:val="21"/>
              </w:rPr>
              <w:t>）</w:t>
            </w:r>
          </w:p>
        </w:tc>
        <w:tc>
          <w:tcPr>
            <w:tcW w:w="1791" w:type="dxa"/>
            <w:vAlign w:val="center"/>
          </w:tcPr>
          <w:p>
            <w:pPr>
              <w:autoSpaceDE w:val="0"/>
              <w:autoSpaceDN w:val="0"/>
              <w:jc w:val="center"/>
              <w:rPr>
                <w:rFonts w:eastAsia="Times New Roman"/>
                <w:color w:val="auto"/>
                <w:kern w:val="0"/>
                <w:szCs w:val="21"/>
                <w:lang w:eastAsia="en-US"/>
              </w:rPr>
            </w:pPr>
            <w:r>
              <w:rPr>
                <w:color w:val="auto"/>
                <w:kern w:val="0"/>
                <w:szCs w:val="21"/>
                <w:lang w:eastAsia="en-US"/>
              </w:rPr>
              <w:t>核算排放速率</w:t>
            </w:r>
            <w:r>
              <w:rPr>
                <w:rFonts w:eastAsia="Times New Roman"/>
                <w:color w:val="auto"/>
                <w:kern w:val="0"/>
                <w:szCs w:val="21"/>
                <w:lang w:eastAsia="en-US"/>
              </w:rPr>
              <w:t>/</w:t>
            </w:r>
          </w:p>
          <w:p>
            <w:pPr>
              <w:autoSpaceDE w:val="0"/>
              <w:autoSpaceDN w:val="0"/>
              <w:jc w:val="center"/>
              <w:rPr>
                <w:color w:val="auto"/>
                <w:kern w:val="0"/>
                <w:szCs w:val="21"/>
                <w:lang w:eastAsia="en-US"/>
              </w:rPr>
            </w:pPr>
            <w:r>
              <w:rPr>
                <w:color w:val="auto"/>
                <w:w w:val="105"/>
                <w:kern w:val="0"/>
                <w:szCs w:val="21"/>
                <w:lang w:eastAsia="en-US"/>
              </w:rPr>
              <w:t>（</w:t>
            </w:r>
            <w:r>
              <w:rPr>
                <w:rFonts w:eastAsia="Times New Roman"/>
                <w:color w:val="auto"/>
                <w:w w:val="105"/>
                <w:kern w:val="0"/>
                <w:szCs w:val="21"/>
                <w:lang w:eastAsia="en-US"/>
              </w:rPr>
              <w:t>kg/h</w:t>
            </w:r>
            <w:r>
              <w:rPr>
                <w:color w:val="auto"/>
                <w:w w:val="105"/>
                <w:kern w:val="0"/>
                <w:szCs w:val="21"/>
                <w:lang w:eastAsia="en-US"/>
              </w:rPr>
              <w:t>）</w:t>
            </w:r>
          </w:p>
        </w:tc>
        <w:tc>
          <w:tcPr>
            <w:tcW w:w="1623" w:type="dxa"/>
            <w:vAlign w:val="center"/>
          </w:tcPr>
          <w:p>
            <w:pPr>
              <w:autoSpaceDE w:val="0"/>
              <w:autoSpaceDN w:val="0"/>
              <w:jc w:val="center"/>
              <w:rPr>
                <w:rFonts w:eastAsia="Times New Roman"/>
                <w:color w:val="auto"/>
                <w:kern w:val="0"/>
                <w:szCs w:val="21"/>
                <w:lang w:eastAsia="en-US"/>
              </w:rPr>
            </w:pPr>
            <w:r>
              <w:rPr>
                <w:color w:val="auto"/>
                <w:kern w:val="0"/>
                <w:szCs w:val="21"/>
                <w:lang w:eastAsia="en-US"/>
              </w:rPr>
              <w:t>核算年排放量</w:t>
            </w:r>
            <w:r>
              <w:rPr>
                <w:rFonts w:eastAsia="Times New Roman"/>
                <w:color w:val="auto"/>
                <w:kern w:val="0"/>
                <w:szCs w:val="21"/>
                <w:lang w:eastAsia="en-US"/>
              </w:rPr>
              <w:t>/</w:t>
            </w:r>
          </w:p>
          <w:p>
            <w:pPr>
              <w:autoSpaceDE w:val="0"/>
              <w:autoSpaceDN w:val="0"/>
              <w:jc w:val="center"/>
              <w:rPr>
                <w:color w:val="auto"/>
                <w:kern w:val="0"/>
                <w:szCs w:val="21"/>
                <w:lang w:eastAsia="en-US"/>
              </w:rPr>
            </w:pPr>
            <w:r>
              <w:rPr>
                <w:color w:val="auto"/>
                <w:w w:val="105"/>
                <w:kern w:val="0"/>
                <w:szCs w:val="21"/>
                <w:lang w:eastAsia="en-US"/>
              </w:rPr>
              <w:t>（</w:t>
            </w:r>
            <w:r>
              <w:rPr>
                <w:rFonts w:eastAsia="Times New Roman"/>
                <w:color w:val="auto"/>
                <w:w w:val="105"/>
                <w:kern w:val="0"/>
                <w:szCs w:val="21"/>
                <w:lang w:eastAsia="en-US"/>
              </w:rPr>
              <w:t>t/a</w:t>
            </w:r>
            <w:r>
              <w:rPr>
                <w:color w:val="auto"/>
                <w:w w:val="105"/>
                <w:kern w:val="0"/>
                <w:szCs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8917" w:type="dxa"/>
            <w:gridSpan w:val="6"/>
            <w:vAlign w:val="center"/>
          </w:tcPr>
          <w:p>
            <w:pPr>
              <w:autoSpaceDE w:val="0"/>
              <w:autoSpaceDN w:val="0"/>
              <w:jc w:val="center"/>
              <w:rPr>
                <w:color w:val="auto"/>
                <w:kern w:val="0"/>
                <w:szCs w:val="21"/>
                <w:lang w:eastAsia="en-US"/>
              </w:rPr>
            </w:pPr>
            <w:r>
              <w:rPr>
                <w:color w:val="auto"/>
                <w:kern w:val="0"/>
                <w:szCs w:val="21"/>
              </w:rPr>
              <w:t>一般</w:t>
            </w:r>
            <w:r>
              <w:rPr>
                <w:color w:val="auto"/>
                <w:kern w:val="0"/>
                <w:szCs w:val="21"/>
                <w:lang w:eastAsia="en-US"/>
              </w:rPr>
              <w:t>排放口</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612" w:type="dxa"/>
            <w:vMerge w:val="restart"/>
            <w:vAlign w:val="center"/>
          </w:tcPr>
          <w:p>
            <w:pPr>
              <w:autoSpaceDE w:val="0"/>
              <w:autoSpaceDN w:val="0"/>
              <w:jc w:val="center"/>
              <w:rPr>
                <w:color w:val="auto"/>
                <w:kern w:val="0"/>
                <w:szCs w:val="21"/>
              </w:rPr>
            </w:pPr>
            <w:r>
              <w:rPr>
                <w:color w:val="auto"/>
                <w:kern w:val="0"/>
                <w:szCs w:val="21"/>
              </w:rPr>
              <w:t>1</w:t>
            </w:r>
          </w:p>
        </w:tc>
        <w:tc>
          <w:tcPr>
            <w:tcW w:w="1075" w:type="dxa"/>
            <w:vMerge w:val="restart"/>
            <w:vAlign w:val="center"/>
          </w:tcPr>
          <w:p>
            <w:pPr>
              <w:autoSpaceDE w:val="0"/>
              <w:autoSpaceDN w:val="0"/>
              <w:jc w:val="center"/>
              <w:rPr>
                <w:color w:val="auto"/>
                <w:kern w:val="0"/>
                <w:szCs w:val="21"/>
              </w:rPr>
            </w:pPr>
            <w:r>
              <w:rPr>
                <w:color w:val="auto"/>
                <w:kern w:val="0"/>
                <w:szCs w:val="21"/>
              </w:rPr>
              <w:t>DA001</w:t>
            </w:r>
          </w:p>
        </w:tc>
        <w:tc>
          <w:tcPr>
            <w:tcW w:w="1728" w:type="dxa"/>
            <w:vAlign w:val="center"/>
          </w:tcPr>
          <w:p>
            <w:pPr>
              <w:autoSpaceDE w:val="0"/>
              <w:autoSpaceDN w:val="0"/>
              <w:jc w:val="center"/>
              <w:rPr>
                <w:color w:val="auto"/>
                <w:kern w:val="0"/>
                <w:szCs w:val="21"/>
                <w:lang w:eastAsia="en-US"/>
              </w:rPr>
            </w:pPr>
            <w:r>
              <w:rPr>
                <w:color w:val="auto"/>
              </w:rPr>
              <w:t>颗粒物</w:t>
            </w:r>
          </w:p>
        </w:tc>
        <w:tc>
          <w:tcPr>
            <w:tcW w:w="2088" w:type="dxa"/>
            <w:vAlign w:val="center"/>
          </w:tcPr>
          <w:p>
            <w:pPr>
              <w:pStyle w:val="164"/>
              <w:spacing w:line="240" w:lineRule="auto"/>
              <w:rPr>
                <w:color w:val="auto"/>
                <w:kern w:val="0"/>
                <w:szCs w:val="21"/>
              </w:rPr>
            </w:pPr>
            <w:r>
              <w:rPr>
                <w:color w:val="auto"/>
                <w:kern w:val="0"/>
                <w:szCs w:val="21"/>
                <w:lang w:bidi="ar"/>
              </w:rPr>
              <w:t>2.67</w:t>
            </w:r>
          </w:p>
        </w:tc>
        <w:tc>
          <w:tcPr>
            <w:tcW w:w="1791" w:type="dxa"/>
            <w:vAlign w:val="center"/>
          </w:tcPr>
          <w:p>
            <w:pPr>
              <w:pStyle w:val="164"/>
              <w:spacing w:line="240" w:lineRule="auto"/>
              <w:rPr>
                <w:color w:val="auto"/>
                <w:kern w:val="0"/>
                <w:szCs w:val="21"/>
              </w:rPr>
            </w:pPr>
            <w:r>
              <w:rPr>
                <w:color w:val="auto"/>
                <w:kern w:val="0"/>
                <w:szCs w:val="21"/>
                <w:lang w:bidi="ar"/>
              </w:rPr>
              <w:t>0.016</w:t>
            </w:r>
          </w:p>
        </w:tc>
        <w:tc>
          <w:tcPr>
            <w:tcW w:w="1623" w:type="dxa"/>
            <w:vAlign w:val="center"/>
          </w:tcPr>
          <w:p>
            <w:pPr>
              <w:pStyle w:val="164"/>
              <w:spacing w:line="240" w:lineRule="auto"/>
              <w:rPr>
                <w:color w:val="auto"/>
                <w:kern w:val="0"/>
                <w:szCs w:val="21"/>
              </w:rPr>
            </w:pPr>
            <w:r>
              <w:rPr>
                <w:color w:val="auto"/>
                <w:kern w:val="0"/>
                <w:szCs w:val="21"/>
                <w:lang w:bidi="ar"/>
              </w:rPr>
              <w:t>0.0846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612" w:type="dxa"/>
            <w:vMerge w:val="continue"/>
            <w:vAlign w:val="center"/>
          </w:tcPr>
          <w:p>
            <w:pPr>
              <w:autoSpaceDE w:val="0"/>
              <w:autoSpaceDN w:val="0"/>
              <w:jc w:val="center"/>
              <w:rPr>
                <w:color w:val="auto"/>
                <w:kern w:val="0"/>
                <w:szCs w:val="21"/>
              </w:rPr>
            </w:pPr>
          </w:p>
        </w:tc>
        <w:tc>
          <w:tcPr>
            <w:tcW w:w="1075" w:type="dxa"/>
            <w:vMerge w:val="continue"/>
            <w:vAlign w:val="center"/>
          </w:tcPr>
          <w:p>
            <w:pPr>
              <w:autoSpaceDE w:val="0"/>
              <w:autoSpaceDN w:val="0"/>
              <w:jc w:val="center"/>
              <w:rPr>
                <w:color w:val="auto"/>
                <w:kern w:val="0"/>
                <w:szCs w:val="21"/>
              </w:rPr>
            </w:pPr>
          </w:p>
        </w:tc>
        <w:tc>
          <w:tcPr>
            <w:tcW w:w="1728" w:type="dxa"/>
            <w:vAlign w:val="center"/>
          </w:tcPr>
          <w:p>
            <w:pPr>
              <w:autoSpaceDE w:val="0"/>
              <w:autoSpaceDN w:val="0"/>
              <w:jc w:val="center"/>
              <w:rPr>
                <w:color w:val="auto"/>
                <w:kern w:val="0"/>
                <w:szCs w:val="21"/>
                <w:lang w:eastAsia="en-US"/>
              </w:rPr>
            </w:pPr>
            <w:r>
              <w:rPr>
                <w:color w:val="auto"/>
              </w:rPr>
              <w:t>NH</w:t>
            </w:r>
            <w:r>
              <w:rPr>
                <w:color w:val="auto"/>
                <w:vertAlign w:val="subscript"/>
              </w:rPr>
              <w:t>3</w:t>
            </w:r>
          </w:p>
        </w:tc>
        <w:tc>
          <w:tcPr>
            <w:tcW w:w="2088" w:type="dxa"/>
            <w:vAlign w:val="center"/>
          </w:tcPr>
          <w:p>
            <w:pPr>
              <w:pStyle w:val="164"/>
              <w:spacing w:line="240" w:lineRule="auto"/>
              <w:rPr>
                <w:color w:val="auto"/>
                <w:kern w:val="0"/>
                <w:szCs w:val="21"/>
              </w:rPr>
            </w:pPr>
            <w:r>
              <w:rPr>
                <w:color w:val="auto"/>
                <w:kern w:val="0"/>
                <w:szCs w:val="21"/>
                <w:lang w:bidi="ar"/>
              </w:rPr>
              <w:t xml:space="preserve">3.6031 </w:t>
            </w:r>
          </w:p>
        </w:tc>
        <w:tc>
          <w:tcPr>
            <w:tcW w:w="1791" w:type="dxa"/>
            <w:vAlign w:val="center"/>
          </w:tcPr>
          <w:p>
            <w:pPr>
              <w:pStyle w:val="164"/>
              <w:spacing w:line="240" w:lineRule="auto"/>
              <w:rPr>
                <w:color w:val="auto"/>
                <w:kern w:val="0"/>
                <w:szCs w:val="21"/>
              </w:rPr>
            </w:pPr>
            <w:r>
              <w:rPr>
                <w:color w:val="auto"/>
                <w:kern w:val="0"/>
                <w:szCs w:val="21"/>
                <w:lang w:bidi="ar"/>
              </w:rPr>
              <w:t xml:space="preserve">0.0220 </w:t>
            </w:r>
          </w:p>
        </w:tc>
        <w:tc>
          <w:tcPr>
            <w:tcW w:w="1623" w:type="dxa"/>
            <w:vAlign w:val="center"/>
          </w:tcPr>
          <w:p>
            <w:pPr>
              <w:pStyle w:val="164"/>
              <w:spacing w:line="240" w:lineRule="auto"/>
              <w:rPr>
                <w:color w:val="auto"/>
                <w:kern w:val="0"/>
                <w:szCs w:val="21"/>
              </w:rPr>
            </w:pPr>
            <w:r>
              <w:rPr>
                <w:color w:val="auto"/>
                <w:kern w:val="0"/>
                <w:szCs w:val="21"/>
                <w:lang w:bidi="ar"/>
              </w:rPr>
              <w:t xml:space="preserve">0.1160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612" w:type="dxa"/>
            <w:vMerge w:val="continue"/>
            <w:vAlign w:val="center"/>
          </w:tcPr>
          <w:p>
            <w:pPr>
              <w:autoSpaceDE w:val="0"/>
              <w:autoSpaceDN w:val="0"/>
              <w:jc w:val="center"/>
              <w:rPr>
                <w:color w:val="auto"/>
                <w:kern w:val="0"/>
                <w:szCs w:val="21"/>
              </w:rPr>
            </w:pPr>
          </w:p>
        </w:tc>
        <w:tc>
          <w:tcPr>
            <w:tcW w:w="1075" w:type="dxa"/>
            <w:vMerge w:val="continue"/>
            <w:vAlign w:val="center"/>
          </w:tcPr>
          <w:p>
            <w:pPr>
              <w:autoSpaceDE w:val="0"/>
              <w:autoSpaceDN w:val="0"/>
              <w:jc w:val="center"/>
              <w:rPr>
                <w:color w:val="auto"/>
                <w:kern w:val="0"/>
                <w:szCs w:val="21"/>
              </w:rPr>
            </w:pPr>
          </w:p>
        </w:tc>
        <w:tc>
          <w:tcPr>
            <w:tcW w:w="1728" w:type="dxa"/>
            <w:vAlign w:val="center"/>
          </w:tcPr>
          <w:p>
            <w:pPr>
              <w:autoSpaceDE w:val="0"/>
              <w:autoSpaceDN w:val="0"/>
              <w:jc w:val="center"/>
              <w:rPr>
                <w:color w:val="auto"/>
                <w:kern w:val="0"/>
                <w:szCs w:val="21"/>
                <w:lang w:eastAsia="en-US"/>
              </w:rPr>
            </w:pPr>
            <w:r>
              <w:rPr>
                <w:color w:val="auto"/>
              </w:rPr>
              <w:t>H</w:t>
            </w:r>
            <w:r>
              <w:rPr>
                <w:color w:val="auto"/>
                <w:vertAlign w:val="subscript"/>
              </w:rPr>
              <w:t>2</w:t>
            </w:r>
            <w:r>
              <w:rPr>
                <w:color w:val="auto"/>
              </w:rPr>
              <w:t>S</w:t>
            </w:r>
          </w:p>
        </w:tc>
        <w:tc>
          <w:tcPr>
            <w:tcW w:w="2088" w:type="dxa"/>
            <w:vAlign w:val="center"/>
          </w:tcPr>
          <w:p>
            <w:pPr>
              <w:pStyle w:val="164"/>
              <w:spacing w:line="240" w:lineRule="auto"/>
              <w:rPr>
                <w:color w:val="auto"/>
                <w:kern w:val="0"/>
                <w:szCs w:val="21"/>
              </w:rPr>
            </w:pPr>
            <w:r>
              <w:rPr>
                <w:color w:val="auto"/>
                <w:kern w:val="0"/>
                <w:szCs w:val="21"/>
                <w:lang w:bidi="ar"/>
              </w:rPr>
              <w:t xml:space="preserve">0.0188 </w:t>
            </w:r>
          </w:p>
        </w:tc>
        <w:tc>
          <w:tcPr>
            <w:tcW w:w="1791" w:type="dxa"/>
            <w:vAlign w:val="center"/>
          </w:tcPr>
          <w:p>
            <w:pPr>
              <w:pStyle w:val="164"/>
              <w:spacing w:line="240" w:lineRule="auto"/>
              <w:rPr>
                <w:color w:val="auto"/>
                <w:kern w:val="0"/>
                <w:szCs w:val="21"/>
              </w:rPr>
            </w:pPr>
            <w:r>
              <w:rPr>
                <w:color w:val="auto"/>
                <w:kern w:val="0"/>
                <w:szCs w:val="21"/>
                <w:lang w:bidi="ar"/>
              </w:rPr>
              <w:t xml:space="preserve">0.0001 </w:t>
            </w:r>
          </w:p>
        </w:tc>
        <w:tc>
          <w:tcPr>
            <w:tcW w:w="1623" w:type="dxa"/>
            <w:vAlign w:val="center"/>
          </w:tcPr>
          <w:p>
            <w:pPr>
              <w:pStyle w:val="164"/>
              <w:spacing w:line="240" w:lineRule="auto"/>
              <w:rPr>
                <w:color w:val="auto"/>
                <w:kern w:val="0"/>
                <w:szCs w:val="21"/>
              </w:rPr>
            </w:pPr>
            <w:r>
              <w:rPr>
                <w:color w:val="auto"/>
                <w:kern w:val="0"/>
                <w:szCs w:val="21"/>
                <w:lang w:bidi="ar"/>
              </w:rPr>
              <w:t xml:space="preserve">0.0006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612" w:type="dxa"/>
            <w:vMerge w:val="continue"/>
            <w:vAlign w:val="center"/>
          </w:tcPr>
          <w:p>
            <w:pPr>
              <w:autoSpaceDE w:val="0"/>
              <w:autoSpaceDN w:val="0"/>
              <w:jc w:val="center"/>
              <w:rPr>
                <w:color w:val="auto"/>
                <w:kern w:val="0"/>
                <w:szCs w:val="21"/>
              </w:rPr>
            </w:pPr>
          </w:p>
        </w:tc>
        <w:tc>
          <w:tcPr>
            <w:tcW w:w="1075" w:type="dxa"/>
            <w:vMerge w:val="continue"/>
            <w:vAlign w:val="center"/>
          </w:tcPr>
          <w:p>
            <w:pPr>
              <w:autoSpaceDE w:val="0"/>
              <w:autoSpaceDN w:val="0"/>
              <w:jc w:val="center"/>
              <w:rPr>
                <w:color w:val="auto"/>
                <w:kern w:val="0"/>
                <w:szCs w:val="21"/>
              </w:rPr>
            </w:pPr>
          </w:p>
        </w:tc>
        <w:tc>
          <w:tcPr>
            <w:tcW w:w="1728" w:type="dxa"/>
            <w:vAlign w:val="center"/>
          </w:tcPr>
          <w:p>
            <w:pPr>
              <w:pStyle w:val="164"/>
              <w:ind w:left="-105" w:leftChars="-50" w:right="-105" w:rightChars="-50"/>
              <w:rPr>
                <w:color w:val="auto"/>
              </w:rPr>
            </w:pPr>
            <w:r>
              <w:rPr>
                <w:color w:val="auto"/>
              </w:rPr>
              <w:t>VOCs（以非甲烷总烃计）</w:t>
            </w:r>
          </w:p>
        </w:tc>
        <w:tc>
          <w:tcPr>
            <w:tcW w:w="2088" w:type="dxa"/>
            <w:vAlign w:val="center"/>
          </w:tcPr>
          <w:p>
            <w:pPr>
              <w:pStyle w:val="164"/>
              <w:spacing w:line="240" w:lineRule="auto"/>
              <w:rPr>
                <w:color w:val="auto"/>
                <w:kern w:val="0"/>
                <w:szCs w:val="21"/>
              </w:rPr>
            </w:pPr>
            <w:r>
              <w:rPr>
                <w:color w:val="auto"/>
                <w:kern w:val="0"/>
                <w:szCs w:val="21"/>
                <w:lang w:bidi="ar"/>
              </w:rPr>
              <w:t xml:space="preserve">0.5996 </w:t>
            </w:r>
          </w:p>
        </w:tc>
        <w:tc>
          <w:tcPr>
            <w:tcW w:w="1791" w:type="dxa"/>
            <w:vAlign w:val="center"/>
          </w:tcPr>
          <w:p>
            <w:pPr>
              <w:pStyle w:val="164"/>
              <w:spacing w:line="240" w:lineRule="auto"/>
              <w:rPr>
                <w:color w:val="auto"/>
                <w:kern w:val="0"/>
                <w:szCs w:val="21"/>
              </w:rPr>
            </w:pPr>
            <w:r>
              <w:rPr>
                <w:color w:val="auto"/>
                <w:kern w:val="0"/>
                <w:szCs w:val="21"/>
                <w:lang w:bidi="ar"/>
              </w:rPr>
              <w:t xml:space="preserve">0.0037 </w:t>
            </w:r>
          </w:p>
        </w:tc>
        <w:tc>
          <w:tcPr>
            <w:tcW w:w="1623" w:type="dxa"/>
            <w:vAlign w:val="center"/>
          </w:tcPr>
          <w:p>
            <w:pPr>
              <w:pStyle w:val="164"/>
              <w:spacing w:line="240" w:lineRule="auto"/>
              <w:rPr>
                <w:color w:val="auto"/>
                <w:kern w:val="0"/>
                <w:szCs w:val="21"/>
              </w:rPr>
            </w:pPr>
            <w:r>
              <w:rPr>
                <w:color w:val="auto"/>
                <w:kern w:val="0"/>
                <w:szCs w:val="21"/>
                <w:lang w:bidi="ar"/>
              </w:rPr>
              <w:t xml:space="preserve">0.0193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1687" w:type="dxa"/>
            <w:gridSpan w:val="2"/>
            <w:vMerge w:val="restart"/>
            <w:vAlign w:val="center"/>
          </w:tcPr>
          <w:p>
            <w:pPr>
              <w:autoSpaceDE w:val="0"/>
              <w:autoSpaceDN w:val="0"/>
              <w:jc w:val="center"/>
              <w:rPr>
                <w:color w:val="auto"/>
                <w:kern w:val="0"/>
                <w:szCs w:val="21"/>
                <w:lang w:eastAsia="en-US"/>
              </w:rPr>
            </w:pPr>
            <w:r>
              <w:rPr>
                <w:color w:val="auto"/>
                <w:kern w:val="0"/>
                <w:szCs w:val="21"/>
                <w:lang w:eastAsia="en-US"/>
              </w:rPr>
              <w:t>主要排放口合计</w:t>
            </w:r>
          </w:p>
        </w:tc>
        <w:tc>
          <w:tcPr>
            <w:tcW w:w="5607" w:type="dxa"/>
            <w:gridSpan w:val="3"/>
            <w:vAlign w:val="center"/>
          </w:tcPr>
          <w:p>
            <w:pPr>
              <w:autoSpaceDE w:val="0"/>
              <w:autoSpaceDN w:val="0"/>
              <w:jc w:val="center"/>
              <w:rPr>
                <w:color w:val="auto"/>
                <w:kern w:val="0"/>
                <w:szCs w:val="21"/>
                <w:lang w:eastAsia="en-US"/>
              </w:rPr>
            </w:pPr>
            <w:r>
              <w:rPr>
                <w:color w:val="auto"/>
              </w:rPr>
              <w:t>颗粒物</w:t>
            </w:r>
          </w:p>
        </w:tc>
        <w:tc>
          <w:tcPr>
            <w:tcW w:w="1623" w:type="dxa"/>
            <w:vAlign w:val="center"/>
          </w:tcPr>
          <w:p>
            <w:pPr>
              <w:pStyle w:val="164"/>
              <w:spacing w:line="240" w:lineRule="auto"/>
              <w:rPr>
                <w:color w:val="auto"/>
                <w:kern w:val="0"/>
                <w:szCs w:val="21"/>
                <w:lang w:eastAsia="en-US"/>
              </w:rPr>
            </w:pPr>
            <w:r>
              <w:rPr>
                <w:color w:val="auto"/>
                <w:kern w:val="0"/>
                <w:szCs w:val="21"/>
                <w:lang w:bidi="ar"/>
              </w:rPr>
              <w:t>0.0846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1687" w:type="dxa"/>
            <w:gridSpan w:val="2"/>
            <w:vMerge w:val="continue"/>
            <w:vAlign w:val="center"/>
          </w:tcPr>
          <w:p>
            <w:pPr>
              <w:autoSpaceDE w:val="0"/>
              <w:autoSpaceDN w:val="0"/>
              <w:jc w:val="center"/>
              <w:rPr>
                <w:color w:val="auto"/>
                <w:kern w:val="0"/>
                <w:szCs w:val="21"/>
                <w:lang w:eastAsia="en-US"/>
              </w:rPr>
            </w:pPr>
          </w:p>
        </w:tc>
        <w:tc>
          <w:tcPr>
            <w:tcW w:w="5607" w:type="dxa"/>
            <w:gridSpan w:val="3"/>
            <w:vAlign w:val="center"/>
          </w:tcPr>
          <w:p>
            <w:pPr>
              <w:autoSpaceDE w:val="0"/>
              <w:autoSpaceDN w:val="0"/>
              <w:jc w:val="center"/>
              <w:rPr>
                <w:color w:val="auto"/>
                <w:kern w:val="0"/>
                <w:szCs w:val="21"/>
              </w:rPr>
            </w:pPr>
            <w:r>
              <w:rPr>
                <w:color w:val="auto"/>
              </w:rPr>
              <w:t>NH</w:t>
            </w:r>
            <w:r>
              <w:rPr>
                <w:color w:val="auto"/>
                <w:vertAlign w:val="subscript"/>
              </w:rPr>
              <w:t>3</w:t>
            </w:r>
          </w:p>
        </w:tc>
        <w:tc>
          <w:tcPr>
            <w:tcW w:w="1623" w:type="dxa"/>
            <w:vAlign w:val="center"/>
          </w:tcPr>
          <w:p>
            <w:pPr>
              <w:pStyle w:val="164"/>
              <w:spacing w:line="240" w:lineRule="auto"/>
              <w:rPr>
                <w:color w:val="auto"/>
                <w:kern w:val="0"/>
                <w:szCs w:val="21"/>
                <w:lang w:eastAsia="en-US"/>
              </w:rPr>
            </w:pPr>
            <w:r>
              <w:rPr>
                <w:color w:val="auto"/>
                <w:kern w:val="0"/>
                <w:szCs w:val="21"/>
                <w:lang w:bidi="ar"/>
              </w:rPr>
              <w:t xml:space="preserve">0.1160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1687" w:type="dxa"/>
            <w:gridSpan w:val="2"/>
            <w:vMerge w:val="continue"/>
            <w:vAlign w:val="center"/>
          </w:tcPr>
          <w:p>
            <w:pPr>
              <w:autoSpaceDE w:val="0"/>
              <w:autoSpaceDN w:val="0"/>
              <w:jc w:val="center"/>
              <w:rPr>
                <w:color w:val="auto"/>
                <w:kern w:val="0"/>
                <w:szCs w:val="21"/>
                <w:lang w:eastAsia="en-US"/>
              </w:rPr>
            </w:pPr>
          </w:p>
        </w:tc>
        <w:tc>
          <w:tcPr>
            <w:tcW w:w="5607" w:type="dxa"/>
            <w:gridSpan w:val="3"/>
            <w:vAlign w:val="center"/>
          </w:tcPr>
          <w:p>
            <w:pPr>
              <w:autoSpaceDE w:val="0"/>
              <w:autoSpaceDN w:val="0"/>
              <w:jc w:val="center"/>
              <w:rPr>
                <w:color w:val="auto"/>
                <w:kern w:val="0"/>
                <w:szCs w:val="21"/>
              </w:rPr>
            </w:pPr>
            <w:r>
              <w:rPr>
                <w:color w:val="auto"/>
              </w:rPr>
              <w:t>H</w:t>
            </w:r>
            <w:r>
              <w:rPr>
                <w:color w:val="auto"/>
                <w:vertAlign w:val="subscript"/>
              </w:rPr>
              <w:t>2</w:t>
            </w:r>
            <w:r>
              <w:rPr>
                <w:color w:val="auto"/>
              </w:rPr>
              <w:t>S</w:t>
            </w:r>
          </w:p>
        </w:tc>
        <w:tc>
          <w:tcPr>
            <w:tcW w:w="1623" w:type="dxa"/>
            <w:vAlign w:val="center"/>
          </w:tcPr>
          <w:p>
            <w:pPr>
              <w:pStyle w:val="164"/>
              <w:spacing w:line="240" w:lineRule="auto"/>
              <w:rPr>
                <w:color w:val="auto"/>
                <w:kern w:val="0"/>
                <w:szCs w:val="21"/>
                <w:lang w:eastAsia="en-US"/>
              </w:rPr>
            </w:pPr>
            <w:r>
              <w:rPr>
                <w:color w:val="auto"/>
                <w:kern w:val="0"/>
                <w:szCs w:val="21"/>
                <w:lang w:bidi="ar"/>
              </w:rPr>
              <w:t xml:space="preserve">0.0006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1687" w:type="dxa"/>
            <w:gridSpan w:val="2"/>
            <w:vMerge w:val="continue"/>
            <w:vAlign w:val="center"/>
          </w:tcPr>
          <w:p>
            <w:pPr>
              <w:autoSpaceDE w:val="0"/>
              <w:autoSpaceDN w:val="0"/>
              <w:jc w:val="center"/>
              <w:rPr>
                <w:color w:val="auto"/>
                <w:kern w:val="0"/>
                <w:szCs w:val="21"/>
                <w:lang w:eastAsia="en-US"/>
              </w:rPr>
            </w:pPr>
          </w:p>
        </w:tc>
        <w:tc>
          <w:tcPr>
            <w:tcW w:w="5607" w:type="dxa"/>
            <w:gridSpan w:val="3"/>
            <w:vAlign w:val="center"/>
          </w:tcPr>
          <w:p>
            <w:pPr>
              <w:pStyle w:val="164"/>
              <w:ind w:left="-105" w:leftChars="-50" w:right="-105" w:rightChars="-50"/>
              <w:rPr>
                <w:color w:val="auto"/>
              </w:rPr>
            </w:pPr>
            <w:r>
              <w:rPr>
                <w:color w:val="auto"/>
              </w:rPr>
              <w:t>VOCs（以非甲烷总烃计）</w:t>
            </w:r>
          </w:p>
        </w:tc>
        <w:tc>
          <w:tcPr>
            <w:tcW w:w="1623" w:type="dxa"/>
            <w:vAlign w:val="center"/>
          </w:tcPr>
          <w:p>
            <w:pPr>
              <w:pStyle w:val="164"/>
              <w:spacing w:line="240" w:lineRule="auto"/>
              <w:rPr>
                <w:color w:val="auto"/>
                <w:kern w:val="0"/>
                <w:szCs w:val="21"/>
              </w:rPr>
            </w:pPr>
            <w:r>
              <w:rPr>
                <w:color w:val="auto"/>
                <w:kern w:val="0"/>
                <w:szCs w:val="21"/>
                <w:lang w:bidi="ar"/>
              </w:rPr>
              <w:t xml:space="preserve">0.0193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8917" w:type="dxa"/>
            <w:gridSpan w:val="6"/>
            <w:vAlign w:val="center"/>
          </w:tcPr>
          <w:p>
            <w:pPr>
              <w:autoSpaceDE w:val="0"/>
              <w:autoSpaceDN w:val="0"/>
              <w:jc w:val="center"/>
              <w:rPr>
                <w:color w:val="auto"/>
                <w:kern w:val="0"/>
                <w:szCs w:val="21"/>
                <w:lang w:eastAsia="en-US"/>
              </w:rPr>
            </w:pPr>
            <w:r>
              <w:rPr>
                <w:color w:val="auto"/>
                <w:kern w:val="0"/>
                <w:szCs w:val="21"/>
                <w:lang w:eastAsia="en-US"/>
              </w:rPr>
              <w:t>有组织排放总计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1687" w:type="dxa"/>
            <w:gridSpan w:val="2"/>
            <w:vMerge w:val="restart"/>
            <w:vAlign w:val="center"/>
          </w:tcPr>
          <w:p>
            <w:pPr>
              <w:autoSpaceDE w:val="0"/>
              <w:autoSpaceDN w:val="0"/>
              <w:jc w:val="center"/>
              <w:rPr>
                <w:color w:val="auto"/>
                <w:kern w:val="0"/>
                <w:szCs w:val="21"/>
                <w:lang w:eastAsia="en-US"/>
              </w:rPr>
            </w:pPr>
            <w:r>
              <w:rPr>
                <w:color w:val="auto"/>
                <w:kern w:val="0"/>
                <w:szCs w:val="21"/>
                <w:lang w:eastAsia="en-US"/>
              </w:rPr>
              <w:t>有组织排放总计</w:t>
            </w:r>
          </w:p>
        </w:tc>
        <w:tc>
          <w:tcPr>
            <w:tcW w:w="5607" w:type="dxa"/>
            <w:gridSpan w:val="3"/>
            <w:vAlign w:val="center"/>
          </w:tcPr>
          <w:p>
            <w:pPr>
              <w:autoSpaceDE w:val="0"/>
              <w:autoSpaceDN w:val="0"/>
              <w:jc w:val="center"/>
              <w:rPr>
                <w:color w:val="auto"/>
                <w:kern w:val="0"/>
                <w:szCs w:val="21"/>
                <w:lang w:eastAsia="en-US"/>
              </w:rPr>
            </w:pPr>
            <w:r>
              <w:rPr>
                <w:color w:val="auto"/>
              </w:rPr>
              <w:t>颗粒物</w:t>
            </w:r>
          </w:p>
        </w:tc>
        <w:tc>
          <w:tcPr>
            <w:tcW w:w="1623" w:type="dxa"/>
            <w:vAlign w:val="center"/>
          </w:tcPr>
          <w:p>
            <w:pPr>
              <w:pStyle w:val="164"/>
              <w:spacing w:line="240" w:lineRule="auto"/>
              <w:rPr>
                <w:color w:val="auto"/>
                <w:kern w:val="0"/>
                <w:szCs w:val="21"/>
                <w:lang w:eastAsia="en-US"/>
              </w:rPr>
            </w:pPr>
            <w:r>
              <w:rPr>
                <w:color w:val="auto"/>
                <w:kern w:val="0"/>
                <w:szCs w:val="21"/>
                <w:lang w:bidi="ar"/>
              </w:rPr>
              <w:t>0.0846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1687" w:type="dxa"/>
            <w:gridSpan w:val="2"/>
            <w:vMerge w:val="continue"/>
            <w:vAlign w:val="center"/>
          </w:tcPr>
          <w:p>
            <w:pPr>
              <w:autoSpaceDE w:val="0"/>
              <w:autoSpaceDN w:val="0"/>
              <w:jc w:val="center"/>
              <w:rPr>
                <w:color w:val="auto"/>
                <w:kern w:val="0"/>
                <w:szCs w:val="21"/>
                <w:lang w:eastAsia="en-US"/>
              </w:rPr>
            </w:pPr>
          </w:p>
        </w:tc>
        <w:tc>
          <w:tcPr>
            <w:tcW w:w="5607" w:type="dxa"/>
            <w:gridSpan w:val="3"/>
            <w:vAlign w:val="center"/>
          </w:tcPr>
          <w:p>
            <w:pPr>
              <w:autoSpaceDE w:val="0"/>
              <w:autoSpaceDN w:val="0"/>
              <w:jc w:val="center"/>
              <w:rPr>
                <w:color w:val="auto"/>
                <w:kern w:val="0"/>
                <w:szCs w:val="21"/>
              </w:rPr>
            </w:pPr>
            <w:r>
              <w:rPr>
                <w:color w:val="auto"/>
              </w:rPr>
              <w:t>NH</w:t>
            </w:r>
            <w:r>
              <w:rPr>
                <w:color w:val="auto"/>
                <w:vertAlign w:val="subscript"/>
              </w:rPr>
              <w:t>3</w:t>
            </w:r>
          </w:p>
        </w:tc>
        <w:tc>
          <w:tcPr>
            <w:tcW w:w="1623" w:type="dxa"/>
            <w:vAlign w:val="center"/>
          </w:tcPr>
          <w:p>
            <w:pPr>
              <w:pStyle w:val="164"/>
              <w:spacing w:line="240" w:lineRule="auto"/>
              <w:rPr>
                <w:color w:val="auto"/>
                <w:kern w:val="0"/>
                <w:szCs w:val="21"/>
              </w:rPr>
            </w:pPr>
            <w:r>
              <w:rPr>
                <w:color w:val="auto"/>
                <w:kern w:val="0"/>
                <w:szCs w:val="21"/>
                <w:lang w:bidi="ar"/>
              </w:rPr>
              <w:t xml:space="preserve">0.1160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1687" w:type="dxa"/>
            <w:gridSpan w:val="2"/>
            <w:vMerge w:val="continue"/>
            <w:vAlign w:val="center"/>
          </w:tcPr>
          <w:p>
            <w:pPr>
              <w:autoSpaceDE w:val="0"/>
              <w:autoSpaceDN w:val="0"/>
              <w:jc w:val="center"/>
              <w:rPr>
                <w:color w:val="auto"/>
                <w:kern w:val="0"/>
                <w:szCs w:val="21"/>
                <w:lang w:eastAsia="en-US"/>
              </w:rPr>
            </w:pPr>
          </w:p>
        </w:tc>
        <w:tc>
          <w:tcPr>
            <w:tcW w:w="5607" w:type="dxa"/>
            <w:gridSpan w:val="3"/>
            <w:vAlign w:val="center"/>
          </w:tcPr>
          <w:p>
            <w:pPr>
              <w:autoSpaceDE w:val="0"/>
              <w:autoSpaceDN w:val="0"/>
              <w:jc w:val="center"/>
              <w:rPr>
                <w:rFonts w:eastAsia="Times New Roman"/>
                <w:color w:val="auto"/>
                <w:kern w:val="0"/>
                <w:szCs w:val="21"/>
              </w:rPr>
            </w:pPr>
            <w:r>
              <w:rPr>
                <w:color w:val="auto"/>
              </w:rPr>
              <w:t>H</w:t>
            </w:r>
            <w:r>
              <w:rPr>
                <w:color w:val="auto"/>
                <w:vertAlign w:val="subscript"/>
              </w:rPr>
              <w:t>2</w:t>
            </w:r>
            <w:r>
              <w:rPr>
                <w:color w:val="auto"/>
              </w:rPr>
              <w:t>S</w:t>
            </w:r>
          </w:p>
        </w:tc>
        <w:tc>
          <w:tcPr>
            <w:tcW w:w="1623" w:type="dxa"/>
            <w:vAlign w:val="center"/>
          </w:tcPr>
          <w:p>
            <w:pPr>
              <w:pStyle w:val="164"/>
              <w:spacing w:line="240" w:lineRule="auto"/>
              <w:rPr>
                <w:color w:val="auto"/>
                <w:kern w:val="0"/>
                <w:szCs w:val="21"/>
              </w:rPr>
            </w:pPr>
            <w:r>
              <w:rPr>
                <w:color w:val="auto"/>
                <w:kern w:val="0"/>
                <w:szCs w:val="21"/>
                <w:lang w:bidi="ar"/>
              </w:rPr>
              <w:t xml:space="preserve">0.0006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1" w:hRule="atLeast"/>
          <w:jc w:val="center"/>
        </w:trPr>
        <w:tc>
          <w:tcPr>
            <w:tcW w:w="1687" w:type="dxa"/>
            <w:gridSpan w:val="2"/>
            <w:vMerge w:val="continue"/>
            <w:vAlign w:val="center"/>
          </w:tcPr>
          <w:p>
            <w:pPr>
              <w:autoSpaceDE w:val="0"/>
              <w:autoSpaceDN w:val="0"/>
              <w:jc w:val="center"/>
              <w:rPr>
                <w:color w:val="auto"/>
                <w:kern w:val="0"/>
                <w:szCs w:val="21"/>
                <w:lang w:eastAsia="en-US"/>
              </w:rPr>
            </w:pPr>
          </w:p>
        </w:tc>
        <w:tc>
          <w:tcPr>
            <w:tcW w:w="5607" w:type="dxa"/>
            <w:gridSpan w:val="3"/>
            <w:vAlign w:val="center"/>
          </w:tcPr>
          <w:p>
            <w:pPr>
              <w:pStyle w:val="164"/>
              <w:ind w:left="-105" w:leftChars="-50" w:right="-105" w:rightChars="-50"/>
              <w:rPr>
                <w:color w:val="auto"/>
              </w:rPr>
            </w:pPr>
            <w:r>
              <w:rPr>
                <w:color w:val="auto"/>
              </w:rPr>
              <w:t>VOCs（以非甲烷总烃计）</w:t>
            </w:r>
          </w:p>
        </w:tc>
        <w:tc>
          <w:tcPr>
            <w:tcW w:w="1623" w:type="dxa"/>
            <w:vAlign w:val="center"/>
          </w:tcPr>
          <w:p>
            <w:pPr>
              <w:pStyle w:val="164"/>
              <w:spacing w:line="240" w:lineRule="auto"/>
              <w:rPr>
                <w:color w:val="auto"/>
                <w:kern w:val="0"/>
                <w:szCs w:val="21"/>
              </w:rPr>
            </w:pPr>
            <w:r>
              <w:rPr>
                <w:color w:val="auto"/>
                <w:kern w:val="0"/>
                <w:szCs w:val="21"/>
                <w:lang w:bidi="ar"/>
              </w:rPr>
              <w:t xml:space="preserve">0.0193 </w:t>
            </w:r>
          </w:p>
        </w:tc>
      </w:tr>
    </w:tbl>
    <w:p>
      <w:pPr>
        <w:pStyle w:val="130"/>
        <w:spacing w:before="120" w:beforeLines="50"/>
        <w:ind w:firstLine="480"/>
        <w:rPr>
          <w:color w:val="auto"/>
        </w:rPr>
      </w:pPr>
      <w:r>
        <w:rPr>
          <w:rFonts w:hint="eastAsia"/>
          <w:color w:val="auto"/>
        </w:rPr>
        <w:t>本项目建成后全厂</w:t>
      </w:r>
      <w:r>
        <w:rPr>
          <w:color w:val="auto"/>
        </w:rPr>
        <w:t>大气污染物无组织排放量核算情况见表7.2-15。</w:t>
      </w:r>
    </w:p>
    <w:p>
      <w:pPr>
        <w:pStyle w:val="139"/>
        <w:jc w:val="center"/>
        <w:rPr>
          <w:rFonts w:ascii="Times New Roman" w:hAnsi="Times New Roman" w:cs="Times New Roman"/>
          <w:color w:val="auto"/>
        </w:rPr>
      </w:pPr>
      <w:r>
        <w:rPr>
          <w:rFonts w:ascii="Times New Roman" w:hAnsi="Times New Roman" w:cs="Times New Roman"/>
          <w:b/>
          <w:color w:val="auto"/>
        </w:rPr>
        <w:t xml:space="preserve">表7.2-15  </w:t>
      </w:r>
      <w:r>
        <w:rPr>
          <w:rFonts w:hint="eastAsia" w:ascii="Times New Roman" w:hAnsi="Times New Roman" w:cs="Times New Roman"/>
          <w:b/>
          <w:color w:val="auto"/>
        </w:rPr>
        <w:t>本项目建成后全厂</w:t>
      </w:r>
      <w:r>
        <w:rPr>
          <w:rFonts w:ascii="Times New Roman" w:hAnsi="Times New Roman" w:cs="Times New Roman"/>
          <w:b/>
          <w:color w:val="auto"/>
        </w:rPr>
        <w:t>大气污染物无组织排放量核算表</w:t>
      </w:r>
    </w:p>
    <w:tbl>
      <w:tblPr>
        <w:tblStyle w:val="513"/>
        <w:tblW w:w="8807"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80"/>
        <w:gridCol w:w="845"/>
        <w:gridCol w:w="812"/>
        <w:gridCol w:w="1143"/>
        <w:gridCol w:w="1281"/>
        <w:gridCol w:w="2094"/>
        <w:gridCol w:w="1059"/>
        <w:gridCol w:w="99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76" w:hRule="atLeast"/>
          <w:jc w:val="center"/>
        </w:trPr>
        <w:tc>
          <w:tcPr>
            <w:tcW w:w="580"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序号</w:t>
            </w:r>
          </w:p>
        </w:tc>
        <w:tc>
          <w:tcPr>
            <w:tcW w:w="845"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排放口</w:t>
            </w:r>
          </w:p>
          <w:p>
            <w:pPr>
              <w:pStyle w:val="164"/>
              <w:rPr>
                <w:rFonts w:ascii="Times New Roman" w:hAnsi="Times New Roman"/>
                <w:color w:val="auto"/>
                <w:szCs w:val="21"/>
                <w:lang w:eastAsia="en-US"/>
              </w:rPr>
            </w:pPr>
            <w:r>
              <w:rPr>
                <w:rFonts w:ascii="Times New Roman" w:hAnsi="Times New Roman"/>
                <w:color w:val="auto"/>
                <w:szCs w:val="21"/>
                <w:lang w:eastAsia="en-US"/>
              </w:rPr>
              <w:t>编号</w:t>
            </w:r>
          </w:p>
        </w:tc>
        <w:tc>
          <w:tcPr>
            <w:tcW w:w="812"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产污</w:t>
            </w:r>
          </w:p>
          <w:p>
            <w:pPr>
              <w:pStyle w:val="164"/>
              <w:rPr>
                <w:rFonts w:ascii="Times New Roman" w:hAnsi="Times New Roman"/>
                <w:color w:val="auto"/>
                <w:szCs w:val="21"/>
                <w:lang w:eastAsia="en-US"/>
              </w:rPr>
            </w:pPr>
            <w:r>
              <w:rPr>
                <w:rFonts w:ascii="Times New Roman" w:hAnsi="Times New Roman"/>
                <w:color w:val="auto"/>
                <w:szCs w:val="21"/>
                <w:lang w:eastAsia="en-US"/>
              </w:rPr>
              <w:t>环节</w:t>
            </w:r>
          </w:p>
        </w:tc>
        <w:tc>
          <w:tcPr>
            <w:tcW w:w="1143"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污染物</w:t>
            </w:r>
          </w:p>
        </w:tc>
        <w:tc>
          <w:tcPr>
            <w:tcW w:w="1281"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主要污染防治措施</w:t>
            </w:r>
          </w:p>
        </w:tc>
        <w:tc>
          <w:tcPr>
            <w:tcW w:w="3153" w:type="dxa"/>
            <w:gridSpan w:val="2"/>
            <w:vAlign w:val="center"/>
          </w:tcPr>
          <w:p>
            <w:pPr>
              <w:pStyle w:val="164"/>
              <w:rPr>
                <w:rFonts w:ascii="Times New Roman" w:hAnsi="Times New Roman"/>
                <w:color w:val="auto"/>
                <w:szCs w:val="21"/>
                <w:lang w:eastAsia="zh-CN"/>
              </w:rPr>
            </w:pPr>
            <w:r>
              <w:rPr>
                <w:rFonts w:ascii="Times New Roman" w:hAnsi="Times New Roman"/>
                <w:color w:val="auto"/>
                <w:szCs w:val="21"/>
                <w:lang w:eastAsia="zh-CN"/>
              </w:rPr>
              <w:t>国家或地方污染物排放标准</w:t>
            </w:r>
          </w:p>
        </w:tc>
        <w:tc>
          <w:tcPr>
            <w:tcW w:w="993"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年排放量</w:t>
            </w:r>
          </w:p>
          <w:p>
            <w:pPr>
              <w:pStyle w:val="164"/>
              <w:rPr>
                <w:rFonts w:ascii="Times New Roman" w:hAnsi="Times New Roman"/>
                <w:color w:val="auto"/>
                <w:szCs w:val="21"/>
                <w:lang w:eastAsia="en-US"/>
              </w:rPr>
            </w:pPr>
            <w:r>
              <w:rPr>
                <w:rFonts w:ascii="Times New Roman" w:hAnsi="Times New Roman"/>
                <w:color w:val="auto"/>
                <w:szCs w:val="21"/>
                <w:lang w:eastAsia="en-US"/>
              </w:rPr>
              <w:t>（</w:t>
            </w:r>
            <w:r>
              <w:rPr>
                <w:rFonts w:ascii="Times New Roman" w:hAnsi="Times New Roman" w:eastAsia="Times New Roman"/>
                <w:color w:val="auto"/>
                <w:szCs w:val="21"/>
                <w:lang w:eastAsia="en-US"/>
              </w:rPr>
              <w:t>t/a</w:t>
            </w:r>
            <w:r>
              <w:rPr>
                <w:rFonts w:ascii="Times New Roman" w:hAnsi="Times New Roman"/>
                <w:color w:val="auto"/>
                <w:szCs w:val="21"/>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69" w:hRule="atLeast"/>
          <w:jc w:val="center"/>
        </w:trPr>
        <w:tc>
          <w:tcPr>
            <w:tcW w:w="580" w:type="dxa"/>
            <w:vMerge w:val="continue"/>
            <w:vAlign w:val="center"/>
          </w:tcPr>
          <w:p>
            <w:pPr>
              <w:pStyle w:val="164"/>
              <w:rPr>
                <w:rFonts w:ascii="Times New Roman" w:hAnsi="Times New Roman"/>
                <w:color w:val="auto"/>
                <w:szCs w:val="21"/>
                <w:lang w:eastAsia="en-US"/>
              </w:rPr>
            </w:pPr>
          </w:p>
        </w:tc>
        <w:tc>
          <w:tcPr>
            <w:tcW w:w="845" w:type="dxa"/>
            <w:vMerge w:val="continue"/>
            <w:vAlign w:val="center"/>
          </w:tcPr>
          <w:p>
            <w:pPr>
              <w:pStyle w:val="164"/>
              <w:rPr>
                <w:rFonts w:ascii="Times New Roman" w:hAnsi="Times New Roman"/>
                <w:color w:val="auto"/>
                <w:szCs w:val="21"/>
                <w:lang w:eastAsia="en-US"/>
              </w:rPr>
            </w:pPr>
          </w:p>
        </w:tc>
        <w:tc>
          <w:tcPr>
            <w:tcW w:w="812" w:type="dxa"/>
            <w:vMerge w:val="continue"/>
            <w:vAlign w:val="center"/>
          </w:tcPr>
          <w:p>
            <w:pPr>
              <w:pStyle w:val="164"/>
              <w:rPr>
                <w:rFonts w:ascii="Times New Roman" w:hAnsi="Times New Roman"/>
                <w:color w:val="auto"/>
                <w:szCs w:val="21"/>
                <w:lang w:eastAsia="en-US"/>
              </w:rPr>
            </w:pPr>
          </w:p>
        </w:tc>
        <w:tc>
          <w:tcPr>
            <w:tcW w:w="1143" w:type="dxa"/>
            <w:vMerge w:val="continue"/>
            <w:vAlign w:val="center"/>
          </w:tcPr>
          <w:p>
            <w:pPr>
              <w:pStyle w:val="164"/>
              <w:rPr>
                <w:rFonts w:ascii="Times New Roman" w:hAnsi="Times New Roman"/>
                <w:color w:val="auto"/>
                <w:szCs w:val="21"/>
                <w:lang w:eastAsia="en-US"/>
              </w:rPr>
            </w:pPr>
          </w:p>
        </w:tc>
        <w:tc>
          <w:tcPr>
            <w:tcW w:w="1281" w:type="dxa"/>
            <w:vMerge w:val="continue"/>
            <w:vAlign w:val="center"/>
          </w:tcPr>
          <w:p>
            <w:pPr>
              <w:pStyle w:val="164"/>
              <w:rPr>
                <w:rFonts w:ascii="Times New Roman" w:hAnsi="Times New Roman"/>
                <w:color w:val="auto"/>
                <w:szCs w:val="21"/>
                <w:lang w:eastAsia="en-US"/>
              </w:rPr>
            </w:pPr>
          </w:p>
        </w:tc>
        <w:tc>
          <w:tcPr>
            <w:tcW w:w="2094"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标准名称</w:t>
            </w:r>
          </w:p>
        </w:tc>
        <w:tc>
          <w:tcPr>
            <w:tcW w:w="1059" w:type="dxa"/>
            <w:vAlign w:val="center"/>
          </w:tcPr>
          <w:p>
            <w:pPr>
              <w:pStyle w:val="164"/>
              <w:rPr>
                <w:rFonts w:ascii="Times New Roman" w:hAnsi="Times New Roman" w:eastAsia="Times New Roman"/>
                <w:color w:val="auto"/>
                <w:szCs w:val="21"/>
                <w:lang w:eastAsia="en-US"/>
              </w:rPr>
            </w:pPr>
            <w:r>
              <w:rPr>
                <w:rFonts w:ascii="Times New Roman" w:hAnsi="Times New Roman"/>
                <w:color w:val="auto"/>
                <w:szCs w:val="21"/>
                <w:lang w:eastAsia="en-US"/>
              </w:rPr>
              <w:t>浓度限值</w:t>
            </w:r>
            <w:r>
              <w:rPr>
                <w:rFonts w:ascii="Times New Roman" w:hAnsi="Times New Roman" w:eastAsia="Times New Roman"/>
                <w:color w:val="auto"/>
                <w:szCs w:val="21"/>
                <w:lang w:eastAsia="en-US"/>
              </w:rPr>
              <w:t>/</w:t>
            </w:r>
          </w:p>
          <w:p>
            <w:pPr>
              <w:pStyle w:val="164"/>
              <w:rPr>
                <w:rFonts w:ascii="Times New Roman" w:hAnsi="Times New Roman"/>
                <w:color w:val="auto"/>
                <w:szCs w:val="21"/>
                <w:lang w:eastAsia="en-US"/>
              </w:rPr>
            </w:pPr>
            <w:r>
              <w:rPr>
                <w:rFonts w:ascii="Times New Roman" w:hAnsi="Times New Roman"/>
                <w:color w:val="auto"/>
                <w:szCs w:val="21"/>
                <w:lang w:eastAsia="en-US"/>
              </w:rPr>
              <w:t>（</w:t>
            </w:r>
            <w:r>
              <w:rPr>
                <w:rFonts w:ascii="Times New Roman" w:hAnsi="Times New Roman" w:eastAsia="Times New Roman"/>
                <w:color w:val="auto"/>
                <w:szCs w:val="21"/>
                <w:lang w:eastAsia="en-US"/>
              </w:rPr>
              <w:t>mg/m</w:t>
            </w:r>
            <w:r>
              <w:rPr>
                <w:rFonts w:ascii="Times New Roman" w:hAnsi="Times New Roman" w:eastAsia="Times New Roman"/>
                <w:color w:val="auto"/>
                <w:szCs w:val="21"/>
                <w:vertAlign w:val="superscript"/>
                <w:lang w:eastAsia="en-US"/>
              </w:rPr>
              <w:t>3</w:t>
            </w:r>
            <w:r>
              <w:rPr>
                <w:rFonts w:ascii="Times New Roman" w:hAnsi="Times New Roman"/>
                <w:color w:val="auto"/>
                <w:szCs w:val="21"/>
                <w:lang w:eastAsia="en-US"/>
              </w:rPr>
              <w:t>）</w:t>
            </w:r>
          </w:p>
        </w:tc>
        <w:tc>
          <w:tcPr>
            <w:tcW w:w="993" w:type="dxa"/>
            <w:vMerge w:val="continue"/>
            <w:vAlign w:val="center"/>
          </w:tcPr>
          <w:p>
            <w:pPr>
              <w:pStyle w:val="164"/>
              <w:rPr>
                <w:rFonts w:ascii="Times New Roman" w:hAnsi="Times New Roman"/>
                <w:color w:val="auto"/>
                <w:szCs w:val="21"/>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12" w:hRule="atLeast"/>
          <w:jc w:val="center"/>
        </w:trPr>
        <w:tc>
          <w:tcPr>
            <w:tcW w:w="580"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w:t>
            </w:r>
          </w:p>
        </w:tc>
        <w:tc>
          <w:tcPr>
            <w:tcW w:w="845"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生产</w:t>
            </w:r>
          </w:p>
          <w:p>
            <w:pPr>
              <w:pStyle w:val="164"/>
              <w:rPr>
                <w:rFonts w:ascii="Times New Roman" w:hAnsi="Times New Roman"/>
                <w:color w:val="auto"/>
                <w:szCs w:val="21"/>
                <w:lang w:eastAsia="en-US"/>
              </w:rPr>
            </w:pPr>
            <w:r>
              <w:rPr>
                <w:rFonts w:ascii="Times New Roman" w:hAnsi="Times New Roman"/>
                <w:color w:val="auto"/>
                <w:szCs w:val="21"/>
                <w:lang w:eastAsia="en-US"/>
              </w:rPr>
              <w:t>车间</w:t>
            </w:r>
          </w:p>
        </w:tc>
        <w:tc>
          <w:tcPr>
            <w:tcW w:w="812" w:type="dxa"/>
            <w:vMerge w:val="restart"/>
            <w:vAlign w:val="center"/>
          </w:tcPr>
          <w:p>
            <w:pPr>
              <w:pStyle w:val="164"/>
              <w:rPr>
                <w:rFonts w:ascii="Times New Roman" w:hAnsi="Times New Roman"/>
                <w:color w:val="auto"/>
                <w:szCs w:val="21"/>
                <w:lang w:eastAsia="zh-CN"/>
              </w:rPr>
            </w:pPr>
            <w:r>
              <w:rPr>
                <w:rFonts w:ascii="Times New Roman" w:hAnsi="Times New Roman"/>
                <w:color w:val="auto"/>
                <w:szCs w:val="21"/>
                <w:lang w:eastAsia="zh-CN"/>
              </w:rPr>
              <w:t>医疗废物进出料、暂存</w:t>
            </w:r>
          </w:p>
        </w:tc>
        <w:tc>
          <w:tcPr>
            <w:tcW w:w="114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NH</w:t>
            </w:r>
            <w:r>
              <w:rPr>
                <w:rFonts w:ascii="Times New Roman" w:hAnsi="Times New Roman"/>
                <w:color w:val="auto"/>
                <w:szCs w:val="21"/>
                <w:vertAlign w:val="subscript"/>
                <w:lang w:eastAsia="en-US"/>
              </w:rPr>
              <w:t>3</w:t>
            </w:r>
          </w:p>
        </w:tc>
        <w:tc>
          <w:tcPr>
            <w:tcW w:w="1281" w:type="dxa"/>
            <w:vMerge w:val="restart"/>
            <w:vAlign w:val="center"/>
          </w:tcPr>
          <w:p>
            <w:pPr>
              <w:pStyle w:val="164"/>
              <w:rPr>
                <w:rFonts w:ascii="Times New Roman" w:hAnsi="Times New Roman"/>
                <w:color w:val="auto"/>
                <w:szCs w:val="21"/>
                <w:lang w:eastAsia="zh-CN"/>
              </w:rPr>
            </w:pPr>
            <w:r>
              <w:rPr>
                <w:rFonts w:ascii="Times New Roman" w:hAnsi="Times New Roman"/>
                <w:color w:val="auto"/>
                <w:szCs w:val="21"/>
                <w:lang w:eastAsia="zh-CN" w:bidi="zh-CN"/>
              </w:rPr>
              <w:t>微负压设计，</w:t>
            </w:r>
            <w:r>
              <w:rPr>
                <w:rFonts w:ascii="Times New Roman" w:hAnsi="Times New Roman"/>
                <w:color w:val="auto"/>
                <w:szCs w:val="21"/>
                <w:lang w:eastAsia="zh-CN"/>
              </w:rPr>
              <w:t>加强通风</w:t>
            </w:r>
          </w:p>
        </w:tc>
        <w:tc>
          <w:tcPr>
            <w:tcW w:w="2094" w:type="dxa"/>
            <w:vMerge w:val="restart"/>
            <w:vAlign w:val="center"/>
          </w:tcPr>
          <w:p>
            <w:pPr>
              <w:pStyle w:val="164"/>
              <w:rPr>
                <w:rFonts w:ascii="Times New Roman" w:hAnsi="Times New Roman"/>
                <w:color w:val="auto"/>
                <w:szCs w:val="21"/>
                <w:lang w:eastAsia="zh-CN"/>
              </w:rPr>
            </w:pPr>
            <w:r>
              <w:rPr>
                <w:rFonts w:ascii="Times New Roman" w:hAnsi="Times New Roman"/>
                <w:color w:val="auto"/>
                <w:szCs w:val="21"/>
                <w:lang w:eastAsia="zh-CN"/>
              </w:rPr>
              <w:t>《恶臭污染物排放标准》（GB14554-93）</w:t>
            </w:r>
          </w:p>
        </w:tc>
        <w:tc>
          <w:tcPr>
            <w:tcW w:w="105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1.5</w:t>
            </w:r>
          </w:p>
        </w:tc>
        <w:tc>
          <w:tcPr>
            <w:tcW w:w="993" w:type="dxa"/>
            <w:vAlign w:val="center"/>
          </w:tcPr>
          <w:p>
            <w:pPr>
              <w:pStyle w:val="164"/>
              <w:rPr>
                <w:rFonts w:ascii="Times New Roman" w:hAnsi="Times New Roman"/>
                <w:color w:val="auto"/>
                <w:szCs w:val="21"/>
                <w:lang w:eastAsia="en-US"/>
              </w:rPr>
            </w:pPr>
            <w:r>
              <w:rPr>
                <w:rFonts w:ascii="Times New Roman" w:hAnsi="Times New Roman"/>
                <w:bCs/>
                <w:color w:val="auto"/>
                <w:lang w:eastAsia="en-US"/>
              </w:rPr>
              <w:t>0.01</w:t>
            </w:r>
            <w:r>
              <w:rPr>
                <w:rFonts w:ascii="Times New Roman" w:hAnsi="Times New Roman"/>
                <w:bCs/>
                <w:color w:val="auto"/>
                <w:lang w:eastAsia="zh-CN"/>
              </w:rPr>
              <w:t>72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452" w:hRule="atLeast"/>
          <w:jc w:val="center"/>
        </w:trPr>
        <w:tc>
          <w:tcPr>
            <w:tcW w:w="580" w:type="dxa"/>
            <w:vMerge w:val="continue"/>
            <w:vAlign w:val="center"/>
          </w:tcPr>
          <w:p>
            <w:pPr>
              <w:pStyle w:val="164"/>
              <w:rPr>
                <w:rFonts w:ascii="Times New Roman" w:hAnsi="Times New Roman"/>
                <w:color w:val="auto"/>
                <w:szCs w:val="21"/>
                <w:lang w:eastAsia="en-US"/>
              </w:rPr>
            </w:pPr>
          </w:p>
        </w:tc>
        <w:tc>
          <w:tcPr>
            <w:tcW w:w="845" w:type="dxa"/>
            <w:vMerge w:val="continue"/>
            <w:vAlign w:val="center"/>
          </w:tcPr>
          <w:p>
            <w:pPr>
              <w:pStyle w:val="164"/>
              <w:rPr>
                <w:rFonts w:ascii="Times New Roman" w:hAnsi="Times New Roman"/>
                <w:color w:val="auto"/>
                <w:szCs w:val="21"/>
                <w:lang w:eastAsia="en-US"/>
              </w:rPr>
            </w:pPr>
          </w:p>
        </w:tc>
        <w:tc>
          <w:tcPr>
            <w:tcW w:w="812" w:type="dxa"/>
            <w:vMerge w:val="continue"/>
            <w:vAlign w:val="center"/>
          </w:tcPr>
          <w:p>
            <w:pPr>
              <w:pStyle w:val="164"/>
              <w:rPr>
                <w:rFonts w:ascii="Times New Roman" w:hAnsi="Times New Roman"/>
                <w:color w:val="auto"/>
                <w:szCs w:val="21"/>
                <w:lang w:eastAsia="en-US"/>
              </w:rPr>
            </w:pPr>
          </w:p>
        </w:tc>
        <w:tc>
          <w:tcPr>
            <w:tcW w:w="114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H</w:t>
            </w:r>
            <w:r>
              <w:rPr>
                <w:rFonts w:ascii="Times New Roman" w:hAnsi="Times New Roman"/>
                <w:color w:val="auto"/>
                <w:szCs w:val="21"/>
                <w:vertAlign w:val="subscript"/>
                <w:lang w:eastAsia="en-US"/>
              </w:rPr>
              <w:t>2</w:t>
            </w:r>
            <w:r>
              <w:rPr>
                <w:rFonts w:ascii="Times New Roman" w:hAnsi="Times New Roman"/>
                <w:color w:val="auto"/>
                <w:szCs w:val="21"/>
                <w:lang w:eastAsia="en-US"/>
              </w:rPr>
              <w:t>S</w:t>
            </w:r>
          </w:p>
        </w:tc>
        <w:tc>
          <w:tcPr>
            <w:tcW w:w="1281" w:type="dxa"/>
            <w:vMerge w:val="continue"/>
            <w:vAlign w:val="center"/>
          </w:tcPr>
          <w:p>
            <w:pPr>
              <w:pStyle w:val="164"/>
              <w:rPr>
                <w:rFonts w:ascii="Times New Roman" w:hAnsi="Times New Roman"/>
                <w:color w:val="auto"/>
                <w:szCs w:val="21"/>
                <w:lang w:eastAsia="en-US" w:bidi="zh-CN"/>
              </w:rPr>
            </w:pPr>
          </w:p>
        </w:tc>
        <w:tc>
          <w:tcPr>
            <w:tcW w:w="2094" w:type="dxa"/>
            <w:vMerge w:val="continue"/>
            <w:vAlign w:val="center"/>
          </w:tcPr>
          <w:p>
            <w:pPr>
              <w:pStyle w:val="164"/>
              <w:rPr>
                <w:rFonts w:ascii="Times New Roman" w:hAnsi="Times New Roman"/>
                <w:color w:val="auto"/>
                <w:szCs w:val="21"/>
                <w:lang w:eastAsia="en-US"/>
              </w:rPr>
            </w:pPr>
          </w:p>
        </w:tc>
        <w:tc>
          <w:tcPr>
            <w:tcW w:w="105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0.06</w:t>
            </w:r>
          </w:p>
        </w:tc>
        <w:tc>
          <w:tcPr>
            <w:tcW w:w="993" w:type="dxa"/>
            <w:vAlign w:val="center"/>
          </w:tcPr>
          <w:p>
            <w:pPr>
              <w:pStyle w:val="164"/>
              <w:rPr>
                <w:rFonts w:ascii="Times New Roman" w:hAnsi="Times New Roman"/>
                <w:color w:val="auto"/>
                <w:szCs w:val="21"/>
                <w:lang w:eastAsia="en-US"/>
              </w:rPr>
            </w:pPr>
            <w:r>
              <w:rPr>
                <w:rFonts w:ascii="Times New Roman" w:hAnsi="Times New Roman"/>
                <w:bCs/>
                <w:color w:val="auto"/>
                <w:lang w:eastAsia="en-US"/>
              </w:rPr>
              <w:t>0.000</w:t>
            </w:r>
            <w:r>
              <w:rPr>
                <w:rFonts w:ascii="Times New Roman" w:hAnsi="Times New Roman"/>
                <w:bCs/>
                <w:color w:val="auto"/>
                <w:lang w:eastAsia="zh-CN"/>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69" w:hRule="atLeast"/>
          <w:jc w:val="center"/>
        </w:trPr>
        <w:tc>
          <w:tcPr>
            <w:tcW w:w="580" w:type="dxa"/>
            <w:vMerge w:val="continue"/>
            <w:vAlign w:val="center"/>
          </w:tcPr>
          <w:p>
            <w:pPr>
              <w:pStyle w:val="164"/>
              <w:rPr>
                <w:rFonts w:ascii="Times New Roman" w:hAnsi="Times New Roman"/>
                <w:color w:val="auto"/>
                <w:szCs w:val="21"/>
                <w:lang w:eastAsia="en-US"/>
              </w:rPr>
            </w:pPr>
          </w:p>
        </w:tc>
        <w:tc>
          <w:tcPr>
            <w:tcW w:w="845" w:type="dxa"/>
            <w:vMerge w:val="continue"/>
            <w:vAlign w:val="center"/>
          </w:tcPr>
          <w:p>
            <w:pPr>
              <w:pStyle w:val="164"/>
              <w:rPr>
                <w:rFonts w:ascii="Times New Roman" w:hAnsi="Times New Roman"/>
                <w:color w:val="auto"/>
                <w:szCs w:val="21"/>
                <w:lang w:eastAsia="en-US"/>
              </w:rPr>
            </w:pPr>
          </w:p>
        </w:tc>
        <w:tc>
          <w:tcPr>
            <w:tcW w:w="812" w:type="dxa"/>
            <w:vMerge w:val="continue"/>
            <w:vAlign w:val="center"/>
          </w:tcPr>
          <w:p>
            <w:pPr>
              <w:pStyle w:val="164"/>
              <w:rPr>
                <w:rFonts w:ascii="Times New Roman" w:hAnsi="Times New Roman"/>
                <w:color w:val="auto"/>
                <w:szCs w:val="21"/>
                <w:lang w:eastAsia="en-US"/>
              </w:rPr>
            </w:pPr>
          </w:p>
        </w:tc>
        <w:tc>
          <w:tcPr>
            <w:tcW w:w="1143" w:type="dxa"/>
            <w:vAlign w:val="center"/>
          </w:tcPr>
          <w:p>
            <w:pPr>
              <w:pStyle w:val="164"/>
              <w:rPr>
                <w:rFonts w:ascii="Times New Roman" w:hAnsi="Times New Roman"/>
                <w:color w:val="auto"/>
                <w:szCs w:val="21"/>
                <w:lang w:eastAsia="zh-CN"/>
              </w:rPr>
            </w:pPr>
            <w:r>
              <w:rPr>
                <w:rFonts w:ascii="Times New Roman" w:hAnsi="Times New Roman"/>
                <w:color w:val="auto"/>
                <w:szCs w:val="21"/>
                <w:lang w:eastAsia="zh-CN"/>
              </w:rPr>
              <w:t>VOCs</w:t>
            </w:r>
          </w:p>
          <w:p>
            <w:pPr>
              <w:pStyle w:val="164"/>
              <w:rPr>
                <w:rFonts w:ascii="Times New Roman" w:hAnsi="Times New Roman"/>
                <w:color w:val="auto"/>
                <w:szCs w:val="21"/>
                <w:lang w:eastAsia="zh-CN"/>
              </w:rPr>
            </w:pPr>
            <w:r>
              <w:rPr>
                <w:rFonts w:ascii="Times New Roman" w:hAnsi="Times New Roman"/>
                <w:color w:val="auto"/>
                <w:szCs w:val="21"/>
                <w:lang w:eastAsia="zh-CN"/>
              </w:rPr>
              <w:t>（以非甲烷总烃计）</w:t>
            </w:r>
          </w:p>
        </w:tc>
        <w:tc>
          <w:tcPr>
            <w:tcW w:w="1281" w:type="dxa"/>
            <w:vMerge w:val="continue"/>
            <w:vAlign w:val="center"/>
          </w:tcPr>
          <w:p>
            <w:pPr>
              <w:pStyle w:val="164"/>
              <w:rPr>
                <w:rFonts w:ascii="Times New Roman" w:hAnsi="Times New Roman"/>
                <w:color w:val="auto"/>
                <w:szCs w:val="21"/>
                <w:lang w:eastAsia="zh-CN" w:bidi="zh-CN"/>
              </w:rPr>
            </w:pPr>
          </w:p>
        </w:tc>
        <w:tc>
          <w:tcPr>
            <w:tcW w:w="2094" w:type="dxa"/>
            <w:vAlign w:val="center"/>
          </w:tcPr>
          <w:p>
            <w:pPr>
              <w:pStyle w:val="164"/>
              <w:rPr>
                <w:rFonts w:ascii="Times New Roman" w:hAnsi="Times New Roman"/>
                <w:color w:val="auto"/>
                <w:szCs w:val="21"/>
                <w:lang w:eastAsia="zh-CN"/>
              </w:rPr>
            </w:pPr>
            <w:r>
              <w:rPr>
                <w:rFonts w:ascii="Times New Roman" w:hAnsi="Times New Roman"/>
                <w:color w:val="auto"/>
                <w:szCs w:val="21"/>
                <w:lang w:eastAsia="zh-CN"/>
              </w:rPr>
              <w:t>《大气污染物综合排放标准》（GB16297-1996）</w:t>
            </w:r>
          </w:p>
        </w:tc>
        <w:tc>
          <w:tcPr>
            <w:tcW w:w="105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4.0</w:t>
            </w:r>
          </w:p>
        </w:tc>
        <w:tc>
          <w:tcPr>
            <w:tcW w:w="993" w:type="dxa"/>
            <w:vAlign w:val="center"/>
          </w:tcPr>
          <w:p>
            <w:pPr>
              <w:pStyle w:val="164"/>
              <w:rPr>
                <w:rFonts w:ascii="Times New Roman" w:hAnsi="Times New Roman"/>
                <w:color w:val="auto"/>
                <w:szCs w:val="21"/>
                <w:lang w:eastAsia="en-US"/>
              </w:rPr>
            </w:pPr>
            <w:r>
              <w:rPr>
                <w:rFonts w:ascii="Times New Roman" w:hAnsi="Times New Roman"/>
                <w:bCs/>
                <w:color w:val="auto"/>
                <w:lang w:eastAsia="en-US"/>
              </w:rPr>
              <w:t>0.00</w:t>
            </w:r>
            <w:r>
              <w:rPr>
                <w:rFonts w:ascii="Times New Roman" w:hAnsi="Times New Roman"/>
                <w:bCs/>
                <w:color w:val="auto"/>
                <w:lang w:eastAsia="zh-CN"/>
              </w:rPr>
              <w:t>39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63" w:hRule="atLeast"/>
          <w:jc w:val="center"/>
        </w:trPr>
        <w:tc>
          <w:tcPr>
            <w:tcW w:w="580"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2</w:t>
            </w:r>
          </w:p>
        </w:tc>
        <w:tc>
          <w:tcPr>
            <w:tcW w:w="845"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污水处理间</w:t>
            </w:r>
          </w:p>
        </w:tc>
        <w:tc>
          <w:tcPr>
            <w:tcW w:w="812" w:type="dxa"/>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污水处理</w:t>
            </w:r>
          </w:p>
        </w:tc>
        <w:tc>
          <w:tcPr>
            <w:tcW w:w="114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NH</w:t>
            </w:r>
            <w:r>
              <w:rPr>
                <w:rFonts w:ascii="Times New Roman" w:hAnsi="Times New Roman"/>
                <w:color w:val="auto"/>
                <w:szCs w:val="21"/>
                <w:vertAlign w:val="subscript"/>
                <w:lang w:eastAsia="en-US"/>
              </w:rPr>
              <w:t>3</w:t>
            </w:r>
          </w:p>
        </w:tc>
        <w:tc>
          <w:tcPr>
            <w:tcW w:w="1281" w:type="dxa"/>
            <w:vMerge w:val="restart"/>
            <w:vAlign w:val="center"/>
          </w:tcPr>
          <w:p>
            <w:pPr>
              <w:pStyle w:val="164"/>
              <w:rPr>
                <w:rFonts w:ascii="Times New Roman" w:hAnsi="Times New Roman"/>
                <w:color w:val="auto"/>
                <w:szCs w:val="21"/>
                <w:lang w:eastAsia="zh-CN"/>
              </w:rPr>
            </w:pPr>
            <w:r>
              <w:rPr>
                <w:rFonts w:ascii="Times New Roman" w:hAnsi="Times New Roman"/>
                <w:color w:val="auto"/>
                <w:szCs w:val="21"/>
                <w:lang w:eastAsia="zh-CN"/>
              </w:rPr>
              <w:t>加强管理，加盖密闭，并喷雾除臭剂进行除臭</w:t>
            </w:r>
          </w:p>
        </w:tc>
        <w:tc>
          <w:tcPr>
            <w:tcW w:w="2094" w:type="dxa"/>
            <w:vMerge w:val="restart"/>
            <w:vAlign w:val="center"/>
          </w:tcPr>
          <w:p>
            <w:pPr>
              <w:pStyle w:val="164"/>
              <w:rPr>
                <w:rFonts w:ascii="Times New Roman" w:hAnsi="Times New Roman"/>
                <w:color w:val="auto"/>
                <w:szCs w:val="21"/>
                <w:lang w:eastAsia="zh-CN"/>
              </w:rPr>
            </w:pPr>
            <w:r>
              <w:rPr>
                <w:rFonts w:ascii="Times New Roman" w:hAnsi="Times New Roman"/>
                <w:color w:val="auto"/>
                <w:szCs w:val="21"/>
                <w:lang w:eastAsia="zh-CN"/>
              </w:rPr>
              <w:t>《恶臭污染物排放标准》（GB14554-93）</w:t>
            </w:r>
          </w:p>
        </w:tc>
        <w:tc>
          <w:tcPr>
            <w:tcW w:w="105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1.5</w:t>
            </w:r>
          </w:p>
        </w:tc>
        <w:tc>
          <w:tcPr>
            <w:tcW w:w="993" w:type="dxa"/>
            <w:vAlign w:val="center"/>
          </w:tcPr>
          <w:p>
            <w:pPr>
              <w:pStyle w:val="164"/>
              <w:rPr>
                <w:rFonts w:ascii="Times New Roman" w:hAnsi="Times New Roman"/>
                <w:color w:val="auto"/>
                <w:szCs w:val="21"/>
                <w:lang w:eastAsia="en-US"/>
              </w:rPr>
            </w:pPr>
            <w:r>
              <w:rPr>
                <w:rFonts w:ascii="Times New Roman" w:hAnsi="Times New Roman"/>
                <w:color w:val="auto"/>
                <w:lang w:eastAsia="en-US"/>
              </w:rPr>
              <w:t>0.00</w:t>
            </w:r>
            <w:r>
              <w:rPr>
                <w:rFonts w:ascii="Times New Roman" w:hAnsi="Times New Roman"/>
                <w:color w:val="auto"/>
                <w:lang w:eastAsia="zh-CN"/>
              </w:rPr>
              <w:t>23</w:t>
            </w:r>
            <w:r>
              <w:rPr>
                <w:rFonts w:ascii="Times New Roman" w:hAnsi="Times New Roman"/>
                <w:color w:val="auto"/>
                <w:lang w:eastAsia="en-US"/>
              </w:rPr>
              <w:t xml:space="preserve">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569" w:hRule="atLeast"/>
          <w:jc w:val="center"/>
        </w:trPr>
        <w:tc>
          <w:tcPr>
            <w:tcW w:w="580" w:type="dxa"/>
            <w:vMerge w:val="continue"/>
            <w:vAlign w:val="center"/>
          </w:tcPr>
          <w:p>
            <w:pPr>
              <w:pStyle w:val="164"/>
              <w:rPr>
                <w:rFonts w:ascii="Times New Roman" w:hAnsi="Times New Roman"/>
                <w:color w:val="auto"/>
                <w:szCs w:val="21"/>
                <w:lang w:eastAsia="en-US"/>
              </w:rPr>
            </w:pPr>
          </w:p>
        </w:tc>
        <w:tc>
          <w:tcPr>
            <w:tcW w:w="845" w:type="dxa"/>
            <w:vMerge w:val="continue"/>
            <w:vAlign w:val="center"/>
          </w:tcPr>
          <w:p>
            <w:pPr>
              <w:pStyle w:val="164"/>
              <w:rPr>
                <w:rFonts w:ascii="Times New Roman" w:hAnsi="Times New Roman"/>
                <w:color w:val="auto"/>
                <w:szCs w:val="21"/>
                <w:lang w:eastAsia="en-US"/>
              </w:rPr>
            </w:pPr>
          </w:p>
        </w:tc>
        <w:tc>
          <w:tcPr>
            <w:tcW w:w="812" w:type="dxa"/>
            <w:vMerge w:val="continue"/>
            <w:vAlign w:val="center"/>
          </w:tcPr>
          <w:p>
            <w:pPr>
              <w:pStyle w:val="164"/>
              <w:rPr>
                <w:rFonts w:ascii="Times New Roman" w:hAnsi="Times New Roman"/>
                <w:color w:val="auto"/>
                <w:szCs w:val="21"/>
                <w:lang w:eastAsia="en-US"/>
              </w:rPr>
            </w:pPr>
          </w:p>
        </w:tc>
        <w:tc>
          <w:tcPr>
            <w:tcW w:w="114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H</w:t>
            </w:r>
            <w:r>
              <w:rPr>
                <w:rFonts w:ascii="Times New Roman" w:hAnsi="Times New Roman"/>
                <w:color w:val="auto"/>
                <w:szCs w:val="21"/>
                <w:vertAlign w:val="subscript"/>
                <w:lang w:eastAsia="en-US"/>
              </w:rPr>
              <w:t>2</w:t>
            </w:r>
            <w:r>
              <w:rPr>
                <w:rFonts w:ascii="Times New Roman" w:hAnsi="Times New Roman"/>
                <w:color w:val="auto"/>
                <w:szCs w:val="21"/>
                <w:lang w:eastAsia="en-US"/>
              </w:rPr>
              <w:t>S</w:t>
            </w:r>
          </w:p>
        </w:tc>
        <w:tc>
          <w:tcPr>
            <w:tcW w:w="1281" w:type="dxa"/>
            <w:vMerge w:val="continue"/>
            <w:vAlign w:val="center"/>
          </w:tcPr>
          <w:p>
            <w:pPr>
              <w:pStyle w:val="164"/>
              <w:rPr>
                <w:rFonts w:ascii="Times New Roman" w:hAnsi="Times New Roman"/>
                <w:color w:val="auto"/>
                <w:szCs w:val="21"/>
                <w:lang w:eastAsia="en-US"/>
              </w:rPr>
            </w:pPr>
          </w:p>
        </w:tc>
        <w:tc>
          <w:tcPr>
            <w:tcW w:w="2094" w:type="dxa"/>
            <w:vMerge w:val="continue"/>
            <w:vAlign w:val="center"/>
          </w:tcPr>
          <w:p>
            <w:pPr>
              <w:pStyle w:val="164"/>
              <w:rPr>
                <w:rFonts w:ascii="Times New Roman" w:hAnsi="Times New Roman"/>
                <w:color w:val="auto"/>
                <w:szCs w:val="21"/>
                <w:lang w:eastAsia="en-US"/>
              </w:rPr>
            </w:pPr>
          </w:p>
        </w:tc>
        <w:tc>
          <w:tcPr>
            <w:tcW w:w="1059"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0.06</w:t>
            </w:r>
          </w:p>
        </w:tc>
        <w:tc>
          <w:tcPr>
            <w:tcW w:w="993" w:type="dxa"/>
            <w:vAlign w:val="center"/>
          </w:tcPr>
          <w:p>
            <w:pPr>
              <w:pStyle w:val="164"/>
              <w:rPr>
                <w:rFonts w:ascii="Times New Roman" w:hAnsi="Times New Roman"/>
                <w:color w:val="auto"/>
                <w:szCs w:val="21"/>
                <w:lang w:eastAsia="en-US"/>
              </w:rPr>
            </w:pPr>
            <w:r>
              <w:rPr>
                <w:rFonts w:ascii="Times New Roman" w:hAnsi="Times New Roman"/>
                <w:color w:val="auto"/>
                <w:lang w:eastAsia="en-US"/>
              </w:rPr>
              <w:t>0.00008</w:t>
            </w:r>
            <w:r>
              <w:rPr>
                <w:rFonts w:ascii="Times New Roman" w:hAnsi="Times New Roman"/>
                <w:color w:val="auto"/>
                <w:lang w:eastAsia="zh-CN"/>
              </w:rPr>
              <w:t>8</w:t>
            </w:r>
            <w:r>
              <w:rPr>
                <w:rFonts w:ascii="Times New Roman" w:hAnsi="Times New Roman"/>
                <w:color w:val="auto"/>
                <w:lang w:eastAsia="en-US"/>
              </w:rPr>
              <w:t xml:space="preserve">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466" w:hRule="atLeast"/>
          <w:jc w:val="center"/>
        </w:trPr>
        <w:tc>
          <w:tcPr>
            <w:tcW w:w="3380" w:type="dxa"/>
            <w:gridSpan w:val="4"/>
            <w:vMerge w:val="restart"/>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无组织排放总计</w:t>
            </w:r>
          </w:p>
        </w:tc>
        <w:tc>
          <w:tcPr>
            <w:tcW w:w="4434" w:type="dxa"/>
            <w:gridSpan w:val="3"/>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NH</w:t>
            </w:r>
            <w:r>
              <w:rPr>
                <w:rFonts w:ascii="Times New Roman" w:hAnsi="Times New Roman"/>
                <w:color w:val="auto"/>
                <w:szCs w:val="21"/>
                <w:vertAlign w:val="subscript"/>
                <w:lang w:eastAsia="en-US"/>
              </w:rPr>
              <w:t>3</w:t>
            </w:r>
          </w:p>
        </w:tc>
        <w:tc>
          <w:tcPr>
            <w:tcW w:w="9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0.0195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466" w:hRule="atLeast"/>
          <w:jc w:val="center"/>
        </w:trPr>
        <w:tc>
          <w:tcPr>
            <w:tcW w:w="3380" w:type="dxa"/>
            <w:gridSpan w:val="4"/>
            <w:vMerge w:val="continue"/>
            <w:vAlign w:val="center"/>
          </w:tcPr>
          <w:p>
            <w:pPr>
              <w:pStyle w:val="164"/>
              <w:rPr>
                <w:rFonts w:ascii="Times New Roman" w:hAnsi="Times New Roman"/>
                <w:color w:val="auto"/>
                <w:szCs w:val="21"/>
                <w:lang w:eastAsia="en-US"/>
              </w:rPr>
            </w:pPr>
          </w:p>
        </w:tc>
        <w:tc>
          <w:tcPr>
            <w:tcW w:w="4434" w:type="dxa"/>
            <w:gridSpan w:val="3"/>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H</w:t>
            </w:r>
            <w:r>
              <w:rPr>
                <w:rFonts w:ascii="Times New Roman" w:hAnsi="Times New Roman"/>
                <w:color w:val="auto"/>
                <w:szCs w:val="21"/>
                <w:vertAlign w:val="subscript"/>
                <w:lang w:eastAsia="en-US"/>
              </w:rPr>
              <w:t>2</w:t>
            </w:r>
            <w:r>
              <w:rPr>
                <w:rFonts w:ascii="Times New Roman" w:hAnsi="Times New Roman"/>
                <w:color w:val="auto"/>
                <w:szCs w:val="21"/>
                <w:lang w:eastAsia="en-US"/>
              </w:rPr>
              <w:t>S</w:t>
            </w:r>
          </w:p>
        </w:tc>
        <w:tc>
          <w:tcPr>
            <w:tcW w:w="9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0.000188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466" w:hRule="atLeast"/>
          <w:jc w:val="center"/>
        </w:trPr>
        <w:tc>
          <w:tcPr>
            <w:tcW w:w="3380" w:type="dxa"/>
            <w:gridSpan w:val="4"/>
            <w:vMerge w:val="continue"/>
            <w:vAlign w:val="center"/>
          </w:tcPr>
          <w:p>
            <w:pPr>
              <w:pStyle w:val="164"/>
              <w:rPr>
                <w:rFonts w:ascii="Times New Roman" w:hAnsi="Times New Roman"/>
                <w:color w:val="auto"/>
                <w:szCs w:val="21"/>
                <w:lang w:eastAsia="en-US"/>
              </w:rPr>
            </w:pPr>
          </w:p>
        </w:tc>
        <w:tc>
          <w:tcPr>
            <w:tcW w:w="4434" w:type="dxa"/>
            <w:gridSpan w:val="3"/>
            <w:vAlign w:val="center"/>
          </w:tcPr>
          <w:p>
            <w:pPr>
              <w:pStyle w:val="164"/>
              <w:rPr>
                <w:rFonts w:ascii="Times New Roman" w:hAnsi="Times New Roman"/>
                <w:color w:val="auto"/>
                <w:szCs w:val="21"/>
                <w:lang w:eastAsia="zh-CN"/>
              </w:rPr>
            </w:pPr>
            <w:r>
              <w:rPr>
                <w:rFonts w:ascii="Times New Roman" w:hAnsi="Times New Roman"/>
                <w:color w:val="auto"/>
                <w:szCs w:val="21"/>
                <w:lang w:eastAsia="zh-CN"/>
              </w:rPr>
              <w:t>VOCs（以非甲烷总烃计）</w:t>
            </w:r>
          </w:p>
        </w:tc>
        <w:tc>
          <w:tcPr>
            <w:tcW w:w="993" w:type="dxa"/>
            <w:vAlign w:val="center"/>
          </w:tcPr>
          <w:p>
            <w:pPr>
              <w:pStyle w:val="164"/>
              <w:rPr>
                <w:rFonts w:ascii="Times New Roman" w:hAnsi="Times New Roman"/>
                <w:color w:val="auto"/>
                <w:szCs w:val="21"/>
                <w:lang w:eastAsia="en-US"/>
              </w:rPr>
            </w:pPr>
            <w:r>
              <w:rPr>
                <w:rFonts w:ascii="Times New Roman" w:hAnsi="Times New Roman"/>
                <w:color w:val="auto"/>
                <w:szCs w:val="21"/>
                <w:lang w:eastAsia="en-US"/>
              </w:rPr>
              <w:t>0.0039</w:t>
            </w:r>
          </w:p>
        </w:tc>
      </w:tr>
    </w:tbl>
    <w:p>
      <w:pPr>
        <w:pStyle w:val="130"/>
        <w:ind w:firstLine="480"/>
        <w:rPr>
          <w:color w:val="auto"/>
        </w:rPr>
      </w:pPr>
      <w:r>
        <w:rPr>
          <w:rFonts w:hint="eastAsia"/>
          <w:color w:val="auto"/>
        </w:rPr>
        <w:t>本项目建成后全厂</w:t>
      </w:r>
      <w:r>
        <w:rPr>
          <w:color w:val="auto"/>
        </w:rPr>
        <w:t>大气污染物年排放量核算表见表7.2-16。</w:t>
      </w:r>
    </w:p>
    <w:p>
      <w:pPr>
        <w:pStyle w:val="114"/>
        <w:spacing w:before="0" w:beforeLines="0"/>
        <w:rPr>
          <w:color w:val="auto"/>
        </w:rPr>
      </w:pPr>
      <w:r>
        <w:rPr>
          <w:color w:val="auto"/>
        </w:rPr>
        <w:t>表</w:t>
      </w:r>
      <w:r>
        <w:rPr>
          <w:rFonts w:eastAsia="Times New Roman"/>
          <w:color w:val="auto"/>
        </w:rPr>
        <w:t>7.2-</w:t>
      </w:r>
      <w:r>
        <w:rPr>
          <w:color w:val="auto"/>
        </w:rPr>
        <w:t>16</w:t>
      </w:r>
      <w:r>
        <w:rPr>
          <w:rFonts w:eastAsia="Times New Roman"/>
          <w:color w:val="auto"/>
        </w:rPr>
        <w:t xml:space="preserve">  </w:t>
      </w:r>
      <w:r>
        <w:rPr>
          <w:rFonts w:hint="eastAsia" w:ascii="宋体" w:hAnsi="宋体" w:cs="宋体"/>
          <w:color w:val="auto"/>
        </w:rPr>
        <w:t>本项目建成后全厂</w:t>
      </w:r>
      <w:r>
        <w:rPr>
          <w:color w:val="auto"/>
        </w:rPr>
        <w:t>大气污染物年排放量核算表（有组织</w:t>
      </w:r>
      <w:r>
        <w:rPr>
          <w:rFonts w:eastAsia="Times New Roman"/>
          <w:color w:val="auto"/>
        </w:rPr>
        <w:t>+</w:t>
      </w:r>
      <w:r>
        <w:rPr>
          <w:color w:val="auto"/>
        </w:rPr>
        <w:t>无组织）</w:t>
      </w:r>
    </w:p>
    <w:tbl>
      <w:tblPr>
        <w:tblStyle w:val="513"/>
        <w:tblW w:w="854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544"/>
        <w:gridCol w:w="3068"/>
        <w:gridCol w:w="393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39" w:hRule="atLeast"/>
          <w:jc w:val="center"/>
        </w:trPr>
        <w:tc>
          <w:tcPr>
            <w:tcW w:w="1544" w:type="dxa"/>
            <w:vAlign w:val="center"/>
          </w:tcPr>
          <w:p>
            <w:pPr>
              <w:pStyle w:val="161"/>
              <w:adjustRightInd w:val="0"/>
              <w:snapToGrid w:val="0"/>
              <w:jc w:val="center"/>
              <w:rPr>
                <w:rFonts w:ascii="Times New Roman" w:hAnsi="Times New Roman"/>
                <w:color w:val="auto"/>
                <w:lang w:eastAsia="en-US"/>
              </w:rPr>
            </w:pPr>
            <w:r>
              <w:rPr>
                <w:rFonts w:ascii="Times New Roman" w:hAnsi="Times New Roman" w:eastAsiaTheme="minorEastAsia"/>
                <w:color w:val="auto"/>
                <w:lang w:eastAsia="en-US"/>
              </w:rPr>
              <w:t>序号</w:t>
            </w:r>
          </w:p>
        </w:tc>
        <w:tc>
          <w:tcPr>
            <w:tcW w:w="3068" w:type="dxa"/>
            <w:vAlign w:val="center"/>
          </w:tcPr>
          <w:p>
            <w:pPr>
              <w:pStyle w:val="161"/>
              <w:adjustRightInd w:val="0"/>
              <w:snapToGrid w:val="0"/>
              <w:jc w:val="center"/>
              <w:rPr>
                <w:rFonts w:ascii="Times New Roman" w:hAnsi="Times New Roman"/>
                <w:color w:val="auto"/>
                <w:lang w:eastAsia="en-US"/>
              </w:rPr>
            </w:pPr>
            <w:r>
              <w:rPr>
                <w:rFonts w:ascii="Times New Roman" w:hAnsi="Times New Roman" w:eastAsiaTheme="minorEastAsia"/>
                <w:color w:val="auto"/>
                <w:lang w:eastAsia="en-US"/>
              </w:rPr>
              <w:t>污染物</w:t>
            </w:r>
          </w:p>
        </w:tc>
        <w:tc>
          <w:tcPr>
            <w:tcW w:w="3937" w:type="dxa"/>
            <w:vAlign w:val="center"/>
          </w:tcPr>
          <w:p>
            <w:pPr>
              <w:pStyle w:val="161"/>
              <w:adjustRightInd w:val="0"/>
              <w:snapToGrid w:val="0"/>
              <w:jc w:val="center"/>
              <w:rPr>
                <w:rFonts w:ascii="Times New Roman" w:hAnsi="Times New Roman"/>
                <w:color w:val="auto"/>
                <w:lang w:eastAsia="en-US"/>
              </w:rPr>
            </w:pPr>
            <w:r>
              <w:rPr>
                <w:rFonts w:ascii="Times New Roman" w:hAnsi="Times New Roman" w:eastAsiaTheme="minorEastAsia"/>
                <w:color w:val="auto"/>
                <w:w w:val="105"/>
                <w:lang w:eastAsia="en-US"/>
              </w:rPr>
              <w:t>年排放量</w:t>
            </w:r>
            <w:r>
              <w:rPr>
                <w:rFonts w:ascii="Times New Roman" w:hAnsi="Times New Roman" w:eastAsia="Times New Roman"/>
                <w:color w:val="auto"/>
                <w:w w:val="105"/>
                <w:lang w:eastAsia="en-US"/>
              </w:rPr>
              <w:t>/</w:t>
            </w:r>
            <w:r>
              <w:rPr>
                <w:rFonts w:ascii="Times New Roman" w:hAnsi="Times New Roman" w:eastAsiaTheme="minorEastAsia"/>
                <w:color w:val="auto"/>
                <w:w w:val="105"/>
                <w:lang w:eastAsia="en-US"/>
              </w:rPr>
              <w:t>（</w:t>
            </w:r>
            <w:r>
              <w:rPr>
                <w:rFonts w:ascii="Times New Roman" w:hAnsi="Times New Roman" w:eastAsia="Times New Roman"/>
                <w:color w:val="auto"/>
                <w:w w:val="105"/>
                <w:lang w:eastAsia="en-US"/>
              </w:rPr>
              <w:t>t/a</w:t>
            </w:r>
            <w:r>
              <w:rPr>
                <w:rFonts w:ascii="Times New Roman" w:hAnsi="Times New Roman" w:eastAsiaTheme="minorEastAsia"/>
                <w:color w:val="auto"/>
                <w:w w:val="105"/>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39" w:hRule="atLeast"/>
          <w:jc w:val="center"/>
        </w:trPr>
        <w:tc>
          <w:tcPr>
            <w:tcW w:w="1544" w:type="dxa"/>
            <w:vAlign w:val="center"/>
          </w:tcPr>
          <w:p>
            <w:pPr>
              <w:pStyle w:val="161"/>
              <w:adjustRightInd w:val="0"/>
              <w:snapToGrid w:val="0"/>
              <w:jc w:val="center"/>
              <w:rPr>
                <w:rFonts w:ascii="Times New Roman" w:hAnsi="Times New Roman"/>
                <w:color w:val="auto"/>
                <w:lang w:eastAsia="en-US"/>
              </w:rPr>
            </w:pPr>
            <w:r>
              <w:rPr>
                <w:rFonts w:ascii="Times New Roman" w:hAnsi="Times New Roman" w:eastAsiaTheme="minorEastAsia"/>
                <w:color w:val="auto"/>
                <w:lang w:eastAsia="en-US"/>
              </w:rPr>
              <w:t>1</w:t>
            </w:r>
          </w:p>
        </w:tc>
        <w:tc>
          <w:tcPr>
            <w:tcW w:w="3068" w:type="dxa"/>
            <w:vAlign w:val="center"/>
          </w:tcPr>
          <w:p>
            <w:pPr>
              <w:pStyle w:val="161"/>
              <w:adjustRightInd w:val="0"/>
              <w:snapToGrid w:val="0"/>
              <w:jc w:val="center"/>
              <w:rPr>
                <w:rFonts w:ascii="Times New Roman" w:hAnsi="Times New Roman"/>
                <w:color w:val="auto"/>
                <w:lang w:eastAsia="en-US"/>
              </w:rPr>
            </w:pPr>
            <w:r>
              <w:rPr>
                <w:rFonts w:ascii="Times New Roman" w:hAnsi="Times New Roman"/>
                <w:color w:val="auto"/>
                <w:lang w:eastAsia="en-US"/>
              </w:rPr>
              <w:t>颗粒物</w:t>
            </w:r>
          </w:p>
        </w:tc>
        <w:tc>
          <w:tcPr>
            <w:tcW w:w="3937" w:type="dxa"/>
            <w:vAlign w:val="center"/>
          </w:tcPr>
          <w:p>
            <w:pPr>
              <w:pStyle w:val="161"/>
              <w:adjustRightInd w:val="0"/>
              <w:snapToGrid w:val="0"/>
              <w:jc w:val="center"/>
              <w:rPr>
                <w:rFonts w:ascii="Times New Roman" w:hAnsi="Times New Roman" w:eastAsiaTheme="minorEastAsia"/>
                <w:color w:val="auto"/>
                <w:lang w:eastAsia="en-US"/>
              </w:rPr>
            </w:pPr>
            <w:r>
              <w:rPr>
                <w:rFonts w:ascii="Times New Roman" w:hAnsi="Times New Roman"/>
                <w:color w:val="auto"/>
                <w:kern w:val="0"/>
                <w:szCs w:val="21"/>
                <w:lang w:eastAsia="zh-CN" w:bidi="ar"/>
              </w:rPr>
              <w:t>0.0846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39" w:hRule="atLeast"/>
          <w:jc w:val="center"/>
        </w:trPr>
        <w:tc>
          <w:tcPr>
            <w:tcW w:w="1544" w:type="dxa"/>
            <w:vAlign w:val="center"/>
          </w:tcPr>
          <w:p>
            <w:pPr>
              <w:pStyle w:val="161"/>
              <w:adjustRightInd w:val="0"/>
              <w:snapToGrid w:val="0"/>
              <w:jc w:val="center"/>
              <w:rPr>
                <w:rFonts w:ascii="Times New Roman" w:hAnsi="Times New Roman"/>
                <w:color w:val="auto"/>
                <w:lang w:eastAsia="en-US"/>
              </w:rPr>
            </w:pPr>
            <w:r>
              <w:rPr>
                <w:rFonts w:ascii="Times New Roman" w:hAnsi="Times New Roman" w:eastAsiaTheme="minorEastAsia"/>
                <w:color w:val="auto"/>
                <w:lang w:eastAsia="en-US"/>
              </w:rPr>
              <w:t>2</w:t>
            </w:r>
          </w:p>
        </w:tc>
        <w:tc>
          <w:tcPr>
            <w:tcW w:w="3068" w:type="dxa"/>
            <w:vAlign w:val="center"/>
          </w:tcPr>
          <w:p>
            <w:pPr>
              <w:pStyle w:val="161"/>
              <w:adjustRightInd w:val="0"/>
              <w:snapToGrid w:val="0"/>
              <w:jc w:val="center"/>
              <w:rPr>
                <w:rFonts w:ascii="Times New Roman" w:hAnsi="Times New Roman"/>
                <w:color w:val="auto"/>
                <w:lang w:eastAsia="en-US"/>
              </w:rPr>
            </w:pPr>
            <w:r>
              <w:rPr>
                <w:rFonts w:ascii="Times New Roman" w:hAnsi="Times New Roman"/>
                <w:color w:val="auto"/>
                <w:lang w:eastAsia="en-US"/>
              </w:rPr>
              <w:t>NH</w:t>
            </w:r>
            <w:r>
              <w:rPr>
                <w:rFonts w:ascii="Times New Roman" w:hAnsi="Times New Roman"/>
                <w:color w:val="auto"/>
                <w:vertAlign w:val="subscript"/>
                <w:lang w:eastAsia="en-US"/>
              </w:rPr>
              <w:t>3</w:t>
            </w:r>
          </w:p>
        </w:tc>
        <w:tc>
          <w:tcPr>
            <w:tcW w:w="3937" w:type="dxa"/>
            <w:vAlign w:val="center"/>
          </w:tcPr>
          <w:p>
            <w:pPr>
              <w:pStyle w:val="161"/>
              <w:adjustRightInd w:val="0"/>
              <w:snapToGrid w:val="0"/>
              <w:jc w:val="center"/>
              <w:rPr>
                <w:rFonts w:ascii="Times New Roman" w:hAnsi="Times New Roman" w:eastAsiaTheme="minorEastAsia"/>
                <w:color w:val="auto"/>
                <w:lang w:eastAsia="en-US"/>
              </w:rPr>
            </w:pPr>
            <w:r>
              <w:rPr>
                <w:rFonts w:ascii="Times New Roman" w:hAnsi="Times New Roman" w:eastAsiaTheme="minorEastAsia"/>
                <w:color w:val="auto"/>
                <w:lang w:eastAsia="en-US"/>
              </w:rPr>
              <w:t>0.1355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39" w:hRule="atLeast"/>
          <w:jc w:val="center"/>
        </w:trPr>
        <w:tc>
          <w:tcPr>
            <w:tcW w:w="1544" w:type="dxa"/>
            <w:vAlign w:val="center"/>
          </w:tcPr>
          <w:p>
            <w:pPr>
              <w:pStyle w:val="161"/>
              <w:adjustRightInd w:val="0"/>
              <w:snapToGrid w:val="0"/>
              <w:jc w:val="center"/>
              <w:rPr>
                <w:rFonts w:ascii="Times New Roman" w:hAnsi="Times New Roman" w:eastAsiaTheme="minorEastAsia"/>
                <w:color w:val="auto"/>
                <w:lang w:eastAsia="en-US"/>
              </w:rPr>
            </w:pPr>
            <w:r>
              <w:rPr>
                <w:rFonts w:ascii="Times New Roman" w:hAnsi="Times New Roman" w:eastAsiaTheme="minorEastAsia"/>
                <w:color w:val="auto"/>
                <w:lang w:eastAsia="en-US"/>
              </w:rPr>
              <w:t>3</w:t>
            </w:r>
          </w:p>
        </w:tc>
        <w:tc>
          <w:tcPr>
            <w:tcW w:w="3068" w:type="dxa"/>
            <w:vAlign w:val="center"/>
          </w:tcPr>
          <w:p>
            <w:pPr>
              <w:pStyle w:val="161"/>
              <w:adjustRightInd w:val="0"/>
              <w:snapToGrid w:val="0"/>
              <w:jc w:val="center"/>
              <w:rPr>
                <w:rFonts w:ascii="Times New Roman" w:hAnsi="Times New Roman" w:eastAsiaTheme="minorEastAsia"/>
                <w:color w:val="auto"/>
                <w:lang w:eastAsia="en-US"/>
              </w:rPr>
            </w:pPr>
            <w:r>
              <w:rPr>
                <w:rFonts w:ascii="Times New Roman" w:hAnsi="Times New Roman"/>
                <w:color w:val="auto"/>
                <w:lang w:eastAsia="en-US"/>
              </w:rPr>
              <w:t>H</w:t>
            </w:r>
            <w:r>
              <w:rPr>
                <w:rFonts w:ascii="Times New Roman" w:hAnsi="Times New Roman"/>
                <w:color w:val="auto"/>
                <w:vertAlign w:val="subscript"/>
                <w:lang w:eastAsia="en-US"/>
              </w:rPr>
              <w:t>2</w:t>
            </w:r>
            <w:r>
              <w:rPr>
                <w:rFonts w:ascii="Times New Roman" w:hAnsi="Times New Roman"/>
                <w:color w:val="auto"/>
                <w:lang w:eastAsia="en-US"/>
              </w:rPr>
              <w:t>S</w:t>
            </w:r>
          </w:p>
        </w:tc>
        <w:tc>
          <w:tcPr>
            <w:tcW w:w="3937" w:type="dxa"/>
            <w:vAlign w:val="center"/>
          </w:tcPr>
          <w:p>
            <w:pPr>
              <w:pStyle w:val="161"/>
              <w:adjustRightInd w:val="0"/>
              <w:snapToGrid w:val="0"/>
              <w:jc w:val="center"/>
              <w:rPr>
                <w:rFonts w:ascii="Times New Roman" w:hAnsi="Times New Roman" w:eastAsiaTheme="minorEastAsia"/>
                <w:color w:val="auto"/>
                <w:lang w:eastAsia="en-US"/>
              </w:rPr>
            </w:pPr>
            <w:r>
              <w:rPr>
                <w:rFonts w:ascii="Times New Roman" w:hAnsi="Times New Roman" w:eastAsiaTheme="minorEastAsia"/>
                <w:color w:val="auto"/>
                <w:lang w:eastAsia="en-US"/>
              </w:rPr>
              <w:t>0.000788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39" w:hRule="atLeast"/>
          <w:jc w:val="center"/>
        </w:trPr>
        <w:tc>
          <w:tcPr>
            <w:tcW w:w="1544" w:type="dxa"/>
            <w:vAlign w:val="center"/>
          </w:tcPr>
          <w:p>
            <w:pPr>
              <w:pStyle w:val="161"/>
              <w:adjustRightInd w:val="0"/>
              <w:snapToGrid w:val="0"/>
              <w:jc w:val="center"/>
              <w:rPr>
                <w:rFonts w:ascii="Times New Roman" w:hAnsi="Times New Roman" w:eastAsiaTheme="minorEastAsia"/>
                <w:color w:val="auto"/>
                <w:lang w:eastAsia="en-US"/>
              </w:rPr>
            </w:pPr>
            <w:r>
              <w:rPr>
                <w:rFonts w:ascii="Times New Roman" w:hAnsi="Times New Roman" w:eastAsiaTheme="minorEastAsia"/>
                <w:color w:val="auto"/>
                <w:lang w:eastAsia="en-US"/>
              </w:rPr>
              <w:t>4</w:t>
            </w:r>
          </w:p>
        </w:tc>
        <w:tc>
          <w:tcPr>
            <w:tcW w:w="3068" w:type="dxa"/>
            <w:vAlign w:val="center"/>
          </w:tcPr>
          <w:p>
            <w:pPr>
              <w:pStyle w:val="161"/>
              <w:adjustRightInd w:val="0"/>
              <w:snapToGrid w:val="0"/>
              <w:jc w:val="center"/>
              <w:rPr>
                <w:rFonts w:ascii="Times New Roman" w:hAnsi="Times New Roman" w:eastAsiaTheme="minorEastAsia"/>
                <w:color w:val="auto"/>
                <w:lang w:eastAsia="zh-CN"/>
              </w:rPr>
            </w:pPr>
            <w:r>
              <w:rPr>
                <w:rFonts w:ascii="Times New Roman" w:hAnsi="Times New Roman"/>
                <w:color w:val="auto"/>
                <w:lang w:eastAsia="zh-CN"/>
              </w:rPr>
              <w:t>VOCs（以非甲烷总烃计）</w:t>
            </w:r>
          </w:p>
        </w:tc>
        <w:tc>
          <w:tcPr>
            <w:tcW w:w="3937" w:type="dxa"/>
            <w:vAlign w:val="center"/>
          </w:tcPr>
          <w:p>
            <w:pPr>
              <w:pStyle w:val="161"/>
              <w:adjustRightInd w:val="0"/>
              <w:snapToGrid w:val="0"/>
              <w:jc w:val="center"/>
              <w:rPr>
                <w:rFonts w:ascii="Times New Roman" w:hAnsi="Times New Roman" w:eastAsiaTheme="minorEastAsia"/>
                <w:color w:val="auto"/>
                <w:lang w:eastAsia="en-US"/>
              </w:rPr>
            </w:pPr>
            <w:r>
              <w:rPr>
                <w:rFonts w:ascii="Times New Roman" w:hAnsi="Times New Roman" w:eastAsiaTheme="minorEastAsia"/>
                <w:color w:val="auto"/>
                <w:lang w:eastAsia="en-US"/>
              </w:rPr>
              <w:t>0.0232</w:t>
            </w:r>
          </w:p>
        </w:tc>
      </w:tr>
    </w:tbl>
    <w:p>
      <w:pPr>
        <w:pStyle w:val="130"/>
        <w:widowControl w:val="0"/>
        <w:spacing w:before="120" w:beforeLines="50"/>
        <w:ind w:firstLine="480"/>
        <w:rPr>
          <w:color w:val="auto"/>
        </w:rPr>
      </w:pPr>
      <w:r>
        <w:rPr>
          <w:color w:val="auto"/>
        </w:rPr>
        <w:t>（12）大气环境影响评价结论</w:t>
      </w:r>
    </w:p>
    <w:p>
      <w:pPr>
        <w:pStyle w:val="130"/>
        <w:widowControl w:val="0"/>
        <w:ind w:firstLine="480"/>
        <w:rPr>
          <w:color w:val="auto"/>
        </w:rPr>
      </w:pPr>
      <w:r>
        <w:rPr>
          <w:color w:val="auto"/>
        </w:rPr>
        <w:t>根据本项目预测及实际监测结果可知，本项目运营期间厂界处非甲烷总烃和颗粒物满足《大气污染物综合排放标准》（GB16297-1996）表2周界外无组织排放监控浓度限值要求；氨、硫化氢、臭气浓度（无量纲）排放满足《恶臭污染物排放标准》（GB14554-93）二级标准的厂界标准值要求。环境敏感目标（阳沟村希望小学）环境空气质量满足《环境空气质量标准》（GB3095-2012）及2018年修改单二级标准及《环境影响评价技术导则 大气环境》（HJ2.2-2018）附录D其他污染物空气质量浓度参考限值的要求，本项目对其影响较小。</w:t>
      </w:r>
    </w:p>
    <w:p>
      <w:pPr>
        <w:pStyle w:val="130"/>
        <w:widowControl w:val="0"/>
        <w:ind w:firstLine="480"/>
        <w:rPr>
          <w:color w:val="auto"/>
        </w:rPr>
      </w:pPr>
      <w:r>
        <w:rPr>
          <w:color w:val="auto"/>
        </w:rPr>
        <w:t>综上所述，在切实落实各项环境保护治理措施的前提下，从大气环境影响角度考虑，本项目对评价区环境空气质量的影响较小，建设可行。</w:t>
      </w:r>
    </w:p>
    <w:p>
      <w:pPr>
        <w:pStyle w:val="130"/>
        <w:ind w:firstLine="480"/>
        <w:rPr>
          <w:color w:val="auto"/>
        </w:rPr>
      </w:pPr>
      <w:r>
        <w:rPr>
          <w:color w:val="auto"/>
        </w:rPr>
        <w:t>（13）大气环境影响评价自查表</w:t>
      </w:r>
    </w:p>
    <w:p>
      <w:pPr>
        <w:pStyle w:val="130"/>
        <w:ind w:firstLine="480"/>
        <w:rPr>
          <w:color w:val="auto"/>
        </w:rPr>
      </w:pPr>
      <w:r>
        <w:rPr>
          <w:color w:val="auto"/>
        </w:rPr>
        <w:t>本项目建设项目大气环境影响评价自查表见下表。</w:t>
      </w:r>
    </w:p>
    <w:p>
      <w:pPr>
        <w:pStyle w:val="114"/>
        <w:spacing w:before="0" w:beforeLines="0"/>
        <w:rPr>
          <w:color w:val="auto"/>
        </w:rPr>
      </w:pPr>
      <w:r>
        <w:rPr>
          <w:color w:val="auto"/>
        </w:rPr>
        <w:t>表7.2-17  本项目大气环境影响评价自查表</w:t>
      </w:r>
    </w:p>
    <w:tbl>
      <w:tblPr>
        <w:tblStyle w:val="566"/>
        <w:tblW w:w="921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93"/>
        <w:gridCol w:w="1524"/>
        <w:gridCol w:w="1027"/>
        <w:gridCol w:w="284"/>
        <w:gridCol w:w="108"/>
        <w:gridCol w:w="120"/>
        <w:gridCol w:w="196"/>
        <w:gridCol w:w="426"/>
        <w:gridCol w:w="495"/>
        <w:gridCol w:w="72"/>
        <w:gridCol w:w="142"/>
        <w:gridCol w:w="425"/>
        <w:gridCol w:w="567"/>
        <w:gridCol w:w="283"/>
        <w:gridCol w:w="188"/>
        <w:gridCol w:w="379"/>
        <w:gridCol w:w="218"/>
        <w:gridCol w:w="208"/>
        <w:gridCol w:w="291"/>
        <w:gridCol w:w="701"/>
        <w:gridCol w:w="5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51" w:hRule="atLeast"/>
          <w:jc w:val="center"/>
        </w:trPr>
        <w:tc>
          <w:tcPr>
            <w:tcW w:w="2517" w:type="dxa"/>
            <w:gridSpan w:val="2"/>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工作内容</w:t>
            </w:r>
          </w:p>
        </w:tc>
        <w:tc>
          <w:tcPr>
            <w:tcW w:w="6698" w:type="dxa"/>
            <w:gridSpan w:val="19"/>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自查项目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53" w:hRule="atLeast"/>
          <w:jc w:val="center"/>
        </w:trPr>
        <w:tc>
          <w:tcPr>
            <w:tcW w:w="993" w:type="dxa"/>
            <w:vMerge w:val="restart"/>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评价等级与范围</w:t>
            </w: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评价等级</w:t>
            </w:r>
          </w:p>
        </w:tc>
        <w:tc>
          <w:tcPr>
            <w:tcW w:w="2656" w:type="dxa"/>
            <w:gridSpan w:val="7"/>
            <w:tcBorders>
              <w:tl2br w:val="nil"/>
              <w:tr2bl w:val="nil"/>
            </w:tcBorders>
            <w:vAlign w:val="center"/>
          </w:tcPr>
          <w:p>
            <w:pPr>
              <w:pStyle w:val="164"/>
              <w:rPr>
                <w:rFonts w:ascii="Times New Roman" w:hAnsi="Times New Roman" w:eastAsia="仿宋"/>
                <w:color w:val="auto"/>
                <w:sz w:val="18"/>
                <w:szCs w:val="18"/>
                <w:lang w:eastAsia="en-US"/>
              </w:rPr>
            </w:pPr>
            <w:r>
              <w:rPr>
                <w:rFonts w:ascii="Times New Roman" w:hAnsi="Times New Roman"/>
                <w:color w:val="auto"/>
                <w:sz w:val="18"/>
                <w:szCs w:val="18"/>
                <w:lang w:eastAsia="en-US"/>
              </w:rPr>
              <w:t>一级</w:t>
            </w:r>
            <w:r>
              <w:rPr>
                <w:rFonts w:ascii="Times New Roman" w:hAnsi="Times New Roman" w:eastAsia="仿宋"/>
                <w:color w:val="auto"/>
                <w:sz w:val="18"/>
                <w:szCs w:val="18"/>
                <w:lang w:eastAsia="en-US"/>
              </w:rPr>
              <w:t>□</w:t>
            </w:r>
          </w:p>
        </w:tc>
        <w:tc>
          <w:tcPr>
            <w:tcW w:w="2482" w:type="dxa"/>
            <w:gridSpan w:val="9"/>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二级</w:t>
            </w:r>
            <w:r>
              <w:rPr>
                <w:rFonts w:ascii="Times New Roman" w:hAnsi="Times New Roman" w:eastAsia="仿宋"/>
                <w:color w:val="auto"/>
                <w:sz w:val="18"/>
                <w:szCs w:val="18"/>
                <w:lang w:eastAsia="en-US"/>
              </w:rPr>
              <w:sym w:font="Wingdings 2" w:char="0052"/>
            </w:r>
          </w:p>
        </w:tc>
        <w:tc>
          <w:tcPr>
            <w:tcW w:w="1560" w:type="dxa"/>
            <w:gridSpan w:val="3"/>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三级</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1"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评价范围</w:t>
            </w:r>
          </w:p>
        </w:tc>
        <w:tc>
          <w:tcPr>
            <w:tcW w:w="2656" w:type="dxa"/>
            <w:gridSpan w:val="7"/>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边长=50km</w:t>
            </w:r>
            <w:r>
              <w:rPr>
                <w:rFonts w:ascii="Times New Roman" w:hAnsi="Times New Roman" w:eastAsia="仿宋"/>
                <w:color w:val="auto"/>
                <w:sz w:val="18"/>
                <w:szCs w:val="18"/>
                <w:lang w:eastAsia="en-US"/>
              </w:rPr>
              <w:t>□</w:t>
            </w:r>
          </w:p>
        </w:tc>
        <w:tc>
          <w:tcPr>
            <w:tcW w:w="2482" w:type="dxa"/>
            <w:gridSpan w:val="9"/>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边长5～50km</w:t>
            </w:r>
            <w:r>
              <w:rPr>
                <w:rFonts w:ascii="Times New Roman" w:hAnsi="Times New Roman" w:eastAsia="仿宋"/>
                <w:color w:val="auto"/>
                <w:sz w:val="18"/>
                <w:szCs w:val="18"/>
                <w:lang w:eastAsia="en-US"/>
              </w:rPr>
              <w:t>□</w:t>
            </w:r>
          </w:p>
        </w:tc>
        <w:tc>
          <w:tcPr>
            <w:tcW w:w="1560" w:type="dxa"/>
            <w:gridSpan w:val="3"/>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边长=5km</w:t>
            </w:r>
            <w:r>
              <w:rPr>
                <w:rFonts w:ascii="Times New Roman" w:hAnsi="Times New Roman" w:eastAsia="仿宋"/>
                <w:color w:val="auto"/>
                <w:sz w:val="18"/>
                <w:szCs w:val="18"/>
                <w:lang w:eastAsia="en-US"/>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77" w:hRule="atLeast"/>
          <w:jc w:val="center"/>
        </w:trPr>
        <w:tc>
          <w:tcPr>
            <w:tcW w:w="993" w:type="dxa"/>
            <w:vMerge w:val="restart"/>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评价因子</w:t>
            </w: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SO</w:t>
            </w:r>
            <w:r>
              <w:rPr>
                <w:rFonts w:ascii="Times New Roman" w:hAnsi="Times New Roman"/>
                <w:color w:val="auto"/>
                <w:sz w:val="18"/>
                <w:szCs w:val="18"/>
                <w:vertAlign w:val="subscript"/>
                <w:lang w:eastAsia="en-US"/>
              </w:rPr>
              <w:t xml:space="preserve">2 </w:t>
            </w:r>
            <w:r>
              <w:rPr>
                <w:rFonts w:ascii="Times New Roman" w:hAnsi="Times New Roman"/>
                <w:color w:val="auto"/>
                <w:sz w:val="18"/>
                <w:szCs w:val="18"/>
                <w:lang w:eastAsia="en-US"/>
              </w:rPr>
              <w:t>+NO</w:t>
            </w:r>
            <w:r>
              <w:rPr>
                <w:rFonts w:ascii="Times New Roman" w:hAnsi="Times New Roman"/>
                <w:i/>
                <w:color w:val="auto"/>
                <w:sz w:val="18"/>
                <w:szCs w:val="18"/>
                <w:vertAlign w:val="subscript"/>
                <w:lang w:eastAsia="en-US"/>
              </w:rPr>
              <w:t>x</w:t>
            </w:r>
            <w:r>
              <w:rPr>
                <w:rFonts w:ascii="Times New Roman" w:hAnsi="Times New Roman"/>
                <w:color w:val="auto"/>
                <w:sz w:val="18"/>
                <w:szCs w:val="18"/>
                <w:lang w:eastAsia="en-US"/>
              </w:rPr>
              <w:t>排放量</w:t>
            </w:r>
          </w:p>
        </w:tc>
        <w:tc>
          <w:tcPr>
            <w:tcW w:w="1419" w:type="dxa"/>
            <w:gridSpan w:val="3"/>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t>≥</w:t>
            </w:r>
            <w:r>
              <w:rPr>
                <w:rFonts w:ascii="Times New Roman" w:hAnsi="Times New Roman"/>
                <w:color w:val="auto"/>
                <w:sz w:val="18"/>
                <w:szCs w:val="18"/>
                <w:lang w:eastAsia="en-US"/>
              </w:rPr>
              <w:t xml:space="preserve"> 2000t/a</w:t>
            </w:r>
            <w:r>
              <w:rPr>
                <w:rFonts w:ascii="Times New Roman" w:hAnsi="Times New Roman" w:eastAsia="仿宋"/>
                <w:color w:val="auto"/>
                <w:sz w:val="18"/>
                <w:szCs w:val="18"/>
                <w:lang w:eastAsia="en-US"/>
              </w:rPr>
              <w:t>□</w:t>
            </w:r>
          </w:p>
        </w:tc>
        <w:tc>
          <w:tcPr>
            <w:tcW w:w="3719" w:type="dxa"/>
            <w:gridSpan w:val="13"/>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t xml:space="preserve">500 ~ </w:t>
            </w:r>
            <w:r>
              <w:rPr>
                <w:rFonts w:ascii="Times New Roman" w:hAnsi="Times New Roman"/>
                <w:color w:val="auto"/>
                <w:sz w:val="18"/>
                <w:szCs w:val="18"/>
                <w:lang w:eastAsia="en-US"/>
              </w:rPr>
              <w:t>2000t/a</w:t>
            </w:r>
            <w:r>
              <w:rPr>
                <w:rFonts w:ascii="Times New Roman" w:hAnsi="Times New Roman" w:eastAsia="仿宋"/>
                <w:color w:val="auto"/>
                <w:sz w:val="18"/>
                <w:szCs w:val="18"/>
                <w:lang w:eastAsia="en-US"/>
              </w:rPr>
              <w:t>□</w:t>
            </w:r>
          </w:p>
        </w:tc>
        <w:tc>
          <w:tcPr>
            <w:tcW w:w="1560" w:type="dxa"/>
            <w:gridSpan w:val="3"/>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t>＜</w:t>
            </w:r>
            <w:r>
              <w:rPr>
                <w:rFonts w:ascii="Times New Roman" w:hAnsi="Times New Roman"/>
                <w:color w:val="auto"/>
                <w:sz w:val="18"/>
                <w:szCs w:val="18"/>
                <w:lang w:eastAsia="en-US"/>
              </w:rPr>
              <w:t>500t/a</w:t>
            </w:r>
            <w:r>
              <w:rPr>
                <w:rFonts w:ascii="Times New Roman" w:hAnsi="Times New Roman" w:eastAsia="仿宋"/>
                <w:color w:val="auto"/>
                <w:sz w:val="18"/>
                <w:szCs w:val="18"/>
                <w:lang w:eastAsia="en-US"/>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564"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评价因子</w:t>
            </w:r>
          </w:p>
        </w:tc>
        <w:tc>
          <w:tcPr>
            <w:tcW w:w="3862" w:type="dxa"/>
            <w:gridSpan w:val="11"/>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基本污染物（PM</w:t>
            </w:r>
            <w:r>
              <w:rPr>
                <w:rFonts w:ascii="Times New Roman" w:hAnsi="Times New Roman"/>
                <w:color w:val="auto"/>
                <w:sz w:val="18"/>
                <w:szCs w:val="18"/>
                <w:vertAlign w:val="subscript"/>
                <w:lang w:eastAsia="en-US"/>
              </w:rPr>
              <w:t>10</w:t>
            </w:r>
            <w:r>
              <w:rPr>
                <w:rFonts w:ascii="Times New Roman" w:hAnsi="Times New Roman"/>
                <w:color w:val="auto"/>
                <w:sz w:val="18"/>
                <w:szCs w:val="18"/>
                <w:lang w:eastAsia="en-US"/>
              </w:rPr>
              <w:t>）</w:t>
            </w:r>
          </w:p>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其他污染物（H</w:t>
            </w:r>
            <w:r>
              <w:rPr>
                <w:rFonts w:ascii="Times New Roman" w:hAnsi="Times New Roman"/>
                <w:color w:val="auto"/>
                <w:sz w:val="18"/>
                <w:szCs w:val="18"/>
                <w:vertAlign w:val="subscript"/>
                <w:lang w:eastAsia="en-US"/>
              </w:rPr>
              <w:t>2</w:t>
            </w:r>
            <w:r>
              <w:rPr>
                <w:rFonts w:ascii="Times New Roman" w:hAnsi="Times New Roman"/>
                <w:color w:val="auto"/>
                <w:sz w:val="18"/>
                <w:szCs w:val="18"/>
                <w:lang w:eastAsia="en-US"/>
              </w:rPr>
              <w:t>S、NH</w:t>
            </w:r>
            <w:r>
              <w:rPr>
                <w:rFonts w:ascii="Times New Roman" w:hAnsi="Times New Roman"/>
                <w:color w:val="auto"/>
                <w:sz w:val="18"/>
                <w:szCs w:val="18"/>
                <w:vertAlign w:val="subscript"/>
                <w:lang w:eastAsia="en-US"/>
              </w:rPr>
              <w:t>3</w:t>
            </w:r>
            <w:r>
              <w:rPr>
                <w:rFonts w:ascii="Times New Roman" w:hAnsi="Times New Roman"/>
                <w:color w:val="auto"/>
                <w:sz w:val="18"/>
                <w:szCs w:val="18"/>
                <w:lang w:eastAsia="en-US"/>
              </w:rPr>
              <w:t>、VOCs）</w:t>
            </w:r>
          </w:p>
        </w:tc>
        <w:tc>
          <w:tcPr>
            <w:tcW w:w="2836" w:type="dxa"/>
            <w:gridSpan w:val="8"/>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包括二次PM</w:t>
            </w:r>
            <w:r>
              <w:rPr>
                <w:rFonts w:ascii="Times New Roman" w:hAnsi="Times New Roman"/>
                <w:color w:val="auto"/>
                <w:sz w:val="18"/>
                <w:szCs w:val="18"/>
                <w:vertAlign w:val="subscript"/>
                <w:lang w:eastAsia="en-US"/>
              </w:rPr>
              <w:t>2.5</w:t>
            </w:r>
            <w:r>
              <w:rPr>
                <w:rFonts w:ascii="Times New Roman" w:hAnsi="Times New Roman" w:eastAsia="仿宋"/>
                <w:color w:val="auto"/>
                <w:sz w:val="18"/>
                <w:szCs w:val="18"/>
                <w:lang w:eastAsia="en-US"/>
              </w:rPr>
              <w:t>□</w:t>
            </w:r>
          </w:p>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不包括二次PM</w:t>
            </w:r>
            <w:r>
              <w:rPr>
                <w:rFonts w:ascii="Times New Roman" w:hAnsi="Times New Roman"/>
                <w:color w:val="auto"/>
                <w:sz w:val="18"/>
                <w:szCs w:val="18"/>
                <w:vertAlign w:val="subscript"/>
                <w:lang w:eastAsia="en-US"/>
              </w:rPr>
              <w:t>2.5</w:t>
            </w:r>
            <w:r>
              <w:rPr>
                <w:rFonts w:ascii="Times New Roman" w:hAnsi="Times New Roman" w:eastAsia="仿宋"/>
                <w:color w:val="auto"/>
                <w:sz w:val="18"/>
                <w:szCs w:val="18"/>
                <w:lang w:eastAsia="en-US"/>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63" w:hRule="atLeast"/>
          <w:jc w:val="center"/>
        </w:trPr>
        <w:tc>
          <w:tcPr>
            <w:tcW w:w="993"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评价标准</w:t>
            </w: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评价标准</w:t>
            </w:r>
          </w:p>
        </w:tc>
        <w:tc>
          <w:tcPr>
            <w:tcW w:w="2161" w:type="dxa"/>
            <w:gridSpan w:val="6"/>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国家标准</w:t>
            </w:r>
            <w:r>
              <w:rPr>
                <w:rFonts w:ascii="Segoe UI Symbol" w:hAnsi="Segoe UI Symbol" w:eastAsia="仿宋" w:cs="Segoe UI Symbol"/>
                <w:color w:val="auto"/>
                <w:sz w:val="18"/>
                <w:szCs w:val="18"/>
                <w:lang w:eastAsia="en-US"/>
              </w:rPr>
              <w:t>☑</w:t>
            </w:r>
          </w:p>
        </w:tc>
        <w:tc>
          <w:tcPr>
            <w:tcW w:w="1701" w:type="dxa"/>
            <w:gridSpan w:val="5"/>
            <w:tcBorders>
              <w:tl2br w:val="nil"/>
              <w:tr2bl w:val="nil"/>
            </w:tcBorders>
            <w:vAlign w:val="center"/>
          </w:tcPr>
          <w:p>
            <w:pPr>
              <w:pStyle w:val="164"/>
              <w:rPr>
                <w:rFonts w:ascii="Times New Roman" w:hAnsi="Times New Roman" w:eastAsia="仿宋"/>
                <w:color w:val="auto"/>
                <w:sz w:val="18"/>
                <w:szCs w:val="18"/>
                <w:lang w:eastAsia="en-US"/>
              </w:rPr>
            </w:pPr>
            <w:r>
              <w:rPr>
                <w:rFonts w:ascii="Times New Roman" w:hAnsi="Times New Roman"/>
                <w:color w:val="auto"/>
                <w:sz w:val="18"/>
                <w:szCs w:val="18"/>
                <w:lang w:eastAsia="en-US"/>
              </w:rPr>
              <w:t xml:space="preserve">地方标准 </w:t>
            </w:r>
            <w:r>
              <w:rPr>
                <w:rFonts w:ascii="Times New Roman" w:hAnsi="Times New Roman" w:eastAsia="仿宋"/>
                <w:color w:val="auto"/>
                <w:sz w:val="18"/>
                <w:szCs w:val="18"/>
                <w:lang w:eastAsia="en-US"/>
              </w:rPr>
              <w:t>□</w:t>
            </w:r>
          </w:p>
        </w:tc>
        <w:tc>
          <w:tcPr>
            <w:tcW w:w="1567" w:type="dxa"/>
            <w:gridSpan w:val="6"/>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 xml:space="preserve">附录D </w:t>
            </w:r>
            <w:r>
              <w:rPr>
                <w:rFonts w:ascii="Times New Roman" w:hAnsi="Times New Roman" w:eastAsia="仿宋"/>
                <w:color w:val="auto"/>
                <w:sz w:val="18"/>
                <w:szCs w:val="18"/>
                <w:lang w:eastAsia="en-US"/>
              </w:rPr>
              <w:sym w:font="Wingdings 2" w:char="0052"/>
            </w:r>
          </w:p>
        </w:tc>
        <w:tc>
          <w:tcPr>
            <w:tcW w:w="1269" w:type="dxa"/>
            <w:gridSpan w:val="2"/>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其他标准</w:t>
            </w:r>
            <w:r>
              <w:rPr>
                <w:rFonts w:ascii="Segoe UI Symbol" w:hAnsi="Segoe UI Symbol" w:eastAsia="仿宋" w:cs="Segoe UI Symbol"/>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63" w:hRule="atLeast"/>
          <w:jc w:val="center"/>
        </w:trPr>
        <w:tc>
          <w:tcPr>
            <w:tcW w:w="993" w:type="dxa"/>
            <w:vMerge w:val="restart"/>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现状评价</w:t>
            </w: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环境功能区</w:t>
            </w:r>
          </w:p>
        </w:tc>
        <w:tc>
          <w:tcPr>
            <w:tcW w:w="2656" w:type="dxa"/>
            <w:gridSpan w:val="7"/>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一类区</w:t>
            </w:r>
            <w:r>
              <w:rPr>
                <w:rFonts w:ascii="Times New Roman" w:hAnsi="Times New Roman" w:eastAsia="仿宋"/>
                <w:color w:val="auto"/>
                <w:sz w:val="18"/>
                <w:szCs w:val="18"/>
                <w:lang w:eastAsia="en-US"/>
              </w:rPr>
              <w:t>□</w:t>
            </w:r>
          </w:p>
        </w:tc>
        <w:tc>
          <w:tcPr>
            <w:tcW w:w="2274" w:type="dxa"/>
            <w:gridSpan w:val="8"/>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二类区</w:t>
            </w:r>
            <w:r>
              <w:rPr>
                <w:rFonts w:ascii="Segoe UI Symbol" w:hAnsi="Segoe UI Symbol" w:eastAsia="仿宋" w:cs="Segoe UI Symbol"/>
                <w:color w:val="auto"/>
                <w:sz w:val="18"/>
                <w:szCs w:val="18"/>
                <w:lang w:eastAsia="en-US"/>
              </w:rPr>
              <w:t>☑</w:t>
            </w:r>
          </w:p>
        </w:tc>
        <w:tc>
          <w:tcPr>
            <w:tcW w:w="1768" w:type="dxa"/>
            <w:gridSpan w:val="4"/>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一类区和二类区</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47"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评价基准年</w:t>
            </w:r>
          </w:p>
        </w:tc>
        <w:tc>
          <w:tcPr>
            <w:tcW w:w="6698" w:type="dxa"/>
            <w:gridSpan w:val="19"/>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（2021）年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241"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环境空气质量</w:t>
            </w:r>
          </w:p>
          <w:p>
            <w:pPr>
              <w:pStyle w:val="164"/>
              <w:rPr>
                <w:rFonts w:ascii="Times New Roman" w:hAnsi="Times New Roman"/>
                <w:color w:val="auto"/>
                <w:sz w:val="18"/>
                <w:szCs w:val="18"/>
                <w:lang w:eastAsia="zh-CN"/>
              </w:rPr>
            </w:pPr>
            <w:r>
              <w:rPr>
                <w:rFonts w:ascii="Times New Roman" w:hAnsi="Times New Roman"/>
                <w:color w:val="auto"/>
                <w:sz w:val="18"/>
                <w:szCs w:val="18"/>
                <w:lang w:eastAsia="zh-CN"/>
              </w:rPr>
              <w:t>现状调查数据来源</w:t>
            </w:r>
          </w:p>
        </w:tc>
        <w:tc>
          <w:tcPr>
            <w:tcW w:w="2656" w:type="dxa"/>
            <w:gridSpan w:val="7"/>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长期例行监测数据</w:t>
            </w:r>
            <w:r>
              <w:rPr>
                <w:rFonts w:ascii="Times New Roman" w:hAnsi="Times New Roman" w:eastAsia="仿宋"/>
                <w:color w:val="auto"/>
                <w:sz w:val="18"/>
                <w:szCs w:val="18"/>
                <w:lang w:eastAsia="en-US"/>
              </w:rPr>
              <w:t>□</w:t>
            </w:r>
          </w:p>
        </w:tc>
        <w:tc>
          <w:tcPr>
            <w:tcW w:w="2482" w:type="dxa"/>
            <w:gridSpan w:val="9"/>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主管部门发布的数据</w:t>
            </w:r>
            <w:r>
              <w:rPr>
                <w:rFonts w:ascii="Segoe UI Symbol" w:hAnsi="Segoe UI Symbol" w:eastAsia="仿宋" w:cs="Segoe UI Symbol"/>
                <w:color w:val="auto"/>
                <w:sz w:val="18"/>
                <w:szCs w:val="18"/>
                <w:lang w:eastAsia="en-US"/>
              </w:rPr>
              <w:t>☑</w:t>
            </w:r>
          </w:p>
        </w:tc>
        <w:tc>
          <w:tcPr>
            <w:tcW w:w="1560" w:type="dxa"/>
            <w:gridSpan w:val="3"/>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现状补充监测</w:t>
            </w:r>
            <w:r>
              <w:rPr>
                <w:rFonts w:ascii="Segoe UI Symbol" w:hAnsi="Segoe UI Symbol" w:eastAsia="仿宋" w:cs="Segoe UI Symbol"/>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89"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现状评价</w:t>
            </w:r>
          </w:p>
        </w:tc>
        <w:tc>
          <w:tcPr>
            <w:tcW w:w="3862" w:type="dxa"/>
            <w:gridSpan w:val="11"/>
            <w:tcBorders>
              <w:tl2br w:val="nil"/>
              <w:tr2bl w:val="nil"/>
            </w:tcBorders>
            <w:vAlign w:val="center"/>
          </w:tcPr>
          <w:p>
            <w:pPr>
              <w:pStyle w:val="164"/>
              <w:rPr>
                <w:rFonts w:ascii="Times New Roman" w:hAnsi="Times New Roman" w:eastAsia="仿宋"/>
                <w:color w:val="auto"/>
                <w:sz w:val="18"/>
                <w:szCs w:val="18"/>
                <w:lang w:eastAsia="en-US"/>
              </w:rPr>
            </w:pPr>
            <w:r>
              <w:rPr>
                <w:rFonts w:ascii="Times New Roman" w:hAnsi="Times New Roman"/>
                <w:color w:val="auto"/>
                <w:sz w:val="18"/>
                <w:szCs w:val="18"/>
                <w:lang w:eastAsia="en-US"/>
              </w:rPr>
              <w:t>达标区</w:t>
            </w:r>
            <w:r>
              <w:rPr>
                <w:rFonts w:ascii="Times New Roman" w:hAnsi="Times New Roman" w:eastAsia="仿宋"/>
                <w:color w:val="auto"/>
                <w:sz w:val="18"/>
                <w:szCs w:val="18"/>
                <w:lang w:eastAsia="en-US"/>
              </w:rPr>
              <w:sym w:font="Wingdings 2" w:char="0052"/>
            </w:r>
          </w:p>
        </w:tc>
        <w:tc>
          <w:tcPr>
            <w:tcW w:w="2836" w:type="dxa"/>
            <w:gridSpan w:val="8"/>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不达标区</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241" w:hRule="atLeast"/>
          <w:jc w:val="center"/>
        </w:trPr>
        <w:tc>
          <w:tcPr>
            <w:tcW w:w="993"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污染源</w:t>
            </w:r>
          </w:p>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调查</w:t>
            </w: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调查内容</w:t>
            </w:r>
          </w:p>
        </w:tc>
        <w:tc>
          <w:tcPr>
            <w:tcW w:w="2161" w:type="dxa"/>
            <w:gridSpan w:val="6"/>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本项目正常排放源</w:t>
            </w:r>
            <w:r>
              <w:rPr>
                <w:rFonts w:ascii="Segoe UI Symbol" w:hAnsi="Segoe UI Symbol" w:eastAsia="仿宋" w:cs="Segoe UI Symbol"/>
                <w:color w:val="auto"/>
                <w:sz w:val="18"/>
                <w:szCs w:val="18"/>
                <w:lang w:eastAsia="zh-CN"/>
              </w:rPr>
              <w:t>☑</w:t>
            </w:r>
          </w:p>
          <w:p>
            <w:pPr>
              <w:pStyle w:val="164"/>
              <w:rPr>
                <w:rFonts w:ascii="Times New Roman" w:hAnsi="Times New Roman"/>
                <w:color w:val="auto"/>
                <w:sz w:val="18"/>
                <w:szCs w:val="18"/>
                <w:lang w:eastAsia="zh-CN"/>
              </w:rPr>
            </w:pPr>
            <w:r>
              <w:rPr>
                <w:rFonts w:ascii="Times New Roman" w:hAnsi="Times New Roman"/>
                <w:color w:val="auto"/>
                <w:sz w:val="18"/>
                <w:szCs w:val="18"/>
                <w:lang w:eastAsia="zh-CN"/>
              </w:rPr>
              <w:t>本项目非正常排放源</w:t>
            </w:r>
            <w:r>
              <w:rPr>
                <w:rFonts w:ascii="Times New Roman" w:hAnsi="Times New Roman" w:eastAsia="仿宋"/>
                <w:color w:val="auto"/>
                <w:sz w:val="18"/>
                <w:szCs w:val="18"/>
                <w:lang w:eastAsia="zh-CN"/>
              </w:rPr>
              <w:t>□</w:t>
            </w:r>
          </w:p>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原有污染源</w:t>
            </w:r>
            <w:r>
              <w:rPr>
                <w:rFonts w:ascii="Times New Roman" w:hAnsi="Times New Roman" w:eastAsia="仿宋"/>
                <w:color w:val="auto"/>
                <w:sz w:val="18"/>
                <w:szCs w:val="18"/>
                <w:lang w:eastAsia="en-US"/>
              </w:rPr>
              <w:t>□</w:t>
            </w:r>
          </w:p>
        </w:tc>
        <w:tc>
          <w:tcPr>
            <w:tcW w:w="1701" w:type="dxa"/>
            <w:gridSpan w:val="5"/>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拟替代的污染源</w:t>
            </w:r>
            <w:r>
              <w:rPr>
                <w:rFonts w:ascii="Times New Roman" w:hAnsi="Times New Roman" w:eastAsia="仿宋"/>
                <w:color w:val="auto"/>
                <w:sz w:val="18"/>
                <w:szCs w:val="18"/>
                <w:lang w:eastAsia="en-US"/>
              </w:rPr>
              <w:t>□</w:t>
            </w:r>
          </w:p>
        </w:tc>
        <w:tc>
          <w:tcPr>
            <w:tcW w:w="1567" w:type="dxa"/>
            <w:gridSpan w:val="6"/>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其他在建、拟建项目污染源</w:t>
            </w:r>
            <w:r>
              <w:rPr>
                <w:rFonts w:ascii="Times New Roman" w:hAnsi="Times New Roman" w:eastAsia="仿宋"/>
                <w:color w:val="auto"/>
                <w:sz w:val="18"/>
                <w:szCs w:val="18"/>
                <w:lang w:eastAsia="zh-CN"/>
              </w:rPr>
              <w:t>□</w:t>
            </w:r>
          </w:p>
        </w:tc>
        <w:tc>
          <w:tcPr>
            <w:tcW w:w="1269" w:type="dxa"/>
            <w:gridSpan w:val="2"/>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区域污染源</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241" w:hRule="atLeast"/>
          <w:jc w:val="center"/>
        </w:trPr>
        <w:tc>
          <w:tcPr>
            <w:tcW w:w="993" w:type="dxa"/>
            <w:vMerge w:val="restart"/>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大气环境影响预测与评价</w:t>
            </w: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预测模型</w:t>
            </w:r>
          </w:p>
        </w:tc>
        <w:tc>
          <w:tcPr>
            <w:tcW w:w="1027"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AERMOD</w:t>
            </w:r>
          </w:p>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t>□</w:t>
            </w:r>
          </w:p>
        </w:tc>
        <w:tc>
          <w:tcPr>
            <w:tcW w:w="708" w:type="dxa"/>
            <w:gridSpan w:val="4"/>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ADMS</w:t>
            </w:r>
          </w:p>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t>□</w:t>
            </w:r>
          </w:p>
        </w:tc>
        <w:tc>
          <w:tcPr>
            <w:tcW w:w="1135" w:type="dxa"/>
            <w:gridSpan w:val="4"/>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AUSTAL2000</w:t>
            </w:r>
          </w:p>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t>□</w:t>
            </w:r>
          </w:p>
        </w:tc>
        <w:tc>
          <w:tcPr>
            <w:tcW w:w="1275" w:type="dxa"/>
            <w:gridSpan w:val="3"/>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EDMS/AEDT</w:t>
            </w:r>
          </w:p>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t>□</w:t>
            </w:r>
          </w:p>
        </w:tc>
        <w:tc>
          <w:tcPr>
            <w:tcW w:w="993" w:type="dxa"/>
            <w:gridSpan w:val="4"/>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CALPUFF</w:t>
            </w:r>
          </w:p>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t>□</w:t>
            </w:r>
          </w:p>
        </w:tc>
        <w:tc>
          <w:tcPr>
            <w:tcW w:w="992" w:type="dxa"/>
            <w:gridSpan w:val="2"/>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网格模型</w:t>
            </w:r>
          </w:p>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t>□</w:t>
            </w:r>
          </w:p>
        </w:tc>
        <w:tc>
          <w:tcPr>
            <w:tcW w:w="568"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其他</w:t>
            </w:r>
          </w:p>
          <w:p>
            <w:pPr>
              <w:pStyle w:val="164"/>
              <w:rPr>
                <w:rFonts w:ascii="Times New Roman" w:hAnsi="Times New Roman"/>
                <w:color w:val="auto"/>
                <w:sz w:val="18"/>
                <w:szCs w:val="18"/>
                <w:lang w:eastAsia="en-US"/>
              </w:rPr>
            </w:pPr>
            <w:r>
              <w:rPr>
                <w:rFonts w:ascii="Times New Roman" w:hAnsi="Times New Roman" w:eastAsia="仿宋"/>
                <w:color w:val="auto"/>
                <w:sz w:val="18"/>
                <w:szCs w:val="18"/>
                <w:lang w:eastAsia="en-US"/>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34"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预测范围</w:t>
            </w:r>
          </w:p>
        </w:tc>
        <w:tc>
          <w:tcPr>
            <w:tcW w:w="1735" w:type="dxa"/>
            <w:gridSpan w:val="5"/>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边长</w:t>
            </w:r>
            <w:r>
              <w:rPr>
                <w:rFonts w:ascii="Times New Roman" w:hAnsi="Times New Roman" w:eastAsia="仿宋"/>
                <w:color w:val="auto"/>
                <w:sz w:val="18"/>
                <w:szCs w:val="18"/>
                <w:lang w:eastAsia="en-US"/>
              </w:rPr>
              <w:t>≥</w:t>
            </w:r>
            <w:r>
              <w:rPr>
                <w:rFonts w:ascii="Times New Roman" w:hAnsi="Times New Roman"/>
                <w:color w:val="auto"/>
                <w:sz w:val="18"/>
                <w:szCs w:val="18"/>
                <w:lang w:eastAsia="en-US"/>
              </w:rPr>
              <w:t xml:space="preserve"> 50km</w:t>
            </w:r>
            <w:r>
              <w:rPr>
                <w:rFonts w:ascii="Times New Roman" w:hAnsi="Times New Roman" w:eastAsia="仿宋"/>
                <w:color w:val="auto"/>
                <w:sz w:val="18"/>
                <w:szCs w:val="18"/>
                <w:lang w:eastAsia="en-US"/>
              </w:rPr>
              <w:t>□</w:t>
            </w:r>
          </w:p>
        </w:tc>
        <w:tc>
          <w:tcPr>
            <w:tcW w:w="3403" w:type="dxa"/>
            <w:gridSpan w:val="11"/>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 xml:space="preserve">边长5～50km </w:t>
            </w:r>
            <w:r>
              <w:rPr>
                <w:rFonts w:ascii="Times New Roman" w:hAnsi="Times New Roman" w:eastAsia="仿宋"/>
                <w:color w:val="auto"/>
                <w:sz w:val="18"/>
                <w:szCs w:val="18"/>
                <w:lang w:eastAsia="en-US"/>
              </w:rPr>
              <w:t>□</w:t>
            </w:r>
          </w:p>
        </w:tc>
        <w:tc>
          <w:tcPr>
            <w:tcW w:w="1560" w:type="dxa"/>
            <w:gridSpan w:val="3"/>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 xml:space="preserve">边长=5km </w:t>
            </w:r>
            <w:r>
              <w:rPr>
                <w:rFonts w:ascii="Times New Roman" w:hAnsi="Times New Roman" w:eastAsia="仿宋"/>
                <w:color w:val="auto"/>
                <w:sz w:val="18"/>
                <w:szCs w:val="18"/>
                <w:lang w:eastAsia="en-US"/>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401"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预测因子</w:t>
            </w:r>
          </w:p>
        </w:tc>
        <w:tc>
          <w:tcPr>
            <w:tcW w:w="3862" w:type="dxa"/>
            <w:gridSpan w:val="11"/>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预测因子(    )</w:t>
            </w:r>
          </w:p>
        </w:tc>
        <w:tc>
          <w:tcPr>
            <w:tcW w:w="2836" w:type="dxa"/>
            <w:gridSpan w:val="8"/>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包括二次PM</w:t>
            </w:r>
            <w:r>
              <w:rPr>
                <w:rFonts w:ascii="Times New Roman" w:hAnsi="Times New Roman"/>
                <w:color w:val="auto"/>
                <w:sz w:val="18"/>
                <w:szCs w:val="18"/>
                <w:vertAlign w:val="subscript"/>
                <w:lang w:eastAsia="en-US"/>
              </w:rPr>
              <w:t>2.5</w:t>
            </w:r>
          </w:p>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不包括二次PM</w:t>
            </w:r>
            <w:r>
              <w:rPr>
                <w:rFonts w:ascii="Times New Roman" w:hAnsi="Times New Roman"/>
                <w:color w:val="auto"/>
                <w:sz w:val="18"/>
                <w:szCs w:val="18"/>
                <w:vertAlign w:val="subscript"/>
                <w:lang w:eastAsia="en-US"/>
              </w:rPr>
              <w:t>2.5</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241"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正常排放短期浓度贡献值</w:t>
            </w:r>
          </w:p>
        </w:tc>
        <w:tc>
          <w:tcPr>
            <w:tcW w:w="3862" w:type="dxa"/>
            <w:gridSpan w:val="11"/>
            <w:tcBorders>
              <w:tl2br w:val="nil"/>
              <w:tr2bl w:val="nil"/>
            </w:tcBorders>
            <w:vAlign w:val="center"/>
          </w:tcPr>
          <w:p>
            <w:pPr>
              <w:pStyle w:val="164"/>
              <w:rPr>
                <w:rFonts w:ascii="Times New Roman" w:hAnsi="Times New Roman"/>
                <w:color w:val="auto"/>
                <w:sz w:val="18"/>
                <w:szCs w:val="18"/>
                <w:lang w:eastAsia="zh-CN"/>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zh-CN"/>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zh-CN"/>
                    </w:rPr>
                    <m:t>本项目</m:t>
                  </m:r>
                  <m:ctrlPr>
                    <w:rPr>
                      <w:rFonts w:ascii="Cambria Math" w:hAnsi="Cambria Math"/>
                      <w:i/>
                      <w:color w:val="auto"/>
                      <w:sz w:val="18"/>
                      <w:szCs w:val="18"/>
                      <w:lang w:eastAsia="en-US"/>
                    </w:rPr>
                  </m:ctrlPr>
                </m:sub>
              </m:sSub>
            </m:oMath>
            <w:r>
              <w:rPr>
                <w:rFonts w:ascii="Times New Roman" w:hAnsi="Times New Roman"/>
                <w:color w:val="auto"/>
                <w:sz w:val="18"/>
                <w:szCs w:val="18"/>
                <w:lang w:eastAsia="zh-CN"/>
              </w:rPr>
              <w:t>最大占标率</w:t>
            </w:r>
            <w:r>
              <w:rPr>
                <w:rFonts w:ascii="Times New Roman" w:hAnsi="Times New Roman" w:eastAsia="仿宋"/>
                <w:color w:val="auto"/>
                <w:sz w:val="18"/>
                <w:szCs w:val="18"/>
                <w:lang w:eastAsia="zh-CN"/>
              </w:rPr>
              <w:t>≤</w:t>
            </w:r>
            <w:r>
              <w:rPr>
                <w:rFonts w:ascii="Times New Roman" w:hAnsi="Times New Roman"/>
                <w:color w:val="auto"/>
                <w:sz w:val="18"/>
                <w:szCs w:val="18"/>
                <w:lang w:eastAsia="zh-CN"/>
              </w:rPr>
              <w:t>100%</w:t>
            </w:r>
            <w:r>
              <w:rPr>
                <w:rFonts w:ascii="Times New Roman" w:hAnsi="Times New Roman" w:eastAsia="仿宋"/>
                <w:color w:val="auto"/>
                <w:sz w:val="18"/>
                <w:szCs w:val="18"/>
                <w:lang w:eastAsia="zh-CN"/>
              </w:rPr>
              <w:t>□</w:t>
            </w:r>
          </w:p>
        </w:tc>
        <w:tc>
          <w:tcPr>
            <w:tcW w:w="2836" w:type="dxa"/>
            <w:gridSpan w:val="8"/>
            <w:tcBorders>
              <w:tl2br w:val="nil"/>
              <w:tr2bl w:val="nil"/>
            </w:tcBorders>
            <w:vAlign w:val="center"/>
          </w:tcPr>
          <w:p>
            <w:pPr>
              <w:pStyle w:val="164"/>
              <w:rPr>
                <w:rFonts w:ascii="Times New Roman" w:hAnsi="Times New Roman"/>
                <w:color w:val="auto"/>
                <w:sz w:val="18"/>
                <w:szCs w:val="18"/>
                <w:lang w:eastAsia="zh-CN"/>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zh-CN"/>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zh-CN"/>
                    </w:rPr>
                    <m:t>本项目</m:t>
                  </m:r>
                  <m:ctrlPr>
                    <w:rPr>
                      <w:rFonts w:ascii="Cambria Math" w:hAnsi="Cambria Math"/>
                      <w:i/>
                      <w:color w:val="auto"/>
                      <w:sz w:val="18"/>
                      <w:szCs w:val="18"/>
                      <w:lang w:eastAsia="en-US"/>
                    </w:rPr>
                  </m:ctrlPr>
                </m:sub>
              </m:sSub>
            </m:oMath>
            <w:r>
              <w:rPr>
                <w:rFonts w:ascii="Times New Roman" w:hAnsi="Times New Roman"/>
                <w:color w:val="auto"/>
                <w:sz w:val="18"/>
                <w:szCs w:val="18"/>
                <w:lang w:eastAsia="zh-CN"/>
              </w:rPr>
              <w:t>最大占标率</w:t>
            </w:r>
            <w:r>
              <w:rPr>
                <w:rFonts w:ascii="Times New Roman" w:hAnsi="Times New Roman" w:eastAsia="仿宋"/>
                <w:color w:val="auto"/>
                <w:sz w:val="18"/>
                <w:szCs w:val="18"/>
                <w:lang w:eastAsia="zh-CN"/>
              </w:rPr>
              <w:t>＞</w:t>
            </w:r>
            <w:r>
              <w:rPr>
                <w:rFonts w:ascii="Times New Roman" w:hAnsi="Times New Roman"/>
                <w:color w:val="auto"/>
                <w:sz w:val="18"/>
                <w:szCs w:val="18"/>
                <w:lang w:eastAsia="zh-CN"/>
              </w:rPr>
              <w:t xml:space="preserve">100% </w:t>
            </w:r>
            <w:r>
              <w:rPr>
                <w:rFonts w:ascii="Times New Roman" w:hAnsi="Times New Roman" w:eastAsia="仿宋"/>
                <w:color w:val="auto"/>
                <w:sz w:val="18"/>
                <w:szCs w:val="18"/>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489"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zh-CN"/>
              </w:rPr>
            </w:pPr>
          </w:p>
        </w:tc>
        <w:tc>
          <w:tcPr>
            <w:tcW w:w="1524" w:type="dxa"/>
            <w:vMerge w:val="restart"/>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正常排放年均浓度贡献值</w:t>
            </w:r>
          </w:p>
        </w:tc>
        <w:tc>
          <w:tcPr>
            <w:tcW w:w="1027"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一类区</w:t>
            </w:r>
          </w:p>
        </w:tc>
        <w:tc>
          <w:tcPr>
            <w:tcW w:w="2835" w:type="dxa"/>
            <w:gridSpan w:val="10"/>
            <w:tcBorders>
              <w:tl2br w:val="nil"/>
              <w:tr2bl w:val="nil"/>
            </w:tcBorders>
            <w:vAlign w:val="center"/>
          </w:tcPr>
          <w:p>
            <w:pPr>
              <w:pStyle w:val="164"/>
              <w:rPr>
                <w:rFonts w:ascii="Times New Roman" w:hAnsi="Times New Roman"/>
                <w:color w:val="auto"/>
                <w:sz w:val="18"/>
                <w:szCs w:val="18"/>
                <w:lang w:eastAsia="zh-CN"/>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zh-CN"/>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zh-CN"/>
                    </w:rPr>
                    <m:t>本项目</m:t>
                  </m:r>
                  <m:ctrlPr>
                    <w:rPr>
                      <w:rFonts w:ascii="Cambria Math" w:hAnsi="Cambria Math"/>
                      <w:i/>
                      <w:color w:val="auto"/>
                      <w:sz w:val="18"/>
                      <w:szCs w:val="18"/>
                      <w:lang w:eastAsia="en-US"/>
                    </w:rPr>
                  </m:ctrlPr>
                </m:sub>
              </m:sSub>
            </m:oMath>
            <w:r>
              <w:rPr>
                <w:rFonts w:ascii="Times New Roman" w:hAnsi="Times New Roman"/>
                <w:color w:val="auto"/>
                <w:sz w:val="18"/>
                <w:szCs w:val="18"/>
                <w:lang w:eastAsia="zh-CN"/>
              </w:rPr>
              <w:t>最大占标率</w:t>
            </w:r>
            <w:bookmarkStart w:id="411" w:name="OLE_LINK7"/>
            <w:r>
              <w:rPr>
                <w:rFonts w:ascii="Times New Roman" w:hAnsi="Times New Roman" w:eastAsia="仿宋"/>
                <w:color w:val="auto"/>
                <w:sz w:val="18"/>
                <w:szCs w:val="18"/>
                <w:lang w:eastAsia="zh-CN"/>
              </w:rPr>
              <w:t>≤</w:t>
            </w:r>
            <w:bookmarkEnd w:id="411"/>
            <w:r>
              <w:rPr>
                <w:rFonts w:ascii="Times New Roman" w:hAnsi="Times New Roman"/>
                <w:color w:val="auto"/>
                <w:sz w:val="18"/>
                <w:szCs w:val="18"/>
                <w:lang w:eastAsia="zh-CN"/>
              </w:rPr>
              <w:t>10%</w:t>
            </w:r>
            <w:r>
              <w:rPr>
                <w:rFonts w:ascii="Times New Roman" w:hAnsi="Times New Roman" w:eastAsia="仿宋"/>
                <w:color w:val="auto"/>
                <w:sz w:val="18"/>
                <w:szCs w:val="18"/>
                <w:lang w:eastAsia="zh-CN"/>
              </w:rPr>
              <w:t>□</w:t>
            </w:r>
          </w:p>
        </w:tc>
        <w:tc>
          <w:tcPr>
            <w:tcW w:w="2836" w:type="dxa"/>
            <w:gridSpan w:val="8"/>
            <w:tcBorders>
              <w:tl2br w:val="nil"/>
              <w:tr2bl w:val="nil"/>
            </w:tcBorders>
            <w:vAlign w:val="center"/>
          </w:tcPr>
          <w:p>
            <w:pPr>
              <w:pStyle w:val="164"/>
              <w:rPr>
                <w:rFonts w:ascii="Times New Roman" w:hAnsi="Times New Roman"/>
                <w:color w:val="auto"/>
                <w:sz w:val="18"/>
                <w:szCs w:val="18"/>
                <w:lang w:eastAsia="zh-CN"/>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zh-CN"/>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zh-CN"/>
                    </w:rPr>
                    <m:t>本项目</m:t>
                  </m:r>
                  <m:ctrlPr>
                    <w:rPr>
                      <w:rFonts w:ascii="Cambria Math" w:hAnsi="Cambria Math"/>
                      <w:i/>
                      <w:color w:val="auto"/>
                      <w:sz w:val="18"/>
                      <w:szCs w:val="18"/>
                      <w:lang w:eastAsia="en-US"/>
                    </w:rPr>
                  </m:ctrlPr>
                </m:sub>
              </m:sSub>
            </m:oMath>
            <w:r>
              <w:rPr>
                <w:rFonts w:ascii="Times New Roman" w:hAnsi="Times New Roman"/>
                <w:color w:val="auto"/>
                <w:sz w:val="18"/>
                <w:szCs w:val="18"/>
                <w:lang w:eastAsia="zh-CN"/>
              </w:rPr>
              <w:t>最大标率</w:t>
            </w:r>
            <w:r>
              <w:rPr>
                <w:rFonts w:ascii="Times New Roman" w:hAnsi="Times New Roman" w:eastAsia="仿宋"/>
                <w:color w:val="auto"/>
                <w:sz w:val="18"/>
                <w:szCs w:val="18"/>
                <w:lang w:eastAsia="zh-CN"/>
              </w:rPr>
              <w:t>＞</w:t>
            </w:r>
            <w:r>
              <w:rPr>
                <w:rFonts w:ascii="Times New Roman" w:hAnsi="Times New Roman"/>
                <w:color w:val="auto"/>
                <w:sz w:val="18"/>
                <w:szCs w:val="18"/>
                <w:lang w:eastAsia="zh-CN"/>
              </w:rPr>
              <w:t xml:space="preserve">10% </w:t>
            </w:r>
            <w:r>
              <w:rPr>
                <w:rFonts w:ascii="Times New Roman" w:hAnsi="Times New Roman" w:eastAsia="仿宋"/>
                <w:color w:val="auto"/>
                <w:sz w:val="18"/>
                <w:szCs w:val="18"/>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411"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zh-CN"/>
              </w:rPr>
            </w:pPr>
          </w:p>
        </w:tc>
        <w:tc>
          <w:tcPr>
            <w:tcW w:w="1524" w:type="dxa"/>
            <w:vMerge w:val="continue"/>
            <w:tcBorders>
              <w:tl2br w:val="nil"/>
              <w:tr2bl w:val="nil"/>
            </w:tcBorders>
            <w:vAlign w:val="center"/>
          </w:tcPr>
          <w:p>
            <w:pPr>
              <w:pStyle w:val="164"/>
              <w:rPr>
                <w:rFonts w:ascii="Times New Roman" w:hAnsi="Times New Roman"/>
                <w:color w:val="auto"/>
                <w:sz w:val="18"/>
                <w:szCs w:val="18"/>
                <w:lang w:eastAsia="zh-CN"/>
              </w:rPr>
            </w:pPr>
          </w:p>
        </w:tc>
        <w:tc>
          <w:tcPr>
            <w:tcW w:w="1027"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二类区</w:t>
            </w:r>
          </w:p>
        </w:tc>
        <w:tc>
          <w:tcPr>
            <w:tcW w:w="2835" w:type="dxa"/>
            <w:gridSpan w:val="10"/>
            <w:tcBorders>
              <w:tl2br w:val="nil"/>
              <w:tr2bl w:val="nil"/>
            </w:tcBorders>
            <w:vAlign w:val="center"/>
          </w:tcPr>
          <w:p>
            <w:pPr>
              <w:pStyle w:val="164"/>
              <w:rPr>
                <w:rFonts w:ascii="Times New Roman" w:hAnsi="Times New Roman"/>
                <w:color w:val="auto"/>
                <w:sz w:val="18"/>
                <w:szCs w:val="18"/>
                <w:lang w:eastAsia="zh-CN"/>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zh-CN"/>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zh-CN"/>
                    </w:rPr>
                    <m:t>本项目</m:t>
                  </m:r>
                  <m:ctrlPr>
                    <w:rPr>
                      <w:rFonts w:ascii="Cambria Math" w:hAnsi="Cambria Math"/>
                      <w:i/>
                      <w:color w:val="auto"/>
                      <w:sz w:val="18"/>
                      <w:szCs w:val="18"/>
                      <w:lang w:eastAsia="en-US"/>
                    </w:rPr>
                  </m:ctrlPr>
                </m:sub>
              </m:sSub>
            </m:oMath>
            <w:r>
              <w:rPr>
                <w:rFonts w:ascii="Times New Roman" w:hAnsi="Times New Roman"/>
                <w:color w:val="auto"/>
                <w:sz w:val="18"/>
                <w:szCs w:val="18"/>
                <w:lang w:eastAsia="zh-CN"/>
              </w:rPr>
              <w:t>最大占标率</w:t>
            </w:r>
            <w:r>
              <w:rPr>
                <w:rFonts w:ascii="Times New Roman" w:hAnsi="Times New Roman" w:eastAsia="仿宋"/>
                <w:color w:val="auto"/>
                <w:sz w:val="18"/>
                <w:szCs w:val="18"/>
                <w:lang w:eastAsia="zh-CN"/>
              </w:rPr>
              <w:t>≤</w:t>
            </w:r>
            <w:r>
              <w:rPr>
                <w:rFonts w:ascii="Times New Roman" w:hAnsi="Times New Roman"/>
                <w:color w:val="auto"/>
                <w:sz w:val="18"/>
                <w:szCs w:val="18"/>
                <w:lang w:eastAsia="zh-CN"/>
              </w:rPr>
              <w:t>30%</w:t>
            </w:r>
            <w:r>
              <w:rPr>
                <w:rFonts w:ascii="Times New Roman" w:hAnsi="Times New Roman" w:eastAsia="仿宋"/>
                <w:color w:val="auto"/>
                <w:sz w:val="18"/>
                <w:szCs w:val="18"/>
                <w:lang w:eastAsia="zh-CN"/>
              </w:rPr>
              <w:t>□</w:t>
            </w:r>
          </w:p>
        </w:tc>
        <w:tc>
          <w:tcPr>
            <w:tcW w:w="2836" w:type="dxa"/>
            <w:gridSpan w:val="8"/>
            <w:tcBorders>
              <w:tl2br w:val="nil"/>
              <w:tr2bl w:val="nil"/>
            </w:tcBorders>
            <w:vAlign w:val="center"/>
          </w:tcPr>
          <w:p>
            <w:pPr>
              <w:pStyle w:val="164"/>
              <w:rPr>
                <w:rFonts w:ascii="Times New Roman" w:hAnsi="Times New Roman"/>
                <w:color w:val="auto"/>
                <w:sz w:val="18"/>
                <w:szCs w:val="18"/>
                <w:lang w:eastAsia="zh-CN"/>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zh-CN"/>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zh-CN"/>
                    </w:rPr>
                    <m:t>本项目</m:t>
                  </m:r>
                  <m:ctrlPr>
                    <w:rPr>
                      <w:rFonts w:ascii="Cambria Math" w:hAnsi="Cambria Math"/>
                      <w:i/>
                      <w:color w:val="auto"/>
                      <w:sz w:val="18"/>
                      <w:szCs w:val="18"/>
                      <w:lang w:eastAsia="en-US"/>
                    </w:rPr>
                  </m:ctrlPr>
                </m:sub>
              </m:sSub>
            </m:oMath>
            <w:r>
              <w:rPr>
                <w:rFonts w:ascii="Times New Roman" w:hAnsi="Times New Roman"/>
                <w:color w:val="auto"/>
                <w:sz w:val="18"/>
                <w:szCs w:val="18"/>
                <w:lang w:eastAsia="zh-CN"/>
              </w:rPr>
              <w:t>最大标率</w:t>
            </w:r>
            <w:r>
              <w:rPr>
                <w:rFonts w:ascii="Times New Roman" w:hAnsi="Times New Roman" w:eastAsia="仿宋"/>
                <w:color w:val="auto"/>
                <w:sz w:val="18"/>
                <w:szCs w:val="18"/>
                <w:lang w:eastAsia="zh-CN"/>
              </w:rPr>
              <w:t>＞</w:t>
            </w:r>
            <w:r>
              <w:rPr>
                <w:rFonts w:ascii="Times New Roman" w:hAnsi="Times New Roman"/>
                <w:color w:val="auto"/>
                <w:sz w:val="18"/>
                <w:szCs w:val="18"/>
                <w:lang w:eastAsia="zh-CN"/>
              </w:rPr>
              <w:t xml:space="preserve">30% </w:t>
            </w:r>
            <w:r>
              <w:rPr>
                <w:rFonts w:ascii="Times New Roman" w:hAnsi="Times New Roman" w:eastAsia="仿宋"/>
                <w:color w:val="auto"/>
                <w:sz w:val="18"/>
                <w:szCs w:val="18"/>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241"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zh-CN"/>
              </w:rPr>
            </w:pPr>
          </w:p>
        </w:tc>
        <w:tc>
          <w:tcPr>
            <w:tcW w:w="1524" w:type="dxa"/>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非正常排放1h浓度贡献值</w:t>
            </w:r>
          </w:p>
        </w:tc>
        <w:tc>
          <w:tcPr>
            <w:tcW w:w="1539" w:type="dxa"/>
            <w:gridSpan w:val="4"/>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非正常持续时长</w:t>
            </w:r>
          </w:p>
          <w:p>
            <w:pPr>
              <w:pStyle w:val="164"/>
              <w:rPr>
                <w:rFonts w:ascii="Times New Roman" w:hAnsi="Times New Roman"/>
                <w:color w:val="auto"/>
                <w:sz w:val="18"/>
                <w:szCs w:val="18"/>
                <w:lang w:eastAsia="zh-CN"/>
              </w:rPr>
            </w:pPr>
            <w:r>
              <w:rPr>
                <w:rFonts w:ascii="Times New Roman" w:hAnsi="Times New Roman"/>
                <w:color w:val="auto"/>
                <w:sz w:val="18"/>
                <w:szCs w:val="18"/>
                <w:lang w:eastAsia="zh-CN"/>
              </w:rPr>
              <w:t>（  ）h</w:t>
            </w:r>
          </w:p>
        </w:tc>
        <w:tc>
          <w:tcPr>
            <w:tcW w:w="2794" w:type="dxa"/>
            <w:gridSpan w:val="9"/>
            <w:tcBorders>
              <w:tl2br w:val="nil"/>
              <w:tr2bl w:val="nil"/>
            </w:tcBorders>
            <w:vAlign w:val="center"/>
          </w:tcPr>
          <w:p>
            <w:pPr>
              <w:pStyle w:val="164"/>
              <w:rPr>
                <w:rFonts w:ascii="Times New Roman" w:hAnsi="Times New Roman"/>
                <w:color w:val="auto"/>
                <w:sz w:val="18"/>
                <w:szCs w:val="18"/>
                <w:lang w:eastAsia="en-US"/>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en-US"/>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en-US"/>
                    </w:rPr>
                    <m:t>非正常</m:t>
                  </m:r>
                  <m:ctrlPr>
                    <w:rPr>
                      <w:rFonts w:ascii="Cambria Math" w:hAnsi="Cambria Math"/>
                      <w:i/>
                      <w:color w:val="auto"/>
                      <w:sz w:val="18"/>
                      <w:szCs w:val="18"/>
                      <w:lang w:eastAsia="en-US"/>
                    </w:rPr>
                  </m:ctrlPr>
                </m:sub>
              </m:sSub>
            </m:oMath>
            <w:r>
              <w:rPr>
                <w:rFonts w:ascii="Times New Roman" w:hAnsi="Times New Roman"/>
                <w:color w:val="auto"/>
                <w:sz w:val="18"/>
                <w:szCs w:val="18"/>
                <w:lang w:eastAsia="en-US"/>
              </w:rPr>
              <w:t>占标率</w:t>
            </w:r>
            <w:r>
              <w:rPr>
                <w:rFonts w:ascii="Times New Roman" w:hAnsi="Times New Roman" w:eastAsia="仿宋"/>
                <w:color w:val="auto"/>
                <w:sz w:val="18"/>
                <w:szCs w:val="18"/>
                <w:lang w:eastAsia="en-US"/>
              </w:rPr>
              <w:t>≤</w:t>
            </w:r>
            <w:r>
              <w:rPr>
                <w:rFonts w:ascii="Times New Roman" w:hAnsi="Times New Roman"/>
                <w:color w:val="auto"/>
                <w:sz w:val="18"/>
                <w:szCs w:val="18"/>
                <w:lang w:eastAsia="en-US"/>
              </w:rPr>
              <w:t xml:space="preserve">100% </w:t>
            </w:r>
            <w:r>
              <w:rPr>
                <w:rFonts w:ascii="Times New Roman" w:hAnsi="Times New Roman" w:eastAsia="仿宋"/>
                <w:color w:val="auto"/>
                <w:sz w:val="18"/>
                <w:szCs w:val="18"/>
                <w:lang w:eastAsia="en-US"/>
              </w:rPr>
              <w:t>□</w:t>
            </w:r>
          </w:p>
        </w:tc>
        <w:tc>
          <w:tcPr>
            <w:tcW w:w="2365" w:type="dxa"/>
            <w:gridSpan w:val="6"/>
            <w:tcBorders>
              <w:tl2br w:val="nil"/>
              <w:tr2bl w:val="nil"/>
            </w:tcBorders>
            <w:vAlign w:val="center"/>
          </w:tcPr>
          <w:p>
            <w:pPr>
              <w:pStyle w:val="164"/>
              <w:rPr>
                <w:rFonts w:ascii="Times New Roman" w:hAnsi="Times New Roman"/>
                <w:color w:val="auto"/>
                <w:sz w:val="18"/>
                <w:szCs w:val="18"/>
                <w:lang w:eastAsia="en-US"/>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en-US"/>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en-US"/>
                    </w:rPr>
                    <m:t>非正常</m:t>
                  </m:r>
                  <m:ctrlPr>
                    <w:rPr>
                      <w:rFonts w:ascii="Cambria Math" w:hAnsi="Cambria Math"/>
                      <w:i/>
                      <w:color w:val="auto"/>
                      <w:sz w:val="18"/>
                      <w:szCs w:val="18"/>
                      <w:lang w:eastAsia="en-US"/>
                    </w:rPr>
                  </m:ctrlPr>
                </m:sub>
              </m:sSub>
            </m:oMath>
            <w:r>
              <w:rPr>
                <w:rFonts w:ascii="Times New Roman" w:hAnsi="Times New Roman"/>
                <w:color w:val="auto"/>
                <w:sz w:val="18"/>
                <w:szCs w:val="18"/>
                <w:lang w:eastAsia="en-US"/>
              </w:rPr>
              <w:t>占标率</w:t>
            </w:r>
            <w:r>
              <w:rPr>
                <w:rFonts w:ascii="Times New Roman" w:hAnsi="Times New Roman" w:eastAsia="仿宋"/>
                <w:color w:val="auto"/>
                <w:sz w:val="18"/>
                <w:szCs w:val="18"/>
                <w:lang w:eastAsia="en-US"/>
              </w:rPr>
              <w:t>＞</w:t>
            </w:r>
            <w:r>
              <w:rPr>
                <w:rFonts w:ascii="Times New Roman" w:hAnsi="Times New Roman"/>
                <w:color w:val="auto"/>
                <w:sz w:val="18"/>
                <w:szCs w:val="18"/>
                <w:lang w:eastAsia="en-US"/>
              </w:rPr>
              <w:t>100%</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625"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保证率日平均浓度和年平均浓度叠加值</w:t>
            </w:r>
          </w:p>
        </w:tc>
        <w:tc>
          <w:tcPr>
            <w:tcW w:w="3295" w:type="dxa"/>
            <w:gridSpan w:val="10"/>
            <w:tcBorders>
              <w:tl2br w:val="nil"/>
              <w:tr2bl w:val="nil"/>
            </w:tcBorders>
            <w:vAlign w:val="center"/>
          </w:tcPr>
          <w:p>
            <w:pPr>
              <w:pStyle w:val="164"/>
              <w:rPr>
                <w:rFonts w:ascii="Times New Roman" w:hAnsi="Times New Roman"/>
                <w:color w:val="auto"/>
                <w:sz w:val="18"/>
                <w:szCs w:val="18"/>
                <w:lang w:eastAsia="en-US"/>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en-US"/>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en-US"/>
                    </w:rPr>
                    <m:t>叠加</m:t>
                  </m:r>
                  <m:ctrlPr>
                    <w:rPr>
                      <w:rFonts w:ascii="Cambria Math" w:hAnsi="Cambria Math"/>
                      <w:i/>
                      <w:color w:val="auto"/>
                      <w:sz w:val="18"/>
                      <w:szCs w:val="18"/>
                      <w:lang w:eastAsia="en-US"/>
                    </w:rPr>
                  </m:ctrlPr>
                </m:sub>
              </m:sSub>
            </m:oMath>
            <w:r>
              <w:rPr>
                <w:rFonts w:ascii="Times New Roman" w:hAnsi="Times New Roman"/>
                <w:color w:val="auto"/>
                <w:sz w:val="18"/>
                <w:szCs w:val="18"/>
                <w:lang w:eastAsia="en-US"/>
              </w:rPr>
              <w:t>达标</w:t>
            </w:r>
            <w:r>
              <w:rPr>
                <w:rFonts w:ascii="Times New Roman" w:hAnsi="Times New Roman" w:eastAsia="仿宋"/>
                <w:color w:val="auto"/>
                <w:sz w:val="18"/>
                <w:szCs w:val="18"/>
                <w:lang w:eastAsia="en-US"/>
              </w:rPr>
              <w:t>□</w:t>
            </w:r>
          </w:p>
        </w:tc>
        <w:tc>
          <w:tcPr>
            <w:tcW w:w="3403" w:type="dxa"/>
            <w:gridSpan w:val="9"/>
            <w:tcBorders>
              <w:tl2br w:val="nil"/>
              <w:tr2bl w:val="nil"/>
            </w:tcBorders>
            <w:vAlign w:val="center"/>
          </w:tcPr>
          <w:p>
            <w:pPr>
              <w:pStyle w:val="164"/>
              <w:rPr>
                <w:rFonts w:ascii="Times New Roman" w:hAnsi="Times New Roman"/>
                <w:color w:val="auto"/>
                <w:sz w:val="18"/>
                <w:szCs w:val="18"/>
                <w:lang w:eastAsia="en-US"/>
              </w:rPr>
            </w:pPr>
            <m:oMath>
              <m:sSub>
                <m:sSubPr>
                  <m:ctrlPr>
                    <w:rPr>
                      <w:rFonts w:ascii="Cambria Math" w:hAnsi="Cambria Math"/>
                      <w:i/>
                      <w:color w:val="auto"/>
                      <w:sz w:val="18"/>
                      <w:szCs w:val="18"/>
                      <w:lang w:eastAsia="en-US"/>
                    </w:rPr>
                  </m:ctrlPr>
                </m:sSubPr>
                <m:e>
                  <m:r>
                    <w:rPr>
                      <w:rFonts w:ascii="Cambria Math" w:hAnsi="Cambria Math"/>
                      <w:color w:val="auto"/>
                      <w:sz w:val="18"/>
                      <w:szCs w:val="18"/>
                      <w:lang w:eastAsia="en-US"/>
                    </w:rPr>
                    <m:t>C</m:t>
                  </m:r>
                  <m:ctrlPr>
                    <w:rPr>
                      <w:rFonts w:ascii="Cambria Math" w:hAnsi="Cambria Math"/>
                      <w:i/>
                      <w:color w:val="auto"/>
                      <w:sz w:val="18"/>
                      <w:szCs w:val="18"/>
                      <w:lang w:eastAsia="en-US"/>
                    </w:rPr>
                  </m:ctrlPr>
                </m:e>
                <m:sub>
                  <m:r>
                    <m:rPr>
                      <m:sty m:val="p"/>
                    </m:rPr>
                    <w:rPr>
                      <w:rFonts w:ascii="Cambria Math" w:hAnsi="Cambria Math"/>
                      <w:color w:val="auto"/>
                      <w:sz w:val="18"/>
                      <w:szCs w:val="18"/>
                      <w:lang w:eastAsia="en-US"/>
                    </w:rPr>
                    <m:t>叠加</m:t>
                  </m:r>
                  <m:ctrlPr>
                    <w:rPr>
                      <w:rFonts w:ascii="Cambria Math" w:hAnsi="Cambria Math"/>
                      <w:i/>
                      <w:color w:val="auto"/>
                      <w:sz w:val="18"/>
                      <w:szCs w:val="18"/>
                      <w:lang w:eastAsia="en-US"/>
                    </w:rPr>
                  </m:ctrlPr>
                </m:sub>
              </m:sSub>
            </m:oMath>
            <w:r>
              <w:rPr>
                <w:rFonts w:ascii="Times New Roman" w:hAnsi="Times New Roman"/>
                <w:color w:val="auto"/>
                <w:sz w:val="18"/>
                <w:szCs w:val="18"/>
                <w:lang w:eastAsia="en-US"/>
              </w:rPr>
              <w:t xml:space="preserve">不达标 </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241"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ind w:left="-105" w:leftChars="-50" w:right="-105" w:rightChars="-50"/>
              <w:rPr>
                <w:rFonts w:ascii="Times New Roman" w:hAnsi="Times New Roman"/>
                <w:color w:val="auto"/>
                <w:sz w:val="18"/>
                <w:szCs w:val="18"/>
                <w:lang w:eastAsia="zh-CN"/>
              </w:rPr>
            </w:pPr>
            <w:r>
              <w:rPr>
                <w:rFonts w:ascii="Times New Roman" w:hAnsi="Times New Roman"/>
                <w:color w:val="auto"/>
                <w:sz w:val="18"/>
                <w:szCs w:val="18"/>
                <w:lang w:eastAsia="zh-CN"/>
              </w:rPr>
              <w:t>区域环境质量的整体变化情况</w:t>
            </w:r>
          </w:p>
        </w:tc>
        <w:tc>
          <w:tcPr>
            <w:tcW w:w="3295" w:type="dxa"/>
            <w:gridSpan w:val="10"/>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i/>
                <w:color w:val="auto"/>
                <w:sz w:val="18"/>
                <w:szCs w:val="18"/>
                <w:lang w:eastAsia="en-US"/>
              </w:rPr>
              <w:t xml:space="preserve">k </w:t>
            </w:r>
            <w:r>
              <w:rPr>
                <w:rFonts w:ascii="Times New Roman" w:hAnsi="Times New Roman" w:eastAsia="仿宋"/>
                <w:color w:val="auto"/>
                <w:sz w:val="18"/>
                <w:szCs w:val="18"/>
                <w:lang w:eastAsia="en-US"/>
              </w:rPr>
              <w:t>≤</w:t>
            </w:r>
            <w:r>
              <w:rPr>
                <w:rFonts w:ascii="Times New Roman" w:hAnsi="Times New Roman"/>
                <w:color w:val="auto"/>
                <w:sz w:val="18"/>
                <w:szCs w:val="18"/>
                <w:lang w:eastAsia="en-US"/>
              </w:rPr>
              <w:t xml:space="preserve">-20% </w:t>
            </w:r>
            <w:r>
              <w:rPr>
                <w:rFonts w:ascii="Times New Roman" w:hAnsi="Times New Roman" w:eastAsia="仿宋"/>
                <w:color w:val="auto"/>
                <w:sz w:val="18"/>
                <w:szCs w:val="18"/>
                <w:lang w:eastAsia="en-US"/>
              </w:rPr>
              <w:t>□</w:t>
            </w:r>
          </w:p>
        </w:tc>
        <w:tc>
          <w:tcPr>
            <w:tcW w:w="3403" w:type="dxa"/>
            <w:gridSpan w:val="9"/>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i/>
                <w:color w:val="auto"/>
                <w:sz w:val="18"/>
                <w:szCs w:val="18"/>
                <w:lang w:eastAsia="en-US"/>
              </w:rPr>
              <w:t>k</w:t>
            </w:r>
            <w:r>
              <w:rPr>
                <w:rFonts w:ascii="Times New Roman" w:hAnsi="Times New Roman"/>
                <w:color w:val="auto"/>
                <w:sz w:val="18"/>
                <w:szCs w:val="18"/>
                <w:lang w:eastAsia="en-US"/>
              </w:rPr>
              <w:t xml:space="preserve"> </w:t>
            </w:r>
            <w:r>
              <w:rPr>
                <w:rFonts w:ascii="Times New Roman" w:hAnsi="Times New Roman" w:eastAsia="仿宋"/>
                <w:color w:val="auto"/>
                <w:sz w:val="18"/>
                <w:szCs w:val="18"/>
                <w:lang w:eastAsia="en-US"/>
              </w:rPr>
              <w:t>＞</w:t>
            </w:r>
            <w:r>
              <w:rPr>
                <w:rFonts w:ascii="Times New Roman" w:hAnsi="Times New Roman"/>
                <w:color w:val="auto"/>
                <w:sz w:val="18"/>
                <w:szCs w:val="18"/>
                <w:lang w:eastAsia="en-US"/>
              </w:rPr>
              <w:t xml:space="preserve">-20% </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504" w:hRule="atLeast"/>
          <w:jc w:val="center"/>
        </w:trPr>
        <w:tc>
          <w:tcPr>
            <w:tcW w:w="993" w:type="dxa"/>
            <w:vMerge w:val="restart"/>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环境监测</w:t>
            </w:r>
          </w:p>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计划</w:t>
            </w: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污染源监测</w:t>
            </w:r>
          </w:p>
        </w:tc>
        <w:tc>
          <w:tcPr>
            <w:tcW w:w="3295" w:type="dxa"/>
            <w:gridSpan w:val="10"/>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有组织：H</w:t>
            </w:r>
            <w:r>
              <w:rPr>
                <w:rFonts w:ascii="Times New Roman" w:hAnsi="Times New Roman"/>
                <w:color w:val="auto"/>
                <w:sz w:val="18"/>
                <w:szCs w:val="18"/>
                <w:vertAlign w:val="subscript"/>
                <w:lang w:eastAsia="en-US"/>
              </w:rPr>
              <w:t>2</w:t>
            </w:r>
            <w:r>
              <w:rPr>
                <w:rFonts w:ascii="Times New Roman" w:hAnsi="Times New Roman"/>
                <w:color w:val="auto"/>
                <w:sz w:val="18"/>
                <w:szCs w:val="18"/>
                <w:lang w:eastAsia="en-US"/>
              </w:rPr>
              <w:t>S、NH</w:t>
            </w:r>
            <w:r>
              <w:rPr>
                <w:rFonts w:ascii="Times New Roman" w:hAnsi="Times New Roman"/>
                <w:color w:val="auto"/>
                <w:sz w:val="18"/>
                <w:szCs w:val="18"/>
                <w:vertAlign w:val="subscript"/>
                <w:lang w:eastAsia="en-US"/>
              </w:rPr>
              <w:t>3</w:t>
            </w:r>
            <w:r>
              <w:rPr>
                <w:rFonts w:ascii="Times New Roman" w:hAnsi="Times New Roman"/>
                <w:color w:val="auto"/>
                <w:sz w:val="18"/>
                <w:szCs w:val="18"/>
                <w:lang w:eastAsia="en-US"/>
              </w:rPr>
              <w:t>、VOCs、PM</w:t>
            </w:r>
            <w:r>
              <w:rPr>
                <w:rFonts w:ascii="Times New Roman" w:hAnsi="Times New Roman"/>
                <w:color w:val="auto"/>
                <w:sz w:val="18"/>
                <w:szCs w:val="18"/>
                <w:vertAlign w:val="subscript"/>
                <w:lang w:eastAsia="en-US"/>
              </w:rPr>
              <w:t>10</w:t>
            </w:r>
          </w:p>
          <w:p>
            <w:pPr>
              <w:pStyle w:val="164"/>
              <w:rPr>
                <w:rFonts w:ascii="Times New Roman" w:hAnsi="Times New Roman"/>
                <w:color w:val="auto"/>
                <w:sz w:val="18"/>
                <w:szCs w:val="18"/>
                <w:lang w:eastAsia="en-US"/>
              </w:rPr>
            </w:pPr>
            <w:r>
              <w:rPr>
                <w:rFonts w:ascii="Times New Roman" w:hAnsi="Times New Roman"/>
                <w:color w:val="auto"/>
                <w:sz w:val="18"/>
                <w:szCs w:val="18"/>
                <w:lang w:eastAsia="en-US"/>
              </w:rPr>
              <w:t>无组织 H</w:t>
            </w:r>
            <w:r>
              <w:rPr>
                <w:rFonts w:ascii="Times New Roman" w:hAnsi="Times New Roman"/>
                <w:color w:val="auto"/>
                <w:sz w:val="18"/>
                <w:szCs w:val="18"/>
                <w:vertAlign w:val="subscript"/>
                <w:lang w:eastAsia="en-US"/>
              </w:rPr>
              <w:t>2</w:t>
            </w:r>
            <w:r>
              <w:rPr>
                <w:rFonts w:ascii="Times New Roman" w:hAnsi="Times New Roman"/>
                <w:color w:val="auto"/>
                <w:sz w:val="18"/>
                <w:szCs w:val="18"/>
                <w:lang w:eastAsia="en-US"/>
              </w:rPr>
              <w:t>S、NH</w:t>
            </w:r>
            <w:r>
              <w:rPr>
                <w:rFonts w:ascii="Times New Roman" w:hAnsi="Times New Roman"/>
                <w:color w:val="auto"/>
                <w:sz w:val="18"/>
                <w:szCs w:val="18"/>
                <w:vertAlign w:val="subscript"/>
                <w:lang w:eastAsia="en-US"/>
              </w:rPr>
              <w:t>3</w:t>
            </w:r>
            <w:r>
              <w:rPr>
                <w:rFonts w:ascii="Times New Roman" w:hAnsi="Times New Roman"/>
                <w:color w:val="auto"/>
                <w:sz w:val="18"/>
                <w:szCs w:val="18"/>
                <w:lang w:eastAsia="en-US"/>
              </w:rPr>
              <w:t>、VOCs</w:t>
            </w:r>
          </w:p>
        </w:tc>
        <w:tc>
          <w:tcPr>
            <w:tcW w:w="2134" w:type="dxa"/>
            <w:gridSpan w:val="7"/>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 xml:space="preserve">有组织废气监测 </w:t>
            </w:r>
            <w:r>
              <w:rPr>
                <w:rFonts w:ascii="Segoe UI Symbol" w:hAnsi="Segoe UI Symbol" w:eastAsia="仿宋" w:cs="Segoe UI Symbol"/>
                <w:color w:val="auto"/>
                <w:sz w:val="18"/>
                <w:szCs w:val="18"/>
                <w:lang w:eastAsia="zh-CN"/>
              </w:rPr>
              <w:t>☑</w:t>
            </w:r>
            <w:r>
              <w:rPr>
                <w:rFonts w:ascii="Times New Roman" w:hAnsi="Times New Roman"/>
                <w:color w:val="auto"/>
                <w:sz w:val="18"/>
                <w:szCs w:val="18"/>
                <w:lang w:eastAsia="zh-CN"/>
              </w:rPr>
              <w:t xml:space="preserve">    </w:t>
            </w:r>
          </w:p>
          <w:p>
            <w:pPr>
              <w:pStyle w:val="164"/>
              <w:rPr>
                <w:rFonts w:ascii="Times New Roman" w:hAnsi="Times New Roman"/>
                <w:color w:val="auto"/>
                <w:sz w:val="18"/>
                <w:szCs w:val="18"/>
                <w:lang w:eastAsia="zh-CN"/>
              </w:rPr>
            </w:pPr>
            <w:r>
              <w:rPr>
                <w:rFonts w:ascii="Times New Roman" w:hAnsi="Times New Roman"/>
                <w:color w:val="auto"/>
                <w:sz w:val="18"/>
                <w:szCs w:val="18"/>
                <w:lang w:eastAsia="zh-CN"/>
              </w:rPr>
              <w:t xml:space="preserve">无组织废气监测 </w:t>
            </w:r>
            <w:r>
              <w:rPr>
                <w:rFonts w:ascii="Segoe UI Symbol" w:hAnsi="Segoe UI Symbol" w:eastAsia="仿宋" w:cs="Segoe UI Symbol"/>
                <w:color w:val="auto"/>
                <w:sz w:val="18"/>
                <w:szCs w:val="18"/>
                <w:lang w:eastAsia="zh-CN"/>
              </w:rPr>
              <w:t>☑</w:t>
            </w:r>
          </w:p>
        </w:tc>
        <w:tc>
          <w:tcPr>
            <w:tcW w:w="1269" w:type="dxa"/>
            <w:gridSpan w:val="2"/>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无监测</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51"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环境质量监测</w:t>
            </w:r>
          </w:p>
        </w:tc>
        <w:tc>
          <w:tcPr>
            <w:tcW w:w="3295" w:type="dxa"/>
            <w:gridSpan w:val="10"/>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监测因子：（    ）</w:t>
            </w:r>
          </w:p>
        </w:tc>
        <w:tc>
          <w:tcPr>
            <w:tcW w:w="2134" w:type="dxa"/>
            <w:gridSpan w:val="7"/>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监测点位数（  ）</w:t>
            </w:r>
          </w:p>
        </w:tc>
        <w:tc>
          <w:tcPr>
            <w:tcW w:w="1269" w:type="dxa"/>
            <w:gridSpan w:val="2"/>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无监测</w:t>
            </w:r>
            <w:r>
              <w:rPr>
                <w:rFonts w:ascii="Times New Roman" w:hAnsi="Times New Roman" w:eastAsia="仿宋"/>
                <w:color w:val="auto"/>
                <w:sz w:val="18"/>
                <w:szCs w:val="18"/>
                <w:lang w:eastAsia="en-US"/>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94" w:hRule="atLeast"/>
          <w:jc w:val="center"/>
        </w:trPr>
        <w:tc>
          <w:tcPr>
            <w:tcW w:w="993" w:type="dxa"/>
            <w:vMerge w:val="restart"/>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评价结论</w:t>
            </w: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环境影响</w:t>
            </w:r>
          </w:p>
        </w:tc>
        <w:tc>
          <w:tcPr>
            <w:tcW w:w="6698" w:type="dxa"/>
            <w:gridSpan w:val="19"/>
            <w:tcBorders>
              <w:tl2br w:val="nil"/>
              <w:tr2bl w:val="nil"/>
            </w:tcBorders>
            <w:vAlign w:val="center"/>
          </w:tcPr>
          <w:p>
            <w:pPr>
              <w:pStyle w:val="164"/>
              <w:rPr>
                <w:rFonts w:ascii="Times New Roman" w:hAnsi="Times New Roman" w:eastAsia="仿宋"/>
                <w:color w:val="auto"/>
                <w:sz w:val="18"/>
                <w:szCs w:val="18"/>
                <w:lang w:eastAsia="en-US"/>
              </w:rPr>
            </w:pPr>
            <w:r>
              <w:rPr>
                <w:rFonts w:ascii="Times New Roman" w:hAnsi="Times New Roman"/>
                <w:color w:val="auto"/>
                <w:sz w:val="18"/>
                <w:szCs w:val="18"/>
                <w:lang w:eastAsia="en-US"/>
              </w:rPr>
              <w:t xml:space="preserve">可以接受 </w:t>
            </w:r>
            <w:r>
              <w:rPr>
                <w:rFonts w:ascii="Segoe UI Symbol" w:hAnsi="Segoe UI Symbol" w:eastAsia="仿宋" w:cs="Segoe UI Symbol"/>
                <w:color w:val="auto"/>
                <w:sz w:val="18"/>
                <w:szCs w:val="18"/>
                <w:lang w:eastAsia="en-US"/>
              </w:rPr>
              <w:t>☑</w:t>
            </w:r>
            <w:r>
              <w:rPr>
                <w:rFonts w:ascii="Times New Roman" w:hAnsi="Times New Roman"/>
                <w:color w:val="auto"/>
                <w:sz w:val="18"/>
                <w:szCs w:val="18"/>
                <w:lang w:eastAsia="en-US"/>
              </w:rPr>
              <w:t xml:space="preserve">      不可以接受 </w:t>
            </w:r>
            <w:r>
              <w:rPr>
                <w:rFonts w:ascii="Times New Roman" w:hAnsi="Times New Roman" w:eastAsia="仿宋"/>
                <w:color w:val="auto"/>
                <w:sz w:val="18"/>
                <w:szCs w:val="18"/>
                <w:lang w:eastAsia="en-U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98"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en-US"/>
              </w:rPr>
            </w:pPr>
          </w:p>
        </w:tc>
        <w:tc>
          <w:tcPr>
            <w:tcW w:w="1524" w:type="dxa"/>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大气环境防护距离</w:t>
            </w:r>
          </w:p>
        </w:tc>
        <w:tc>
          <w:tcPr>
            <w:tcW w:w="6698" w:type="dxa"/>
            <w:gridSpan w:val="19"/>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距（/）厂界最远（/）m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399" w:hRule="atLeast"/>
          <w:jc w:val="center"/>
        </w:trPr>
        <w:tc>
          <w:tcPr>
            <w:tcW w:w="993" w:type="dxa"/>
            <w:vMerge w:val="continue"/>
            <w:tcBorders>
              <w:tl2br w:val="nil"/>
              <w:tr2bl w:val="nil"/>
            </w:tcBorders>
            <w:vAlign w:val="center"/>
          </w:tcPr>
          <w:p>
            <w:pPr>
              <w:pStyle w:val="164"/>
              <w:rPr>
                <w:rFonts w:ascii="Times New Roman" w:hAnsi="Times New Roman"/>
                <w:color w:val="auto"/>
                <w:sz w:val="18"/>
                <w:szCs w:val="18"/>
                <w:lang w:eastAsia="zh-CN"/>
              </w:rPr>
            </w:pPr>
          </w:p>
        </w:tc>
        <w:tc>
          <w:tcPr>
            <w:tcW w:w="1524" w:type="dxa"/>
            <w:tcBorders>
              <w:tl2br w:val="nil"/>
              <w:tr2bl w:val="nil"/>
            </w:tcBorders>
            <w:vAlign w:val="center"/>
          </w:tcPr>
          <w:p>
            <w:pPr>
              <w:pStyle w:val="164"/>
              <w:ind w:left="-105" w:leftChars="-50" w:right="-105" w:rightChars="-50"/>
              <w:rPr>
                <w:rFonts w:ascii="Times New Roman" w:hAnsi="Times New Roman"/>
                <w:color w:val="auto"/>
                <w:sz w:val="18"/>
                <w:szCs w:val="18"/>
                <w:lang w:eastAsia="en-US"/>
              </w:rPr>
            </w:pPr>
            <w:r>
              <w:rPr>
                <w:rFonts w:ascii="Times New Roman" w:hAnsi="Times New Roman"/>
                <w:color w:val="auto"/>
                <w:sz w:val="18"/>
                <w:szCs w:val="18"/>
                <w:lang w:eastAsia="en-US"/>
              </w:rPr>
              <w:t>污染源年排放量</w:t>
            </w:r>
          </w:p>
        </w:tc>
        <w:tc>
          <w:tcPr>
            <w:tcW w:w="1311" w:type="dxa"/>
            <w:gridSpan w:val="2"/>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SO</w:t>
            </w:r>
            <w:r>
              <w:rPr>
                <w:rFonts w:ascii="Times New Roman" w:hAnsi="Times New Roman"/>
                <w:color w:val="auto"/>
                <w:sz w:val="18"/>
                <w:szCs w:val="18"/>
                <w:vertAlign w:val="subscript"/>
                <w:lang w:eastAsia="en-US"/>
              </w:rPr>
              <w:t>2</w:t>
            </w:r>
            <w:r>
              <w:rPr>
                <w:rFonts w:ascii="Times New Roman" w:hAnsi="Times New Roman"/>
                <w:color w:val="auto"/>
                <w:sz w:val="18"/>
                <w:szCs w:val="18"/>
                <w:lang w:eastAsia="en-US"/>
              </w:rPr>
              <w:t>:（0）t/a</w:t>
            </w:r>
          </w:p>
        </w:tc>
        <w:tc>
          <w:tcPr>
            <w:tcW w:w="1417" w:type="dxa"/>
            <w:gridSpan w:val="6"/>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NO</w:t>
            </w:r>
            <w:r>
              <w:rPr>
                <w:rFonts w:ascii="Times New Roman" w:hAnsi="Times New Roman"/>
                <w:color w:val="auto"/>
                <w:sz w:val="18"/>
                <w:szCs w:val="18"/>
                <w:vertAlign w:val="subscript"/>
                <w:lang w:eastAsia="en-US"/>
              </w:rPr>
              <w:t>x</w:t>
            </w:r>
            <w:r>
              <w:rPr>
                <w:rFonts w:ascii="Times New Roman" w:hAnsi="Times New Roman"/>
                <w:color w:val="auto"/>
                <w:sz w:val="18"/>
                <w:szCs w:val="18"/>
                <w:lang w:eastAsia="en-US"/>
              </w:rPr>
              <w:t>:（0）t/a</w:t>
            </w:r>
          </w:p>
        </w:tc>
        <w:tc>
          <w:tcPr>
            <w:tcW w:w="1984" w:type="dxa"/>
            <w:gridSpan w:val="6"/>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颗粒物:（0.0846）t/a</w:t>
            </w:r>
          </w:p>
        </w:tc>
        <w:tc>
          <w:tcPr>
            <w:tcW w:w="1986" w:type="dxa"/>
            <w:gridSpan w:val="5"/>
            <w:tcBorders>
              <w:tl2br w:val="nil"/>
              <w:tr2bl w:val="nil"/>
            </w:tcBorders>
            <w:vAlign w:val="center"/>
          </w:tcPr>
          <w:p>
            <w:pPr>
              <w:pStyle w:val="164"/>
              <w:rPr>
                <w:rFonts w:ascii="Times New Roman" w:hAnsi="Times New Roman"/>
                <w:color w:val="auto"/>
                <w:sz w:val="18"/>
                <w:szCs w:val="18"/>
                <w:lang w:eastAsia="en-US"/>
              </w:rPr>
            </w:pPr>
            <w:r>
              <w:rPr>
                <w:rFonts w:ascii="Times New Roman" w:hAnsi="Times New Roman"/>
                <w:color w:val="auto"/>
                <w:sz w:val="18"/>
                <w:szCs w:val="18"/>
                <w:lang w:eastAsia="en-US"/>
              </w:rPr>
              <w:t>VOCs:（0.</w:t>
            </w:r>
            <w:r>
              <w:rPr>
                <w:rFonts w:hint="eastAsia"/>
                <w:color w:val="auto"/>
                <w:sz w:val="18"/>
                <w:szCs w:val="18"/>
                <w:lang w:val="en-US" w:eastAsia="zh-CN"/>
              </w:rPr>
              <w:t>0</w:t>
            </w:r>
            <w:r>
              <w:rPr>
                <w:rFonts w:ascii="Times New Roman" w:hAnsi="Times New Roman"/>
                <w:color w:val="auto"/>
                <w:sz w:val="18"/>
                <w:szCs w:val="18"/>
                <w:lang w:eastAsia="en-US"/>
              </w:rPr>
              <w:t>232）t/a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Ex>
        <w:trPr>
          <w:trHeight w:val="411" w:hRule="atLeast"/>
          <w:jc w:val="center"/>
        </w:trPr>
        <w:tc>
          <w:tcPr>
            <w:tcW w:w="9215" w:type="dxa"/>
            <w:gridSpan w:val="21"/>
            <w:tcBorders>
              <w:tl2br w:val="nil"/>
              <w:tr2bl w:val="nil"/>
            </w:tcBorders>
            <w:vAlign w:val="center"/>
          </w:tcPr>
          <w:p>
            <w:pPr>
              <w:pStyle w:val="164"/>
              <w:rPr>
                <w:rFonts w:ascii="Times New Roman" w:hAnsi="Times New Roman"/>
                <w:color w:val="auto"/>
                <w:sz w:val="18"/>
                <w:szCs w:val="18"/>
                <w:lang w:eastAsia="zh-CN"/>
              </w:rPr>
            </w:pPr>
            <w:r>
              <w:rPr>
                <w:rFonts w:ascii="Times New Roman" w:hAnsi="Times New Roman"/>
                <w:color w:val="auto"/>
                <w:sz w:val="18"/>
                <w:szCs w:val="18"/>
                <w:lang w:eastAsia="zh-CN"/>
              </w:rPr>
              <w:t>注：“</w:t>
            </w:r>
            <w:r>
              <w:rPr>
                <w:rFonts w:ascii="Times New Roman" w:hAnsi="Times New Roman" w:eastAsia="仿宋"/>
                <w:color w:val="auto"/>
                <w:sz w:val="18"/>
                <w:szCs w:val="18"/>
                <w:lang w:eastAsia="zh-CN"/>
              </w:rPr>
              <w:t>□</w:t>
            </w:r>
            <w:r>
              <w:rPr>
                <w:rFonts w:ascii="Times New Roman" w:hAnsi="Times New Roman"/>
                <w:color w:val="auto"/>
                <w:sz w:val="18"/>
                <w:szCs w:val="18"/>
                <w:lang w:eastAsia="zh-CN"/>
              </w:rPr>
              <w:t>” 为勾选项 ，填“√” ；“（   ）” 为内容填写项</w:t>
            </w:r>
          </w:p>
        </w:tc>
      </w:tr>
    </w:tbl>
    <w:p>
      <w:pPr>
        <w:pStyle w:val="4"/>
        <w:numPr>
          <w:ilvl w:val="1"/>
          <w:numId w:val="0"/>
        </w:numPr>
        <w:spacing w:before="120"/>
        <w:rPr>
          <w:color w:val="auto"/>
        </w:rPr>
      </w:pPr>
      <w:bookmarkStart w:id="412" w:name="_Toc387745656"/>
      <w:bookmarkStart w:id="413" w:name="_Toc109398672"/>
      <w:bookmarkStart w:id="414" w:name="_Toc331436392"/>
      <w:bookmarkStart w:id="415" w:name="_Toc335824655"/>
      <w:bookmarkStart w:id="416" w:name="_Toc11595410"/>
      <w:bookmarkStart w:id="417" w:name="_Toc493853539"/>
      <w:r>
        <w:rPr>
          <w:color w:val="auto"/>
        </w:rPr>
        <w:t>7.3运营期地表水环境影响分析及评价</w:t>
      </w:r>
      <w:bookmarkEnd w:id="412"/>
      <w:bookmarkEnd w:id="413"/>
      <w:bookmarkEnd w:id="414"/>
      <w:bookmarkEnd w:id="415"/>
      <w:bookmarkEnd w:id="416"/>
      <w:bookmarkEnd w:id="417"/>
    </w:p>
    <w:p>
      <w:pPr>
        <w:pStyle w:val="130"/>
        <w:ind w:firstLine="480"/>
        <w:rPr>
          <w:color w:val="auto"/>
        </w:rPr>
      </w:pPr>
      <w:r>
        <w:rPr>
          <w:color w:val="auto"/>
        </w:rPr>
        <w:t>本项目</w:t>
      </w:r>
      <w:r>
        <w:rPr>
          <w:rFonts w:hint="eastAsia"/>
          <w:color w:val="auto"/>
        </w:rPr>
        <w:t>建成后</w:t>
      </w:r>
      <w:r>
        <w:rPr>
          <w:color w:val="auto"/>
        </w:rPr>
        <w:t>全厂废水包括高温蒸煮冷凝废水及渗滤液、软水制备废水、场地冲洗废水、车辆冲洗废水、周转箱冲洗废水、蒸汽发生器及电锅炉软水制备废水、碱洗喷淋水箱废水和生活污水。</w:t>
      </w:r>
    </w:p>
    <w:p>
      <w:pPr>
        <w:pStyle w:val="130"/>
        <w:ind w:firstLine="480"/>
        <w:rPr>
          <w:color w:val="auto"/>
        </w:rPr>
      </w:pPr>
      <w:r>
        <w:rPr>
          <w:color w:val="auto"/>
        </w:rPr>
        <w:t>⑴生产废水</w:t>
      </w:r>
    </w:p>
    <w:p>
      <w:pPr>
        <w:pStyle w:val="130"/>
        <w:ind w:firstLine="480"/>
        <w:rPr>
          <w:color w:val="auto"/>
        </w:rPr>
      </w:pPr>
      <w:r>
        <w:rPr>
          <w:color w:val="auto"/>
        </w:rPr>
        <w:t>主要包括温高温蒸煮冷凝废水及渗滤液、冷却水循环系统废水、场地冲洗废水、车辆冲洗废水、周转箱冲洗废水、蒸汽发生器及电锅炉软水制备废水、碱洗喷淋水箱废水等，产生量为冬季8.92m</w:t>
      </w:r>
      <w:r>
        <w:rPr>
          <w:color w:val="auto"/>
          <w:vertAlign w:val="superscript"/>
        </w:rPr>
        <w:t>3</w:t>
      </w:r>
      <w:r>
        <w:rPr>
          <w:color w:val="auto"/>
        </w:rPr>
        <w:t>/d，其他季节8.6m</w:t>
      </w:r>
      <w:r>
        <w:rPr>
          <w:color w:val="auto"/>
          <w:vertAlign w:val="superscript"/>
        </w:rPr>
        <w:t>3</w:t>
      </w:r>
      <w:r>
        <w:rPr>
          <w:color w:val="auto"/>
        </w:rPr>
        <w:t>/d，2882.16m</w:t>
      </w:r>
      <w:r>
        <w:rPr>
          <w:color w:val="auto"/>
          <w:vertAlign w:val="superscript"/>
        </w:rPr>
        <w:t>3</w:t>
      </w:r>
      <w:r>
        <w:rPr>
          <w:color w:val="auto"/>
        </w:rPr>
        <w:t>/a。废水经厂区新建10m</w:t>
      </w:r>
      <w:r>
        <w:rPr>
          <w:color w:val="auto"/>
          <w:vertAlign w:val="superscript"/>
        </w:rPr>
        <w:t>3</w:t>
      </w:r>
      <w:r>
        <w:rPr>
          <w:color w:val="auto"/>
        </w:rPr>
        <w:t>/d一体化污水处理站（A</w:t>
      </w:r>
      <w:r>
        <w:rPr>
          <w:color w:val="auto"/>
          <w:vertAlign w:val="superscript"/>
        </w:rPr>
        <w:t>2</w:t>
      </w:r>
      <w:r>
        <w:rPr>
          <w:color w:val="auto"/>
        </w:rPr>
        <w:t>O+MBR+消毒）处理后达到《医疗机构水污染物排放标准》（GB18466-2005）综合医疗机构和其他医疗机构水污染物排放限值及《城市污水再生利用 城市杂用水水质》（GB/T18920-2020）中城市绿化、道路清扫、消防、建筑施工用水要求，处理后废水全部回用，用于中卫市生活垃圾填埋场道路抑尘，不外排。</w:t>
      </w:r>
    </w:p>
    <w:p>
      <w:pPr>
        <w:pStyle w:val="130"/>
        <w:ind w:firstLine="480"/>
        <w:rPr>
          <w:color w:val="auto"/>
        </w:rPr>
      </w:pPr>
      <w:r>
        <w:rPr>
          <w:color w:val="auto"/>
        </w:rPr>
        <w:t>⑵生活污水</w:t>
      </w:r>
    </w:p>
    <w:p>
      <w:pPr>
        <w:pStyle w:val="130"/>
        <w:ind w:firstLine="480"/>
        <w:rPr>
          <w:color w:val="auto"/>
        </w:rPr>
      </w:pPr>
      <w:r>
        <w:rPr>
          <w:color w:val="auto"/>
        </w:rPr>
        <w:t>生活污水产生量为1.94m</w:t>
      </w:r>
      <w:r>
        <w:rPr>
          <w:color w:val="auto"/>
          <w:vertAlign w:val="superscript"/>
        </w:rPr>
        <w:t>3</w:t>
      </w:r>
      <w:r>
        <w:rPr>
          <w:color w:val="auto"/>
        </w:rPr>
        <w:t>/d，638.88m</w:t>
      </w:r>
      <w:r>
        <w:rPr>
          <w:color w:val="auto"/>
          <w:vertAlign w:val="superscript"/>
        </w:rPr>
        <w:t>3</w:t>
      </w:r>
      <w:r>
        <w:rPr>
          <w:color w:val="auto"/>
        </w:rPr>
        <w:t>/a。依托现有化粪池处理，化粪池满后用吸污车运送至中卫市生活垃圾填埋场的渗滤液调蓄池。</w:t>
      </w:r>
    </w:p>
    <w:p>
      <w:pPr>
        <w:pStyle w:val="130"/>
        <w:ind w:firstLine="480"/>
        <w:rPr>
          <w:color w:val="auto"/>
        </w:rPr>
      </w:pPr>
      <w:r>
        <w:rPr>
          <w:color w:val="auto"/>
        </w:rPr>
        <w:t>⑶处理后回用可行性分析</w:t>
      </w:r>
    </w:p>
    <w:p>
      <w:pPr>
        <w:pStyle w:val="130"/>
        <w:ind w:firstLine="480"/>
        <w:rPr>
          <w:color w:val="auto"/>
        </w:rPr>
      </w:pPr>
      <w:r>
        <w:rPr>
          <w:rStyle w:val="131"/>
          <w:bCs/>
          <w:color w:val="auto"/>
        </w:rPr>
        <w:t>针对本项目</w:t>
      </w:r>
      <w:r>
        <w:rPr>
          <w:rStyle w:val="131"/>
          <w:rFonts w:hint="eastAsia"/>
          <w:bCs/>
          <w:color w:val="auto"/>
        </w:rPr>
        <w:t>全厂</w:t>
      </w:r>
      <w:r>
        <w:rPr>
          <w:rStyle w:val="131"/>
          <w:bCs/>
          <w:color w:val="auto"/>
        </w:rPr>
        <w:t>废水特点，生产废水经污水处理站进行处理（采用“</w:t>
      </w:r>
      <w:r>
        <w:rPr>
          <w:color w:val="auto"/>
        </w:rPr>
        <w:t>A</w:t>
      </w:r>
      <w:r>
        <w:rPr>
          <w:color w:val="auto"/>
          <w:vertAlign w:val="superscript"/>
        </w:rPr>
        <w:t>2</w:t>
      </w:r>
      <w:r>
        <w:rPr>
          <w:color w:val="auto"/>
        </w:rPr>
        <w:t>O+MBR+消毒</w:t>
      </w:r>
      <w:r>
        <w:rPr>
          <w:rStyle w:val="131"/>
          <w:bCs/>
          <w:color w:val="auto"/>
        </w:rPr>
        <w:t>”</w:t>
      </w:r>
      <w:r>
        <w:rPr>
          <w:color w:val="auto"/>
        </w:rPr>
        <w:t>工艺），根据对污水处理站综合废水进出口的浓度监测数据，处理后废水COD33mg/L、BOD</w:t>
      </w:r>
      <w:r>
        <w:rPr>
          <w:color w:val="auto"/>
          <w:vertAlign w:val="subscript"/>
        </w:rPr>
        <w:t>5</w:t>
      </w:r>
      <w:r>
        <w:rPr>
          <w:color w:val="auto"/>
        </w:rPr>
        <w:t>10mg/L、氨氮0.461mg/L、SS8mg/L、粪大肠杆菌未检出、余氯0.44mg/L、达到《医疗机构水污染物排放标准》（GB18466-2005）综合医疗机构和其他医疗机构水污染物排放限值及《城市污水再生利用 城市杂用水水质》（GB/T18920-2020）中城市绿化、道路清扫、消防、建筑施工用水要求。生活污水依托现有化粪池处理，化粪池满后用吸污车运送至中卫市生活垃圾填埋场的渗滤液调蓄池，根据宁夏城市供水水质监测网中卫监测站对中卫市垃圾填埋场渗滤液处理车间出口水质的检验监测报告可知，出口水质满足《中卫市生活垃圾填埋场污染控制标准》（GB16889-2008）。</w:t>
      </w:r>
    </w:p>
    <w:p>
      <w:pPr>
        <w:pStyle w:val="130"/>
        <w:ind w:firstLine="480"/>
        <w:rPr>
          <w:color w:val="auto"/>
        </w:rPr>
      </w:pPr>
      <w:r>
        <w:rPr>
          <w:color w:val="auto"/>
        </w:rPr>
        <w:t>综上所述，本项目</w:t>
      </w:r>
      <w:r>
        <w:rPr>
          <w:rFonts w:hint="eastAsia"/>
          <w:color w:val="auto"/>
        </w:rPr>
        <w:t>建成后全厂</w:t>
      </w:r>
      <w:r>
        <w:rPr>
          <w:color w:val="auto"/>
        </w:rPr>
        <w:t>产生的废水均得到合理处置，废水对地表水环境影响较小。</w:t>
      </w:r>
    </w:p>
    <w:p>
      <w:pPr>
        <w:jc w:val="center"/>
        <w:rPr>
          <w:rFonts w:eastAsiaTheme="minorEastAsia"/>
          <w:b/>
          <w:color w:val="auto"/>
          <w:kern w:val="0"/>
          <w:sz w:val="24"/>
          <w:szCs w:val="24"/>
        </w:rPr>
      </w:pPr>
    </w:p>
    <w:p>
      <w:pPr>
        <w:jc w:val="center"/>
        <w:rPr>
          <w:rFonts w:eastAsiaTheme="minorEastAsia"/>
          <w:b/>
          <w:color w:val="auto"/>
          <w:kern w:val="0"/>
          <w:sz w:val="24"/>
          <w:szCs w:val="24"/>
        </w:rPr>
        <w:sectPr>
          <w:pgSz w:w="11906" w:h="16838"/>
          <w:pgMar w:top="1701" w:right="1701" w:bottom="1701" w:left="1701" w:header="851" w:footer="851" w:gutter="0"/>
          <w:cols w:space="720" w:num="1"/>
          <w:docGrid w:linePitch="466" w:charSpace="0"/>
        </w:sectPr>
      </w:pPr>
    </w:p>
    <w:p>
      <w:pPr>
        <w:pStyle w:val="114"/>
        <w:spacing w:before="120"/>
        <w:rPr>
          <w:color w:val="auto"/>
        </w:rPr>
      </w:pPr>
      <w:r>
        <w:rPr>
          <w:rFonts w:hint="eastAsia"/>
          <w:color w:val="auto"/>
        </w:rPr>
        <w:t>表7</w:t>
      </w:r>
      <w:r>
        <w:rPr>
          <w:color w:val="auto"/>
        </w:rPr>
        <w:t>.3-1  建设项目地表水环境影响评价自查表</w:t>
      </w:r>
    </w:p>
    <w:tbl>
      <w:tblPr>
        <w:tblStyle w:val="567"/>
        <w:tblW w:w="90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9"/>
        <w:gridCol w:w="1602"/>
        <w:gridCol w:w="1158"/>
        <w:gridCol w:w="144"/>
        <w:gridCol w:w="581"/>
        <w:gridCol w:w="285"/>
        <w:gridCol w:w="883"/>
        <w:gridCol w:w="581"/>
        <w:gridCol w:w="733"/>
        <w:gridCol w:w="579"/>
        <w:gridCol w:w="589"/>
        <w:gridCol w:w="246"/>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2041" w:type="dxa"/>
            <w:gridSpan w:val="2"/>
            <w:tcBorders>
              <w:top w:val="single" w:color="auto" w:sz="12" w:space="0"/>
              <w:lef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工作内容</w:t>
            </w:r>
          </w:p>
        </w:tc>
        <w:tc>
          <w:tcPr>
            <w:tcW w:w="6987" w:type="dxa"/>
            <w:gridSpan w:val="11"/>
            <w:tcBorders>
              <w:top w:val="single" w:color="auto" w:sz="12" w:space="0"/>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restart"/>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影响识别</w:t>
            </w:r>
          </w:p>
        </w:tc>
        <w:tc>
          <w:tcPr>
            <w:tcW w:w="1602" w:type="dxa"/>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影响类型</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eastAsia="仿宋"/>
                <w:color w:val="auto"/>
                <w:kern w:val="0"/>
                <w:sz w:val="18"/>
                <w:szCs w:val="18"/>
              </w:rPr>
            </w:pPr>
            <w:r>
              <w:rPr>
                <w:rFonts w:ascii="Times New Roman" w:hAnsi="Times New Roman"/>
                <w:color w:val="auto"/>
                <w:kern w:val="0"/>
                <w:sz w:val="18"/>
                <w:szCs w:val="18"/>
              </w:rPr>
              <w:t>水污染影响型</w:t>
            </w:r>
            <w:r>
              <w:rPr>
                <w:rFonts w:ascii="Segoe UI Symbol" w:hAnsi="Segoe UI Symbol" w:cs="Segoe UI Symbol"/>
                <w:color w:val="auto"/>
                <w:kern w:val="0"/>
                <w:sz w:val="18"/>
                <w:szCs w:val="18"/>
              </w:rPr>
              <w:t>☑</w:t>
            </w:r>
            <w:r>
              <w:rPr>
                <w:rFonts w:ascii="Times New Roman" w:hAnsi="Times New Roman"/>
                <w:color w:val="auto"/>
                <w:kern w:val="0"/>
                <w:sz w:val="18"/>
                <w:szCs w:val="18"/>
              </w:rPr>
              <w:t xml:space="preserve">；水文要素影响型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水环境保护目标</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应用水水源保护区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；饮用水取水口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；涉水的自然保护区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；重要湿地 </w:t>
            </w:r>
            <w:r>
              <w:rPr>
                <w:rFonts w:ascii="Times New Roman" w:hAnsi="Times New Roman"/>
                <w:color w:val="auto"/>
                <w:kern w:val="0"/>
                <w:sz w:val="18"/>
                <w:szCs w:val="18"/>
              </w:rPr>
              <w:sym w:font="Wingdings 2" w:char="00A3"/>
            </w:r>
            <w:r>
              <w:rPr>
                <w:rFonts w:ascii="Times New Roman" w:hAnsi="Times New Roman"/>
                <w:color w:val="auto"/>
                <w:kern w:val="0"/>
                <w:sz w:val="18"/>
                <w:szCs w:val="18"/>
              </w:rPr>
              <w:t>；</w:t>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重点保护与珍稀水生生物的栖息地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；重要水生生物的自然产卵地及索耳场、越冬场和洄游通道、天然渔场等水体；涉水的风景名胜区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；其他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restart"/>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影响途径</w:t>
            </w:r>
          </w:p>
        </w:tc>
        <w:tc>
          <w:tcPr>
            <w:tcW w:w="3632"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水污染影响型</w:t>
            </w:r>
          </w:p>
        </w:tc>
        <w:tc>
          <w:tcPr>
            <w:tcW w:w="3355" w:type="dxa"/>
            <w:gridSpan w:val="5"/>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vAlign w:val="center"/>
          </w:tcPr>
          <w:p>
            <w:pPr>
              <w:widowControl/>
              <w:adjustRightInd w:val="0"/>
              <w:snapToGrid w:val="0"/>
              <w:jc w:val="center"/>
              <w:rPr>
                <w:rFonts w:ascii="Times New Roman" w:hAnsi="Times New Roman"/>
                <w:color w:val="auto"/>
                <w:kern w:val="0"/>
                <w:sz w:val="18"/>
                <w:szCs w:val="18"/>
              </w:rPr>
            </w:pPr>
          </w:p>
        </w:tc>
        <w:tc>
          <w:tcPr>
            <w:tcW w:w="3632" w:type="dxa"/>
            <w:gridSpan w:val="6"/>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直接排放</w:t>
            </w:r>
            <w:r>
              <w:rPr>
                <w:rFonts w:ascii="Times New Roman" w:hAnsi="Times New Roman"/>
                <w:color w:val="auto"/>
                <w:kern w:val="0"/>
                <w:sz w:val="18"/>
                <w:szCs w:val="18"/>
              </w:rPr>
              <w:sym w:font="Wingdings 2" w:char="00A3"/>
            </w:r>
            <w:r>
              <w:rPr>
                <w:rFonts w:ascii="Times New Roman" w:hAnsi="Times New Roman"/>
                <w:color w:val="auto"/>
                <w:kern w:val="0"/>
                <w:sz w:val="18"/>
                <w:szCs w:val="18"/>
              </w:rPr>
              <w:t>；间接排放□；其他</w:t>
            </w:r>
            <w:r>
              <w:rPr>
                <w:rFonts w:ascii="Times New Roman" w:hAnsi="Times New Roman"/>
                <w:color w:val="auto"/>
                <w:kern w:val="0"/>
                <w:sz w:val="18"/>
                <w:szCs w:val="18"/>
              </w:rPr>
              <w:sym w:font="Wingdings 2" w:char="0052"/>
            </w:r>
          </w:p>
        </w:tc>
        <w:tc>
          <w:tcPr>
            <w:tcW w:w="3355" w:type="dxa"/>
            <w:gridSpan w:val="5"/>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水温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；径流 </w:t>
            </w:r>
            <w:r>
              <w:rPr>
                <w:rFonts w:ascii="Times New Roman" w:hAnsi="Times New Roman"/>
                <w:color w:val="auto"/>
                <w:kern w:val="0"/>
                <w:sz w:val="18"/>
                <w:szCs w:val="18"/>
              </w:rPr>
              <w:sym w:font="Wingdings 2" w:char="00A3"/>
            </w:r>
            <w:r>
              <w:rPr>
                <w:rFonts w:ascii="Times New Roman" w:hAnsi="Times New Roman"/>
                <w:color w:val="auto"/>
                <w:kern w:val="0"/>
                <w:sz w:val="18"/>
                <w:szCs w:val="18"/>
              </w:rPr>
              <w:t>；水域面积</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影响因子</w:t>
            </w:r>
          </w:p>
        </w:tc>
        <w:tc>
          <w:tcPr>
            <w:tcW w:w="3632" w:type="dxa"/>
            <w:gridSpan w:val="6"/>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持久性污染物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；有毒有害污染物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；非持久性污染物 </w:t>
            </w:r>
            <w:r>
              <w:rPr>
                <w:rFonts w:ascii="Segoe UI Symbol" w:hAnsi="Segoe UI Symbol" w:cs="Segoe UI Symbol"/>
                <w:color w:val="auto"/>
                <w:kern w:val="0"/>
                <w:sz w:val="18"/>
                <w:szCs w:val="18"/>
              </w:rPr>
              <w:t>☑</w:t>
            </w:r>
            <w:r>
              <w:rPr>
                <w:rFonts w:ascii="Times New Roman" w:hAnsi="Times New Roman"/>
                <w:color w:val="auto"/>
                <w:kern w:val="0"/>
                <w:sz w:val="18"/>
                <w:szCs w:val="18"/>
              </w:rPr>
              <w:t xml:space="preserve">；pH值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；热污染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；富营养化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；其他 </w:t>
            </w:r>
            <w:r>
              <w:rPr>
                <w:rFonts w:ascii="Times New Roman" w:hAnsi="Times New Roman"/>
                <w:color w:val="auto"/>
                <w:kern w:val="0"/>
                <w:sz w:val="18"/>
                <w:szCs w:val="18"/>
              </w:rPr>
              <w:sym w:font="Wingdings 2" w:char="00A3"/>
            </w:r>
          </w:p>
        </w:tc>
        <w:tc>
          <w:tcPr>
            <w:tcW w:w="3355" w:type="dxa"/>
            <w:gridSpan w:val="5"/>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水温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；水位（水深）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；流速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；流量 </w:t>
            </w:r>
            <w:r>
              <w:rPr>
                <w:rFonts w:ascii="Times New Roman" w:hAnsi="Times New Roman"/>
                <w:color w:val="auto"/>
                <w:kern w:val="0"/>
                <w:sz w:val="18"/>
                <w:szCs w:val="18"/>
              </w:rPr>
              <w:sym w:font="Wingdings 2" w:char="0052"/>
            </w:r>
            <w:r>
              <w:rPr>
                <w:rFonts w:ascii="Times New Roman" w:hAnsi="Times New Roman"/>
                <w:color w:val="auto"/>
                <w:kern w:val="0"/>
                <w:sz w:val="18"/>
                <w:szCs w:val="18"/>
              </w:rPr>
              <w:t xml:space="preserve">；其他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41" w:type="dxa"/>
            <w:gridSpan w:val="2"/>
            <w:vMerge w:val="restart"/>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评价等级</w:t>
            </w:r>
          </w:p>
        </w:tc>
        <w:tc>
          <w:tcPr>
            <w:tcW w:w="3632"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水污染影响型</w:t>
            </w:r>
          </w:p>
        </w:tc>
        <w:tc>
          <w:tcPr>
            <w:tcW w:w="3355" w:type="dxa"/>
            <w:gridSpan w:val="5"/>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41" w:type="dxa"/>
            <w:gridSpan w:val="2"/>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3632" w:type="dxa"/>
            <w:gridSpan w:val="6"/>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一级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；二级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；三级A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；三级B </w:t>
            </w:r>
            <w:r>
              <w:rPr>
                <w:rFonts w:ascii="Segoe UI Symbol" w:hAnsi="Segoe UI Symbol" w:cs="Segoe UI Symbol"/>
                <w:color w:val="auto"/>
                <w:kern w:val="0"/>
                <w:sz w:val="18"/>
                <w:szCs w:val="18"/>
              </w:rPr>
              <w:t>☑</w:t>
            </w:r>
          </w:p>
        </w:tc>
        <w:tc>
          <w:tcPr>
            <w:tcW w:w="3355" w:type="dxa"/>
            <w:gridSpan w:val="5"/>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一级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；二级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；三级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restart"/>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现状调查</w:t>
            </w:r>
          </w:p>
        </w:tc>
        <w:tc>
          <w:tcPr>
            <w:tcW w:w="1602" w:type="dxa"/>
            <w:vMerge w:val="restart"/>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区域污染源</w:t>
            </w:r>
          </w:p>
        </w:tc>
        <w:tc>
          <w:tcPr>
            <w:tcW w:w="3632"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调查项目</w:t>
            </w:r>
          </w:p>
        </w:tc>
        <w:tc>
          <w:tcPr>
            <w:tcW w:w="3355" w:type="dxa"/>
            <w:gridSpan w:val="5"/>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vAlign w:val="center"/>
          </w:tcPr>
          <w:p>
            <w:pPr>
              <w:widowControl/>
              <w:adjustRightInd w:val="0"/>
              <w:snapToGrid w:val="0"/>
              <w:jc w:val="center"/>
              <w:rPr>
                <w:rFonts w:ascii="Times New Roman" w:hAnsi="Times New Roman"/>
                <w:color w:val="auto"/>
                <w:kern w:val="0"/>
                <w:sz w:val="18"/>
                <w:szCs w:val="18"/>
              </w:rPr>
            </w:pPr>
          </w:p>
        </w:tc>
        <w:tc>
          <w:tcPr>
            <w:tcW w:w="1883" w:type="dxa"/>
            <w:gridSpan w:val="3"/>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已建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；在建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；拟建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；其他 </w:t>
            </w:r>
            <w:r>
              <w:rPr>
                <w:rFonts w:ascii="Times New Roman" w:hAnsi="Times New Roman"/>
                <w:color w:val="auto"/>
                <w:kern w:val="0"/>
                <w:sz w:val="18"/>
                <w:szCs w:val="18"/>
              </w:rPr>
              <w:sym w:font="Wingdings 2" w:char="00A3"/>
            </w:r>
            <w:r>
              <w:rPr>
                <w:rFonts w:ascii="Times New Roman" w:hAnsi="Times New Roman"/>
                <w:color w:val="auto"/>
                <w:kern w:val="0"/>
                <w:sz w:val="18"/>
                <w:szCs w:val="18"/>
              </w:rPr>
              <w:t>；</w:t>
            </w:r>
          </w:p>
        </w:tc>
        <w:tc>
          <w:tcPr>
            <w:tcW w:w="1749" w:type="dxa"/>
            <w:gridSpan w:val="3"/>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拟替代的污染源 </w:t>
            </w:r>
            <w:r>
              <w:rPr>
                <w:rFonts w:ascii="Times New Roman" w:hAnsi="Times New Roman"/>
                <w:color w:val="auto"/>
                <w:kern w:val="0"/>
                <w:sz w:val="18"/>
                <w:szCs w:val="18"/>
              </w:rPr>
              <w:sym w:font="Wingdings 2" w:char="00A3"/>
            </w:r>
          </w:p>
        </w:tc>
        <w:tc>
          <w:tcPr>
            <w:tcW w:w="3355" w:type="dxa"/>
            <w:gridSpan w:val="5"/>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排污许可证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；环评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；环保验收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；即有实测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；现场监测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；入河排放口数据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；其他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restart"/>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受影响水体水环境质量</w:t>
            </w:r>
          </w:p>
        </w:tc>
        <w:tc>
          <w:tcPr>
            <w:tcW w:w="3632"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调查时期</w:t>
            </w:r>
          </w:p>
        </w:tc>
        <w:tc>
          <w:tcPr>
            <w:tcW w:w="3355" w:type="dxa"/>
            <w:gridSpan w:val="5"/>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vAlign w:val="center"/>
          </w:tcPr>
          <w:p>
            <w:pPr>
              <w:widowControl/>
              <w:adjustRightInd w:val="0"/>
              <w:snapToGrid w:val="0"/>
              <w:jc w:val="center"/>
              <w:rPr>
                <w:rFonts w:ascii="Times New Roman" w:hAnsi="Times New Roman"/>
                <w:color w:val="auto"/>
                <w:kern w:val="0"/>
                <w:sz w:val="18"/>
                <w:szCs w:val="18"/>
              </w:rPr>
            </w:pPr>
          </w:p>
        </w:tc>
        <w:tc>
          <w:tcPr>
            <w:tcW w:w="3632" w:type="dxa"/>
            <w:gridSpan w:val="6"/>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丰水期 </w:t>
            </w:r>
            <w:r>
              <w:rPr>
                <w:rFonts w:ascii="Segoe UI Symbol" w:hAnsi="Segoe UI Symbol" w:cs="Segoe UI Symbol"/>
                <w:color w:val="auto"/>
                <w:kern w:val="0"/>
                <w:sz w:val="18"/>
                <w:szCs w:val="18"/>
              </w:rPr>
              <w:t>☑</w:t>
            </w:r>
            <w:r>
              <w:rPr>
                <w:rFonts w:ascii="Times New Roman" w:hAnsi="Times New Roman"/>
                <w:color w:val="auto"/>
                <w:kern w:val="0"/>
                <w:sz w:val="18"/>
                <w:szCs w:val="18"/>
              </w:rPr>
              <w:t xml:space="preserve">；平水期 </w:t>
            </w:r>
            <w:r>
              <w:rPr>
                <w:rFonts w:ascii="Segoe UI Symbol" w:hAnsi="Segoe UI Symbol" w:cs="Segoe UI Symbol"/>
                <w:color w:val="auto"/>
                <w:kern w:val="0"/>
                <w:sz w:val="18"/>
                <w:szCs w:val="18"/>
              </w:rPr>
              <w:t>☑</w:t>
            </w:r>
            <w:r>
              <w:rPr>
                <w:rFonts w:ascii="Times New Roman" w:hAnsi="Times New Roman"/>
                <w:color w:val="auto"/>
                <w:kern w:val="0"/>
                <w:sz w:val="18"/>
                <w:szCs w:val="18"/>
              </w:rPr>
              <w:t xml:space="preserve">；枯水期 </w:t>
            </w:r>
            <w:r>
              <w:rPr>
                <w:rFonts w:ascii="Segoe UI Symbol" w:hAnsi="Segoe UI Symbol" w:cs="Segoe UI Symbol"/>
                <w:color w:val="auto"/>
                <w:kern w:val="0"/>
                <w:sz w:val="18"/>
                <w:szCs w:val="18"/>
              </w:rPr>
              <w:t>☑</w:t>
            </w:r>
            <w:r>
              <w:rPr>
                <w:rFonts w:ascii="Times New Roman" w:hAnsi="Times New Roman"/>
                <w:color w:val="auto"/>
                <w:kern w:val="0"/>
                <w:sz w:val="18"/>
                <w:szCs w:val="18"/>
              </w:rPr>
              <w:t xml:space="preserve">；冰封期 </w:t>
            </w:r>
            <w:r>
              <w:rPr>
                <w:rFonts w:ascii="Segoe UI Symbol" w:hAnsi="Segoe UI Symbol" w:cs="Segoe UI Symbol"/>
                <w:color w:val="auto"/>
                <w:kern w:val="0"/>
                <w:sz w:val="18"/>
                <w:szCs w:val="18"/>
              </w:rPr>
              <w:t>☑</w:t>
            </w:r>
            <w:r>
              <w:rPr>
                <w:rFonts w:ascii="Times New Roman" w:hAnsi="Times New Roman"/>
                <w:color w:val="auto"/>
                <w:kern w:val="0"/>
                <w:sz w:val="18"/>
                <w:szCs w:val="18"/>
              </w:rPr>
              <w:t>；</w:t>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春季 </w:t>
            </w:r>
            <w:r>
              <w:rPr>
                <w:rFonts w:ascii="Segoe UI Symbol" w:hAnsi="Segoe UI Symbol" w:cs="Segoe UI Symbol"/>
                <w:color w:val="auto"/>
                <w:kern w:val="0"/>
                <w:sz w:val="18"/>
                <w:szCs w:val="18"/>
              </w:rPr>
              <w:t>☑</w:t>
            </w:r>
            <w:r>
              <w:rPr>
                <w:rFonts w:ascii="Times New Roman" w:hAnsi="Times New Roman"/>
                <w:color w:val="auto"/>
                <w:kern w:val="0"/>
                <w:sz w:val="18"/>
                <w:szCs w:val="18"/>
              </w:rPr>
              <w:t xml:space="preserve">；夏季 </w:t>
            </w:r>
            <w:r>
              <w:rPr>
                <w:rFonts w:ascii="Segoe UI Symbol" w:hAnsi="Segoe UI Symbol" w:cs="Segoe UI Symbol"/>
                <w:color w:val="auto"/>
                <w:kern w:val="0"/>
                <w:sz w:val="18"/>
                <w:szCs w:val="18"/>
              </w:rPr>
              <w:t>☑</w:t>
            </w:r>
            <w:r>
              <w:rPr>
                <w:rFonts w:ascii="Times New Roman" w:hAnsi="Times New Roman"/>
                <w:color w:val="auto"/>
                <w:kern w:val="0"/>
                <w:sz w:val="18"/>
                <w:szCs w:val="18"/>
              </w:rPr>
              <w:t xml:space="preserve">；秋季 </w:t>
            </w:r>
            <w:r>
              <w:rPr>
                <w:rFonts w:ascii="Segoe UI Symbol" w:hAnsi="Segoe UI Symbol" w:cs="Segoe UI Symbol"/>
                <w:color w:val="auto"/>
                <w:kern w:val="0"/>
                <w:sz w:val="18"/>
                <w:szCs w:val="18"/>
              </w:rPr>
              <w:t>☑</w:t>
            </w:r>
            <w:r>
              <w:rPr>
                <w:rFonts w:ascii="Times New Roman" w:hAnsi="Times New Roman"/>
                <w:color w:val="auto"/>
                <w:kern w:val="0"/>
                <w:sz w:val="18"/>
                <w:szCs w:val="18"/>
              </w:rPr>
              <w:t xml:space="preserve">；冬季 </w:t>
            </w:r>
            <w:r>
              <w:rPr>
                <w:rFonts w:ascii="Segoe UI Symbol" w:hAnsi="Segoe UI Symbol" w:cs="Segoe UI Symbol"/>
                <w:color w:val="auto"/>
                <w:kern w:val="0"/>
                <w:sz w:val="18"/>
                <w:szCs w:val="18"/>
              </w:rPr>
              <w:t>☑</w:t>
            </w:r>
          </w:p>
        </w:tc>
        <w:tc>
          <w:tcPr>
            <w:tcW w:w="3355" w:type="dxa"/>
            <w:gridSpan w:val="5"/>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生态环境保护主管部门 </w:t>
            </w:r>
            <w:r>
              <w:rPr>
                <w:rFonts w:ascii="Segoe UI Symbol" w:hAnsi="Segoe UI Symbol" w:cs="Segoe UI Symbol"/>
                <w:color w:val="auto"/>
                <w:kern w:val="0"/>
                <w:sz w:val="18"/>
                <w:szCs w:val="18"/>
              </w:rPr>
              <w:t>☑</w:t>
            </w:r>
            <w:r>
              <w:rPr>
                <w:rFonts w:ascii="Times New Roman" w:hAnsi="Times New Roman"/>
                <w:color w:val="auto"/>
                <w:kern w:val="0"/>
                <w:sz w:val="18"/>
                <w:szCs w:val="18"/>
              </w:rPr>
              <w:t xml:space="preserve">；补充监测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；其他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区域水资源开发利用状况</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未开发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；开发量40%以下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；发量40%以上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restart"/>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水文情势调查</w:t>
            </w:r>
          </w:p>
        </w:tc>
        <w:tc>
          <w:tcPr>
            <w:tcW w:w="3632"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调查时期</w:t>
            </w:r>
          </w:p>
        </w:tc>
        <w:tc>
          <w:tcPr>
            <w:tcW w:w="3355" w:type="dxa"/>
            <w:gridSpan w:val="5"/>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vAlign w:val="center"/>
          </w:tcPr>
          <w:p>
            <w:pPr>
              <w:widowControl/>
              <w:adjustRightInd w:val="0"/>
              <w:snapToGrid w:val="0"/>
              <w:jc w:val="center"/>
              <w:rPr>
                <w:rFonts w:ascii="Times New Roman" w:hAnsi="Times New Roman"/>
                <w:color w:val="auto"/>
                <w:kern w:val="0"/>
                <w:sz w:val="18"/>
                <w:szCs w:val="18"/>
              </w:rPr>
            </w:pPr>
          </w:p>
        </w:tc>
        <w:tc>
          <w:tcPr>
            <w:tcW w:w="3632" w:type="dxa"/>
            <w:gridSpan w:val="6"/>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丰水期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；平水期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；枯水期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；冰封期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w:t>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春季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；夏季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；秋季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；冬季 </w:t>
            </w:r>
            <w:r>
              <w:rPr>
                <w:rFonts w:ascii="Times New Roman" w:hAnsi="Times New Roman"/>
                <w:color w:val="auto"/>
                <w:kern w:val="0"/>
                <w:sz w:val="18"/>
                <w:szCs w:val="18"/>
              </w:rPr>
              <w:sym w:font="Wingdings 2" w:char="00A3"/>
            </w:r>
          </w:p>
        </w:tc>
        <w:tc>
          <w:tcPr>
            <w:tcW w:w="3355" w:type="dxa"/>
            <w:gridSpan w:val="5"/>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水行政主管部门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；补充监测 </w:t>
            </w:r>
            <w:r>
              <w:rPr>
                <w:rFonts w:ascii="Times New Roman" w:hAnsi="Times New Roman"/>
                <w:color w:val="auto"/>
                <w:kern w:val="0"/>
                <w:sz w:val="18"/>
                <w:szCs w:val="18"/>
              </w:rPr>
              <w:sym w:font="Wingdings 2" w:char="00A3"/>
            </w:r>
            <w:r>
              <w:rPr>
                <w:rFonts w:ascii="Times New Roman" w:hAnsi="Times New Roman"/>
                <w:color w:val="auto"/>
                <w:kern w:val="0"/>
                <w:sz w:val="18"/>
                <w:szCs w:val="18"/>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restart"/>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补充监测</w:t>
            </w:r>
          </w:p>
        </w:tc>
        <w:tc>
          <w:tcPr>
            <w:tcW w:w="3632"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监测时期</w:t>
            </w:r>
          </w:p>
        </w:tc>
        <w:tc>
          <w:tcPr>
            <w:tcW w:w="1312" w:type="dxa"/>
            <w:gridSpan w:val="2"/>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监测因子</w:t>
            </w:r>
          </w:p>
        </w:tc>
        <w:tc>
          <w:tcPr>
            <w:tcW w:w="2043" w:type="dxa"/>
            <w:gridSpan w:val="3"/>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p>
        </w:tc>
        <w:tc>
          <w:tcPr>
            <w:tcW w:w="3632" w:type="dxa"/>
            <w:gridSpan w:val="6"/>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丰水期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；平水期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；枯水期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；冰封期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w:t>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春季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；夏季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；秋季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；冬季 </w:t>
            </w:r>
            <w:r>
              <w:rPr>
                <w:rFonts w:ascii="Times New Roman" w:hAnsi="Times New Roman"/>
                <w:color w:val="auto"/>
                <w:kern w:val="0"/>
                <w:sz w:val="18"/>
                <w:szCs w:val="18"/>
              </w:rPr>
              <w:sym w:font="Wingdings 2" w:char="00A3"/>
            </w:r>
          </w:p>
        </w:tc>
        <w:tc>
          <w:tcPr>
            <w:tcW w:w="1312" w:type="dxa"/>
            <w:gridSpan w:val="2"/>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w:t>
            </w:r>
          </w:p>
        </w:tc>
        <w:tc>
          <w:tcPr>
            <w:tcW w:w="2043" w:type="dxa"/>
            <w:gridSpan w:val="3"/>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监测断面或点位个数</w:t>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restart"/>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现状评价</w:t>
            </w: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评价范围</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河流：长度（    ）km；湖库、河口及近岸海域：面积（    ）km</w:t>
            </w:r>
            <w:r>
              <w:rPr>
                <w:rFonts w:ascii="Times New Roman" w:hAnsi="Times New Roman"/>
                <w:color w:val="auto"/>
                <w:kern w:val="0"/>
                <w:sz w:val="18"/>
                <w:szCs w:val="1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评价因子</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评价标准</w:t>
            </w:r>
          </w:p>
        </w:tc>
        <w:tc>
          <w:tcPr>
            <w:tcW w:w="6987" w:type="dxa"/>
            <w:gridSpan w:val="11"/>
            <w:tcBorders>
              <w:right w:val="single" w:color="auto" w:sz="12" w:space="0"/>
            </w:tcBorders>
            <w:vAlign w:val="center"/>
          </w:tcPr>
          <w:p>
            <w:pPr>
              <w:pStyle w:val="164"/>
              <w:jc w:val="left"/>
              <w:rPr>
                <w:rFonts w:ascii="Times New Roman" w:hAnsi="Times New Roman"/>
                <w:color w:val="auto"/>
                <w:sz w:val="18"/>
                <w:szCs w:val="18"/>
              </w:rPr>
            </w:pPr>
            <w:r>
              <w:rPr>
                <w:rFonts w:ascii="Times New Roman" w:hAnsi="Times New Roman"/>
                <w:color w:val="auto"/>
                <w:sz w:val="18"/>
                <w:szCs w:val="18"/>
              </w:rPr>
              <w:t>河流、湖库、河口：</w:t>
            </w:r>
            <w:r>
              <w:rPr>
                <w:rFonts w:ascii="Times New Roman" w:hAnsi="Times New Roman" w:eastAsia="微软雅黑"/>
                <w:color w:val="auto"/>
                <w:sz w:val="18"/>
                <w:szCs w:val="18"/>
              </w:rPr>
              <w:t>Ⅰ</w:t>
            </w:r>
            <w:r>
              <w:rPr>
                <w:rFonts w:ascii="Times New Roman" w:hAnsi="Times New Roman"/>
                <w:color w:val="auto"/>
                <w:sz w:val="18"/>
                <w:szCs w:val="18"/>
              </w:rPr>
              <w:t xml:space="preserve">类 </w:t>
            </w:r>
            <w:r>
              <w:rPr>
                <w:rFonts w:ascii="Times New Roman" w:hAnsi="Times New Roman"/>
                <w:color w:val="auto"/>
                <w:sz w:val="18"/>
                <w:szCs w:val="18"/>
              </w:rPr>
              <w:sym w:font="Wingdings 2" w:char="00A3"/>
            </w:r>
            <w:r>
              <w:rPr>
                <w:rFonts w:ascii="Times New Roman" w:hAnsi="Times New Roman"/>
                <w:color w:val="auto"/>
                <w:sz w:val="18"/>
                <w:szCs w:val="18"/>
              </w:rPr>
              <w:t>；</w:t>
            </w:r>
            <w:r>
              <w:rPr>
                <w:rFonts w:ascii="Times New Roman" w:hAnsi="Times New Roman" w:eastAsia="微软雅黑"/>
                <w:color w:val="auto"/>
                <w:sz w:val="18"/>
                <w:szCs w:val="18"/>
              </w:rPr>
              <w:t>Ⅱ</w:t>
            </w:r>
            <w:r>
              <w:rPr>
                <w:rFonts w:ascii="Times New Roman" w:hAnsi="Times New Roman"/>
                <w:color w:val="auto"/>
                <w:sz w:val="18"/>
                <w:szCs w:val="18"/>
              </w:rPr>
              <w:t xml:space="preserve">类 </w:t>
            </w:r>
            <w:r>
              <w:rPr>
                <w:rFonts w:ascii="Segoe UI Symbol" w:hAnsi="Segoe UI Symbol" w:cs="Segoe UI Symbol"/>
                <w:color w:val="auto"/>
                <w:sz w:val="18"/>
                <w:szCs w:val="18"/>
              </w:rPr>
              <w:t>☑</w:t>
            </w:r>
            <w:r>
              <w:rPr>
                <w:rFonts w:ascii="Times New Roman" w:hAnsi="Times New Roman"/>
                <w:color w:val="auto"/>
                <w:sz w:val="18"/>
                <w:szCs w:val="18"/>
              </w:rPr>
              <w:t>；</w:t>
            </w:r>
            <w:r>
              <w:rPr>
                <w:rFonts w:ascii="Times New Roman" w:hAnsi="Times New Roman" w:eastAsia="微软雅黑"/>
                <w:color w:val="auto"/>
                <w:sz w:val="18"/>
                <w:szCs w:val="18"/>
              </w:rPr>
              <w:t>Ⅲ</w:t>
            </w:r>
            <w:r>
              <w:rPr>
                <w:rFonts w:ascii="Times New Roman" w:hAnsi="Times New Roman"/>
                <w:color w:val="auto"/>
                <w:sz w:val="18"/>
                <w:szCs w:val="18"/>
              </w:rPr>
              <w:t xml:space="preserve">类 </w:t>
            </w:r>
            <w:r>
              <w:rPr>
                <w:rFonts w:ascii="Times New Roman" w:hAnsi="Times New Roman"/>
                <w:color w:val="auto"/>
                <w:sz w:val="18"/>
                <w:szCs w:val="18"/>
              </w:rPr>
              <w:sym w:font="Wingdings 2" w:char="00A3"/>
            </w:r>
            <w:r>
              <w:rPr>
                <w:rFonts w:ascii="Times New Roman" w:hAnsi="Times New Roman"/>
                <w:color w:val="auto"/>
                <w:sz w:val="18"/>
                <w:szCs w:val="18"/>
              </w:rPr>
              <w:t>；</w:t>
            </w:r>
            <w:r>
              <w:rPr>
                <w:rFonts w:ascii="Times New Roman" w:hAnsi="Times New Roman" w:eastAsia="微软雅黑"/>
                <w:color w:val="auto"/>
                <w:sz w:val="18"/>
                <w:szCs w:val="18"/>
              </w:rPr>
              <w:t>Ⅳ</w:t>
            </w:r>
            <w:r>
              <w:rPr>
                <w:rFonts w:ascii="Times New Roman" w:hAnsi="Times New Roman"/>
                <w:color w:val="auto"/>
                <w:sz w:val="18"/>
                <w:szCs w:val="18"/>
              </w:rPr>
              <w:t xml:space="preserve">类 </w:t>
            </w:r>
            <w:r>
              <w:rPr>
                <w:rFonts w:ascii="Times New Roman" w:hAnsi="Times New Roman"/>
                <w:color w:val="auto"/>
                <w:sz w:val="18"/>
                <w:szCs w:val="18"/>
              </w:rPr>
              <w:sym w:font="Wingdings 2" w:char="00A3"/>
            </w:r>
            <w:r>
              <w:rPr>
                <w:rFonts w:ascii="Times New Roman" w:hAnsi="Times New Roman"/>
                <w:color w:val="auto"/>
                <w:sz w:val="18"/>
                <w:szCs w:val="18"/>
              </w:rPr>
              <w:t>；</w:t>
            </w:r>
            <w:r>
              <w:rPr>
                <w:rFonts w:ascii="Times New Roman" w:hAnsi="Times New Roman" w:eastAsia="微软雅黑"/>
                <w:color w:val="auto"/>
                <w:sz w:val="18"/>
                <w:szCs w:val="18"/>
              </w:rPr>
              <w:t>Ⅴ</w:t>
            </w:r>
            <w:r>
              <w:rPr>
                <w:rFonts w:ascii="Times New Roman" w:hAnsi="Times New Roman"/>
                <w:color w:val="auto"/>
                <w:sz w:val="18"/>
                <w:szCs w:val="18"/>
              </w:rPr>
              <w:t xml:space="preserve">类 </w:t>
            </w:r>
            <w:r>
              <w:rPr>
                <w:rFonts w:ascii="Times New Roman" w:hAnsi="Times New Roman"/>
                <w:color w:val="auto"/>
                <w:sz w:val="18"/>
                <w:szCs w:val="18"/>
              </w:rPr>
              <w:sym w:font="Wingdings 2" w:char="00A3"/>
            </w:r>
            <w:r>
              <w:rPr>
                <w:rFonts w:ascii="Times New Roman" w:hAnsi="Times New Roman"/>
                <w:color w:val="auto"/>
                <w:sz w:val="18"/>
                <w:szCs w:val="18"/>
              </w:rPr>
              <w:t>；</w:t>
            </w:r>
          </w:p>
          <w:p>
            <w:pPr>
              <w:pStyle w:val="164"/>
              <w:jc w:val="left"/>
              <w:rPr>
                <w:rFonts w:ascii="Times New Roman" w:hAnsi="Times New Roman"/>
                <w:color w:val="auto"/>
                <w:sz w:val="18"/>
                <w:szCs w:val="18"/>
              </w:rPr>
            </w:pPr>
            <w:r>
              <w:rPr>
                <w:rFonts w:ascii="Times New Roman" w:hAnsi="Times New Roman"/>
                <w:color w:val="auto"/>
                <w:sz w:val="18"/>
                <w:szCs w:val="18"/>
              </w:rPr>
              <w:t xml:space="preserve">近岸海域：第一类 </w:t>
            </w:r>
            <w:r>
              <w:rPr>
                <w:rFonts w:ascii="Times New Roman" w:hAnsi="Times New Roman"/>
                <w:color w:val="auto"/>
                <w:sz w:val="18"/>
                <w:szCs w:val="18"/>
              </w:rPr>
              <w:sym w:font="Wingdings 2" w:char="00A3"/>
            </w:r>
            <w:r>
              <w:rPr>
                <w:rFonts w:ascii="Times New Roman" w:hAnsi="Times New Roman"/>
                <w:color w:val="auto"/>
                <w:sz w:val="18"/>
                <w:szCs w:val="18"/>
              </w:rPr>
              <w:t xml:space="preserve">；第二类 </w:t>
            </w:r>
            <w:r>
              <w:rPr>
                <w:rFonts w:ascii="Times New Roman" w:hAnsi="Times New Roman"/>
                <w:color w:val="auto"/>
                <w:sz w:val="18"/>
                <w:szCs w:val="18"/>
              </w:rPr>
              <w:sym w:font="Wingdings 2" w:char="00A3"/>
            </w:r>
            <w:r>
              <w:rPr>
                <w:rFonts w:ascii="Times New Roman" w:hAnsi="Times New Roman"/>
                <w:color w:val="auto"/>
                <w:sz w:val="18"/>
                <w:szCs w:val="18"/>
              </w:rPr>
              <w:t xml:space="preserve">；第三类 </w:t>
            </w:r>
            <w:r>
              <w:rPr>
                <w:rFonts w:ascii="Times New Roman" w:hAnsi="Times New Roman"/>
                <w:color w:val="auto"/>
                <w:sz w:val="18"/>
                <w:szCs w:val="18"/>
              </w:rPr>
              <w:sym w:font="Wingdings 2" w:char="00A3"/>
            </w:r>
            <w:r>
              <w:rPr>
                <w:rFonts w:ascii="Times New Roman" w:hAnsi="Times New Roman"/>
                <w:color w:val="auto"/>
                <w:sz w:val="18"/>
                <w:szCs w:val="18"/>
              </w:rPr>
              <w:t xml:space="preserve">；第四类 </w:t>
            </w:r>
            <w:r>
              <w:rPr>
                <w:rFonts w:ascii="Times New Roman" w:hAnsi="Times New Roman"/>
                <w:color w:val="auto"/>
                <w:sz w:val="18"/>
                <w:szCs w:val="18"/>
              </w:rPr>
              <w:sym w:font="Wingdings 2" w:char="00A3"/>
            </w:r>
          </w:p>
          <w:p>
            <w:pPr>
              <w:pStyle w:val="164"/>
              <w:jc w:val="left"/>
              <w:rPr>
                <w:rFonts w:ascii="Times New Roman" w:hAnsi="Times New Roman"/>
                <w:color w:val="auto"/>
                <w:sz w:val="18"/>
                <w:szCs w:val="18"/>
              </w:rPr>
            </w:pPr>
            <w:r>
              <w:rPr>
                <w:rFonts w:ascii="Times New Roman" w:hAnsi="Times New Roman"/>
                <w:color w:val="auto"/>
                <w:sz w:val="18"/>
                <w:szCs w:val="18"/>
              </w:rPr>
              <w:t>规划年评价标准（《地表水环境质量标准》（GB3838-2002）中</w:t>
            </w:r>
            <w:r>
              <w:rPr>
                <w:rFonts w:ascii="Times New Roman" w:hAnsi="Times New Roman" w:eastAsia="微软雅黑"/>
                <w:color w:val="auto"/>
                <w:sz w:val="18"/>
                <w:szCs w:val="18"/>
              </w:rPr>
              <w:t>Ⅱ</w:t>
            </w:r>
            <w:r>
              <w:rPr>
                <w:rFonts w:ascii="Times New Roman" w:hAnsi="Times New Roman"/>
                <w:color w:val="auto"/>
                <w:sz w:val="18"/>
                <w:szCs w:val="18"/>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评价时期</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丰水期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；平水期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；枯水期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；冰封期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w:t>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春季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；夏季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；秋季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；冬季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评价结论</w:t>
            </w:r>
          </w:p>
        </w:tc>
        <w:tc>
          <w:tcPr>
            <w:tcW w:w="5779" w:type="dxa"/>
            <w:gridSpan w:val="10"/>
            <w:tcBorders>
              <w:right w:val="single" w:color="auto" w:sz="4"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水环境功能区或水功能区、近岸海域环境功能区水质达标状况：达标 □；不达标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水环境控制单元或断面水质达标状况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：达标 </w:t>
            </w:r>
            <w:r>
              <w:rPr>
                <w:rFonts w:ascii="Times New Roman" w:hAnsi="Times New Roman"/>
                <w:color w:val="auto"/>
                <w:kern w:val="0"/>
                <w:sz w:val="18"/>
                <w:szCs w:val="18"/>
              </w:rPr>
              <w:sym w:font="Wingdings 2" w:char="0052"/>
            </w:r>
            <w:r>
              <w:rPr>
                <w:rFonts w:ascii="Times New Roman" w:hAnsi="Times New Roman"/>
                <w:color w:val="auto"/>
                <w:kern w:val="0"/>
                <w:sz w:val="18"/>
                <w:szCs w:val="18"/>
              </w:rPr>
              <w:t xml:space="preserve">；不达标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水环境保护目标质量状况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：达标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；不达标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对照断面、控制断面等代表性断面的水质状况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：达标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；不达标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底泥污染评价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水资源与开发利用程度及其水文情势评价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水环境质量回顾评价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流域（区域）水资源（包括水能资源）与开发利用总体状况、生态流量管理要求与现状满足程度、建设项目占用水域空间的水流状况与河湖演变状况 </w:t>
            </w:r>
            <w:r>
              <w:rPr>
                <w:rFonts w:ascii="Times New Roman" w:hAnsi="Times New Roman"/>
                <w:color w:val="auto"/>
                <w:kern w:val="0"/>
                <w:sz w:val="18"/>
                <w:szCs w:val="18"/>
              </w:rPr>
              <w:sym w:font="Wingdings 2" w:char="00A3"/>
            </w:r>
          </w:p>
        </w:tc>
        <w:tc>
          <w:tcPr>
            <w:tcW w:w="1208" w:type="dxa"/>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达标区</w:t>
            </w:r>
            <w:r>
              <w:rPr>
                <w:rFonts w:ascii="Segoe UI Symbol" w:hAnsi="Segoe UI Symbol" w:cs="Segoe UI Symbol"/>
                <w:color w:val="auto"/>
                <w:kern w:val="0"/>
                <w:sz w:val="18"/>
                <w:szCs w:val="18"/>
              </w:rPr>
              <w:t>☑</w:t>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不达标区</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restart"/>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影响预测</w:t>
            </w: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预测范围</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河流：长度（    ）km；湖库、河口及近岸海域：面积（    ）km</w:t>
            </w:r>
            <w:r>
              <w:rPr>
                <w:rFonts w:ascii="Times New Roman" w:hAnsi="Times New Roman"/>
                <w:color w:val="auto"/>
                <w:kern w:val="0"/>
                <w:sz w:val="18"/>
                <w:szCs w:val="1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预测因子</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预测时期</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丰水期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；平水期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；枯水期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；冰封期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w:t>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春季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；夏季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；秋季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；冬季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设计水文条件</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预测情景</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建设期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；生产运营期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；服务期满后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正常工况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；非正常工况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污染控制可减缓措施方案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区（流）域环境质量改善目标要求情景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预测方法</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数值解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；解析解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；其他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导则推荐模式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；其他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restart"/>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影响评价</w:t>
            </w: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水污染控制和水环境影响减缓措施有效性评价</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区（流）域环境质量改善目标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 替代消减源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水环境影响评价</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排放口混合去外满足水环境保护要求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水环境功能区或水功能区、近岸海域环境功能区水质达标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满足水环境保护目标水域水环境质量要求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水环境控制单元或断面水质达标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满足重点水污染物排放总量控制指标要求，重点行业建设项目，主要污染物排放满足等量或减量替代要求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满足区（流）域环境质量改善目标要求 </w:t>
            </w:r>
            <w:r>
              <w:rPr>
                <w:rFonts w:ascii="Times New Roman" w:hAnsi="Times New Roman"/>
                <w:color w:val="auto"/>
                <w:kern w:val="0"/>
                <w:sz w:val="18"/>
                <w:szCs w:val="18"/>
              </w:rPr>
              <w:sym w:font="Wingdings 2" w:char="0052"/>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水文要素影响型建设项目同时应包括水文情势变化评价、主要水文特征值影响评价、生态流量符合性评价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对于新设或调整入河（湖库、近岸海域）排放口的建设项目，应包括排放口设置的环境合理性评价 </w:t>
            </w:r>
            <w:r>
              <w:rPr>
                <w:rFonts w:ascii="Times New Roman" w:hAnsi="Times New Roman"/>
                <w:color w:val="auto"/>
                <w:kern w:val="0"/>
                <w:sz w:val="18"/>
                <w:szCs w:val="18"/>
              </w:rPr>
              <w:sym w:font="Wingdings 2" w:char="00A3"/>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满足生态保护红线、水环境质量底线、资源利用上线和环境准入清单管理要求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restart"/>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污染源排放量核算</w:t>
            </w:r>
          </w:p>
        </w:tc>
        <w:tc>
          <w:tcPr>
            <w:tcW w:w="2168" w:type="dxa"/>
            <w:gridSpan w:val="4"/>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污染物名称</w:t>
            </w:r>
          </w:p>
        </w:tc>
        <w:tc>
          <w:tcPr>
            <w:tcW w:w="2197" w:type="dxa"/>
            <w:gridSpan w:val="3"/>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排放量/（t/a）</w:t>
            </w:r>
          </w:p>
        </w:tc>
        <w:tc>
          <w:tcPr>
            <w:tcW w:w="2622" w:type="dxa"/>
            <w:gridSpan w:val="4"/>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p>
        </w:tc>
        <w:tc>
          <w:tcPr>
            <w:tcW w:w="2168" w:type="dxa"/>
            <w:gridSpan w:val="4"/>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（COD、氨氮）</w:t>
            </w:r>
          </w:p>
        </w:tc>
        <w:tc>
          <w:tcPr>
            <w:tcW w:w="2197" w:type="dxa"/>
            <w:gridSpan w:val="3"/>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  ）</w:t>
            </w:r>
          </w:p>
        </w:tc>
        <w:tc>
          <w:tcPr>
            <w:tcW w:w="2622" w:type="dxa"/>
            <w:gridSpan w:val="4"/>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restart"/>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替代源排放量情况</w:t>
            </w:r>
          </w:p>
        </w:tc>
        <w:tc>
          <w:tcPr>
            <w:tcW w:w="1302" w:type="dxa"/>
            <w:gridSpan w:val="2"/>
            <w:tcBorders>
              <w:right w:val="single" w:color="auto" w:sz="4" w:space="0"/>
            </w:tcBorders>
            <w:vAlign w:val="center"/>
          </w:tcPr>
          <w:p>
            <w:pPr>
              <w:widowControl/>
              <w:adjustRightInd w:val="0"/>
              <w:snapToGrid w:val="0"/>
              <w:ind w:left="-105" w:leftChars="-50" w:right="-105" w:rightChars="-50"/>
              <w:jc w:val="center"/>
              <w:rPr>
                <w:rFonts w:ascii="Times New Roman" w:hAnsi="Times New Roman"/>
                <w:color w:val="auto"/>
                <w:kern w:val="0"/>
                <w:sz w:val="18"/>
                <w:szCs w:val="18"/>
              </w:rPr>
            </w:pPr>
            <w:r>
              <w:rPr>
                <w:rFonts w:ascii="Times New Roman" w:hAnsi="Times New Roman"/>
                <w:color w:val="auto"/>
                <w:kern w:val="0"/>
                <w:sz w:val="18"/>
                <w:szCs w:val="18"/>
              </w:rPr>
              <w:t>污染源名称</w:t>
            </w:r>
          </w:p>
        </w:tc>
        <w:tc>
          <w:tcPr>
            <w:tcW w:w="1749" w:type="dxa"/>
            <w:gridSpan w:val="3"/>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排污许可证编号</w:t>
            </w:r>
          </w:p>
        </w:tc>
        <w:tc>
          <w:tcPr>
            <w:tcW w:w="1314" w:type="dxa"/>
            <w:gridSpan w:val="2"/>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污染物名称</w:t>
            </w:r>
          </w:p>
        </w:tc>
        <w:tc>
          <w:tcPr>
            <w:tcW w:w="1168" w:type="dxa"/>
            <w:gridSpan w:val="2"/>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排放量</w:t>
            </w:r>
          </w:p>
        </w:tc>
        <w:tc>
          <w:tcPr>
            <w:tcW w:w="1454" w:type="dxa"/>
            <w:gridSpan w:val="2"/>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p>
        </w:tc>
        <w:tc>
          <w:tcPr>
            <w:tcW w:w="1302" w:type="dxa"/>
            <w:gridSpan w:val="2"/>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w:t>
            </w:r>
          </w:p>
        </w:tc>
        <w:tc>
          <w:tcPr>
            <w:tcW w:w="1749" w:type="dxa"/>
            <w:gridSpan w:val="3"/>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w:t>
            </w:r>
          </w:p>
        </w:tc>
        <w:tc>
          <w:tcPr>
            <w:tcW w:w="1314" w:type="dxa"/>
            <w:gridSpan w:val="2"/>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w:t>
            </w:r>
          </w:p>
        </w:tc>
        <w:tc>
          <w:tcPr>
            <w:tcW w:w="1168" w:type="dxa"/>
            <w:gridSpan w:val="2"/>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w:t>
            </w:r>
          </w:p>
        </w:tc>
        <w:tc>
          <w:tcPr>
            <w:tcW w:w="1454" w:type="dxa"/>
            <w:gridSpan w:val="2"/>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生态流量确定</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生态流量：一般水期（  ）m³/s；鱼类繁殖期（  ）m³/s；其他（  ）m³/s</w:t>
            </w:r>
          </w:p>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生态水位：一般水期（  ）m³/s；鱼类繁殖期（  ）m³/s；其他（  ）m³/s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restart"/>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防治措施</w:t>
            </w: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环保措施</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污水处理站 </w:t>
            </w:r>
            <w:r>
              <w:rPr>
                <w:rFonts w:ascii="Times New Roman" w:hAnsi="Times New Roman"/>
                <w:color w:val="auto"/>
                <w:kern w:val="0"/>
                <w:sz w:val="18"/>
                <w:szCs w:val="18"/>
              </w:rPr>
              <w:sym w:font="Wingdings 2" w:char="0052"/>
            </w:r>
            <w:r>
              <w:rPr>
                <w:rFonts w:ascii="Times New Roman" w:hAnsi="Times New Roman"/>
                <w:color w:val="auto"/>
                <w:kern w:val="0"/>
                <w:sz w:val="18"/>
                <w:szCs w:val="18"/>
              </w:rPr>
              <w:t xml:space="preserve">；水文减缓设施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；生态流量保障设施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；区域消减依托其他工程措施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；其他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restart"/>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监测计划</w:t>
            </w:r>
          </w:p>
        </w:tc>
        <w:tc>
          <w:tcPr>
            <w:tcW w:w="1158" w:type="dxa"/>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p>
        </w:tc>
        <w:tc>
          <w:tcPr>
            <w:tcW w:w="3207"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环境质量</w:t>
            </w:r>
          </w:p>
        </w:tc>
        <w:tc>
          <w:tcPr>
            <w:tcW w:w="2622" w:type="dxa"/>
            <w:gridSpan w:val="4"/>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p>
        </w:tc>
        <w:tc>
          <w:tcPr>
            <w:tcW w:w="1158" w:type="dxa"/>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监测方法</w:t>
            </w:r>
          </w:p>
        </w:tc>
        <w:tc>
          <w:tcPr>
            <w:tcW w:w="3207"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xml:space="preserve">手动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；自动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；无检测 </w:t>
            </w:r>
            <w:r>
              <w:rPr>
                <w:rFonts w:ascii="Times New Roman" w:hAnsi="Times New Roman"/>
                <w:color w:val="auto"/>
                <w:kern w:val="0"/>
                <w:sz w:val="18"/>
                <w:szCs w:val="18"/>
              </w:rPr>
              <w:sym w:font="Wingdings 2" w:char="0052"/>
            </w:r>
          </w:p>
        </w:tc>
        <w:tc>
          <w:tcPr>
            <w:tcW w:w="2622" w:type="dxa"/>
            <w:gridSpan w:val="4"/>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xml:space="preserve">手动 </w:t>
            </w:r>
            <w:r>
              <w:rPr>
                <w:rFonts w:ascii="Times New Roman" w:hAnsi="Times New Roman"/>
                <w:color w:val="auto"/>
                <w:kern w:val="0"/>
                <w:sz w:val="18"/>
                <w:szCs w:val="18"/>
              </w:rPr>
              <w:sym w:font="Wingdings 2" w:char="0052"/>
            </w:r>
            <w:r>
              <w:rPr>
                <w:rFonts w:ascii="Times New Roman" w:hAnsi="Times New Roman"/>
                <w:color w:val="auto"/>
                <w:kern w:val="0"/>
                <w:sz w:val="18"/>
                <w:szCs w:val="18"/>
              </w:rPr>
              <w:t xml:space="preserve">；自动 </w:t>
            </w:r>
            <w:r>
              <w:rPr>
                <w:rFonts w:ascii="Times New Roman" w:hAnsi="Times New Roman"/>
                <w:color w:val="auto"/>
                <w:kern w:val="0"/>
                <w:sz w:val="18"/>
                <w:szCs w:val="18"/>
              </w:rPr>
              <w:sym w:font="Wingdings 2" w:char="00A3"/>
            </w:r>
            <w:r>
              <w:rPr>
                <w:rFonts w:ascii="Times New Roman" w:hAnsi="Times New Roman"/>
                <w:color w:val="auto"/>
                <w:kern w:val="0"/>
                <w:sz w:val="18"/>
                <w:szCs w:val="18"/>
              </w:rPr>
              <w:t xml:space="preserve">；无检测 </w:t>
            </w: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p>
        </w:tc>
        <w:tc>
          <w:tcPr>
            <w:tcW w:w="1158" w:type="dxa"/>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监测点位</w:t>
            </w:r>
          </w:p>
        </w:tc>
        <w:tc>
          <w:tcPr>
            <w:tcW w:w="3207"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w:t>
            </w:r>
          </w:p>
        </w:tc>
        <w:tc>
          <w:tcPr>
            <w:tcW w:w="2622" w:type="dxa"/>
            <w:gridSpan w:val="4"/>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（污水处理站出口）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vMerge w:val="continue"/>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p>
        </w:tc>
        <w:tc>
          <w:tcPr>
            <w:tcW w:w="1158" w:type="dxa"/>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监测因子</w:t>
            </w:r>
          </w:p>
        </w:tc>
        <w:tc>
          <w:tcPr>
            <w:tcW w:w="3207" w:type="dxa"/>
            <w:gridSpan w:val="6"/>
            <w:tcBorders>
              <w:righ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      ）</w:t>
            </w:r>
          </w:p>
        </w:tc>
        <w:tc>
          <w:tcPr>
            <w:tcW w:w="2622" w:type="dxa"/>
            <w:gridSpan w:val="4"/>
            <w:tcBorders>
              <w:righ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（pH、COD、氨氮、BOD</w:t>
            </w:r>
            <w:r>
              <w:rPr>
                <w:rFonts w:ascii="Times New Roman" w:hAnsi="Times New Roman"/>
                <w:color w:val="auto"/>
                <w:kern w:val="0"/>
                <w:sz w:val="18"/>
                <w:szCs w:val="18"/>
                <w:vertAlign w:val="subscript"/>
              </w:rPr>
              <w:t>5</w:t>
            </w:r>
            <w:r>
              <w:rPr>
                <w:rFonts w:ascii="Times New Roman" w:hAnsi="Times New Roman"/>
                <w:color w:val="auto"/>
                <w:kern w:val="0"/>
                <w:sz w:val="18"/>
                <w:szCs w:val="18"/>
              </w:rPr>
              <w:t>、SS、粪大肠菌群、余氯）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39" w:type="dxa"/>
            <w:vMerge w:val="continue"/>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p>
        </w:tc>
        <w:tc>
          <w:tcPr>
            <w:tcW w:w="1602" w:type="dxa"/>
            <w:tcBorders>
              <w:left w:val="single" w:color="auto" w:sz="4"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污染物排放</w:t>
            </w:r>
          </w:p>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清单</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041" w:type="dxa"/>
            <w:gridSpan w:val="2"/>
            <w:tcBorders>
              <w:left w:val="single" w:color="auto" w:sz="12" w:space="0"/>
            </w:tcBorders>
            <w:vAlign w:val="center"/>
          </w:tcPr>
          <w:p>
            <w:pPr>
              <w:widowControl/>
              <w:adjustRightInd w:val="0"/>
              <w:snapToGrid w:val="0"/>
              <w:jc w:val="center"/>
              <w:rPr>
                <w:rFonts w:ascii="Times New Roman" w:hAnsi="Times New Roman"/>
                <w:color w:val="auto"/>
                <w:kern w:val="0"/>
                <w:sz w:val="18"/>
                <w:szCs w:val="18"/>
              </w:rPr>
            </w:pPr>
            <w:r>
              <w:rPr>
                <w:rFonts w:ascii="Times New Roman" w:hAnsi="Times New Roman"/>
                <w:color w:val="auto"/>
                <w:kern w:val="0"/>
                <w:sz w:val="18"/>
                <w:szCs w:val="18"/>
              </w:rPr>
              <w:t>评价结论</w:t>
            </w:r>
          </w:p>
        </w:tc>
        <w:tc>
          <w:tcPr>
            <w:tcW w:w="6987" w:type="dxa"/>
            <w:gridSpan w:val="11"/>
            <w:tcBorders>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 xml:space="preserve">可以接受 </w:t>
            </w:r>
            <w:r>
              <w:rPr>
                <w:rFonts w:ascii="Times New Roman" w:hAnsi="Times New Roman"/>
                <w:color w:val="auto"/>
                <w:kern w:val="0"/>
                <w:sz w:val="18"/>
                <w:szCs w:val="18"/>
              </w:rPr>
              <w:sym w:font="Wingdings 2" w:char="0052"/>
            </w:r>
            <w:r>
              <w:rPr>
                <w:rFonts w:ascii="Times New Roman" w:hAnsi="Times New Roman"/>
                <w:color w:val="auto"/>
                <w:kern w:val="0"/>
                <w:sz w:val="18"/>
                <w:szCs w:val="18"/>
              </w:rPr>
              <w:t xml:space="preserve">；不可以接受 </w:t>
            </w:r>
            <w:r>
              <w:rPr>
                <w:rFonts w:ascii="Times New Roman" w:hAnsi="Times New Roman"/>
                <w:color w:val="auto"/>
                <w:kern w:val="0"/>
                <w:sz w:val="18"/>
                <w:szCs w:val="18"/>
              </w:rPr>
              <w:sym w:font="Wingdings 2" w:char="00A3"/>
            </w:r>
            <w:r>
              <w:rPr>
                <w:rFonts w:ascii="Times New Roman" w:hAnsi="Times New Roman"/>
                <w:color w:val="auto"/>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9028" w:type="dxa"/>
            <w:gridSpan w:val="13"/>
            <w:tcBorders>
              <w:left w:val="single" w:color="auto" w:sz="12" w:space="0"/>
              <w:bottom w:val="single" w:color="auto" w:sz="12" w:space="0"/>
              <w:right w:val="single" w:color="auto" w:sz="12" w:space="0"/>
            </w:tcBorders>
            <w:vAlign w:val="center"/>
          </w:tcPr>
          <w:p>
            <w:pPr>
              <w:widowControl/>
              <w:adjustRightInd w:val="0"/>
              <w:snapToGrid w:val="0"/>
              <w:jc w:val="left"/>
              <w:rPr>
                <w:rFonts w:ascii="Times New Roman" w:hAnsi="Times New Roman"/>
                <w:color w:val="auto"/>
                <w:kern w:val="0"/>
                <w:sz w:val="18"/>
                <w:szCs w:val="18"/>
              </w:rPr>
            </w:pPr>
            <w:r>
              <w:rPr>
                <w:rFonts w:ascii="Times New Roman" w:hAnsi="Times New Roman"/>
                <w:color w:val="auto"/>
                <w:kern w:val="0"/>
                <w:sz w:val="18"/>
                <w:szCs w:val="18"/>
              </w:rPr>
              <w:t>注：“</w:t>
            </w:r>
            <w:r>
              <w:rPr>
                <w:rFonts w:ascii="Times New Roman" w:hAnsi="Times New Roman"/>
                <w:color w:val="auto"/>
                <w:kern w:val="0"/>
                <w:sz w:val="18"/>
                <w:szCs w:val="18"/>
              </w:rPr>
              <w:sym w:font="Wingdings 2" w:char="00A3"/>
            </w:r>
            <w:r>
              <w:rPr>
                <w:rFonts w:ascii="Times New Roman" w:hAnsi="Times New Roman"/>
                <w:color w:val="auto"/>
                <w:kern w:val="0"/>
                <w:sz w:val="18"/>
                <w:szCs w:val="18"/>
              </w:rPr>
              <w:t>”为勾选项，可√；“（  ）”为内容填写项：“备注”为其他补充内容。</w:t>
            </w:r>
          </w:p>
        </w:tc>
      </w:tr>
    </w:tbl>
    <w:p>
      <w:pPr>
        <w:jc w:val="center"/>
        <w:rPr>
          <w:rFonts w:eastAsiaTheme="minorEastAsia"/>
          <w:b/>
          <w:color w:val="auto"/>
          <w:kern w:val="0"/>
          <w:sz w:val="24"/>
          <w:szCs w:val="24"/>
        </w:rPr>
        <w:sectPr>
          <w:pgSz w:w="11906" w:h="16838"/>
          <w:pgMar w:top="1701" w:right="1701" w:bottom="1701" w:left="1701" w:header="851" w:footer="851" w:gutter="0"/>
          <w:cols w:space="720" w:num="1"/>
          <w:docGrid w:linePitch="466" w:charSpace="0"/>
        </w:sectPr>
      </w:pPr>
    </w:p>
    <w:p>
      <w:pPr>
        <w:pStyle w:val="4"/>
        <w:numPr>
          <w:ilvl w:val="1"/>
          <w:numId w:val="0"/>
        </w:numPr>
        <w:spacing w:before="120"/>
        <w:rPr>
          <w:color w:val="auto"/>
        </w:rPr>
      </w:pPr>
      <w:bookmarkStart w:id="418" w:name="_Toc493853540"/>
      <w:bookmarkStart w:id="419" w:name="_Toc109398673"/>
      <w:bookmarkStart w:id="420" w:name="_Toc11595411"/>
      <w:r>
        <w:rPr>
          <w:color w:val="auto"/>
        </w:rPr>
        <w:t>7.4运营期地下水环境影响分析及评价</w:t>
      </w:r>
      <w:bookmarkEnd w:id="418"/>
      <w:bookmarkEnd w:id="419"/>
      <w:bookmarkEnd w:id="420"/>
    </w:p>
    <w:p>
      <w:pPr>
        <w:pStyle w:val="5"/>
        <w:numPr>
          <w:ilvl w:val="2"/>
          <w:numId w:val="0"/>
        </w:numPr>
        <w:ind w:left="-720" w:leftChars="-343" w:firstLine="723" w:firstLineChars="300"/>
        <w:rPr>
          <w:color w:val="auto"/>
        </w:rPr>
      </w:pPr>
      <w:bookmarkStart w:id="421" w:name="_Toc109398674"/>
      <w:bookmarkStart w:id="422" w:name="_Toc11595412"/>
      <w:r>
        <w:rPr>
          <w:color w:val="auto"/>
        </w:rPr>
        <w:t>7.4.1区域水文地质条件</w:t>
      </w:r>
      <w:bookmarkEnd w:id="421"/>
      <w:bookmarkEnd w:id="422"/>
    </w:p>
    <w:p>
      <w:pPr>
        <w:adjustRightInd w:val="0"/>
        <w:snapToGrid w:val="0"/>
        <w:spacing w:line="355" w:lineRule="auto"/>
        <w:ind w:firstLine="480" w:firstLineChars="200"/>
        <w:rPr>
          <w:color w:val="auto"/>
          <w:kern w:val="0"/>
          <w:sz w:val="24"/>
          <w:szCs w:val="24"/>
        </w:rPr>
      </w:pPr>
      <w:r>
        <w:rPr>
          <w:rFonts w:hint="eastAsia"/>
          <w:color w:val="auto"/>
          <w:kern w:val="0"/>
          <w:sz w:val="24"/>
          <w:szCs w:val="24"/>
        </w:rPr>
        <w:t>（1）</w:t>
      </w:r>
      <w:r>
        <w:rPr>
          <w:color w:val="auto"/>
          <w:kern w:val="0"/>
          <w:sz w:val="24"/>
          <w:szCs w:val="24"/>
        </w:rPr>
        <w:t xml:space="preserve">区域地质构造 </w:t>
      </w:r>
    </w:p>
    <w:p>
      <w:pPr>
        <w:adjustRightInd w:val="0"/>
        <w:snapToGrid w:val="0"/>
        <w:spacing w:line="357" w:lineRule="auto"/>
        <w:ind w:firstLine="479"/>
        <w:rPr>
          <w:color w:val="auto"/>
          <w:kern w:val="0"/>
          <w:sz w:val="24"/>
          <w:szCs w:val="24"/>
        </w:rPr>
      </w:pPr>
      <w:r>
        <w:rPr>
          <w:color w:val="auto"/>
          <w:kern w:val="0"/>
          <w:sz w:val="24"/>
          <w:szCs w:val="24"/>
        </w:rPr>
        <w:t>中卫市位于宁夏中西部，在大地构造上位于祁连山地槽和华北地台两大构造单元的过渡带，介于次级构造的鄂尔多斯地台和贺兰山褶皱带之间。该地区地质构造复杂，多种构造体系并现，且各体系之间又出现相互交接、复合等现象。该地区主要构造体系有：卫宁北山东西向构造带、“祁吕贺”山字形构造体系和陇西旋卷构造体系，这些不同时期构造体系的形成和发展，控制该地区地质、地貌和水系的格局。</w:t>
      </w:r>
    </w:p>
    <w:p>
      <w:pPr>
        <w:adjustRightInd w:val="0"/>
        <w:snapToGrid w:val="0"/>
        <w:spacing w:line="357" w:lineRule="auto"/>
        <w:ind w:firstLine="479"/>
        <w:rPr>
          <w:color w:val="auto"/>
          <w:kern w:val="0"/>
          <w:sz w:val="24"/>
          <w:szCs w:val="24"/>
        </w:rPr>
      </w:pPr>
      <w:r>
        <w:rPr>
          <w:color w:val="auto"/>
          <w:kern w:val="0"/>
          <w:sz w:val="24"/>
          <w:szCs w:val="24"/>
        </w:rPr>
        <w:t>根据全国地层多重划分对比研究《宁夏回族自治区岩石地层》（1996年）岩石地层的划分成果，中卫市属于祁连——北秦岭地层分区。区域上，沉积了古生界泥盆系和石炭系，在单梁山一带均有出露，缺失中生界沉积，新生界缺失古近系沉积，沉积了新近系，区域上广泛发育第四系。</w:t>
      </w:r>
    </w:p>
    <w:p>
      <w:pPr>
        <w:kinsoku w:val="0"/>
        <w:overflowPunct w:val="0"/>
        <w:adjustRightInd w:val="0"/>
        <w:snapToGrid w:val="0"/>
        <w:spacing w:line="357" w:lineRule="auto"/>
        <w:ind w:firstLine="480" w:firstLineChars="200"/>
        <w:rPr>
          <w:color w:val="auto"/>
          <w:kern w:val="0"/>
          <w:sz w:val="24"/>
          <w:szCs w:val="24"/>
        </w:rPr>
        <w:sectPr>
          <w:pgSz w:w="11906" w:h="16838"/>
          <w:pgMar w:top="1701" w:right="1701" w:bottom="1701" w:left="1701" w:header="851" w:footer="851" w:gutter="0"/>
          <w:cols w:space="720" w:num="1"/>
          <w:docGrid w:linePitch="466" w:charSpace="0"/>
        </w:sectPr>
      </w:pPr>
    </w:p>
    <w:p>
      <w:pPr>
        <w:pStyle w:val="17"/>
        <w:kinsoku w:val="0"/>
        <w:overflowPunct w:val="0"/>
        <w:spacing w:after="0" w:line="358" w:lineRule="auto"/>
        <w:jc w:val="center"/>
        <w:rPr>
          <w:color w:val="auto"/>
        </w:rPr>
      </w:pPr>
      <w:r>
        <w:rPr>
          <w:color w:val="auto"/>
        </w:rPr>
        <mc:AlternateContent>
          <mc:Choice Requires="wps">
            <w:drawing>
              <wp:anchor distT="0" distB="0" distL="114300" distR="114300" simplePos="0" relativeHeight="251665408" behindDoc="0" locked="0" layoutInCell="1" allowOverlap="1">
                <wp:simplePos x="0" y="0"/>
                <wp:positionH relativeFrom="column">
                  <wp:posOffset>3293745</wp:posOffset>
                </wp:positionH>
                <wp:positionV relativeFrom="paragraph">
                  <wp:posOffset>2415540</wp:posOffset>
                </wp:positionV>
                <wp:extent cx="514350" cy="352425"/>
                <wp:effectExtent l="0" t="0" r="19050" b="238125"/>
                <wp:wrapNone/>
                <wp:docPr id="49" name="圆角矩形标注 49"/>
                <wp:cNvGraphicFramePr/>
                <a:graphic xmlns:a="http://schemas.openxmlformats.org/drawingml/2006/main">
                  <a:graphicData uri="http://schemas.microsoft.com/office/word/2010/wordprocessingShape">
                    <wps:wsp>
                      <wps:cNvSpPr/>
                      <wps:spPr>
                        <a:xfrm>
                          <a:off x="0" y="0"/>
                          <a:ext cx="514350" cy="352425"/>
                        </a:xfrm>
                        <a:prstGeom prst="wedgeRoundRectCallout">
                          <a:avLst>
                            <a:gd name="adj1" fmla="val -4167"/>
                            <a:gd name="adj2" fmla="val 106250"/>
                            <a:gd name="adj3" fmla="val 16667"/>
                          </a:avLst>
                        </a:prstGeom>
                        <a:solidFill>
                          <a:srgbClr val="0066FF">
                            <a:alpha val="40000"/>
                          </a:srgb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pPr>
                              <w:ind w:left="-105" w:leftChars="-50" w:right="-105" w:rightChars="-50"/>
                              <w:rPr>
                                <w:rFonts w:ascii="黑体" w:hAnsi="黑体" w:eastAsia="黑体"/>
                                <w:color w:val="FF0000"/>
                              </w:rPr>
                            </w:pPr>
                            <w:r>
                              <w:rPr>
                                <w:rFonts w:hint="eastAsia" w:ascii="黑体" w:hAnsi="黑体" w:eastAsia="黑体"/>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9.35pt;margin-top:190.2pt;height:27.75pt;width:40.5pt;z-index:251665408;v-text-anchor:middle;mso-width-relative:page;mso-height-relative:page;" fillcolor="#0066FF" filled="t" stroked="t" coordsize="21600,21600" o:gfxdata="UEsDBAoAAAAAAIdO4kAAAAAAAAAAAAAAAAAEAAAAZHJzL1BLAwQUAAAACACHTuJAEBJPydsAAAAL&#10;AQAADwAAAGRycy9kb3ducmV2LnhtbE2PwU6DQBCG7ya+w2ZMvBi7iwULyNIYEw/GS6Wt8biFEYjs&#10;LmGntL6940mPM/Pln+8v1mc7iBmn0HunIVooEOhq3/Su1bDbPt+mIAIZ15jBO9TwjQHW5eVFYfLG&#10;n9wbzhW1gkNcyI2GjmjMpQx1h9aEhR/R8e3TT9YQj1Mrm8mcONwO8k6pe2lN7/hDZ0Z86rD+qo5W&#10;wweN2XY17zfz++NrUkUU08tNrPX1VaQeQBCe6Q+GX31Wh5KdDv7omiAGDUmUrhjVsExVDIKJJMt4&#10;c9AQL5MMZFnI/x3KH1BLAwQUAAAACACHTuJA/pK16L0CAABwBQAADgAAAGRycy9lMm9Eb2MueG1s&#10;rVTNbhMxEL4j8Q6W7+1uNpu0jbqpokRBSBWNWhBnx+vNLvIftpNNeQC4c0YCcQHOnHmcFh6Dsb1t&#10;U+CAEDlsZjzjmW++mfHxyVZwtGHGNkoWuLefYsQkVWUjVwV+9nS+d4iRdUSWhCvJCnzJLD4ZP3xw&#10;3OoRy1SteMkMgiDSjlpd4No5PUoSS2smiN1XmkkwVsoI4kA1q6Q0pIXogidZmg6TVplSG0WZtXA6&#10;i0Y8DvGrilF3VlWWOcQLDNhc+JrwXfpvMj4mo5Uhum5oB4P8AwpBGglJb0PNiCNobZrfQomGGmVV&#10;5fapEomqqoayUANU00t/qeaiJpqFWoAcq29psv8vLH2yWRjUlAXOjzCSRECPrt69/vHp7ff3X66+&#10;fbz+8Ob662cERmCq1XYEFy70wnSaBdGXva2M8P9QENoGdi9v2WVbhygcDnp5fwA9oGDqD7I8G/iY&#10;yd1lbax7xJRAXihwy8oVO1drWZ5DG6eEc7V2gWSyObUusF12kEn5oodRJTg0b0M42st7w4OuuTs+&#10;2a5PLx1mgCdOwI5T/57TcBgDAc4uLUg3SD0Gq3hTzhvOg2JWyyk3CDBA/elwOJ9HxFzXJJ7mKfy6&#10;ym10Dyzci8MlamGdjtJAGIHFqDhxwJ3Q0CorVxgRvoKNo86EBPdud2Fjvv7hYHY4iU41KVk8HfwN&#10;Cl/mjNg6XgkpOuBcAmY/DnEAvOS2y203FUtVXsJUGRXXzWo6byDUKbFuQQy0CKYA3gx3Bp+KK6hU&#10;dRJGtTKv/nTu/WHswYpRC/sKLLxcE8Mw4o8lLMRRL8/9ggclHxxkoJhdy3LXItdiqqBFMDSALoje&#10;3/EbsTJKPIenZeKzgolICrkj350ydfEdgceJsskkuMFSa+JO5YWmPrgfCakma6eqxvlh90RFdjoF&#10;1jp0v3uC/Luxqwevu4dy/B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QEk/J2wAAAAsBAAAPAAAA&#10;AAAAAAEAIAAAACIAAABkcnMvZG93bnJldi54bWxQSwECFAAUAAAACACHTuJA/pK16L0CAABwBQAA&#10;DgAAAAAAAAABACAAAAAqAQAAZHJzL2Uyb0RvYy54bWxQSwUGAAAAAAYABgBZAQAAWQYAAAAA&#10;" adj="9900,33750,14400">
                <v:fill on="t" opacity="26214f" focussize="0,0"/>
                <v:stroke weight="1.5pt" color="#385D8A [3204]" joinstyle="round"/>
                <v:imagedata o:title=""/>
                <o:lock v:ext="edit" aspectratio="f"/>
                <v:textbox>
                  <w:txbxContent>
                    <w:p>
                      <w:pPr>
                        <w:ind w:left="-105" w:leftChars="-50" w:right="-105" w:rightChars="-50"/>
                        <w:rPr>
                          <w:rFonts w:ascii="黑体" w:hAnsi="黑体" w:eastAsia="黑体"/>
                          <w:color w:val="FF0000"/>
                        </w:rPr>
                      </w:pPr>
                      <w:r>
                        <w:rPr>
                          <w:rFonts w:hint="eastAsia" w:ascii="黑体" w:hAnsi="黑体" w:eastAsia="黑体"/>
                          <w:color w:val="FF0000"/>
                        </w:rPr>
                        <w:t>本项目</w:t>
                      </w:r>
                    </w:p>
                  </w:txbxContent>
                </v:textbox>
              </v:shape>
            </w:pict>
          </mc:Fallback>
        </mc:AlternateContent>
      </w:r>
      <w:r>
        <w:rPr>
          <w:color w:val="auto"/>
        </w:rPr>
        <w:drawing>
          <wp:inline distT="0" distB="0" distL="0" distR="0">
            <wp:extent cx="7896225" cy="4924425"/>
            <wp:effectExtent l="0" t="0" r="13335" b="13335"/>
            <wp:docPr id="48" name="图片 48" descr="C:\Users\Administrator\Desktop\水文地质图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strator\Desktop\水文地质图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7896225" cy="4924425"/>
                    </a:xfrm>
                    <a:prstGeom prst="rect">
                      <a:avLst/>
                    </a:prstGeom>
                    <a:noFill/>
                    <a:ln>
                      <a:noFill/>
                    </a:ln>
                  </pic:spPr>
                </pic:pic>
              </a:graphicData>
            </a:graphic>
          </wp:inline>
        </w:drawing>
      </w:r>
    </w:p>
    <w:p>
      <w:pPr>
        <w:pStyle w:val="114"/>
        <w:spacing w:before="120"/>
        <w:rPr>
          <w:color w:val="auto"/>
        </w:rPr>
      </w:pPr>
      <w:r>
        <w:rPr>
          <w:rStyle w:val="115"/>
          <w:b/>
          <w:color w:val="auto"/>
        </w:rPr>
        <w:t>图7.4-1    区域地质情况图</w:t>
      </w:r>
    </w:p>
    <w:p>
      <w:pPr>
        <w:pStyle w:val="114"/>
        <w:spacing w:before="120"/>
        <w:rPr>
          <w:color w:val="auto"/>
        </w:rPr>
        <w:sectPr>
          <w:pgSz w:w="16838" w:h="11906" w:orient="landscape"/>
          <w:pgMar w:top="1701" w:right="1701" w:bottom="1701" w:left="1701" w:header="851" w:footer="851" w:gutter="0"/>
          <w:cols w:space="720" w:num="1"/>
          <w:docGrid w:linePitch="466" w:charSpace="0"/>
        </w:sectPr>
      </w:pPr>
    </w:p>
    <w:p>
      <w:pPr>
        <w:pStyle w:val="130"/>
        <w:ind w:firstLine="480"/>
        <w:rPr>
          <w:color w:val="auto"/>
        </w:rPr>
      </w:pPr>
      <w:r>
        <w:rPr>
          <w:rFonts w:hint="eastAsia"/>
          <w:color w:val="auto"/>
        </w:rPr>
        <w:t>（2）</w:t>
      </w:r>
      <w:r>
        <w:rPr>
          <w:color w:val="auto"/>
        </w:rPr>
        <w:t>区域水文地质特征</w:t>
      </w:r>
    </w:p>
    <w:p>
      <w:pPr>
        <w:pStyle w:val="130"/>
        <w:ind w:firstLine="480"/>
        <w:rPr>
          <w:color w:val="auto"/>
        </w:rPr>
      </w:pPr>
      <w:r>
        <w:rPr>
          <w:color w:val="auto"/>
        </w:rPr>
        <w:t>结合区域水文地质区划等原有资料，该区域划分为2个水文地质单元，分别为低山丘陵水文地质单元和黄河冲积平原水文地质单元。本项目所在区域属于低山丘陵水文地质单元内。</w:t>
      </w:r>
    </w:p>
    <w:p>
      <w:pPr>
        <w:pStyle w:val="130"/>
        <w:ind w:firstLine="480"/>
        <w:rPr>
          <w:color w:val="auto"/>
        </w:rPr>
      </w:pPr>
      <w:r>
        <w:rPr>
          <w:color w:val="auto"/>
        </w:rPr>
        <w:t>①</w:t>
      </w:r>
      <w:r>
        <w:rPr>
          <w:rFonts w:hint="eastAsia"/>
          <w:color w:val="auto"/>
          <w:lang w:eastAsia="zh-CN"/>
        </w:rPr>
        <w:t>低</w:t>
      </w:r>
      <w:r>
        <w:rPr>
          <w:color w:val="auto"/>
        </w:rPr>
        <w:t xml:space="preserve">山丘陵水文地质单元 </w:t>
      </w:r>
    </w:p>
    <w:p>
      <w:pPr>
        <w:pStyle w:val="130"/>
        <w:ind w:firstLine="480"/>
        <w:rPr>
          <w:color w:val="auto"/>
        </w:rPr>
      </w:pPr>
      <w:r>
        <w:rPr>
          <w:color w:val="auto"/>
        </w:rPr>
        <w:t>分布于卫宁北山，该区岩层主要由古生代地层组成，岩层经多期构造运动及长久地质历史时期的外力地质作用的影响，构造风化裂隙比较发育。根据地下水赋存条件，该地区地下水类型划分为松散岩类孔隙水、碎屑岩类裂隙孔隙水和基岩风化裂隙水三个类型。此区地下水主要接受大气降水补给，并储存径流于基岩裂隙中。</w:t>
      </w:r>
    </w:p>
    <w:p>
      <w:pPr>
        <w:pStyle w:val="130"/>
        <w:ind w:firstLine="480"/>
        <w:rPr>
          <w:color w:val="auto"/>
        </w:rPr>
      </w:pPr>
      <w:r>
        <w:rPr>
          <w:color w:val="auto"/>
        </w:rPr>
        <w:t xml:space="preserve">②黄河冲积平原水文地质单元 </w:t>
      </w:r>
    </w:p>
    <w:p>
      <w:pPr>
        <w:pStyle w:val="130"/>
        <w:ind w:firstLine="480"/>
        <w:rPr>
          <w:color w:val="auto"/>
        </w:rPr>
      </w:pPr>
      <w:r>
        <w:rPr>
          <w:color w:val="auto"/>
        </w:rPr>
        <w:t>分布于黄河北岸，属于断陷盆地性质，该区第四系以来仍是沉降区，盆地有较厚的松散堆积物，造成了良好的蓄水条件。在冲积平原分布范围内，自上而下堆积有中新世、晚更新世及全新世不同时期的堆积物，均系一套粗粒松散碎屑岩组成，此区地下水主要接受大气降水入渗</w:t>
      </w:r>
      <w:r>
        <w:rPr>
          <w:rFonts w:hint="eastAsia"/>
          <w:color w:val="auto"/>
        </w:rPr>
        <w:t>影响</w:t>
      </w:r>
      <w:r>
        <w:rPr>
          <w:color w:val="auto"/>
        </w:rPr>
        <w:t>，并储存径流于孔隙潜水及承压含水层中。</w:t>
      </w:r>
    </w:p>
    <w:p>
      <w:pPr>
        <w:pStyle w:val="130"/>
        <w:ind w:firstLine="480"/>
        <w:rPr>
          <w:color w:val="auto"/>
        </w:rPr>
      </w:pPr>
      <w:r>
        <w:rPr>
          <w:rFonts w:hint="eastAsia"/>
          <w:color w:val="auto"/>
        </w:rPr>
        <w:t>（3）</w:t>
      </w:r>
      <w:r>
        <w:rPr>
          <w:color w:val="auto"/>
        </w:rPr>
        <w:t>区域地下水流场及动态特征</w:t>
      </w:r>
    </w:p>
    <w:p>
      <w:pPr>
        <w:pStyle w:val="130"/>
        <w:ind w:firstLine="468"/>
        <w:rPr>
          <w:color w:val="auto"/>
          <w:spacing w:val="2"/>
        </w:rPr>
      </w:pPr>
      <w:r>
        <w:rPr>
          <w:rFonts w:hint="eastAsia"/>
          <w:color w:val="auto"/>
          <w:spacing w:val="-3"/>
        </w:rPr>
        <w:t>本项目区域处于香山以北、黄河以南，排泄区为黄河，地下水流向自南向北</w:t>
      </w:r>
      <w:r>
        <w:rPr>
          <w:color w:val="auto"/>
          <w:spacing w:val="2"/>
        </w:rPr>
        <w:t>。</w:t>
      </w:r>
    </w:p>
    <w:p>
      <w:pPr>
        <w:pStyle w:val="5"/>
        <w:numPr>
          <w:ilvl w:val="2"/>
          <w:numId w:val="0"/>
        </w:numPr>
        <w:ind w:left="-720" w:leftChars="-343" w:firstLine="723" w:firstLineChars="300"/>
        <w:rPr>
          <w:color w:val="auto"/>
        </w:rPr>
      </w:pPr>
      <w:bookmarkStart w:id="423" w:name="_Toc11595415"/>
      <w:bookmarkStart w:id="424" w:name="_Toc109398675"/>
      <w:r>
        <w:rPr>
          <w:color w:val="auto"/>
        </w:rPr>
        <w:t>7.4.2本项目厂区水文地质条件</w:t>
      </w:r>
      <w:bookmarkEnd w:id="423"/>
      <w:bookmarkEnd w:id="424"/>
    </w:p>
    <w:p>
      <w:pPr>
        <w:pStyle w:val="130"/>
        <w:ind w:firstLine="480"/>
        <w:rPr>
          <w:color w:val="auto"/>
        </w:rPr>
      </w:pPr>
      <w:r>
        <w:rPr>
          <w:color w:val="auto"/>
        </w:rPr>
        <w:t>(1)地形地貌特征</w:t>
      </w:r>
    </w:p>
    <w:p>
      <w:pPr>
        <w:pStyle w:val="130"/>
        <w:ind w:firstLine="480"/>
        <w:rPr>
          <w:rFonts w:eastAsiaTheme="minorEastAsia"/>
          <w:color w:val="auto"/>
        </w:rPr>
      </w:pPr>
      <w:r>
        <w:rPr>
          <w:rFonts w:eastAsiaTheme="minorEastAsia"/>
          <w:color w:val="auto"/>
        </w:rPr>
        <w:t>本项目</w:t>
      </w:r>
      <w:r>
        <w:rPr>
          <w:rFonts w:hint="eastAsia" w:eastAsiaTheme="minorEastAsia"/>
          <w:color w:val="auto"/>
        </w:rPr>
        <w:t>厂区</w:t>
      </w:r>
      <w:r>
        <w:rPr>
          <w:rFonts w:eastAsiaTheme="minorEastAsia"/>
          <w:color w:val="auto"/>
        </w:rPr>
        <w:t>地貌单元属山间丘陵地貌，厂区内地层除填土外均为第四系冲积物，地层以素填土、粗砾砂、细砂、泥岩为主。</w:t>
      </w:r>
    </w:p>
    <w:p>
      <w:pPr>
        <w:pStyle w:val="130"/>
        <w:ind w:firstLine="480"/>
        <w:rPr>
          <w:color w:val="auto"/>
        </w:rPr>
      </w:pPr>
      <w:r>
        <w:rPr>
          <w:color w:val="auto"/>
        </w:rPr>
        <w:t>根据原有项目《岩土工程勘察报告》（宁夏地质工程勘察院，2008.8）根据观测井揭露地质剖面情况，将厂址区地层由上而下分述如下：</w:t>
      </w:r>
    </w:p>
    <w:p>
      <w:pPr>
        <w:pStyle w:val="130"/>
        <w:ind w:firstLine="480"/>
        <w:rPr>
          <w:color w:val="auto"/>
        </w:rPr>
      </w:pPr>
      <w:r>
        <w:rPr>
          <w:color w:val="auto"/>
        </w:rPr>
        <w:t>①素填土(Q</w:t>
      </w:r>
      <w:r>
        <w:rPr>
          <w:color w:val="auto"/>
          <w:vertAlign w:val="superscript"/>
        </w:rPr>
        <w:t>ml</w:t>
      </w:r>
      <w:r>
        <w:rPr>
          <w:color w:val="auto"/>
          <w:vertAlign w:val="subscript"/>
        </w:rPr>
        <w:t>4</w:t>
      </w:r>
      <w:r>
        <w:rPr>
          <w:color w:val="auto"/>
        </w:rPr>
        <w:t>）：杂色、干，松散－稍密，不均匀。物质成分以粉砂为主，在场区西北部含粉土，其填土年代大于10年。层厚0.4-1.3m, 层厚很不均匀。层位连续，该层在整个场区内广泛分布。</w:t>
      </w:r>
    </w:p>
    <w:p>
      <w:pPr>
        <w:pStyle w:val="130"/>
        <w:ind w:firstLine="480"/>
        <w:rPr>
          <w:color w:val="auto"/>
        </w:rPr>
      </w:pPr>
      <w:r>
        <w:rPr>
          <w:color w:val="auto"/>
        </w:rPr>
        <w:t>②粗砾砂</w:t>
      </w:r>
      <w:r>
        <w:rPr>
          <w:rFonts w:eastAsia="Times New Roman"/>
          <w:color w:val="auto"/>
        </w:rPr>
        <w:t>(</w:t>
      </w:r>
      <w:r>
        <w:rPr>
          <w:color w:val="auto"/>
        </w:rPr>
        <w:t>Q</w:t>
      </w:r>
      <w:r>
        <w:rPr>
          <w:color w:val="auto"/>
          <w:vertAlign w:val="superscript"/>
        </w:rPr>
        <w:t>ml</w:t>
      </w:r>
      <w:r>
        <w:rPr>
          <w:color w:val="auto"/>
          <w:vertAlign w:val="subscript"/>
        </w:rPr>
        <w:t>4</w:t>
      </w:r>
      <w:r>
        <w:rPr>
          <w:color w:val="auto"/>
        </w:rPr>
        <w:t>）：杂色、干，稍密，不均匀。物质成分以人工回填的砂夹石为主，其间含亚圆形圆砾、角砾。层位连续，该层在整个场区内广泛分布。</w:t>
      </w:r>
    </w:p>
    <w:p>
      <w:pPr>
        <w:pStyle w:val="130"/>
        <w:ind w:firstLine="416"/>
        <w:rPr>
          <w:color w:val="auto"/>
        </w:rPr>
      </w:pPr>
      <w:r>
        <w:rPr>
          <w:color w:val="auto"/>
          <w:spacing w:val="-16"/>
        </w:rPr>
        <w:t>③细砂（</w:t>
      </w:r>
      <w:r>
        <w:rPr>
          <w:rFonts w:eastAsia="Times New Roman"/>
          <w:color w:val="auto"/>
          <w:spacing w:val="-3"/>
        </w:rPr>
        <w:t>Q</w:t>
      </w:r>
      <w:r>
        <w:rPr>
          <w:rFonts w:eastAsia="Times New Roman"/>
          <w:color w:val="auto"/>
          <w:spacing w:val="-3"/>
          <w:vertAlign w:val="superscript"/>
        </w:rPr>
        <w:t>al</w:t>
      </w:r>
      <w:r>
        <w:rPr>
          <w:rFonts w:eastAsia="Times New Roman"/>
          <w:color w:val="auto"/>
          <w:spacing w:val="-3"/>
          <w:vertAlign w:val="subscript"/>
        </w:rPr>
        <w:t>4</w:t>
      </w:r>
      <w:r>
        <w:rPr>
          <w:color w:val="auto"/>
          <w:spacing w:val="-16"/>
        </w:rPr>
        <w:t>）</w:t>
      </w:r>
      <w:r>
        <w:rPr>
          <w:color w:val="auto"/>
          <w:spacing w:val="-7"/>
        </w:rPr>
        <w:t>：黄色，中密，均匀。矿物成份以石荚、长石、云母为主。层位连续，该层在整个场区内分布广泛。</w:t>
      </w:r>
    </w:p>
    <w:p>
      <w:pPr>
        <w:pStyle w:val="130"/>
        <w:ind w:firstLine="480"/>
        <w:rPr>
          <w:color w:val="auto"/>
        </w:rPr>
      </w:pPr>
      <w:r>
        <w:rPr>
          <w:color w:val="auto"/>
        </w:rPr>
        <w:t>④圆砾（Q</w:t>
      </w:r>
      <w:r>
        <w:rPr>
          <w:color w:val="auto"/>
          <w:vertAlign w:val="superscript"/>
        </w:rPr>
        <w:t>al+pl</w:t>
      </w:r>
      <w:r>
        <w:rPr>
          <w:color w:val="auto"/>
        </w:rPr>
        <w:t>）：杂色，密实，亚圆形，不均匀。其充填物主要为中粗砂。分布均匀，层位连续，本次勘察未穿透该层，揭露最大厚度4.4m。</w:t>
      </w:r>
    </w:p>
    <w:p>
      <w:pPr>
        <w:spacing w:after="120" w:afterLines="50"/>
        <w:ind w:firstLine="480" w:firstLineChars="200"/>
        <w:rPr>
          <w:rFonts w:eastAsiaTheme="minorEastAsia"/>
          <w:color w:val="auto"/>
          <w:sz w:val="24"/>
          <w:szCs w:val="24"/>
        </w:rPr>
      </w:pPr>
      <w:r>
        <w:rPr>
          <w:rFonts w:eastAsiaTheme="minorEastAsia"/>
          <w:color w:val="auto"/>
          <w:sz w:val="24"/>
          <w:szCs w:val="24"/>
        </w:rPr>
        <w:t>本项目厂区钻孔柱状图见图7.4-3。</w:t>
      </w:r>
    </w:p>
    <w:p>
      <w:pPr>
        <w:adjustRightInd w:val="0"/>
        <w:snapToGrid w:val="0"/>
        <w:jc w:val="center"/>
        <w:rPr>
          <w:rFonts w:eastAsiaTheme="minorEastAsia"/>
          <w:color w:val="auto"/>
          <w:sz w:val="24"/>
          <w:szCs w:val="24"/>
        </w:rPr>
      </w:pPr>
      <w:r>
        <w:rPr>
          <w:rFonts w:eastAsiaTheme="minorEastAsia"/>
          <w:color w:val="auto"/>
          <w:sz w:val="24"/>
          <w:szCs w:val="24"/>
        </w:rPr>
        <w:drawing>
          <wp:inline distT="0" distB="0" distL="0" distR="0">
            <wp:extent cx="4340860" cy="5205730"/>
            <wp:effectExtent l="0" t="0" r="2540" b="6350"/>
            <wp:docPr id="63" name="图片 63" descr="E:\qqjieshou\326514942\FileRecv\DOC190515-20190515151510\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E:\qqjieshou\326514942\FileRecv\DOC190515-20190515151510\Page000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4340860" cy="5205730"/>
                    </a:xfrm>
                    <a:prstGeom prst="rect">
                      <a:avLst/>
                    </a:prstGeom>
                    <a:noFill/>
                    <a:ln>
                      <a:noFill/>
                    </a:ln>
                  </pic:spPr>
                </pic:pic>
              </a:graphicData>
            </a:graphic>
          </wp:inline>
        </w:drawing>
      </w:r>
    </w:p>
    <w:p>
      <w:pPr>
        <w:pStyle w:val="114"/>
        <w:spacing w:before="120"/>
        <w:rPr>
          <w:color w:val="auto"/>
        </w:rPr>
      </w:pPr>
      <w:r>
        <w:rPr>
          <w:color w:val="auto"/>
        </w:rPr>
        <w:t>图7.4-3  钻孔柱状图</w:t>
      </w:r>
    </w:p>
    <w:p>
      <w:pPr>
        <w:spacing w:before="120" w:beforeLines="50"/>
        <w:ind w:firstLine="480" w:firstLineChars="200"/>
        <w:rPr>
          <w:rFonts w:eastAsiaTheme="minorEastAsia"/>
          <w:color w:val="auto"/>
          <w:sz w:val="24"/>
          <w:szCs w:val="24"/>
        </w:rPr>
      </w:pPr>
      <w:r>
        <w:rPr>
          <w:rFonts w:eastAsiaTheme="minorEastAsia"/>
          <w:color w:val="auto"/>
          <w:sz w:val="24"/>
          <w:szCs w:val="24"/>
        </w:rPr>
        <w:t>厂区工程地质剖面图见图7.4-4。</w:t>
      </w:r>
    </w:p>
    <w:p>
      <w:pPr>
        <w:pStyle w:val="114"/>
        <w:spacing w:before="120"/>
        <w:rPr>
          <w:color w:val="auto"/>
        </w:rPr>
      </w:pPr>
      <w:r>
        <w:rPr>
          <w:color w:val="auto"/>
        </w:rPr>
        <w:drawing>
          <wp:inline distT="0" distB="0" distL="0" distR="0">
            <wp:extent cx="5359400" cy="8185785"/>
            <wp:effectExtent l="0" t="0" r="5080" b="13335"/>
            <wp:docPr id="4600" name="图片 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 name="图片 4600"/>
                    <pic:cNvPicPr>
                      <a:picLocks noChangeAspect="1"/>
                    </pic:cNvPicPr>
                  </pic:nvPicPr>
                  <pic:blipFill>
                    <a:blip r:embed="rId50"/>
                    <a:stretch>
                      <a:fillRect/>
                    </a:stretch>
                  </pic:blipFill>
                  <pic:spPr>
                    <a:xfrm>
                      <a:off x="0" y="0"/>
                      <a:ext cx="5359400" cy="8185785"/>
                    </a:xfrm>
                    <a:prstGeom prst="rect">
                      <a:avLst/>
                    </a:prstGeom>
                  </pic:spPr>
                </pic:pic>
              </a:graphicData>
            </a:graphic>
          </wp:inline>
        </w:drawing>
      </w:r>
    </w:p>
    <w:p>
      <w:pPr>
        <w:pStyle w:val="114"/>
        <w:spacing w:before="120"/>
        <w:rPr>
          <w:color w:val="auto"/>
        </w:rPr>
      </w:pPr>
      <w:r>
        <w:rPr>
          <w:color w:val="auto"/>
        </w:rPr>
        <w:t>图7.4-4  厂区工程地质剖面图</w:t>
      </w:r>
    </w:p>
    <w:p>
      <w:pPr>
        <w:pStyle w:val="130"/>
        <w:ind w:firstLine="480"/>
        <w:rPr>
          <w:color w:val="auto"/>
        </w:rPr>
      </w:pPr>
      <w:bookmarkStart w:id="425" w:name="_Toc11595416"/>
      <w:r>
        <w:rPr>
          <w:color w:val="auto"/>
        </w:rPr>
        <w:t>(2)场地地下水情况</w:t>
      </w:r>
      <w:bookmarkEnd w:id="425"/>
    </w:p>
    <w:p>
      <w:pPr>
        <w:pStyle w:val="130"/>
        <w:ind w:firstLine="480"/>
        <w:rPr>
          <w:rFonts w:eastAsiaTheme="minorEastAsia"/>
          <w:color w:val="auto"/>
        </w:rPr>
      </w:pPr>
      <w:r>
        <w:rPr>
          <w:rFonts w:eastAsiaTheme="minorEastAsia"/>
          <w:color w:val="auto"/>
        </w:rPr>
        <w:t>场区地下水属孔隙潜水类型，主要含水层为</w:t>
      </w:r>
      <w:r>
        <w:rPr>
          <w:color w:val="auto"/>
        </w:rPr>
        <w:t>③</w:t>
      </w:r>
      <w:r>
        <w:rPr>
          <w:rFonts w:eastAsiaTheme="minorEastAsia"/>
          <w:color w:val="auto"/>
        </w:rPr>
        <w:t>层粉细砂层，地下水补给以绿化带灌溉及沟渠侧向径流渗透补给为主，大气降水等次之，地下水位动态主要受气象、水文和灌溉等主要因素影响并呈季节性变化。由于区域地下地下水位埋深较大，年变化幅度在0.5m～1.0m之间，可不考虑地下水对建筑物的影响。</w:t>
      </w:r>
    </w:p>
    <w:p>
      <w:pPr>
        <w:pStyle w:val="130"/>
        <w:ind w:firstLine="480"/>
        <w:rPr>
          <w:color w:val="auto"/>
        </w:rPr>
      </w:pPr>
      <w:bookmarkStart w:id="426" w:name="_Toc11595417"/>
      <w:r>
        <w:rPr>
          <w:color w:val="auto"/>
        </w:rPr>
        <w:t>(3)地下水开发利用现状</w:t>
      </w:r>
      <w:bookmarkEnd w:id="426"/>
    </w:p>
    <w:p>
      <w:pPr>
        <w:pStyle w:val="130"/>
        <w:ind w:firstLine="480"/>
        <w:rPr>
          <w:rFonts w:eastAsiaTheme="minorEastAsia"/>
          <w:color w:val="auto"/>
        </w:rPr>
      </w:pPr>
      <w:r>
        <w:rPr>
          <w:rFonts w:eastAsiaTheme="minorEastAsia"/>
          <w:color w:val="auto"/>
        </w:rPr>
        <w:t>项目厂区所在区域地下水埋深大、水质差、水量小，地下水开发利用程度低。</w:t>
      </w:r>
    </w:p>
    <w:p>
      <w:pPr>
        <w:pStyle w:val="130"/>
        <w:ind w:firstLine="480"/>
        <w:rPr>
          <w:color w:val="auto"/>
        </w:rPr>
      </w:pPr>
      <w:r>
        <w:rPr>
          <w:color w:val="auto"/>
        </w:rPr>
        <w:t>(4)包气带调查</w:t>
      </w:r>
    </w:p>
    <w:p>
      <w:pPr>
        <w:pStyle w:val="130"/>
        <w:ind w:firstLine="480"/>
        <w:rPr>
          <w:color w:val="auto"/>
        </w:rPr>
      </w:pPr>
      <w:r>
        <w:rPr>
          <w:color w:val="auto"/>
        </w:rPr>
        <w:t>根据厂区工程地质剖面图，勘测期间未击穿，风化层之下的泥质砂岩渗透性差，是相对隔水层。根据场地内土壤取样监测结果，厂区包气带未受污染。</w:t>
      </w:r>
    </w:p>
    <w:p>
      <w:pPr>
        <w:pStyle w:val="5"/>
        <w:numPr>
          <w:ilvl w:val="2"/>
          <w:numId w:val="0"/>
        </w:numPr>
        <w:ind w:left="-720" w:leftChars="-343" w:firstLine="723" w:firstLineChars="300"/>
        <w:rPr>
          <w:color w:val="auto"/>
        </w:rPr>
      </w:pPr>
      <w:bookmarkStart w:id="427" w:name="_Toc109398676"/>
      <w:r>
        <w:rPr>
          <w:color w:val="auto"/>
        </w:rPr>
        <w:t>7.4.3地下水环境影响分析与预测</w:t>
      </w:r>
      <w:bookmarkEnd w:id="427"/>
    </w:p>
    <w:p>
      <w:pPr>
        <w:pStyle w:val="130"/>
        <w:ind w:firstLine="480"/>
        <w:rPr>
          <w:color w:val="auto"/>
        </w:rPr>
      </w:pPr>
      <w:r>
        <w:rPr>
          <w:color w:val="auto"/>
        </w:rPr>
        <w:t>根据《环境影响评价技术导则·地下水环境》（HJ610-2016）中9.4.2条：“已依据GB 16889、GB 18597、GB 18598、GB 18599、GB/T 50934设计地下水污染防渗措施的建设项目，可不进行正常状况情景下的预测”。</w:t>
      </w:r>
    </w:p>
    <w:p>
      <w:pPr>
        <w:pStyle w:val="130"/>
        <w:ind w:firstLine="480"/>
        <w:rPr>
          <w:color w:val="auto"/>
        </w:rPr>
      </w:pPr>
      <w:r>
        <w:rPr>
          <w:color w:val="auto"/>
        </w:rPr>
        <w:t>本项目</w:t>
      </w:r>
      <w:r>
        <w:rPr>
          <w:rFonts w:hint="eastAsia"/>
          <w:color w:val="auto"/>
        </w:rPr>
        <w:t>已</w:t>
      </w:r>
      <w:r>
        <w:rPr>
          <w:color w:val="auto"/>
        </w:rPr>
        <w:t>对场地地下水污染防治进行分区，并严格按照《环境影响评价技术导则·地下水环境》（HJ610-2016）要求采取相应防渗措施，因此本次评价对正常状况地下水环境影响进行定性分析，对非正常状况地下水影响进行情景预测。</w:t>
      </w:r>
    </w:p>
    <w:p>
      <w:pPr>
        <w:pStyle w:val="130"/>
        <w:ind w:firstLine="480"/>
        <w:rPr>
          <w:color w:val="auto"/>
        </w:rPr>
      </w:pPr>
      <w:r>
        <w:rPr>
          <w:color w:val="auto"/>
        </w:rPr>
        <w:t>（一）正常工况地下水影响分析</w:t>
      </w:r>
    </w:p>
    <w:p>
      <w:pPr>
        <w:pStyle w:val="130"/>
        <w:ind w:firstLine="480"/>
        <w:rPr>
          <w:color w:val="auto"/>
        </w:rPr>
      </w:pPr>
      <w:r>
        <w:rPr>
          <w:color w:val="auto"/>
        </w:rPr>
        <w:t>本项目</w:t>
      </w:r>
      <w:r>
        <w:rPr>
          <w:rFonts w:hint="eastAsia"/>
          <w:color w:val="auto"/>
        </w:rPr>
        <w:t>建成后全厂</w:t>
      </w:r>
      <w:r>
        <w:rPr>
          <w:color w:val="auto"/>
        </w:rPr>
        <w:t>产生的主要有生产废水和生活污水两部分，其中生产废水主要为高温蒸煮冷凝废水及渗滤液、循环冷却系统废水、场地冲洗废水、车辆冲洗废水、周转箱冲洗废水、蒸汽发生器及电锅炉软水制备废水、碱洗喷淋水箱废水。生产废水经污水处理站处理达到《医疗机构水污染物排放标准》（GB18466-2005）综合医疗机构和其他医疗机构水污染物排放限值及</w:t>
      </w:r>
      <w:r>
        <w:rPr>
          <w:color w:val="auto"/>
          <w:lang w:bidi="en-GB"/>
        </w:rPr>
        <w:t>《城市污水再生利用 城市杂用水水质》（GB/T18920-2020）中城市绿化、道路清扫、消防、建筑施工用水要求，处理后废水全部回用于中卫市生活垃圾填埋场道路抑尘，不外排</w:t>
      </w:r>
      <w:r>
        <w:rPr>
          <w:color w:val="auto"/>
        </w:rPr>
        <w:t>。生活污水依托现有化粪池处理，化粪池满后用吸污车运送至中卫市生活垃圾填埋场的渗滤液调蓄池。此外，高温蒸汽灭菌并破碎后的医疗废物和生活垃圾送垃圾填埋场填埋；污水处理站污泥、废活性炭等危险废物送有资质单位进行处理经妥善处置，运营期产生的固体废物均得到妥善处置，不会对地下水环境造成影响。</w:t>
      </w:r>
    </w:p>
    <w:p>
      <w:pPr>
        <w:pStyle w:val="130"/>
        <w:ind w:firstLine="480"/>
        <w:rPr>
          <w:color w:val="auto"/>
        </w:rPr>
      </w:pPr>
      <w:r>
        <w:rPr>
          <w:color w:val="auto"/>
        </w:rPr>
        <w:t>运营期污水处理系统各池体、污水收集管沟、危险废物暂存点等按相应的标  准做好防渗措施后，对周边地下水环境影响较小。</w:t>
      </w:r>
    </w:p>
    <w:p>
      <w:pPr>
        <w:pStyle w:val="130"/>
        <w:ind w:firstLine="480"/>
        <w:rPr>
          <w:color w:val="auto"/>
        </w:rPr>
      </w:pPr>
      <w:r>
        <w:rPr>
          <w:color w:val="auto"/>
        </w:rPr>
        <w:t>（二）非正常工况地下水影响预测</w:t>
      </w:r>
    </w:p>
    <w:p>
      <w:pPr>
        <w:pStyle w:val="130"/>
        <w:ind w:firstLine="480"/>
        <w:rPr>
          <w:color w:val="auto"/>
        </w:rPr>
      </w:pPr>
      <w:r>
        <w:rPr>
          <w:color w:val="auto"/>
        </w:rPr>
        <w:t>（1）预测情景</w:t>
      </w:r>
    </w:p>
    <w:p>
      <w:pPr>
        <w:pStyle w:val="130"/>
        <w:ind w:firstLine="480"/>
        <w:rPr>
          <w:color w:val="auto"/>
        </w:rPr>
      </w:pPr>
      <w:r>
        <w:rPr>
          <w:color w:val="auto"/>
        </w:rPr>
        <w:t>根据《环境影响评价技术导则 地下水环境》（HJ610-2016），本项目已按照相关要求做好地下水污染防渗措施，因此仅预测非正常状况情景下的影响结果。非正常工况通常为工艺设备、地下水防渗措施因老化、腐蚀等原因不能正常运行或保护效果达不到设计要求。因此设定本次非正常工况设置情景为污水处理站调节池防渗层破坏达不到防渗效果导致废水渗漏，经包气带进入地下潜水层。</w:t>
      </w:r>
    </w:p>
    <w:p>
      <w:pPr>
        <w:pStyle w:val="130"/>
        <w:ind w:firstLine="480"/>
        <w:rPr>
          <w:color w:val="auto"/>
        </w:rPr>
      </w:pPr>
      <w:r>
        <w:rPr>
          <w:color w:val="auto"/>
        </w:rPr>
        <w:t>地下水水质迁移变化是一个十分复杂的过程，本次评价以最不利条件预测，不考虑污染物在含水层中的吸附、挥发、生物化学反应，将其作为保守物质看待，各项参数只按保守型污染物质考虑，即只考虑运移过程中的影响。</w:t>
      </w:r>
    </w:p>
    <w:p>
      <w:pPr>
        <w:pStyle w:val="130"/>
        <w:ind w:firstLine="480"/>
        <w:rPr>
          <w:color w:val="auto"/>
        </w:rPr>
      </w:pPr>
      <w:r>
        <w:rPr>
          <w:color w:val="auto"/>
        </w:rPr>
        <w:t>（2）预测因子</w:t>
      </w:r>
    </w:p>
    <w:p>
      <w:pPr>
        <w:pStyle w:val="130"/>
        <w:ind w:firstLine="480"/>
        <w:rPr>
          <w:color w:val="auto"/>
          <w:vertAlign w:val="subscript"/>
        </w:rPr>
      </w:pPr>
      <w:r>
        <w:rPr>
          <w:color w:val="auto"/>
        </w:rPr>
        <w:t>本项目</w:t>
      </w:r>
      <w:r>
        <w:rPr>
          <w:rFonts w:hint="eastAsia"/>
          <w:color w:val="auto"/>
        </w:rPr>
        <w:t>全厂</w:t>
      </w:r>
      <w:r>
        <w:rPr>
          <w:color w:val="auto"/>
        </w:rPr>
        <w:t>废水污染物特征因子不含重金属，不含持久性有机污染物，废水污染因子为：COD、BOD</w:t>
      </w:r>
      <w:r>
        <w:rPr>
          <w:color w:val="auto"/>
          <w:vertAlign w:val="subscript"/>
        </w:rPr>
        <w:t>5、</w:t>
      </w:r>
      <w:r>
        <w:rPr>
          <w:color w:val="auto"/>
        </w:rPr>
        <w:t>NH</w:t>
      </w:r>
      <w:r>
        <w:rPr>
          <w:color w:val="auto"/>
          <w:vertAlign w:val="subscript"/>
        </w:rPr>
        <w:t>3</w:t>
      </w:r>
      <w:r>
        <w:rPr>
          <w:color w:val="auto"/>
        </w:rPr>
        <w:t>-N、TP、SS、粪大肠菌群数、总余氯。根据导则</w:t>
      </w:r>
      <w:r>
        <w:rPr>
          <w:rFonts w:hint="eastAsia"/>
          <w:color w:val="auto"/>
        </w:rPr>
        <w:t>相关</w:t>
      </w:r>
      <w:r>
        <w:rPr>
          <w:color w:val="auto"/>
        </w:rPr>
        <w:t>要求，本</w:t>
      </w:r>
      <w:r>
        <w:rPr>
          <w:rFonts w:hint="eastAsia"/>
          <w:color w:val="auto"/>
        </w:rPr>
        <w:t>次评价</w:t>
      </w:r>
      <w:r>
        <w:rPr>
          <w:color w:val="auto"/>
        </w:rPr>
        <w:t>选取《地下水质量标准》（GB/T14848-2017）中有标准值并且标准指数最大的特征因子耗氧量（COD</w:t>
      </w:r>
      <w:r>
        <w:rPr>
          <w:color w:val="auto"/>
          <w:vertAlign w:val="subscript"/>
        </w:rPr>
        <w:t>Mn</w:t>
      </w:r>
      <w:r>
        <w:rPr>
          <w:color w:val="auto"/>
        </w:rPr>
        <w:t>）作为预测因子。</w:t>
      </w:r>
    </w:p>
    <w:p>
      <w:pPr>
        <w:pStyle w:val="130"/>
        <w:ind w:firstLine="480"/>
        <w:rPr>
          <w:color w:val="auto"/>
        </w:rPr>
      </w:pPr>
      <w:r>
        <w:rPr>
          <w:color w:val="auto"/>
        </w:rPr>
        <w:t>（3）预测范围</w:t>
      </w:r>
    </w:p>
    <w:p>
      <w:pPr>
        <w:pStyle w:val="130"/>
        <w:ind w:firstLine="480"/>
        <w:rPr>
          <w:color w:val="auto"/>
        </w:rPr>
      </w:pPr>
      <w:r>
        <w:rPr>
          <w:color w:val="auto"/>
        </w:rPr>
        <w:t>根据本项目场地地下水补给及径流方向，确定项目地下水评价范围为以项目厂区为中心，</w:t>
      </w:r>
      <w:r>
        <w:rPr>
          <w:rFonts w:eastAsiaTheme="minorEastAsia"/>
          <w:color w:val="auto"/>
        </w:rPr>
        <w:t>厂区地下水上游（南侧）1km、下游（北侧）2.5km、两侧（东侧1.5km、西侧1.5km）的矩形范围内，评价区域面积为10.5km</w:t>
      </w:r>
      <w:r>
        <w:rPr>
          <w:rFonts w:eastAsiaTheme="minorEastAsia"/>
          <w:color w:val="auto"/>
          <w:vertAlign w:val="superscript"/>
        </w:rPr>
        <w:t>2</w:t>
      </w:r>
      <w:r>
        <w:rPr>
          <w:color w:val="auto"/>
        </w:rPr>
        <w:t>。</w:t>
      </w:r>
    </w:p>
    <w:p>
      <w:pPr>
        <w:pStyle w:val="130"/>
        <w:ind w:firstLine="480"/>
        <w:rPr>
          <w:color w:val="auto"/>
        </w:rPr>
      </w:pPr>
      <w:r>
        <w:rPr>
          <w:color w:val="auto"/>
        </w:rPr>
        <w:t>（4）预测时段</w:t>
      </w:r>
    </w:p>
    <w:p>
      <w:pPr>
        <w:pStyle w:val="130"/>
        <w:ind w:firstLine="480"/>
        <w:rPr>
          <w:color w:val="auto"/>
        </w:rPr>
      </w:pPr>
      <w:r>
        <w:rPr>
          <w:color w:val="auto"/>
        </w:rPr>
        <w:t>预测时段选择事故发生后100d、1000d、5000d作为预测时间节点。</w:t>
      </w:r>
    </w:p>
    <w:p>
      <w:pPr>
        <w:pStyle w:val="130"/>
        <w:ind w:firstLine="480"/>
        <w:rPr>
          <w:color w:val="auto"/>
        </w:rPr>
      </w:pPr>
      <w:r>
        <w:rPr>
          <w:color w:val="auto"/>
        </w:rPr>
        <w:t>（5）预测内容</w:t>
      </w:r>
    </w:p>
    <w:p>
      <w:pPr>
        <w:pStyle w:val="130"/>
        <w:ind w:firstLine="480"/>
        <w:rPr>
          <w:color w:val="auto"/>
        </w:rPr>
      </w:pPr>
      <w:r>
        <w:rPr>
          <w:color w:val="auto"/>
        </w:rPr>
        <w:t>根据地下水技术导则要求，结合本项目工程分析，本次地下水预测主要内容为：预测污染因子不同时段的影响范围、程度、最大迁移距离，以及建设项目厂界处污染因子随时间的变化规律。</w:t>
      </w:r>
    </w:p>
    <w:p>
      <w:pPr>
        <w:pStyle w:val="130"/>
        <w:ind w:firstLine="480"/>
        <w:rPr>
          <w:color w:val="auto"/>
        </w:rPr>
      </w:pPr>
      <w:r>
        <w:rPr>
          <w:color w:val="auto"/>
        </w:rPr>
        <w:t>（6）预测模型</w:t>
      </w:r>
    </w:p>
    <w:p>
      <w:pPr>
        <w:pStyle w:val="130"/>
        <w:ind w:firstLine="480"/>
        <w:rPr>
          <w:color w:val="auto"/>
        </w:rPr>
      </w:pPr>
      <w:r>
        <w:rPr>
          <w:color w:val="auto"/>
        </w:rPr>
        <w:t>根据《环境影响评价技术导则·地下水环境》(HJ610-2016)相关要求判定本项目地下水环境影响评价工作等级为二级。本次选择模型将污染源以点源考虑，在模拟污染物扩散时，不考虑吸附作用、化学反应等因素。地下水环境影响预测选用“地下水溶质运移解析法，采用预测模型如下：</w:t>
      </w:r>
    </w:p>
    <w:p>
      <w:pPr>
        <w:pStyle w:val="130"/>
        <w:ind w:firstLine="480"/>
        <w:jc w:val="center"/>
        <w:rPr>
          <w:color w:val="auto"/>
        </w:rPr>
      </w:pPr>
      <w:r>
        <w:rPr>
          <w:color w:val="auto"/>
        </w:rPr>
        <w:drawing>
          <wp:inline distT="0" distB="0" distL="114300" distR="114300">
            <wp:extent cx="2752725" cy="561340"/>
            <wp:effectExtent l="0" t="0" r="0" b="0"/>
            <wp:docPr id="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
                    <pic:cNvPicPr>
                      <a:picLocks noChangeAspect="1"/>
                    </pic:cNvPicPr>
                  </pic:nvPicPr>
                  <pic:blipFill>
                    <a:blip r:embed="rId51" cstate="print"/>
                    <a:stretch>
                      <a:fillRect/>
                    </a:stretch>
                  </pic:blipFill>
                  <pic:spPr>
                    <a:xfrm>
                      <a:off x="0" y="0"/>
                      <a:ext cx="2773287" cy="565989"/>
                    </a:xfrm>
                    <a:prstGeom prst="rect">
                      <a:avLst/>
                    </a:prstGeom>
                    <a:noFill/>
                    <a:ln w="9525">
                      <a:noFill/>
                    </a:ln>
                  </pic:spPr>
                </pic:pic>
              </a:graphicData>
            </a:graphic>
          </wp:inline>
        </w:drawing>
      </w:r>
    </w:p>
    <w:p>
      <w:pPr>
        <w:pStyle w:val="130"/>
        <w:ind w:firstLine="480"/>
        <w:rPr>
          <w:color w:val="auto"/>
        </w:rPr>
      </w:pPr>
      <w:r>
        <w:rPr>
          <w:color w:val="auto"/>
        </w:rPr>
        <w:t>式中：</w:t>
      </w:r>
      <w:r>
        <w:rPr>
          <w:i/>
          <w:color w:val="auto"/>
        </w:rPr>
        <w:t>x</w:t>
      </w:r>
      <w:r>
        <w:rPr>
          <w:color w:val="auto"/>
        </w:rPr>
        <w:t>-预测点至污染源强距离（m）；</w:t>
      </w:r>
    </w:p>
    <w:p>
      <w:pPr>
        <w:pStyle w:val="130"/>
        <w:ind w:left="735" w:leftChars="350" w:firstLine="480"/>
        <w:rPr>
          <w:color w:val="auto"/>
        </w:rPr>
      </w:pPr>
      <w:r>
        <w:rPr>
          <w:i/>
          <w:color w:val="auto"/>
        </w:rPr>
        <w:t>C</w:t>
      </w:r>
      <w:r>
        <w:rPr>
          <w:color w:val="auto"/>
        </w:rPr>
        <w:t>-</w:t>
      </w:r>
      <w:r>
        <w:rPr>
          <w:i/>
          <w:color w:val="auto"/>
        </w:rPr>
        <w:t>t</w:t>
      </w:r>
      <w:r>
        <w:rPr>
          <w:color w:val="auto"/>
        </w:rPr>
        <w:t>时刻</w:t>
      </w:r>
      <w:r>
        <w:rPr>
          <w:i/>
          <w:color w:val="auto"/>
        </w:rPr>
        <w:t>x</w:t>
      </w:r>
      <w:r>
        <w:rPr>
          <w:color w:val="auto"/>
        </w:rPr>
        <w:t>处的地下水浓度（mg/L）；</w:t>
      </w:r>
    </w:p>
    <w:p>
      <w:pPr>
        <w:pStyle w:val="130"/>
        <w:ind w:left="735" w:leftChars="350" w:firstLine="480"/>
        <w:rPr>
          <w:color w:val="auto"/>
        </w:rPr>
      </w:pPr>
      <w:r>
        <w:rPr>
          <w:i/>
          <w:color w:val="auto"/>
        </w:rPr>
        <w:t>C</w:t>
      </w:r>
      <w:r>
        <w:rPr>
          <w:i/>
          <w:color w:val="auto"/>
          <w:vertAlign w:val="subscript"/>
        </w:rPr>
        <w:t>0</w:t>
      </w:r>
      <w:r>
        <w:rPr>
          <w:color w:val="auto"/>
        </w:rPr>
        <w:t>-废水浓度（mg/L）；</w:t>
      </w:r>
    </w:p>
    <w:p>
      <w:pPr>
        <w:pStyle w:val="130"/>
        <w:ind w:left="735" w:leftChars="350" w:firstLine="480"/>
        <w:rPr>
          <w:color w:val="auto"/>
          <w:vertAlign w:val="subscript"/>
        </w:rPr>
      </w:pPr>
      <w:r>
        <w:rPr>
          <w:i/>
          <w:color w:val="auto"/>
        </w:rPr>
        <w:t>D</w:t>
      </w:r>
      <w:r>
        <w:rPr>
          <w:color w:val="auto"/>
        </w:rPr>
        <w:t>-纵向弥散系数（m</w:t>
      </w:r>
      <w:r>
        <w:rPr>
          <w:color w:val="auto"/>
          <w:vertAlign w:val="superscript"/>
        </w:rPr>
        <w:t>2</w:t>
      </w:r>
      <w:r>
        <w:rPr>
          <w:color w:val="auto"/>
        </w:rPr>
        <w:t>/d）；</w:t>
      </w:r>
    </w:p>
    <w:p>
      <w:pPr>
        <w:pStyle w:val="130"/>
        <w:ind w:left="735" w:leftChars="350" w:firstLine="480"/>
        <w:rPr>
          <w:color w:val="auto"/>
        </w:rPr>
      </w:pPr>
      <w:r>
        <w:rPr>
          <w:i/>
          <w:color w:val="auto"/>
        </w:rPr>
        <w:t>t</w:t>
      </w:r>
      <w:r>
        <w:rPr>
          <w:color w:val="auto"/>
        </w:rPr>
        <w:t>-预测时段（d）；取100、1000、5000；</w:t>
      </w:r>
    </w:p>
    <w:p>
      <w:pPr>
        <w:pStyle w:val="130"/>
        <w:ind w:left="735" w:leftChars="350" w:firstLine="480"/>
        <w:rPr>
          <w:color w:val="auto"/>
        </w:rPr>
      </w:pPr>
      <w:r>
        <w:rPr>
          <w:i/>
          <w:color w:val="auto"/>
        </w:rPr>
        <w:t>u</w:t>
      </w:r>
      <w:r>
        <w:rPr>
          <w:color w:val="auto"/>
        </w:rPr>
        <w:t>-地下水流速（m/d）；</w:t>
      </w:r>
    </w:p>
    <w:p>
      <w:pPr>
        <w:pStyle w:val="130"/>
        <w:ind w:left="735" w:leftChars="350" w:firstLine="480"/>
        <w:rPr>
          <w:color w:val="auto"/>
        </w:rPr>
      </w:pPr>
      <w:r>
        <w:rPr>
          <w:i/>
          <w:color w:val="auto"/>
        </w:rPr>
        <w:t>erfc(x)</w:t>
      </w:r>
      <w:r>
        <w:rPr>
          <w:color w:val="auto"/>
        </w:rPr>
        <w:t>-余误差函数；</w:t>
      </w:r>
    </w:p>
    <w:p>
      <w:pPr>
        <w:pStyle w:val="130"/>
        <w:ind w:left="735" w:leftChars="350" w:firstLine="480"/>
        <w:rPr>
          <w:color w:val="auto"/>
        </w:rPr>
      </w:pPr>
      <w:r>
        <w:rPr>
          <w:color w:val="auto"/>
        </w:rPr>
        <w:t>erfc--余误差函数。</w:t>
      </w:r>
    </w:p>
    <w:p>
      <w:pPr>
        <w:pStyle w:val="130"/>
        <w:ind w:firstLine="480"/>
        <w:rPr>
          <w:color w:val="auto"/>
        </w:rPr>
      </w:pPr>
      <w:r>
        <w:rPr>
          <w:color w:val="auto"/>
        </w:rPr>
        <w:t>计算参数根据场地地质勘查数据并根据含水层中砂砾石颗粒大小、颗粒均匀度和排列情况类比取得的水文地质参数。</w:t>
      </w:r>
    </w:p>
    <w:p>
      <w:pPr>
        <w:pStyle w:val="130"/>
        <w:ind w:firstLine="480"/>
        <w:rPr>
          <w:color w:val="auto"/>
        </w:rPr>
      </w:pPr>
      <w:r>
        <w:rPr>
          <w:color w:val="auto"/>
        </w:rPr>
        <w:t>地下水实际流速和弥散系数的确定按下列方法取得：</w:t>
      </w:r>
    </w:p>
    <w:p>
      <w:pPr>
        <w:pStyle w:val="130"/>
        <w:ind w:firstLine="480"/>
        <w:rPr>
          <w:color w:val="auto"/>
        </w:rPr>
      </w:pPr>
      <w:r>
        <w:rPr>
          <w:color w:val="auto"/>
        </w:rPr>
        <w:t>u＝K×I/n</w:t>
      </w:r>
    </w:p>
    <w:p>
      <w:pPr>
        <w:pStyle w:val="130"/>
        <w:ind w:firstLine="480"/>
        <w:rPr>
          <w:color w:val="auto"/>
        </w:rPr>
      </w:pPr>
      <w:r>
        <w:rPr>
          <w:color w:val="auto"/>
        </w:rPr>
        <w:t>其中：u—地下水实际流速，m/d；</w:t>
      </w:r>
    </w:p>
    <w:p>
      <w:pPr>
        <w:pStyle w:val="130"/>
        <w:ind w:firstLine="480"/>
        <w:rPr>
          <w:color w:val="auto"/>
        </w:rPr>
      </w:pPr>
      <w:r>
        <w:rPr>
          <w:color w:val="auto"/>
        </w:rPr>
        <w:t xml:space="preserve">      K—渗透系数，m/d；</w:t>
      </w:r>
    </w:p>
    <w:p>
      <w:pPr>
        <w:pStyle w:val="130"/>
        <w:ind w:firstLine="480"/>
        <w:rPr>
          <w:color w:val="auto"/>
        </w:rPr>
      </w:pPr>
      <w:r>
        <w:rPr>
          <w:color w:val="auto"/>
        </w:rPr>
        <w:t xml:space="preserve">      I—水力坡度，‰；</w:t>
      </w:r>
    </w:p>
    <w:p>
      <w:pPr>
        <w:pStyle w:val="130"/>
        <w:ind w:firstLine="480"/>
        <w:rPr>
          <w:color w:val="auto"/>
        </w:rPr>
      </w:pPr>
      <w:r>
        <w:rPr>
          <w:color w:val="auto"/>
        </w:rPr>
        <w:t xml:space="preserve">      n—孔隙度；</w:t>
      </w:r>
    </w:p>
    <w:p>
      <w:pPr>
        <w:pStyle w:val="130"/>
        <w:ind w:firstLine="480"/>
        <w:rPr>
          <w:color w:val="auto"/>
        </w:rPr>
      </w:pPr>
      <w:r>
        <w:rPr>
          <w:color w:val="auto"/>
        </w:rPr>
        <w:t>根据项目区域水文地质条件，项目区域主要为粉砂，根据《环境影响评价技术导则 地下水环境》（HJ610-2016）附录B表B.1中粉砂渗透系数经验值为1.0～1.5m/d，本次取1.5m/d；区域地下水径流缓慢，水力坡度取9‰；根据《环境影响评价技术方法》（环境保护部环境工程评估中心编2016年版）不同地质材料的孔隙度，评价区域潜水含水介质以细砂为主，孔隙度为0.26-0.53，有效孔隙度比孔隙度少5-10%，因此评价区域深层水含水层有效孔隙度约为0.23-0.50，因此确定评价区域有效孔隙度取值0.5。根据国内外经验系数粉砂类型含水层的纵向弥散系数0.05~0.5m</w:t>
      </w:r>
      <w:r>
        <w:rPr>
          <w:color w:val="auto"/>
          <w:vertAlign w:val="superscript"/>
        </w:rPr>
        <w:t>2</w:t>
      </w:r>
      <w:r>
        <w:rPr>
          <w:color w:val="auto"/>
        </w:rPr>
        <w:t>/d，取最大值0.5m</w:t>
      </w:r>
      <w:r>
        <w:rPr>
          <w:color w:val="auto"/>
          <w:vertAlign w:val="superscript"/>
        </w:rPr>
        <w:t>2</w:t>
      </w:r>
      <w:r>
        <w:rPr>
          <w:color w:val="auto"/>
        </w:rPr>
        <w:t>/d。</w:t>
      </w:r>
    </w:p>
    <w:p>
      <w:pPr>
        <w:pStyle w:val="114"/>
        <w:spacing w:before="0" w:beforeLines="0"/>
        <w:rPr>
          <w:color w:val="auto"/>
        </w:rPr>
      </w:pPr>
      <w:r>
        <w:rPr>
          <w:color w:val="auto"/>
        </w:rPr>
        <w:t>表7.4-2    计算参数一览表</w:t>
      </w:r>
    </w:p>
    <w:tbl>
      <w:tblPr>
        <w:tblStyle w:val="74"/>
        <w:tblW w:w="855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050"/>
        <w:gridCol w:w="1548"/>
        <w:gridCol w:w="1378"/>
        <w:gridCol w:w="1916"/>
        <w:gridCol w:w="16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41" w:hRule="atLeast"/>
        </w:trPr>
        <w:tc>
          <w:tcPr>
            <w:tcW w:w="2050" w:type="dxa"/>
            <w:vAlign w:val="center"/>
          </w:tcPr>
          <w:p>
            <w:pPr>
              <w:jc w:val="center"/>
              <w:rPr>
                <w:color w:val="auto"/>
              </w:rPr>
            </w:pPr>
            <w:r>
              <w:rPr>
                <w:color w:val="auto"/>
                <w:szCs w:val="21"/>
              </w:rPr>
              <w:t>含水层参数</w:t>
            </w:r>
          </w:p>
        </w:tc>
        <w:tc>
          <w:tcPr>
            <w:tcW w:w="1548" w:type="dxa"/>
            <w:vAlign w:val="center"/>
          </w:tcPr>
          <w:p>
            <w:pPr>
              <w:jc w:val="center"/>
              <w:rPr>
                <w:color w:val="auto"/>
                <w:szCs w:val="21"/>
              </w:rPr>
            </w:pPr>
            <w:r>
              <w:rPr>
                <w:color w:val="auto"/>
                <w:szCs w:val="21"/>
              </w:rPr>
              <w:t>地下水实际流速u（m/d）</w:t>
            </w:r>
          </w:p>
        </w:tc>
        <w:tc>
          <w:tcPr>
            <w:tcW w:w="1378" w:type="dxa"/>
            <w:vAlign w:val="center"/>
          </w:tcPr>
          <w:p>
            <w:pPr>
              <w:jc w:val="center"/>
              <w:rPr>
                <w:color w:val="auto"/>
                <w:szCs w:val="21"/>
              </w:rPr>
            </w:pPr>
            <w:r>
              <w:rPr>
                <w:color w:val="auto"/>
                <w:szCs w:val="21"/>
              </w:rPr>
              <w:t>弥散系数D</w:t>
            </w:r>
            <w:r>
              <w:rPr>
                <w:color w:val="auto"/>
                <w:szCs w:val="21"/>
                <w:vertAlign w:val="subscript"/>
              </w:rPr>
              <w:t>L</w:t>
            </w:r>
            <w:r>
              <w:rPr>
                <w:color w:val="auto"/>
                <w:szCs w:val="21"/>
              </w:rPr>
              <w:t>（m</w:t>
            </w:r>
            <w:r>
              <w:rPr>
                <w:color w:val="auto"/>
                <w:szCs w:val="21"/>
                <w:vertAlign w:val="superscript"/>
              </w:rPr>
              <w:t>2</w:t>
            </w:r>
            <w:r>
              <w:rPr>
                <w:color w:val="auto"/>
                <w:szCs w:val="21"/>
              </w:rPr>
              <w:t>/d）</w:t>
            </w:r>
          </w:p>
        </w:tc>
        <w:tc>
          <w:tcPr>
            <w:tcW w:w="1916" w:type="dxa"/>
            <w:vAlign w:val="center"/>
          </w:tcPr>
          <w:p>
            <w:pPr>
              <w:jc w:val="center"/>
              <w:rPr>
                <w:color w:val="auto"/>
                <w:szCs w:val="21"/>
              </w:rPr>
            </w:pPr>
            <w:r>
              <w:rPr>
                <w:color w:val="auto"/>
                <w:szCs w:val="21"/>
              </w:rPr>
              <w:t>污染源强C</w:t>
            </w:r>
            <w:r>
              <w:rPr>
                <w:color w:val="auto"/>
                <w:szCs w:val="21"/>
                <w:vertAlign w:val="subscript"/>
              </w:rPr>
              <w:t>0</w:t>
            </w:r>
            <w:r>
              <w:rPr>
                <w:color w:val="auto"/>
                <w:szCs w:val="21"/>
              </w:rPr>
              <w:t>（COD</w:t>
            </w:r>
            <w:r>
              <w:rPr>
                <w:color w:val="auto"/>
                <w:szCs w:val="21"/>
                <w:vertAlign w:val="subscript"/>
              </w:rPr>
              <w:t>Mn</w:t>
            </w:r>
            <w:r>
              <w:rPr>
                <w:color w:val="auto"/>
                <w:szCs w:val="21"/>
              </w:rPr>
              <w:t>）（mg/L）</w:t>
            </w:r>
          </w:p>
        </w:tc>
        <w:tc>
          <w:tcPr>
            <w:tcW w:w="1666" w:type="dxa"/>
            <w:vAlign w:val="center"/>
          </w:tcPr>
          <w:p>
            <w:pPr>
              <w:jc w:val="center"/>
              <w:rPr>
                <w:color w:val="auto"/>
                <w:szCs w:val="21"/>
              </w:rPr>
            </w:pPr>
            <w:r>
              <w:rPr>
                <w:color w:val="auto"/>
                <w:szCs w:val="21"/>
              </w:rPr>
              <w:t>污染物泄漏持续时间（d）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93" w:hRule="atLeast"/>
        </w:trPr>
        <w:tc>
          <w:tcPr>
            <w:tcW w:w="2050" w:type="dxa"/>
            <w:vAlign w:val="center"/>
          </w:tcPr>
          <w:p>
            <w:pPr>
              <w:jc w:val="center"/>
              <w:rPr>
                <w:color w:val="auto"/>
              </w:rPr>
            </w:pPr>
            <w:r>
              <w:rPr>
                <w:color w:val="auto"/>
                <w:szCs w:val="21"/>
              </w:rPr>
              <w:t>项目建设区含水层</w:t>
            </w:r>
          </w:p>
        </w:tc>
        <w:tc>
          <w:tcPr>
            <w:tcW w:w="1548" w:type="dxa"/>
            <w:vAlign w:val="center"/>
          </w:tcPr>
          <w:p>
            <w:pPr>
              <w:jc w:val="center"/>
              <w:rPr>
                <w:color w:val="auto"/>
                <w:szCs w:val="21"/>
              </w:rPr>
            </w:pPr>
            <w:r>
              <w:rPr>
                <w:color w:val="auto"/>
                <w:szCs w:val="21"/>
              </w:rPr>
              <w:t>0.027</w:t>
            </w:r>
          </w:p>
        </w:tc>
        <w:tc>
          <w:tcPr>
            <w:tcW w:w="1378" w:type="dxa"/>
            <w:vAlign w:val="center"/>
          </w:tcPr>
          <w:p>
            <w:pPr>
              <w:jc w:val="center"/>
              <w:rPr>
                <w:color w:val="auto"/>
                <w:szCs w:val="21"/>
              </w:rPr>
            </w:pPr>
            <w:r>
              <w:rPr>
                <w:color w:val="auto"/>
                <w:szCs w:val="21"/>
              </w:rPr>
              <w:t>0.5</w:t>
            </w:r>
          </w:p>
        </w:tc>
        <w:tc>
          <w:tcPr>
            <w:tcW w:w="1916" w:type="dxa"/>
            <w:vAlign w:val="center"/>
          </w:tcPr>
          <w:p>
            <w:pPr>
              <w:jc w:val="center"/>
              <w:rPr>
                <w:color w:val="auto"/>
                <w:szCs w:val="21"/>
              </w:rPr>
            </w:pPr>
            <w:r>
              <w:rPr>
                <w:color w:val="auto"/>
                <w:szCs w:val="21"/>
              </w:rPr>
              <w:t>666.7</w:t>
            </w:r>
          </w:p>
        </w:tc>
        <w:tc>
          <w:tcPr>
            <w:tcW w:w="1666" w:type="dxa"/>
            <w:vAlign w:val="center"/>
          </w:tcPr>
          <w:p>
            <w:pPr>
              <w:jc w:val="center"/>
              <w:rPr>
                <w:color w:val="auto"/>
                <w:szCs w:val="21"/>
              </w:rPr>
            </w:pPr>
            <w:r>
              <w:rPr>
                <w:color w:val="auto"/>
                <w:szCs w:val="21"/>
              </w:rPr>
              <w:t>180</w:t>
            </w:r>
          </w:p>
        </w:tc>
      </w:tr>
    </w:tbl>
    <w:p>
      <w:pPr>
        <w:pStyle w:val="130"/>
        <w:spacing w:before="120" w:beforeLines="50"/>
        <w:ind w:firstLine="480"/>
        <w:rPr>
          <w:color w:val="auto"/>
        </w:rPr>
      </w:pPr>
      <w:r>
        <w:rPr>
          <w:color w:val="auto"/>
        </w:rPr>
        <w:t>（7）污染源强核算</w:t>
      </w:r>
    </w:p>
    <w:p>
      <w:pPr>
        <w:spacing w:line="360" w:lineRule="auto"/>
        <w:ind w:firstLine="480" w:firstLineChars="200"/>
        <w:rPr>
          <w:color w:val="auto"/>
          <w:sz w:val="24"/>
          <w:szCs w:val="24"/>
        </w:rPr>
      </w:pPr>
      <w:r>
        <w:rPr>
          <w:color w:val="auto"/>
          <w:sz w:val="24"/>
          <w:szCs w:val="24"/>
        </w:rPr>
        <w:t>废水渗漏量：本项目调节</w:t>
      </w:r>
      <w:r>
        <w:rPr>
          <w:bCs/>
          <w:color w:val="auto"/>
          <w:sz w:val="24"/>
          <w:szCs w:val="24"/>
        </w:rPr>
        <w:t>池具有防渗功能，但非正常工况下由于防渗层破坏达不到防渗效果导致废水渗漏进入地下污染潜水含水层。参照《给水排水构筑物工程施工及验收规范》（GB50141-2008），钢筋混凝土结构水池渗水量不得超过2L/（m</w:t>
      </w:r>
      <w:r>
        <w:rPr>
          <w:bCs/>
          <w:color w:val="auto"/>
          <w:sz w:val="24"/>
          <w:szCs w:val="24"/>
          <w:vertAlign w:val="superscript"/>
        </w:rPr>
        <w:t>2</w:t>
      </w:r>
      <w:r>
        <w:rPr>
          <w:bCs/>
          <w:color w:val="auto"/>
          <w:sz w:val="24"/>
          <w:szCs w:val="24"/>
        </w:rPr>
        <w:t xml:space="preserve"> ·d），非正常状况下，取正常允许渗漏量的10倍渗漏量作为源强，本项目调节池底部面积约8m</w:t>
      </w:r>
      <w:r>
        <w:rPr>
          <w:bCs/>
          <w:color w:val="auto"/>
          <w:sz w:val="24"/>
          <w:szCs w:val="24"/>
          <w:vertAlign w:val="superscript"/>
        </w:rPr>
        <w:t>2</w:t>
      </w:r>
      <w:r>
        <w:rPr>
          <w:bCs/>
          <w:color w:val="auto"/>
          <w:sz w:val="24"/>
          <w:szCs w:val="24"/>
        </w:rPr>
        <w:t>，则本次评价非正常工况下废水渗漏量0.16m</w:t>
      </w:r>
      <w:r>
        <w:rPr>
          <w:bCs/>
          <w:color w:val="auto"/>
          <w:sz w:val="24"/>
          <w:szCs w:val="24"/>
          <w:vertAlign w:val="superscript"/>
        </w:rPr>
        <w:t>3</w:t>
      </w:r>
      <w:r>
        <w:rPr>
          <w:bCs/>
          <w:color w:val="auto"/>
          <w:sz w:val="24"/>
          <w:szCs w:val="24"/>
        </w:rPr>
        <w:t>/d。</w:t>
      </w:r>
    </w:p>
    <w:p>
      <w:pPr>
        <w:pStyle w:val="130"/>
        <w:ind w:firstLine="480"/>
        <w:rPr>
          <w:color w:val="auto"/>
        </w:rPr>
      </w:pPr>
      <w:r>
        <w:rPr>
          <w:color w:val="auto"/>
        </w:rPr>
        <w:t>渗漏污染物浓度：根据前文工程分析，调节池</w:t>
      </w:r>
      <w:r>
        <w:rPr>
          <w:color w:val="auto"/>
          <w:shd w:val="clear" w:color="auto" w:fill="FFFFFF"/>
        </w:rPr>
        <w:t>CODcr</w:t>
      </w:r>
      <w:r>
        <w:rPr>
          <w:color w:val="auto"/>
        </w:rPr>
        <w:t>浓度选取实测值2000mg/L，</w:t>
      </w:r>
      <w:r>
        <w:rPr>
          <w:color w:val="auto"/>
          <w:szCs w:val="21"/>
        </w:rPr>
        <w:t>根据相关</w:t>
      </w:r>
      <w:r>
        <w:rPr>
          <w:rFonts w:hint="eastAsia"/>
          <w:color w:val="auto"/>
          <w:szCs w:val="21"/>
        </w:rPr>
        <w:t>文献</w:t>
      </w:r>
      <w:r>
        <w:rPr>
          <w:color w:val="auto"/>
          <w:szCs w:val="21"/>
        </w:rPr>
        <w:t>资料，</w:t>
      </w:r>
      <w:r>
        <w:rPr>
          <w:color w:val="auto"/>
        </w:rPr>
        <w:t>一般CODcr与</w:t>
      </w:r>
      <w:r>
        <w:rPr>
          <w:color w:val="auto"/>
          <w:szCs w:val="21"/>
        </w:rPr>
        <w:t>COD</w:t>
      </w:r>
      <w:r>
        <w:rPr>
          <w:color w:val="auto"/>
          <w:szCs w:val="21"/>
          <w:vertAlign w:val="subscript"/>
        </w:rPr>
        <w:t>Mn</w:t>
      </w:r>
      <w:r>
        <w:rPr>
          <w:color w:val="auto"/>
        </w:rPr>
        <w:t>比值约为1.5~4，本次评价取中间值3，因此折算后</w:t>
      </w:r>
      <w:r>
        <w:rPr>
          <w:color w:val="auto"/>
          <w:szCs w:val="21"/>
        </w:rPr>
        <w:t>COD</w:t>
      </w:r>
      <w:r>
        <w:rPr>
          <w:color w:val="auto"/>
          <w:szCs w:val="21"/>
          <w:vertAlign w:val="subscript"/>
        </w:rPr>
        <w:t>Mn</w:t>
      </w:r>
      <w:r>
        <w:rPr>
          <w:color w:val="auto"/>
        </w:rPr>
        <w:t>666.7mg/L。采用《地下水质量标准》（GB/T14848-2017）中耗氧量（COD</w:t>
      </w:r>
      <w:r>
        <w:rPr>
          <w:color w:val="auto"/>
          <w:vertAlign w:val="subscript"/>
        </w:rPr>
        <w:t>Mn</w:t>
      </w:r>
      <w:r>
        <w:rPr>
          <w:color w:val="auto"/>
        </w:rPr>
        <w:t>）的Ⅲ类水质作为评价标准（3mg/L），超标约222倍。</w:t>
      </w:r>
    </w:p>
    <w:p>
      <w:pPr>
        <w:pStyle w:val="130"/>
        <w:ind w:firstLine="480"/>
        <w:rPr>
          <w:color w:val="auto"/>
        </w:rPr>
      </w:pPr>
      <w:r>
        <w:rPr>
          <w:color w:val="auto"/>
        </w:rPr>
        <w:t>渗漏时间：本项目地下水监测频次为每半年一次，考虑最不利情况，本次选取渗漏时间为180天。</w:t>
      </w:r>
    </w:p>
    <w:p>
      <w:pPr>
        <w:pStyle w:val="130"/>
        <w:ind w:firstLine="480"/>
        <w:rPr>
          <w:color w:val="auto"/>
        </w:rPr>
      </w:pPr>
      <w:r>
        <w:rPr>
          <w:color w:val="auto"/>
        </w:rPr>
        <w:t>（8）预测结果统计及分析</w:t>
      </w:r>
    </w:p>
    <w:p>
      <w:pPr>
        <w:pStyle w:val="130"/>
        <w:ind w:firstLine="480"/>
        <w:rPr>
          <w:color w:val="auto"/>
        </w:rPr>
      </w:pPr>
      <w:bookmarkStart w:id="428" w:name="_Toc11595427"/>
      <w:r>
        <w:rPr>
          <w:color w:val="auto"/>
        </w:rPr>
        <w:t>①COD迁移预测结果</w:t>
      </w:r>
    </w:p>
    <w:p>
      <w:pPr>
        <w:spacing w:line="360" w:lineRule="auto"/>
        <w:ind w:firstLine="480" w:firstLineChars="200"/>
        <w:rPr>
          <w:bCs/>
          <w:color w:val="auto"/>
          <w:sz w:val="24"/>
        </w:rPr>
      </w:pPr>
      <w:r>
        <w:rPr>
          <w:bCs/>
          <w:color w:val="auto"/>
          <w:sz w:val="24"/>
        </w:rPr>
        <w:t>结合《环境影响评价技术导则  地下水环境》（HJ610-2016），选取泄漏后100d、1000d、5000d以及厂界进行预测。预测结果见表7.4-3~7.4-4和图7.4-5~7.4-8。</w:t>
      </w:r>
    </w:p>
    <w:p>
      <w:pPr>
        <w:tabs>
          <w:tab w:val="left" w:pos="900"/>
        </w:tabs>
        <w:ind w:left="420"/>
        <w:jc w:val="center"/>
        <w:rPr>
          <w:b/>
          <w:color w:val="auto"/>
          <w:sz w:val="24"/>
          <w:szCs w:val="24"/>
        </w:rPr>
      </w:pPr>
      <w:r>
        <w:rPr>
          <w:b/>
          <w:color w:val="auto"/>
          <w:sz w:val="24"/>
          <w:szCs w:val="24"/>
        </w:rPr>
        <w:t>表7.4-3  非正常状况下厂址下游地下水COD</w:t>
      </w:r>
      <w:r>
        <w:rPr>
          <w:b/>
          <w:color w:val="auto"/>
          <w:sz w:val="24"/>
          <w:szCs w:val="24"/>
          <w:vertAlign w:val="subscript"/>
        </w:rPr>
        <w:t>Mn</w:t>
      </w:r>
      <w:r>
        <w:rPr>
          <w:b/>
          <w:color w:val="auto"/>
          <w:sz w:val="24"/>
          <w:szCs w:val="24"/>
        </w:rPr>
        <w:t>预测结果一览表</w:t>
      </w:r>
    </w:p>
    <w:tbl>
      <w:tblPr>
        <w:tblStyle w:val="74"/>
        <w:tblW w:w="8997"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1061"/>
        <w:gridCol w:w="1420"/>
        <w:gridCol w:w="1398"/>
        <w:gridCol w:w="1230"/>
        <w:gridCol w:w="1230"/>
        <w:gridCol w:w="1230"/>
        <w:gridCol w:w="14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trHeight w:val="690" w:hRule="atLeast"/>
          <w:tblHeader/>
          <w:jc w:val="center"/>
        </w:trPr>
        <w:tc>
          <w:tcPr>
            <w:tcW w:w="1061" w:type="dxa"/>
            <w:vAlign w:val="center"/>
          </w:tcPr>
          <w:p>
            <w:pPr>
              <w:ind w:left="-105" w:leftChars="-50" w:right="-105" w:rightChars="-50"/>
              <w:jc w:val="center"/>
              <w:rPr>
                <w:b/>
                <w:bCs/>
                <w:color w:val="auto"/>
                <w:szCs w:val="21"/>
              </w:rPr>
            </w:pPr>
            <w:r>
              <w:rPr>
                <w:b/>
                <w:bCs/>
                <w:color w:val="auto"/>
                <w:szCs w:val="21"/>
              </w:rPr>
              <w:t>名称</w:t>
            </w:r>
          </w:p>
        </w:tc>
        <w:tc>
          <w:tcPr>
            <w:tcW w:w="1420" w:type="dxa"/>
            <w:vAlign w:val="center"/>
          </w:tcPr>
          <w:p>
            <w:pPr>
              <w:ind w:left="-50" w:right="-50"/>
              <w:jc w:val="center"/>
              <w:rPr>
                <w:b/>
                <w:bCs/>
                <w:color w:val="auto"/>
                <w:szCs w:val="21"/>
              </w:rPr>
            </w:pPr>
            <w:r>
              <w:rPr>
                <w:b/>
                <w:bCs/>
                <w:color w:val="auto"/>
                <w:szCs w:val="21"/>
              </w:rPr>
              <w:t>最大预测值（</w:t>
            </w:r>
            <w:r>
              <w:rPr>
                <w:b/>
                <w:color w:val="auto"/>
                <w:szCs w:val="21"/>
              </w:rPr>
              <w:t>mg/L</w:t>
            </w:r>
            <w:r>
              <w:rPr>
                <w:b/>
                <w:bCs/>
                <w:color w:val="auto"/>
                <w:szCs w:val="21"/>
              </w:rPr>
              <w:t>）</w:t>
            </w:r>
          </w:p>
        </w:tc>
        <w:tc>
          <w:tcPr>
            <w:tcW w:w="1398" w:type="dxa"/>
            <w:vAlign w:val="center"/>
          </w:tcPr>
          <w:p>
            <w:pPr>
              <w:ind w:left="-50" w:right="-50"/>
              <w:jc w:val="center"/>
              <w:rPr>
                <w:b/>
                <w:bCs/>
                <w:color w:val="auto"/>
                <w:szCs w:val="21"/>
              </w:rPr>
            </w:pPr>
            <w:r>
              <w:rPr>
                <w:b/>
                <w:bCs/>
                <w:color w:val="auto"/>
                <w:szCs w:val="21"/>
              </w:rPr>
              <w:t>最大预测值出现距离（</w:t>
            </w:r>
            <w:r>
              <w:rPr>
                <w:b/>
                <w:color w:val="auto"/>
              </w:rPr>
              <w:t>m</w:t>
            </w:r>
            <w:r>
              <w:rPr>
                <w:b/>
                <w:bCs/>
                <w:color w:val="auto"/>
                <w:szCs w:val="21"/>
              </w:rPr>
              <w:t>）</w:t>
            </w:r>
          </w:p>
        </w:tc>
        <w:tc>
          <w:tcPr>
            <w:tcW w:w="1230" w:type="dxa"/>
            <w:vAlign w:val="center"/>
          </w:tcPr>
          <w:p>
            <w:pPr>
              <w:ind w:left="-50" w:right="-50"/>
              <w:jc w:val="center"/>
              <w:rPr>
                <w:b/>
                <w:bCs/>
                <w:color w:val="auto"/>
                <w:szCs w:val="21"/>
              </w:rPr>
            </w:pPr>
            <w:r>
              <w:rPr>
                <w:b/>
                <w:bCs/>
                <w:color w:val="auto"/>
                <w:szCs w:val="21"/>
              </w:rPr>
              <w:t>最远影响距离（</w:t>
            </w:r>
            <w:r>
              <w:rPr>
                <w:b/>
                <w:color w:val="auto"/>
              </w:rPr>
              <w:t>m</w:t>
            </w:r>
            <w:r>
              <w:rPr>
                <w:b/>
                <w:bCs/>
                <w:color w:val="auto"/>
                <w:szCs w:val="21"/>
              </w:rPr>
              <w:t>）</w:t>
            </w:r>
          </w:p>
        </w:tc>
        <w:tc>
          <w:tcPr>
            <w:tcW w:w="1230" w:type="dxa"/>
            <w:vAlign w:val="center"/>
          </w:tcPr>
          <w:p>
            <w:pPr>
              <w:ind w:left="-50" w:right="-50"/>
              <w:jc w:val="center"/>
              <w:rPr>
                <w:b/>
                <w:bCs/>
                <w:color w:val="auto"/>
                <w:szCs w:val="21"/>
              </w:rPr>
            </w:pPr>
            <w:r>
              <w:rPr>
                <w:b/>
                <w:bCs/>
                <w:color w:val="auto"/>
                <w:szCs w:val="21"/>
              </w:rPr>
              <w:t>开始超标距离（m）</w:t>
            </w:r>
          </w:p>
        </w:tc>
        <w:tc>
          <w:tcPr>
            <w:tcW w:w="1230" w:type="dxa"/>
            <w:vAlign w:val="center"/>
          </w:tcPr>
          <w:p>
            <w:pPr>
              <w:ind w:left="-50" w:right="-50"/>
              <w:jc w:val="center"/>
              <w:rPr>
                <w:b/>
                <w:bCs/>
                <w:color w:val="auto"/>
                <w:szCs w:val="21"/>
              </w:rPr>
            </w:pPr>
            <w:r>
              <w:rPr>
                <w:b/>
                <w:bCs/>
                <w:color w:val="auto"/>
                <w:szCs w:val="21"/>
              </w:rPr>
              <w:t>开始达标距离（m）</w:t>
            </w:r>
          </w:p>
        </w:tc>
        <w:tc>
          <w:tcPr>
            <w:tcW w:w="1428" w:type="dxa"/>
            <w:vAlign w:val="center"/>
          </w:tcPr>
          <w:p>
            <w:pPr>
              <w:ind w:left="-50" w:right="-50"/>
              <w:jc w:val="center"/>
              <w:rPr>
                <w:b/>
                <w:bCs/>
                <w:color w:val="auto"/>
                <w:szCs w:val="21"/>
              </w:rPr>
            </w:pPr>
            <w:r>
              <w:rPr>
                <w:b/>
                <w:bCs/>
                <w:color w:val="auto"/>
                <w:szCs w:val="21"/>
              </w:rPr>
              <w:t>标准值（</w:t>
            </w:r>
            <w:r>
              <w:rPr>
                <w:b/>
                <w:color w:val="auto"/>
                <w:szCs w:val="21"/>
              </w:rPr>
              <w:t>mg/L</w:t>
            </w:r>
            <w:r>
              <w:rPr>
                <w:b/>
                <w:bCs/>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trHeight w:val="495" w:hRule="atLeast"/>
          <w:jc w:val="center"/>
        </w:trPr>
        <w:tc>
          <w:tcPr>
            <w:tcW w:w="1061" w:type="dxa"/>
            <w:vAlign w:val="center"/>
          </w:tcPr>
          <w:p>
            <w:pPr>
              <w:ind w:left="-50" w:right="-50"/>
              <w:jc w:val="center"/>
              <w:rPr>
                <w:bCs/>
                <w:color w:val="auto"/>
                <w:szCs w:val="21"/>
              </w:rPr>
            </w:pPr>
            <w:r>
              <w:rPr>
                <w:bCs/>
                <w:color w:val="auto"/>
                <w:szCs w:val="21"/>
              </w:rPr>
              <w:t>100d</w:t>
            </w:r>
          </w:p>
        </w:tc>
        <w:tc>
          <w:tcPr>
            <w:tcW w:w="1420" w:type="dxa"/>
            <w:vAlign w:val="center"/>
          </w:tcPr>
          <w:p>
            <w:pPr>
              <w:ind w:left="-50" w:right="-50"/>
              <w:jc w:val="center"/>
              <w:rPr>
                <w:color w:val="auto"/>
                <w:szCs w:val="21"/>
              </w:rPr>
            </w:pPr>
            <w:r>
              <w:rPr>
                <w:color w:val="auto"/>
                <w:szCs w:val="21"/>
              </w:rPr>
              <w:t>628.6459</w:t>
            </w:r>
          </w:p>
        </w:tc>
        <w:tc>
          <w:tcPr>
            <w:tcW w:w="1398" w:type="dxa"/>
            <w:vAlign w:val="center"/>
          </w:tcPr>
          <w:p>
            <w:pPr>
              <w:ind w:left="-50" w:right="-50"/>
              <w:jc w:val="center"/>
              <w:rPr>
                <w:bCs/>
                <w:color w:val="auto"/>
                <w:szCs w:val="21"/>
              </w:rPr>
            </w:pPr>
            <w:r>
              <w:rPr>
                <w:bCs/>
                <w:color w:val="auto"/>
                <w:szCs w:val="21"/>
              </w:rPr>
              <w:t>1</w:t>
            </w:r>
          </w:p>
        </w:tc>
        <w:tc>
          <w:tcPr>
            <w:tcW w:w="1230" w:type="dxa"/>
            <w:vAlign w:val="center"/>
          </w:tcPr>
          <w:p>
            <w:pPr>
              <w:ind w:left="-50" w:right="-50"/>
              <w:jc w:val="center"/>
              <w:rPr>
                <w:bCs/>
                <w:color w:val="auto"/>
                <w:szCs w:val="21"/>
              </w:rPr>
            </w:pPr>
            <w:r>
              <w:rPr>
                <w:bCs/>
                <w:color w:val="auto"/>
                <w:szCs w:val="21"/>
              </w:rPr>
              <w:t>86</w:t>
            </w:r>
          </w:p>
        </w:tc>
        <w:tc>
          <w:tcPr>
            <w:tcW w:w="1230" w:type="dxa"/>
            <w:vAlign w:val="center"/>
          </w:tcPr>
          <w:p>
            <w:pPr>
              <w:ind w:left="-50" w:right="-50"/>
              <w:jc w:val="center"/>
              <w:rPr>
                <w:bCs/>
                <w:color w:val="auto"/>
                <w:szCs w:val="21"/>
              </w:rPr>
            </w:pPr>
            <w:r>
              <w:rPr>
                <w:bCs/>
                <w:color w:val="auto"/>
                <w:szCs w:val="21"/>
              </w:rPr>
              <w:t>0</w:t>
            </w:r>
          </w:p>
        </w:tc>
        <w:tc>
          <w:tcPr>
            <w:tcW w:w="1230" w:type="dxa"/>
            <w:vAlign w:val="center"/>
          </w:tcPr>
          <w:p>
            <w:pPr>
              <w:ind w:left="-50" w:right="-50"/>
              <w:jc w:val="center"/>
              <w:rPr>
                <w:bCs/>
                <w:color w:val="auto"/>
                <w:szCs w:val="21"/>
              </w:rPr>
            </w:pPr>
            <w:r>
              <w:rPr>
                <w:bCs/>
                <w:color w:val="auto"/>
                <w:szCs w:val="21"/>
              </w:rPr>
              <w:t>31</w:t>
            </w:r>
          </w:p>
        </w:tc>
        <w:tc>
          <w:tcPr>
            <w:tcW w:w="1428" w:type="dxa"/>
            <w:vMerge w:val="restart"/>
            <w:vAlign w:val="center"/>
          </w:tcPr>
          <w:p>
            <w:pPr>
              <w:ind w:left="-50" w:right="-50"/>
              <w:jc w:val="center"/>
              <w:rPr>
                <w:bCs/>
                <w:color w:val="auto"/>
                <w:szCs w:val="21"/>
              </w:rPr>
            </w:pPr>
            <w:r>
              <w:rPr>
                <w:bCs/>
                <w:color w:val="auto"/>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trHeight w:val="495" w:hRule="atLeast"/>
          <w:jc w:val="center"/>
        </w:trPr>
        <w:tc>
          <w:tcPr>
            <w:tcW w:w="1061" w:type="dxa"/>
            <w:vAlign w:val="center"/>
          </w:tcPr>
          <w:p>
            <w:pPr>
              <w:ind w:left="-50" w:right="-50"/>
              <w:jc w:val="center"/>
              <w:rPr>
                <w:bCs/>
                <w:color w:val="auto"/>
                <w:szCs w:val="21"/>
              </w:rPr>
            </w:pPr>
            <w:r>
              <w:rPr>
                <w:bCs/>
                <w:color w:val="auto"/>
                <w:szCs w:val="21"/>
              </w:rPr>
              <w:t>1000d</w:t>
            </w:r>
          </w:p>
        </w:tc>
        <w:tc>
          <w:tcPr>
            <w:tcW w:w="1420" w:type="dxa"/>
            <w:vAlign w:val="center"/>
          </w:tcPr>
          <w:p>
            <w:pPr>
              <w:ind w:left="-50" w:right="-50"/>
              <w:jc w:val="center"/>
              <w:rPr>
                <w:color w:val="auto"/>
                <w:szCs w:val="21"/>
              </w:rPr>
            </w:pPr>
            <w:r>
              <w:rPr>
                <w:color w:val="auto"/>
                <w:szCs w:val="21"/>
              </w:rPr>
              <w:t>49.44432</w:t>
            </w:r>
          </w:p>
        </w:tc>
        <w:tc>
          <w:tcPr>
            <w:tcW w:w="1398" w:type="dxa"/>
            <w:vAlign w:val="center"/>
          </w:tcPr>
          <w:p>
            <w:pPr>
              <w:ind w:left="-50" w:right="-50"/>
              <w:jc w:val="center"/>
              <w:rPr>
                <w:bCs/>
                <w:color w:val="auto"/>
                <w:szCs w:val="21"/>
              </w:rPr>
            </w:pPr>
            <w:r>
              <w:rPr>
                <w:bCs/>
                <w:color w:val="auto"/>
                <w:szCs w:val="21"/>
              </w:rPr>
              <w:t>39</w:t>
            </w:r>
          </w:p>
        </w:tc>
        <w:tc>
          <w:tcPr>
            <w:tcW w:w="1230" w:type="dxa"/>
            <w:vAlign w:val="center"/>
          </w:tcPr>
          <w:p>
            <w:pPr>
              <w:tabs>
                <w:tab w:val="left" w:pos="554"/>
              </w:tabs>
              <w:ind w:left="-50" w:right="-50"/>
              <w:jc w:val="center"/>
              <w:rPr>
                <w:bCs/>
                <w:color w:val="auto"/>
                <w:szCs w:val="21"/>
              </w:rPr>
            </w:pPr>
            <w:r>
              <w:rPr>
                <w:bCs/>
                <w:color w:val="auto"/>
                <w:szCs w:val="21"/>
              </w:rPr>
              <w:t>292</w:t>
            </w:r>
          </w:p>
        </w:tc>
        <w:tc>
          <w:tcPr>
            <w:tcW w:w="1230" w:type="dxa"/>
            <w:vAlign w:val="center"/>
          </w:tcPr>
          <w:p>
            <w:pPr>
              <w:ind w:left="-50" w:right="-50"/>
              <w:jc w:val="center"/>
              <w:rPr>
                <w:bCs/>
                <w:color w:val="auto"/>
                <w:szCs w:val="21"/>
              </w:rPr>
            </w:pPr>
            <w:r>
              <w:rPr>
                <w:bCs/>
                <w:color w:val="auto"/>
                <w:szCs w:val="21"/>
              </w:rPr>
              <w:t>0</w:t>
            </w:r>
          </w:p>
        </w:tc>
        <w:tc>
          <w:tcPr>
            <w:tcW w:w="1230" w:type="dxa"/>
            <w:vAlign w:val="center"/>
          </w:tcPr>
          <w:p>
            <w:pPr>
              <w:ind w:left="-50" w:right="-50"/>
              <w:jc w:val="center"/>
              <w:rPr>
                <w:bCs/>
                <w:color w:val="auto"/>
                <w:szCs w:val="21"/>
              </w:rPr>
            </w:pPr>
            <w:r>
              <w:rPr>
                <w:bCs/>
                <w:color w:val="auto"/>
                <w:szCs w:val="21"/>
              </w:rPr>
              <w:t>107</w:t>
            </w:r>
          </w:p>
        </w:tc>
        <w:tc>
          <w:tcPr>
            <w:tcW w:w="1428" w:type="dxa"/>
            <w:vMerge w:val="continue"/>
            <w:vAlign w:val="center"/>
          </w:tcPr>
          <w:p>
            <w:pPr>
              <w:ind w:left="-50" w:right="-50"/>
              <w:jc w:val="center"/>
              <w:rPr>
                <w:bCs/>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Ex>
        <w:trPr>
          <w:cantSplit/>
          <w:trHeight w:val="531" w:hRule="atLeast"/>
          <w:jc w:val="center"/>
        </w:trPr>
        <w:tc>
          <w:tcPr>
            <w:tcW w:w="1061" w:type="dxa"/>
            <w:vAlign w:val="center"/>
          </w:tcPr>
          <w:p>
            <w:pPr>
              <w:ind w:left="-50" w:right="-50"/>
              <w:jc w:val="center"/>
              <w:rPr>
                <w:bCs/>
                <w:color w:val="auto"/>
                <w:szCs w:val="21"/>
              </w:rPr>
            </w:pPr>
            <w:r>
              <w:rPr>
                <w:bCs/>
                <w:color w:val="auto"/>
                <w:szCs w:val="21"/>
              </w:rPr>
              <w:t>5000d</w:t>
            </w:r>
          </w:p>
        </w:tc>
        <w:tc>
          <w:tcPr>
            <w:tcW w:w="1420" w:type="dxa"/>
            <w:vAlign w:val="center"/>
          </w:tcPr>
          <w:p>
            <w:pPr>
              <w:ind w:left="-50" w:right="-50"/>
              <w:jc w:val="center"/>
              <w:rPr>
                <w:color w:val="auto"/>
                <w:szCs w:val="21"/>
              </w:rPr>
            </w:pPr>
            <w:r>
              <w:rPr>
                <w:color w:val="auto"/>
                <w:szCs w:val="21"/>
              </w:rPr>
              <w:t>19.05798</w:t>
            </w:r>
          </w:p>
        </w:tc>
        <w:tc>
          <w:tcPr>
            <w:tcW w:w="1398" w:type="dxa"/>
            <w:vAlign w:val="center"/>
          </w:tcPr>
          <w:p>
            <w:pPr>
              <w:ind w:left="-50" w:right="-50"/>
              <w:jc w:val="center"/>
              <w:rPr>
                <w:bCs/>
                <w:color w:val="auto"/>
                <w:szCs w:val="21"/>
              </w:rPr>
            </w:pPr>
            <w:r>
              <w:rPr>
                <w:bCs/>
                <w:color w:val="auto"/>
                <w:szCs w:val="21"/>
              </w:rPr>
              <w:t>150</w:t>
            </w:r>
          </w:p>
        </w:tc>
        <w:tc>
          <w:tcPr>
            <w:tcW w:w="1230" w:type="dxa"/>
            <w:vAlign w:val="center"/>
          </w:tcPr>
          <w:p>
            <w:pPr>
              <w:tabs>
                <w:tab w:val="left" w:pos="554"/>
              </w:tabs>
              <w:ind w:left="-50" w:right="-50"/>
              <w:jc w:val="center"/>
              <w:rPr>
                <w:bCs/>
                <w:color w:val="auto"/>
                <w:szCs w:val="21"/>
              </w:rPr>
            </w:pPr>
            <w:r>
              <w:rPr>
                <w:bCs/>
                <w:color w:val="auto"/>
                <w:szCs w:val="21"/>
              </w:rPr>
              <w:t>727</w:t>
            </w:r>
          </w:p>
        </w:tc>
        <w:tc>
          <w:tcPr>
            <w:tcW w:w="1230" w:type="dxa"/>
            <w:vAlign w:val="center"/>
          </w:tcPr>
          <w:p>
            <w:pPr>
              <w:ind w:left="-50" w:right="-50"/>
              <w:jc w:val="center"/>
              <w:rPr>
                <w:bCs/>
                <w:color w:val="auto"/>
                <w:szCs w:val="21"/>
              </w:rPr>
            </w:pPr>
            <w:r>
              <w:rPr>
                <w:bCs/>
                <w:color w:val="auto"/>
                <w:szCs w:val="21"/>
              </w:rPr>
              <w:t>21</w:t>
            </w:r>
          </w:p>
        </w:tc>
        <w:tc>
          <w:tcPr>
            <w:tcW w:w="1230" w:type="dxa"/>
            <w:vAlign w:val="center"/>
          </w:tcPr>
          <w:p>
            <w:pPr>
              <w:ind w:left="-50" w:right="-50"/>
              <w:jc w:val="center"/>
              <w:rPr>
                <w:bCs/>
                <w:color w:val="auto"/>
                <w:szCs w:val="21"/>
              </w:rPr>
            </w:pPr>
            <w:r>
              <w:rPr>
                <w:bCs/>
                <w:color w:val="auto"/>
                <w:szCs w:val="21"/>
              </w:rPr>
              <w:t>282</w:t>
            </w:r>
          </w:p>
        </w:tc>
        <w:tc>
          <w:tcPr>
            <w:tcW w:w="1428" w:type="dxa"/>
            <w:vMerge w:val="continue"/>
            <w:vAlign w:val="center"/>
          </w:tcPr>
          <w:p>
            <w:pPr>
              <w:ind w:left="-50" w:right="-50"/>
              <w:jc w:val="center"/>
              <w:rPr>
                <w:bCs/>
                <w:color w:val="auto"/>
                <w:szCs w:val="21"/>
              </w:rPr>
            </w:pPr>
          </w:p>
        </w:tc>
      </w:tr>
    </w:tbl>
    <w:p>
      <w:pPr>
        <w:tabs>
          <w:tab w:val="left" w:pos="900"/>
        </w:tabs>
        <w:spacing w:before="120" w:beforeLines="50" w:after="120" w:afterLines="50"/>
        <w:ind w:left="420"/>
        <w:jc w:val="center"/>
        <w:rPr>
          <w:b/>
          <w:color w:val="auto"/>
          <w:sz w:val="24"/>
          <w:szCs w:val="24"/>
        </w:rPr>
      </w:pPr>
    </w:p>
    <w:p>
      <w:pPr>
        <w:tabs>
          <w:tab w:val="left" w:pos="900"/>
        </w:tabs>
        <w:spacing w:before="120" w:beforeLines="50"/>
        <w:ind w:left="420"/>
        <w:jc w:val="center"/>
        <w:rPr>
          <w:b/>
          <w:color w:val="auto"/>
          <w:sz w:val="24"/>
          <w:szCs w:val="24"/>
        </w:rPr>
      </w:pPr>
      <w:r>
        <w:rPr>
          <w:b/>
          <w:color w:val="auto"/>
          <w:sz w:val="24"/>
          <w:szCs w:val="24"/>
        </w:rPr>
        <w:t>表7.4-4   非正常状况下厂界处地下水COD</w:t>
      </w:r>
      <w:r>
        <w:rPr>
          <w:b/>
          <w:color w:val="auto"/>
          <w:sz w:val="24"/>
          <w:szCs w:val="24"/>
          <w:vertAlign w:val="subscript"/>
        </w:rPr>
        <w:t>Mn</w:t>
      </w:r>
      <w:r>
        <w:rPr>
          <w:b/>
          <w:color w:val="auto"/>
          <w:sz w:val="24"/>
          <w:szCs w:val="24"/>
        </w:rPr>
        <w:t>预测结果一览表</w:t>
      </w:r>
    </w:p>
    <w:tbl>
      <w:tblPr>
        <w:tblStyle w:val="74"/>
        <w:tblW w:w="865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980"/>
        <w:gridCol w:w="1472"/>
        <w:gridCol w:w="1461"/>
        <w:gridCol w:w="1462"/>
        <w:gridCol w:w="1044"/>
        <w:gridCol w:w="1044"/>
        <w:gridCol w:w="11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712" w:hRule="atLeast"/>
          <w:jc w:val="center"/>
        </w:trPr>
        <w:tc>
          <w:tcPr>
            <w:tcW w:w="980" w:type="dxa"/>
            <w:vAlign w:val="center"/>
          </w:tcPr>
          <w:p>
            <w:pPr>
              <w:jc w:val="center"/>
              <w:rPr>
                <w:b/>
                <w:bCs/>
                <w:color w:val="auto"/>
                <w:szCs w:val="21"/>
              </w:rPr>
            </w:pPr>
            <w:r>
              <w:rPr>
                <w:b/>
                <w:bCs/>
                <w:color w:val="auto"/>
                <w:szCs w:val="21"/>
              </w:rPr>
              <w:t>名称</w:t>
            </w:r>
          </w:p>
        </w:tc>
        <w:tc>
          <w:tcPr>
            <w:tcW w:w="1472" w:type="dxa"/>
            <w:vAlign w:val="center"/>
          </w:tcPr>
          <w:p>
            <w:pPr>
              <w:jc w:val="center"/>
              <w:rPr>
                <w:b/>
                <w:bCs/>
                <w:color w:val="auto"/>
                <w:szCs w:val="21"/>
              </w:rPr>
            </w:pPr>
            <w:r>
              <w:rPr>
                <w:b/>
                <w:bCs/>
                <w:color w:val="auto"/>
                <w:szCs w:val="21"/>
              </w:rPr>
              <w:t>距事故源距离（</w:t>
            </w:r>
            <w:r>
              <w:rPr>
                <w:b/>
                <w:color w:val="auto"/>
                <w:szCs w:val="21"/>
              </w:rPr>
              <w:t>m</w:t>
            </w:r>
            <w:r>
              <w:rPr>
                <w:b/>
                <w:bCs/>
                <w:color w:val="auto"/>
                <w:szCs w:val="21"/>
              </w:rPr>
              <w:t>）</w:t>
            </w:r>
          </w:p>
        </w:tc>
        <w:tc>
          <w:tcPr>
            <w:tcW w:w="1461" w:type="dxa"/>
            <w:vAlign w:val="center"/>
          </w:tcPr>
          <w:p>
            <w:pPr>
              <w:jc w:val="center"/>
              <w:rPr>
                <w:b/>
                <w:bCs/>
                <w:color w:val="auto"/>
                <w:szCs w:val="21"/>
              </w:rPr>
            </w:pPr>
            <w:r>
              <w:rPr>
                <w:b/>
                <w:bCs/>
                <w:color w:val="auto"/>
                <w:szCs w:val="21"/>
              </w:rPr>
              <w:t>最大预测值（</w:t>
            </w:r>
            <w:r>
              <w:rPr>
                <w:b/>
                <w:color w:val="auto"/>
                <w:szCs w:val="21"/>
              </w:rPr>
              <w:t>mg/L</w:t>
            </w:r>
            <w:r>
              <w:rPr>
                <w:b/>
                <w:bCs/>
                <w:color w:val="auto"/>
                <w:szCs w:val="21"/>
              </w:rPr>
              <w:t>）</w:t>
            </w:r>
          </w:p>
        </w:tc>
        <w:tc>
          <w:tcPr>
            <w:tcW w:w="1462" w:type="dxa"/>
            <w:vAlign w:val="center"/>
          </w:tcPr>
          <w:p>
            <w:pPr>
              <w:jc w:val="center"/>
              <w:rPr>
                <w:b/>
                <w:bCs/>
                <w:color w:val="auto"/>
                <w:szCs w:val="21"/>
              </w:rPr>
            </w:pPr>
            <w:r>
              <w:rPr>
                <w:b/>
                <w:bCs/>
                <w:color w:val="auto"/>
                <w:szCs w:val="21"/>
              </w:rPr>
              <w:t>最大预测值出现时间（d）</w:t>
            </w:r>
          </w:p>
        </w:tc>
        <w:tc>
          <w:tcPr>
            <w:tcW w:w="1044" w:type="dxa"/>
            <w:vAlign w:val="center"/>
          </w:tcPr>
          <w:p>
            <w:pPr>
              <w:jc w:val="center"/>
              <w:rPr>
                <w:b/>
                <w:bCs/>
                <w:color w:val="auto"/>
                <w:szCs w:val="21"/>
              </w:rPr>
            </w:pPr>
            <w:r>
              <w:rPr>
                <w:b/>
                <w:bCs/>
                <w:color w:val="auto"/>
                <w:szCs w:val="21"/>
              </w:rPr>
              <w:t>开始超标时间（d）</w:t>
            </w:r>
          </w:p>
        </w:tc>
        <w:tc>
          <w:tcPr>
            <w:tcW w:w="1044" w:type="dxa"/>
            <w:vAlign w:val="center"/>
          </w:tcPr>
          <w:p>
            <w:pPr>
              <w:jc w:val="center"/>
              <w:rPr>
                <w:b/>
                <w:bCs/>
                <w:color w:val="auto"/>
                <w:szCs w:val="21"/>
              </w:rPr>
            </w:pPr>
            <w:r>
              <w:rPr>
                <w:b/>
                <w:bCs/>
                <w:color w:val="auto"/>
                <w:szCs w:val="21"/>
              </w:rPr>
              <w:t>开始达标时间（d）</w:t>
            </w:r>
          </w:p>
        </w:tc>
        <w:tc>
          <w:tcPr>
            <w:tcW w:w="1193" w:type="dxa"/>
            <w:vAlign w:val="center"/>
          </w:tcPr>
          <w:p>
            <w:pPr>
              <w:jc w:val="center"/>
              <w:rPr>
                <w:b/>
                <w:bCs/>
                <w:color w:val="auto"/>
                <w:szCs w:val="21"/>
              </w:rPr>
            </w:pPr>
            <w:r>
              <w:rPr>
                <w:b/>
                <w:bCs/>
                <w:color w:val="auto"/>
                <w:szCs w:val="21"/>
              </w:rPr>
              <w:t>标准值（</w:t>
            </w:r>
            <w:r>
              <w:rPr>
                <w:b/>
                <w:color w:val="auto"/>
                <w:szCs w:val="21"/>
              </w:rPr>
              <w:t>mg/L</w:t>
            </w:r>
            <w:r>
              <w:rPr>
                <w:b/>
                <w:bCs/>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cantSplit/>
          <w:trHeight w:val="605" w:hRule="atLeast"/>
          <w:jc w:val="center"/>
        </w:trPr>
        <w:tc>
          <w:tcPr>
            <w:tcW w:w="980" w:type="dxa"/>
            <w:vAlign w:val="center"/>
          </w:tcPr>
          <w:p>
            <w:pPr>
              <w:jc w:val="center"/>
              <w:rPr>
                <w:bCs/>
                <w:color w:val="auto"/>
                <w:szCs w:val="21"/>
              </w:rPr>
            </w:pPr>
            <w:r>
              <w:rPr>
                <w:bCs/>
                <w:color w:val="auto"/>
                <w:szCs w:val="21"/>
              </w:rPr>
              <w:t>厂界</w:t>
            </w:r>
          </w:p>
        </w:tc>
        <w:tc>
          <w:tcPr>
            <w:tcW w:w="1472" w:type="dxa"/>
            <w:vAlign w:val="center"/>
          </w:tcPr>
          <w:p>
            <w:pPr>
              <w:ind w:left="-50" w:right="-50"/>
              <w:jc w:val="center"/>
              <w:rPr>
                <w:color w:val="auto"/>
                <w:szCs w:val="21"/>
              </w:rPr>
            </w:pPr>
            <w:r>
              <w:rPr>
                <w:color w:val="auto"/>
                <w:szCs w:val="21"/>
              </w:rPr>
              <w:t>35</w:t>
            </w:r>
          </w:p>
        </w:tc>
        <w:tc>
          <w:tcPr>
            <w:tcW w:w="1461" w:type="dxa"/>
            <w:vAlign w:val="center"/>
          </w:tcPr>
          <w:p>
            <w:pPr>
              <w:jc w:val="center"/>
              <w:rPr>
                <w:color w:val="auto"/>
                <w:szCs w:val="21"/>
              </w:rPr>
            </w:pPr>
            <w:r>
              <w:rPr>
                <w:color w:val="auto"/>
                <w:szCs w:val="21"/>
              </w:rPr>
              <w:t>65.60531</w:t>
            </w:r>
          </w:p>
        </w:tc>
        <w:tc>
          <w:tcPr>
            <w:tcW w:w="1462" w:type="dxa"/>
            <w:vAlign w:val="center"/>
          </w:tcPr>
          <w:p>
            <w:pPr>
              <w:jc w:val="center"/>
              <w:rPr>
                <w:bCs/>
                <w:color w:val="auto"/>
                <w:szCs w:val="21"/>
              </w:rPr>
            </w:pPr>
            <w:r>
              <w:rPr>
                <w:bCs/>
                <w:color w:val="auto"/>
                <w:szCs w:val="21"/>
              </w:rPr>
              <w:t>525</w:t>
            </w:r>
          </w:p>
        </w:tc>
        <w:tc>
          <w:tcPr>
            <w:tcW w:w="1044" w:type="dxa"/>
            <w:vAlign w:val="center"/>
          </w:tcPr>
          <w:p>
            <w:pPr>
              <w:jc w:val="center"/>
              <w:rPr>
                <w:bCs/>
                <w:color w:val="auto"/>
                <w:szCs w:val="21"/>
              </w:rPr>
            </w:pPr>
            <w:r>
              <w:rPr>
                <w:bCs/>
                <w:color w:val="auto"/>
                <w:szCs w:val="21"/>
              </w:rPr>
              <w:t>126</w:t>
            </w:r>
          </w:p>
        </w:tc>
        <w:tc>
          <w:tcPr>
            <w:tcW w:w="1044" w:type="dxa"/>
            <w:vAlign w:val="center"/>
          </w:tcPr>
          <w:p>
            <w:pPr>
              <w:jc w:val="center"/>
              <w:rPr>
                <w:bCs/>
                <w:color w:val="auto"/>
                <w:szCs w:val="21"/>
              </w:rPr>
            </w:pPr>
            <w:r>
              <w:rPr>
                <w:bCs/>
                <w:color w:val="auto"/>
                <w:szCs w:val="21"/>
              </w:rPr>
              <w:t>5820</w:t>
            </w:r>
          </w:p>
        </w:tc>
        <w:tc>
          <w:tcPr>
            <w:tcW w:w="1193" w:type="dxa"/>
            <w:vAlign w:val="center"/>
          </w:tcPr>
          <w:p>
            <w:pPr>
              <w:jc w:val="center"/>
              <w:rPr>
                <w:bCs/>
                <w:color w:val="auto"/>
                <w:szCs w:val="21"/>
              </w:rPr>
            </w:pPr>
            <w:r>
              <w:rPr>
                <w:bCs/>
                <w:color w:val="auto"/>
                <w:szCs w:val="21"/>
              </w:rPr>
              <w:t>3.0</w:t>
            </w:r>
          </w:p>
        </w:tc>
      </w:tr>
    </w:tbl>
    <w:p>
      <w:pPr>
        <w:pStyle w:val="130"/>
        <w:ind w:firstLine="480"/>
        <w:rPr>
          <w:color w:val="auto"/>
        </w:rPr>
      </w:pPr>
    </w:p>
    <w:p>
      <w:pPr>
        <w:pStyle w:val="130"/>
        <w:ind w:firstLine="0" w:firstLineChars="0"/>
        <w:jc w:val="center"/>
        <w:rPr>
          <w:color w:val="auto"/>
        </w:rPr>
      </w:pPr>
      <w:r>
        <w:rPr>
          <w:color w:val="auto"/>
        </w:rPr>
        <w:drawing>
          <wp:inline distT="0" distB="0" distL="114300" distR="114300">
            <wp:extent cx="4530725" cy="2806700"/>
            <wp:effectExtent l="0" t="0" r="10795" b="12700"/>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52"/>
                    <a:stretch>
                      <a:fillRect/>
                    </a:stretch>
                  </pic:blipFill>
                  <pic:spPr>
                    <a:xfrm>
                      <a:off x="0" y="0"/>
                      <a:ext cx="4530725" cy="2806700"/>
                    </a:xfrm>
                    <a:prstGeom prst="rect">
                      <a:avLst/>
                    </a:prstGeom>
                    <a:noFill/>
                    <a:ln>
                      <a:noFill/>
                    </a:ln>
                  </pic:spPr>
                </pic:pic>
              </a:graphicData>
            </a:graphic>
          </wp:inline>
        </w:drawing>
      </w:r>
    </w:p>
    <w:p>
      <w:pPr>
        <w:adjustRightInd w:val="0"/>
        <w:snapToGrid w:val="0"/>
        <w:spacing w:line="360" w:lineRule="auto"/>
        <w:ind w:firstLine="470" w:firstLineChars="200"/>
        <w:jc w:val="center"/>
        <w:rPr>
          <w:b/>
          <w:bCs/>
          <w:color w:val="auto"/>
          <w:spacing w:val="-3"/>
          <w:kern w:val="0"/>
          <w:sz w:val="24"/>
          <w:szCs w:val="24"/>
        </w:rPr>
      </w:pPr>
      <w:r>
        <w:rPr>
          <w:b/>
          <w:bCs/>
          <w:color w:val="auto"/>
          <w:spacing w:val="-3"/>
          <w:kern w:val="0"/>
          <w:sz w:val="24"/>
          <w:szCs w:val="24"/>
        </w:rPr>
        <w:t>图7.4-5 本项目下游地下水</w:t>
      </w:r>
      <w:r>
        <w:rPr>
          <w:b/>
          <w:color w:val="auto"/>
          <w:sz w:val="24"/>
          <w:szCs w:val="24"/>
        </w:rPr>
        <w:t>COD</w:t>
      </w:r>
      <w:r>
        <w:rPr>
          <w:b/>
          <w:color w:val="auto"/>
          <w:sz w:val="24"/>
          <w:szCs w:val="24"/>
          <w:vertAlign w:val="subscript"/>
        </w:rPr>
        <w:t>Mn</w:t>
      </w:r>
      <w:r>
        <w:rPr>
          <w:b/>
          <w:bCs/>
          <w:color w:val="auto"/>
          <w:spacing w:val="-3"/>
          <w:kern w:val="0"/>
          <w:sz w:val="24"/>
          <w:szCs w:val="24"/>
        </w:rPr>
        <w:t>第100天预测值随距离变化趋势图</w:t>
      </w:r>
    </w:p>
    <w:p>
      <w:pPr>
        <w:pStyle w:val="130"/>
        <w:ind w:firstLine="0" w:firstLineChars="0"/>
        <w:jc w:val="center"/>
        <w:rPr>
          <w:color w:val="auto"/>
        </w:rPr>
      </w:pPr>
      <w:r>
        <w:rPr>
          <w:color w:val="auto"/>
        </w:rPr>
        <w:drawing>
          <wp:inline distT="0" distB="0" distL="114300" distR="114300">
            <wp:extent cx="4455160" cy="2781300"/>
            <wp:effectExtent l="0" t="0" r="10160" b="762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53"/>
                    <a:stretch>
                      <a:fillRect/>
                    </a:stretch>
                  </pic:blipFill>
                  <pic:spPr>
                    <a:xfrm>
                      <a:off x="0" y="0"/>
                      <a:ext cx="4455160" cy="2781300"/>
                    </a:xfrm>
                    <a:prstGeom prst="rect">
                      <a:avLst/>
                    </a:prstGeom>
                    <a:noFill/>
                    <a:ln>
                      <a:noFill/>
                    </a:ln>
                  </pic:spPr>
                </pic:pic>
              </a:graphicData>
            </a:graphic>
          </wp:inline>
        </w:drawing>
      </w:r>
    </w:p>
    <w:p>
      <w:pPr>
        <w:adjustRightInd w:val="0"/>
        <w:snapToGrid w:val="0"/>
        <w:spacing w:line="360" w:lineRule="auto"/>
        <w:ind w:firstLine="470" w:firstLineChars="200"/>
        <w:jc w:val="center"/>
        <w:rPr>
          <w:b/>
          <w:bCs/>
          <w:color w:val="auto"/>
          <w:spacing w:val="-3"/>
          <w:kern w:val="0"/>
          <w:sz w:val="24"/>
          <w:szCs w:val="24"/>
        </w:rPr>
      </w:pPr>
      <w:r>
        <w:rPr>
          <w:b/>
          <w:bCs/>
          <w:color w:val="auto"/>
          <w:spacing w:val="-3"/>
          <w:kern w:val="0"/>
          <w:sz w:val="24"/>
          <w:szCs w:val="24"/>
        </w:rPr>
        <w:t>图7.4-6 本项目下游地下水</w:t>
      </w:r>
      <w:r>
        <w:rPr>
          <w:b/>
          <w:color w:val="auto"/>
          <w:sz w:val="24"/>
          <w:szCs w:val="24"/>
        </w:rPr>
        <w:t>COD</w:t>
      </w:r>
      <w:r>
        <w:rPr>
          <w:b/>
          <w:color w:val="auto"/>
          <w:sz w:val="24"/>
          <w:szCs w:val="24"/>
          <w:vertAlign w:val="subscript"/>
        </w:rPr>
        <w:t>Mn</w:t>
      </w:r>
      <w:r>
        <w:rPr>
          <w:b/>
          <w:bCs/>
          <w:color w:val="auto"/>
          <w:spacing w:val="-3"/>
          <w:kern w:val="0"/>
          <w:sz w:val="24"/>
          <w:szCs w:val="24"/>
        </w:rPr>
        <w:t>第1000天预测值随距离变化趋势图</w:t>
      </w:r>
    </w:p>
    <w:p>
      <w:pPr>
        <w:pStyle w:val="130"/>
        <w:ind w:firstLine="0" w:firstLineChars="0"/>
        <w:jc w:val="center"/>
        <w:rPr>
          <w:color w:val="auto"/>
        </w:rPr>
      </w:pPr>
      <w:r>
        <w:rPr>
          <w:color w:val="auto"/>
        </w:rPr>
        <w:drawing>
          <wp:inline distT="0" distB="0" distL="114300" distR="114300">
            <wp:extent cx="4566285" cy="2816860"/>
            <wp:effectExtent l="0" t="0" r="5715" b="2540"/>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54"/>
                    <a:stretch>
                      <a:fillRect/>
                    </a:stretch>
                  </pic:blipFill>
                  <pic:spPr>
                    <a:xfrm>
                      <a:off x="0" y="0"/>
                      <a:ext cx="4566285" cy="2816860"/>
                    </a:xfrm>
                    <a:prstGeom prst="rect">
                      <a:avLst/>
                    </a:prstGeom>
                    <a:noFill/>
                    <a:ln>
                      <a:noFill/>
                    </a:ln>
                  </pic:spPr>
                </pic:pic>
              </a:graphicData>
            </a:graphic>
          </wp:inline>
        </w:drawing>
      </w:r>
    </w:p>
    <w:p>
      <w:pPr>
        <w:adjustRightInd w:val="0"/>
        <w:snapToGrid w:val="0"/>
        <w:spacing w:line="360" w:lineRule="auto"/>
        <w:ind w:firstLine="470" w:firstLineChars="200"/>
        <w:jc w:val="center"/>
        <w:rPr>
          <w:b/>
          <w:bCs/>
          <w:color w:val="auto"/>
          <w:spacing w:val="-3"/>
          <w:kern w:val="0"/>
          <w:sz w:val="24"/>
          <w:szCs w:val="24"/>
        </w:rPr>
      </w:pPr>
      <w:r>
        <w:rPr>
          <w:b/>
          <w:bCs/>
          <w:color w:val="auto"/>
          <w:spacing w:val="-3"/>
          <w:kern w:val="0"/>
          <w:sz w:val="24"/>
          <w:szCs w:val="24"/>
        </w:rPr>
        <w:t>图7.4-7 本项目下游地下水</w:t>
      </w:r>
      <w:r>
        <w:rPr>
          <w:b/>
          <w:color w:val="auto"/>
          <w:sz w:val="24"/>
          <w:szCs w:val="24"/>
        </w:rPr>
        <w:t>COD</w:t>
      </w:r>
      <w:r>
        <w:rPr>
          <w:b/>
          <w:color w:val="auto"/>
          <w:sz w:val="24"/>
          <w:szCs w:val="24"/>
          <w:vertAlign w:val="subscript"/>
        </w:rPr>
        <w:t>Mn</w:t>
      </w:r>
      <w:r>
        <w:rPr>
          <w:b/>
          <w:bCs/>
          <w:color w:val="auto"/>
          <w:spacing w:val="-3"/>
          <w:kern w:val="0"/>
          <w:sz w:val="24"/>
          <w:szCs w:val="24"/>
        </w:rPr>
        <w:t>第5000天预测值随距离变化趋势图</w:t>
      </w:r>
    </w:p>
    <w:p>
      <w:pPr>
        <w:pStyle w:val="130"/>
        <w:ind w:firstLine="0" w:firstLineChars="0"/>
        <w:jc w:val="center"/>
        <w:rPr>
          <w:color w:val="auto"/>
        </w:rPr>
      </w:pPr>
      <w:r>
        <w:rPr>
          <w:color w:val="auto"/>
        </w:rPr>
        <w:drawing>
          <wp:inline distT="0" distB="0" distL="114300" distR="114300">
            <wp:extent cx="4733290" cy="2894965"/>
            <wp:effectExtent l="0" t="0" r="6350" b="635"/>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pic:cNvPicPr>
                  </pic:nvPicPr>
                  <pic:blipFill>
                    <a:blip r:embed="rId55"/>
                    <a:stretch>
                      <a:fillRect/>
                    </a:stretch>
                  </pic:blipFill>
                  <pic:spPr>
                    <a:xfrm>
                      <a:off x="0" y="0"/>
                      <a:ext cx="4733290" cy="2894965"/>
                    </a:xfrm>
                    <a:prstGeom prst="rect">
                      <a:avLst/>
                    </a:prstGeom>
                    <a:noFill/>
                    <a:ln>
                      <a:noFill/>
                    </a:ln>
                  </pic:spPr>
                </pic:pic>
              </a:graphicData>
            </a:graphic>
          </wp:inline>
        </w:drawing>
      </w:r>
    </w:p>
    <w:p>
      <w:pPr>
        <w:pStyle w:val="204"/>
        <w:spacing w:line="460" w:lineRule="exact"/>
        <w:jc w:val="center"/>
        <w:rPr>
          <w:rFonts w:ascii="Times New Roman" w:hAnsi="Times New Roman" w:cs="Times New Roman"/>
          <w:color w:val="auto"/>
        </w:rPr>
      </w:pPr>
      <w:r>
        <w:rPr>
          <w:rFonts w:ascii="Times New Roman" w:hAnsi="Times New Roman" w:cs="Times New Roman"/>
          <w:color w:val="auto"/>
        </w:rPr>
        <w:t>图7.4-8  本项目下游场界处地下水COD</w:t>
      </w:r>
      <w:r>
        <w:rPr>
          <w:rFonts w:ascii="Times New Roman" w:hAnsi="Times New Roman" w:cs="Times New Roman"/>
          <w:color w:val="auto"/>
          <w:vertAlign w:val="subscript"/>
        </w:rPr>
        <w:t>Mn</w:t>
      </w:r>
      <w:r>
        <w:rPr>
          <w:rFonts w:ascii="Times New Roman" w:hAnsi="Times New Roman" w:cs="Times New Roman"/>
          <w:color w:val="auto"/>
        </w:rPr>
        <w:t>预测值随时间变化趋势图</w:t>
      </w:r>
    </w:p>
    <w:p>
      <w:pPr>
        <w:pStyle w:val="130"/>
        <w:ind w:firstLine="480"/>
        <w:rPr>
          <w:color w:val="auto"/>
        </w:rPr>
      </w:pPr>
    </w:p>
    <w:p>
      <w:pPr>
        <w:spacing w:line="360" w:lineRule="auto"/>
        <w:ind w:firstLine="480" w:firstLineChars="200"/>
        <w:rPr>
          <w:color w:val="auto"/>
          <w:sz w:val="24"/>
          <w:szCs w:val="24"/>
        </w:rPr>
      </w:pPr>
      <w:r>
        <w:rPr>
          <w:color w:val="auto"/>
          <w:sz w:val="24"/>
          <w:szCs w:val="24"/>
        </w:rPr>
        <w:t>由预测结果可知，第100天时，预测的最大值为628.6459mg/L，位于下游1m，预测开</w:t>
      </w:r>
      <w:r>
        <w:rPr>
          <w:bCs/>
          <w:color w:val="auto"/>
          <w:sz w:val="24"/>
          <w:szCs w:val="24"/>
        </w:rPr>
        <w:t>始超标距离为0m、开始达标距离为31m</w:t>
      </w:r>
      <w:r>
        <w:rPr>
          <w:color w:val="auto"/>
          <w:sz w:val="24"/>
          <w:szCs w:val="24"/>
        </w:rPr>
        <w:t>，影响距离最远为86m；1000天时，预测的最大值为49.44432mg/L，位于下游39m，预测开</w:t>
      </w:r>
      <w:r>
        <w:rPr>
          <w:bCs/>
          <w:color w:val="auto"/>
          <w:sz w:val="24"/>
          <w:szCs w:val="24"/>
        </w:rPr>
        <w:t>始超标距离为0m、开始达标距离为107m</w:t>
      </w:r>
      <w:r>
        <w:rPr>
          <w:color w:val="auto"/>
          <w:sz w:val="24"/>
          <w:szCs w:val="24"/>
        </w:rPr>
        <w:t>，影响距离最远为292m；5000天时，预测的最大值为19.05798mg/L，位于下游150m，预测开</w:t>
      </w:r>
      <w:r>
        <w:rPr>
          <w:bCs/>
          <w:color w:val="auto"/>
          <w:sz w:val="24"/>
          <w:szCs w:val="24"/>
        </w:rPr>
        <w:t>始超标距离为21m、开始达标距离为282m</w:t>
      </w:r>
      <w:r>
        <w:rPr>
          <w:color w:val="auto"/>
          <w:sz w:val="24"/>
          <w:szCs w:val="24"/>
        </w:rPr>
        <w:t>，影响距离最远为727m。</w:t>
      </w:r>
    </w:p>
    <w:p>
      <w:pPr>
        <w:adjustRightInd w:val="0"/>
        <w:snapToGrid w:val="0"/>
        <w:spacing w:line="360" w:lineRule="auto"/>
        <w:ind w:firstLine="482"/>
        <w:rPr>
          <w:bCs/>
          <w:color w:val="auto"/>
          <w:sz w:val="24"/>
          <w:szCs w:val="24"/>
        </w:rPr>
      </w:pPr>
      <w:r>
        <w:rPr>
          <w:bCs/>
          <w:color w:val="auto"/>
          <w:sz w:val="24"/>
          <w:szCs w:val="24"/>
        </w:rPr>
        <w:t>下游场界处地下水COD</w:t>
      </w:r>
      <w:r>
        <w:rPr>
          <w:bCs/>
          <w:color w:val="auto"/>
          <w:sz w:val="24"/>
          <w:szCs w:val="24"/>
          <w:vertAlign w:val="subscript"/>
        </w:rPr>
        <w:t>Mn</w:t>
      </w:r>
      <w:r>
        <w:rPr>
          <w:bCs/>
          <w:color w:val="auto"/>
          <w:sz w:val="24"/>
          <w:szCs w:val="24"/>
        </w:rPr>
        <w:t>预测的最大值为</w:t>
      </w:r>
      <w:r>
        <w:rPr>
          <w:color w:val="auto"/>
          <w:sz w:val="24"/>
          <w:szCs w:val="24"/>
        </w:rPr>
        <w:t>65.60531</w:t>
      </w:r>
      <w:r>
        <w:rPr>
          <w:bCs/>
          <w:color w:val="auto"/>
          <w:sz w:val="24"/>
          <w:szCs w:val="24"/>
        </w:rPr>
        <w:t>mg/l，出现在第525天，预测预测开始超标时间为第126天、开始达标时间为第5820天。</w:t>
      </w:r>
    </w:p>
    <w:bookmarkEnd w:id="428"/>
    <w:p>
      <w:pPr>
        <w:pStyle w:val="5"/>
        <w:numPr>
          <w:ilvl w:val="2"/>
          <w:numId w:val="0"/>
        </w:numPr>
        <w:ind w:left="-720" w:leftChars="-343" w:firstLine="723" w:firstLineChars="300"/>
        <w:rPr>
          <w:color w:val="auto"/>
        </w:rPr>
      </w:pPr>
      <w:bookmarkStart w:id="429" w:name="_Toc11595428"/>
      <w:bookmarkStart w:id="430" w:name="_Toc109398677"/>
      <w:r>
        <w:rPr>
          <w:color w:val="auto"/>
        </w:rPr>
        <w:t>7.4.4地下水环境影响</w:t>
      </w:r>
      <w:bookmarkEnd w:id="429"/>
      <w:r>
        <w:rPr>
          <w:color w:val="auto"/>
        </w:rPr>
        <w:t>评价结论</w:t>
      </w:r>
      <w:bookmarkEnd w:id="430"/>
    </w:p>
    <w:p>
      <w:pPr>
        <w:pStyle w:val="130"/>
        <w:ind w:firstLine="480" w:firstLineChars="0"/>
        <w:rPr>
          <w:bCs w:val="0"/>
          <w:color w:val="auto"/>
        </w:rPr>
      </w:pPr>
      <w:r>
        <w:rPr>
          <w:bCs w:val="0"/>
          <w:color w:val="auto"/>
        </w:rPr>
        <w:t>运营期正常工况下，项目产生的生产废水经污水处理站处理后全部回用，作为中卫市生活垃圾填埋场道路抑尘用水，不外排。生活污水依托现有化粪池处理，化粪池满后用吸污车运送至中卫市生活垃圾填埋场的渗滤液调蓄池，废水产生、储存、处理、输送过程中的所有设施均采取了防渗措施，不会产生废水的渗漏，因此正常状况下本项目对地下水环境的影响程度较小。</w:t>
      </w:r>
    </w:p>
    <w:p>
      <w:pPr>
        <w:pStyle w:val="130"/>
        <w:ind w:firstLine="480" w:firstLineChars="0"/>
        <w:rPr>
          <w:bCs w:val="0"/>
          <w:color w:val="auto"/>
        </w:rPr>
      </w:pPr>
      <w:r>
        <w:rPr>
          <w:bCs w:val="0"/>
          <w:color w:val="auto"/>
        </w:rPr>
        <w:t>非正常工况下，运营期项目污水处理站调节池防渗层破坏达不到防渗效果导致废水渗漏</w:t>
      </w:r>
      <w:r>
        <w:rPr>
          <w:color w:val="auto"/>
        </w:rPr>
        <w:t>会对周边地下水环境造成一定的影响</w:t>
      </w:r>
      <w:r>
        <w:rPr>
          <w:bCs w:val="0"/>
          <w:color w:val="auto"/>
        </w:rPr>
        <w:t>，预测结果表明，</w:t>
      </w:r>
      <w:r>
        <w:rPr>
          <w:color w:val="auto"/>
        </w:rPr>
        <w:t>主要污染物在地下水含水层的迁移速度比较缓慢并且随着时间推移下游污染物浓度逐渐升高，达到一定浓度后又逐渐降低，对地下水环境造成影响。可见，非正常状况下发生渗漏，必须尽快发现问题，并及时采取措施处置，否则将会对周边地下水水质产生污染影响。运营期拟建项目应按照“源头控制、分区防控、污染监控、应急响应”的原则开展地下水工作。根据现场调查可知厂址周边无民井分布。该地区属干旱区，据区域资料，场地地下水为埋深较深基岩中的裂隙水，地下水补给主要以大气降水补给为主。根据项目场地地勘报告可知实测地下水属孔隙（裂隙）水，不稳定，呈现时有时无状态，具有上层滞水性质。根据周边环境分析，场区无稳定的地下水。同时项目针对有可能产生地下水污染的各环节均采取了相应的防治措施，对有可能产生下渗部分均采取了防渗、防腐蚀处理，可将项目对下水造成污染的概率降至最低。因此本项目对区域地下水环境影响较小。综合分析认为，在做好预防措施和污染区防渗的基础上，本项目的实施不会对区域地下水水质造成影响，从地下水影响的角度分析，本项目可以实施。</w:t>
      </w:r>
    </w:p>
    <w:p>
      <w:pPr>
        <w:pStyle w:val="4"/>
        <w:numPr>
          <w:ilvl w:val="1"/>
          <w:numId w:val="0"/>
        </w:numPr>
        <w:spacing w:before="120"/>
        <w:rPr>
          <w:color w:val="auto"/>
        </w:rPr>
      </w:pPr>
      <w:bookmarkStart w:id="431" w:name="_Toc11595432"/>
      <w:bookmarkStart w:id="432" w:name="_Toc109398678"/>
      <w:bookmarkStart w:id="433" w:name="_Toc493853541"/>
      <w:bookmarkStart w:id="434" w:name="_Toc331436397"/>
      <w:bookmarkStart w:id="435" w:name="_Toc387745663"/>
      <w:bookmarkStart w:id="436" w:name="_Toc335824660"/>
      <w:r>
        <w:rPr>
          <w:color w:val="auto"/>
        </w:rPr>
        <w:t>7.5运营期声环境影响分析及评价</w:t>
      </w:r>
      <w:bookmarkEnd w:id="431"/>
      <w:bookmarkEnd w:id="432"/>
      <w:bookmarkEnd w:id="433"/>
      <w:bookmarkEnd w:id="434"/>
      <w:bookmarkEnd w:id="435"/>
      <w:bookmarkEnd w:id="436"/>
    </w:p>
    <w:p>
      <w:pPr>
        <w:pStyle w:val="130"/>
        <w:ind w:firstLine="480"/>
        <w:rPr>
          <w:color w:val="auto"/>
        </w:rPr>
      </w:pPr>
      <w:r>
        <w:rPr>
          <w:color w:val="auto"/>
        </w:rPr>
        <w:t>本项目</w:t>
      </w:r>
      <w:r>
        <w:rPr>
          <w:rFonts w:hint="eastAsia"/>
          <w:color w:val="auto"/>
        </w:rPr>
        <w:t>建成后全厂</w:t>
      </w:r>
      <w:r>
        <w:rPr>
          <w:color w:val="auto"/>
        </w:rPr>
        <w:t>产生的噪声主要为机械动力噪声及车辆运输噪声，噪声值在75~90dB(A)，采取减振、隔声等措施，各类水泵及风机等高噪设备置于封闭的厂房内运行，厂房有一定的隔声作用，可减少噪声对环境的影响。</w:t>
      </w:r>
    </w:p>
    <w:p>
      <w:pPr>
        <w:pStyle w:val="5"/>
        <w:numPr>
          <w:ilvl w:val="2"/>
          <w:numId w:val="0"/>
        </w:numPr>
        <w:ind w:left="-720" w:leftChars="-343" w:firstLine="723" w:firstLineChars="300"/>
        <w:rPr>
          <w:color w:val="auto"/>
        </w:rPr>
      </w:pPr>
      <w:bookmarkStart w:id="437" w:name="_Toc109398679"/>
      <w:bookmarkStart w:id="438" w:name="_Toc493853542"/>
      <w:bookmarkStart w:id="439" w:name="_Toc388620076"/>
      <w:bookmarkStart w:id="440" w:name="_Toc303945598"/>
      <w:bookmarkStart w:id="441" w:name="_Toc335824662"/>
      <w:bookmarkStart w:id="442" w:name="_Toc11595433"/>
      <w:bookmarkStart w:id="443" w:name="_Toc484463508"/>
      <w:bookmarkStart w:id="444" w:name="_Toc331436399"/>
      <w:bookmarkStart w:id="445" w:name="_Toc319501983"/>
      <w:bookmarkStart w:id="446" w:name="_Toc13941"/>
      <w:bookmarkStart w:id="447" w:name="_Toc319482245"/>
      <w:bookmarkStart w:id="448" w:name="_Toc19196"/>
      <w:bookmarkStart w:id="449" w:name="_Toc319482903"/>
      <w:bookmarkStart w:id="450" w:name="_Toc387745664"/>
      <w:r>
        <w:rPr>
          <w:color w:val="auto"/>
        </w:rPr>
        <w:t>7.5.1预测模式</w:t>
      </w:r>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p>
    <w:p>
      <w:pPr>
        <w:spacing w:line="360" w:lineRule="auto"/>
        <w:ind w:firstLine="480" w:firstLineChars="200"/>
        <w:rPr>
          <w:rFonts w:eastAsiaTheme="minorEastAsia"/>
          <w:color w:val="auto"/>
          <w:sz w:val="24"/>
          <w:szCs w:val="24"/>
        </w:rPr>
      </w:pPr>
      <w:r>
        <w:rPr>
          <w:rFonts w:eastAsiaTheme="minorEastAsia"/>
          <w:color w:val="auto"/>
          <w:sz w:val="24"/>
          <w:szCs w:val="24"/>
        </w:rPr>
        <w:t>根据《环境影响评价技术导则 声环境》（HJ2.4-2021）的技术要求，导则上的推荐模式预测分析方法如下。</w:t>
      </w:r>
    </w:p>
    <w:p>
      <w:pPr>
        <w:spacing w:line="360" w:lineRule="auto"/>
        <w:ind w:firstLine="480" w:firstLineChars="200"/>
        <w:rPr>
          <w:rFonts w:eastAsiaTheme="minorEastAsia"/>
          <w:color w:val="auto"/>
          <w:sz w:val="24"/>
          <w:szCs w:val="24"/>
        </w:rPr>
      </w:pPr>
      <w:r>
        <w:rPr>
          <w:rFonts w:eastAsiaTheme="minorEastAsia"/>
          <w:color w:val="auto"/>
          <w:sz w:val="24"/>
          <w:szCs w:val="24"/>
        </w:rPr>
        <w:t>（1）室内、外声源声功率级计算</w:t>
      </w:r>
    </w:p>
    <w:p>
      <w:pPr>
        <w:spacing w:line="360" w:lineRule="auto"/>
        <w:ind w:firstLine="480" w:firstLineChars="200"/>
        <w:rPr>
          <w:color w:val="auto"/>
          <w:sz w:val="24"/>
          <w:szCs w:val="24"/>
        </w:rPr>
      </w:pPr>
      <w:r>
        <w:rPr>
          <w:color w:val="auto"/>
          <w:sz w:val="24"/>
          <w:szCs w:val="24"/>
        </w:rPr>
        <w:t>对于室内声源，首先将其等效为室外声源再进行计算，等效计算公式如下：</w:t>
      </w:r>
    </w:p>
    <w:p>
      <w:pPr>
        <w:spacing w:line="360" w:lineRule="auto"/>
        <w:ind w:firstLine="480" w:firstLineChars="200"/>
        <w:jc w:val="center"/>
        <w:rPr>
          <w:color w:val="auto"/>
          <w:sz w:val="24"/>
          <w:szCs w:val="24"/>
        </w:rPr>
      </w:pPr>
      <w:r>
        <w:rPr>
          <w:color w:val="auto"/>
          <w:sz w:val="24"/>
        </w:rPr>
        <w:drawing>
          <wp:inline distT="0" distB="0" distL="114300" distR="114300">
            <wp:extent cx="1193800" cy="241300"/>
            <wp:effectExtent l="0" t="0" r="10160" b="1905"/>
            <wp:docPr id="1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pic:cNvPicPr>
                      <a:picLocks noChangeAspect="1"/>
                    </pic:cNvPicPr>
                  </pic:nvPicPr>
                  <pic:blipFill>
                    <a:blip r:embed="rId56"/>
                    <a:stretch>
                      <a:fillRect/>
                    </a:stretch>
                  </pic:blipFill>
                  <pic:spPr>
                    <a:xfrm>
                      <a:off x="0" y="0"/>
                      <a:ext cx="1193800" cy="241300"/>
                    </a:xfrm>
                    <a:prstGeom prst="rect">
                      <a:avLst/>
                    </a:prstGeom>
                    <a:noFill/>
                    <a:ln>
                      <a:noFill/>
                    </a:ln>
                  </pic:spPr>
                </pic:pic>
              </a:graphicData>
            </a:graphic>
          </wp:inline>
        </w:drawing>
      </w:r>
    </w:p>
    <w:p>
      <w:pPr>
        <w:spacing w:line="360" w:lineRule="auto"/>
        <w:ind w:firstLine="480" w:firstLineChars="200"/>
        <w:rPr>
          <w:color w:val="auto"/>
          <w:sz w:val="24"/>
        </w:rPr>
      </w:pPr>
      <w:r>
        <w:rPr>
          <w:color w:val="auto"/>
          <w:sz w:val="24"/>
        </w:rPr>
        <w:t>式中：L</w:t>
      </w:r>
      <w:r>
        <w:rPr>
          <w:color w:val="auto"/>
          <w:sz w:val="24"/>
          <w:vertAlign w:val="subscript"/>
        </w:rPr>
        <w:t>p1</w:t>
      </w:r>
      <w:r>
        <w:rPr>
          <w:color w:val="auto"/>
          <w:sz w:val="24"/>
        </w:rPr>
        <w:t>—室内设备声压级，dB；</w:t>
      </w:r>
    </w:p>
    <w:p>
      <w:pPr>
        <w:spacing w:line="360" w:lineRule="auto"/>
        <w:ind w:firstLine="1200" w:firstLineChars="500"/>
        <w:rPr>
          <w:color w:val="auto"/>
          <w:sz w:val="24"/>
        </w:rPr>
      </w:pPr>
      <w:r>
        <w:rPr>
          <w:color w:val="auto"/>
          <w:sz w:val="24"/>
        </w:rPr>
        <w:t>L</w:t>
      </w:r>
      <w:r>
        <w:rPr>
          <w:color w:val="auto"/>
          <w:sz w:val="24"/>
          <w:vertAlign w:val="subscript"/>
        </w:rPr>
        <w:t>p2</w:t>
      </w:r>
      <w:r>
        <w:rPr>
          <w:color w:val="auto"/>
          <w:sz w:val="24"/>
        </w:rPr>
        <w:t>—等效室外设备声压级，dB；</w:t>
      </w:r>
    </w:p>
    <w:p>
      <w:pPr>
        <w:spacing w:line="360" w:lineRule="auto"/>
        <w:ind w:firstLine="1200" w:firstLineChars="500"/>
        <w:rPr>
          <w:color w:val="auto"/>
          <w:sz w:val="24"/>
          <w:szCs w:val="24"/>
        </w:rPr>
      </w:pPr>
      <w:r>
        <w:rPr>
          <w:color w:val="auto"/>
          <w:sz w:val="24"/>
          <w:szCs w:val="24"/>
        </w:rPr>
        <w:t>TL—墙体隔声量，dB。</w:t>
      </w:r>
    </w:p>
    <w:p>
      <w:pPr>
        <w:spacing w:line="360" w:lineRule="auto"/>
        <w:ind w:firstLine="480" w:firstLineChars="200"/>
        <w:rPr>
          <w:rFonts w:eastAsiaTheme="minorEastAsia"/>
          <w:color w:val="auto"/>
          <w:sz w:val="24"/>
          <w:szCs w:val="24"/>
        </w:rPr>
      </w:pPr>
      <w:r>
        <w:rPr>
          <w:rFonts w:eastAsiaTheme="minorEastAsia"/>
          <w:color w:val="auto"/>
          <w:sz w:val="24"/>
          <w:szCs w:val="24"/>
        </w:rPr>
        <w:t>（2）声源在预测点产生的等效声级贡献值(L</w:t>
      </w:r>
      <w:r>
        <w:rPr>
          <w:rFonts w:eastAsiaTheme="minorEastAsia"/>
          <w:color w:val="auto"/>
          <w:sz w:val="24"/>
          <w:szCs w:val="24"/>
          <w:vertAlign w:val="subscript"/>
        </w:rPr>
        <w:t>eqg</w:t>
      </w:r>
      <w:r>
        <w:rPr>
          <w:rFonts w:eastAsiaTheme="minorEastAsia"/>
          <w:color w:val="auto"/>
          <w:sz w:val="24"/>
          <w:szCs w:val="24"/>
        </w:rPr>
        <w:t>)计算公式：</w:t>
      </w:r>
    </w:p>
    <w:p>
      <w:pPr>
        <w:spacing w:line="360" w:lineRule="auto"/>
        <w:ind w:firstLine="420" w:firstLineChars="200"/>
        <w:jc w:val="center"/>
        <w:rPr>
          <w:rFonts w:eastAsiaTheme="minorEastAsia"/>
          <w:color w:val="auto"/>
          <w:sz w:val="24"/>
          <w:szCs w:val="24"/>
        </w:rPr>
      </w:pPr>
      <w:r>
        <w:rPr>
          <w:color w:val="auto"/>
        </w:rPr>
        <w:drawing>
          <wp:inline distT="0" distB="0" distL="114300" distR="114300">
            <wp:extent cx="2150110" cy="412750"/>
            <wp:effectExtent l="0" t="0" r="13970" b="1397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57"/>
                    <a:stretch>
                      <a:fillRect/>
                    </a:stretch>
                  </pic:blipFill>
                  <pic:spPr>
                    <a:xfrm>
                      <a:off x="0" y="0"/>
                      <a:ext cx="2150110" cy="412750"/>
                    </a:xfrm>
                    <a:prstGeom prst="rect">
                      <a:avLst/>
                    </a:prstGeom>
                    <a:noFill/>
                    <a:ln>
                      <a:noFill/>
                    </a:ln>
                  </pic:spPr>
                </pic:pic>
              </a:graphicData>
            </a:graphic>
          </wp:inline>
        </w:drawing>
      </w:r>
    </w:p>
    <w:p>
      <w:pPr>
        <w:spacing w:line="360" w:lineRule="auto"/>
        <w:ind w:firstLine="480" w:firstLineChars="200"/>
        <w:rPr>
          <w:rFonts w:eastAsiaTheme="minorEastAsia"/>
          <w:color w:val="auto"/>
          <w:sz w:val="24"/>
          <w:szCs w:val="24"/>
        </w:rPr>
      </w:pPr>
      <w:r>
        <w:rPr>
          <w:rFonts w:eastAsiaTheme="minorEastAsia"/>
          <w:color w:val="auto"/>
          <w:sz w:val="24"/>
          <w:szCs w:val="24"/>
        </w:rPr>
        <w:t>式中：L</w:t>
      </w:r>
      <w:r>
        <w:rPr>
          <w:rFonts w:eastAsiaTheme="minorEastAsia"/>
          <w:color w:val="auto"/>
          <w:sz w:val="24"/>
          <w:szCs w:val="24"/>
          <w:vertAlign w:val="subscript"/>
        </w:rPr>
        <w:t>eqg</w:t>
      </w:r>
      <w:r>
        <w:rPr>
          <w:rFonts w:eastAsiaTheme="minorEastAsia"/>
          <w:color w:val="auto"/>
          <w:sz w:val="24"/>
          <w:szCs w:val="24"/>
        </w:rPr>
        <w:t>—建设项目声源在预测点产生的噪声贡献值，dB；</w:t>
      </w:r>
    </w:p>
    <w:p>
      <w:pPr>
        <w:spacing w:line="360" w:lineRule="auto"/>
        <w:ind w:firstLine="1200" w:firstLineChars="500"/>
        <w:rPr>
          <w:rFonts w:eastAsiaTheme="minorEastAsia"/>
          <w:color w:val="auto"/>
          <w:sz w:val="24"/>
          <w:szCs w:val="24"/>
        </w:rPr>
      </w:pPr>
      <w:r>
        <w:rPr>
          <w:rFonts w:eastAsiaTheme="minorEastAsia"/>
          <w:color w:val="auto"/>
          <w:sz w:val="24"/>
          <w:szCs w:val="24"/>
        </w:rPr>
        <w:t>T—预测计算的时间段，s；</w:t>
      </w:r>
    </w:p>
    <w:p>
      <w:pPr>
        <w:spacing w:line="360" w:lineRule="auto"/>
        <w:ind w:firstLine="1200" w:firstLineChars="500"/>
        <w:rPr>
          <w:rFonts w:eastAsiaTheme="minorEastAsia"/>
          <w:color w:val="auto"/>
          <w:sz w:val="24"/>
          <w:szCs w:val="24"/>
        </w:rPr>
      </w:pPr>
      <w:r>
        <w:rPr>
          <w:rFonts w:eastAsiaTheme="minorEastAsia"/>
          <w:color w:val="auto"/>
          <w:sz w:val="24"/>
          <w:szCs w:val="24"/>
        </w:rPr>
        <w:t>N—室外声源个数；</w:t>
      </w:r>
    </w:p>
    <w:p>
      <w:pPr>
        <w:spacing w:line="360" w:lineRule="auto"/>
        <w:ind w:firstLine="1200" w:firstLineChars="500"/>
        <w:rPr>
          <w:rFonts w:eastAsiaTheme="minorEastAsia"/>
          <w:color w:val="auto"/>
          <w:sz w:val="24"/>
          <w:szCs w:val="24"/>
        </w:rPr>
      </w:pPr>
      <w:r>
        <w:rPr>
          <w:rFonts w:eastAsiaTheme="minorEastAsia"/>
          <w:color w:val="auto"/>
          <w:sz w:val="24"/>
          <w:szCs w:val="24"/>
        </w:rPr>
        <w:t>t</w:t>
      </w:r>
      <w:r>
        <w:rPr>
          <w:rFonts w:eastAsiaTheme="minorEastAsia"/>
          <w:color w:val="auto"/>
          <w:sz w:val="24"/>
          <w:szCs w:val="24"/>
          <w:vertAlign w:val="subscript"/>
        </w:rPr>
        <w:t>i</w:t>
      </w:r>
      <w:r>
        <w:rPr>
          <w:rFonts w:eastAsiaTheme="minorEastAsia"/>
          <w:color w:val="auto"/>
          <w:sz w:val="24"/>
          <w:szCs w:val="24"/>
        </w:rPr>
        <w:t>—在T时间内i声源工作时间，s；</w:t>
      </w:r>
    </w:p>
    <w:p>
      <w:pPr>
        <w:spacing w:line="360" w:lineRule="auto"/>
        <w:ind w:firstLine="1200" w:firstLineChars="500"/>
        <w:rPr>
          <w:rFonts w:eastAsiaTheme="minorEastAsia"/>
          <w:color w:val="auto"/>
          <w:sz w:val="24"/>
          <w:szCs w:val="24"/>
        </w:rPr>
      </w:pPr>
      <w:r>
        <w:rPr>
          <w:rFonts w:eastAsiaTheme="minorEastAsia"/>
          <w:color w:val="auto"/>
          <w:sz w:val="24"/>
          <w:szCs w:val="24"/>
        </w:rPr>
        <w:t>M—等效室外声源个数；</w:t>
      </w:r>
    </w:p>
    <w:p>
      <w:pPr>
        <w:spacing w:line="360" w:lineRule="auto"/>
        <w:ind w:firstLine="1200" w:firstLineChars="500"/>
        <w:rPr>
          <w:rFonts w:eastAsiaTheme="minorEastAsia"/>
          <w:color w:val="auto"/>
          <w:sz w:val="24"/>
          <w:szCs w:val="24"/>
        </w:rPr>
      </w:pPr>
      <w:r>
        <w:rPr>
          <w:rFonts w:eastAsiaTheme="minorEastAsia"/>
          <w:color w:val="auto"/>
          <w:sz w:val="24"/>
          <w:szCs w:val="24"/>
        </w:rPr>
        <w:t>t</w:t>
      </w:r>
      <w:r>
        <w:rPr>
          <w:rFonts w:eastAsiaTheme="minorEastAsia"/>
          <w:color w:val="auto"/>
          <w:sz w:val="24"/>
          <w:szCs w:val="24"/>
          <w:vertAlign w:val="subscript"/>
        </w:rPr>
        <w:t>j</w:t>
      </w:r>
      <w:r>
        <w:rPr>
          <w:rFonts w:eastAsiaTheme="minorEastAsia"/>
          <w:color w:val="auto"/>
          <w:sz w:val="24"/>
          <w:szCs w:val="24"/>
        </w:rPr>
        <w:t>—在T时间内j声源工作时间，s。</w:t>
      </w:r>
    </w:p>
    <w:p>
      <w:pPr>
        <w:spacing w:line="360" w:lineRule="auto"/>
        <w:ind w:firstLine="480" w:firstLineChars="200"/>
        <w:rPr>
          <w:rFonts w:eastAsiaTheme="minorEastAsia"/>
          <w:color w:val="auto"/>
          <w:sz w:val="24"/>
          <w:szCs w:val="24"/>
        </w:rPr>
      </w:pPr>
      <w:r>
        <w:rPr>
          <w:rFonts w:eastAsiaTheme="minorEastAsia"/>
          <w:color w:val="auto"/>
          <w:sz w:val="24"/>
          <w:szCs w:val="24"/>
        </w:rPr>
        <w:t>（3）噪声预测值(L</w:t>
      </w:r>
      <w:r>
        <w:rPr>
          <w:rFonts w:eastAsiaTheme="minorEastAsia"/>
          <w:color w:val="auto"/>
          <w:sz w:val="24"/>
          <w:szCs w:val="24"/>
          <w:vertAlign w:val="subscript"/>
        </w:rPr>
        <w:t>eq</w:t>
      </w:r>
      <w:r>
        <w:rPr>
          <w:rFonts w:eastAsiaTheme="minorEastAsia"/>
          <w:color w:val="auto"/>
          <w:sz w:val="24"/>
          <w:szCs w:val="24"/>
        </w:rPr>
        <w:t>)计算公式：</w:t>
      </w:r>
    </w:p>
    <w:p>
      <w:pPr>
        <w:spacing w:line="360" w:lineRule="auto"/>
        <w:ind w:firstLine="420" w:firstLineChars="200"/>
        <w:jc w:val="center"/>
        <w:rPr>
          <w:color w:val="auto"/>
        </w:rPr>
      </w:pPr>
      <w:r>
        <w:rPr>
          <w:color w:val="auto"/>
        </w:rPr>
        <w:drawing>
          <wp:inline distT="0" distB="0" distL="114300" distR="114300">
            <wp:extent cx="1699260" cy="365760"/>
            <wp:effectExtent l="0" t="0" r="7620" b="0"/>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58"/>
                    <a:stretch>
                      <a:fillRect/>
                    </a:stretch>
                  </pic:blipFill>
                  <pic:spPr>
                    <a:xfrm>
                      <a:off x="0" y="0"/>
                      <a:ext cx="1699260" cy="365760"/>
                    </a:xfrm>
                    <a:prstGeom prst="rect">
                      <a:avLst/>
                    </a:prstGeom>
                    <a:noFill/>
                    <a:ln>
                      <a:noFill/>
                    </a:ln>
                  </pic:spPr>
                </pic:pic>
              </a:graphicData>
            </a:graphic>
          </wp:inline>
        </w:drawing>
      </w:r>
    </w:p>
    <w:p>
      <w:pPr>
        <w:spacing w:line="360" w:lineRule="auto"/>
        <w:ind w:firstLine="480" w:firstLineChars="200"/>
        <w:rPr>
          <w:rFonts w:eastAsiaTheme="minorEastAsia"/>
          <w:color w:val="auto"/>
          <w:sz w:val="24"/>
          <w:szCs w:val="24"/>
        </w:rPr>
      </w:pPr>
      <w:r>
        <w:rPr>
          <w:rFonts w:eastAsiaTheme="minorEastAsia"/>
          <w:color w:val="auto"/>
          <w:sz w:val="24"/>
          <w:szCs w:val="24"/>
        </w:rPr>
        <w:t>式中：L</w:t>
      </w:r>
      <w:r>
        <w:rPr>
          <w:rFonts w:eastAsiaTheme="minorEastAsia"/>
          <w:color w:val="auto"/>
          <w:sz w:val="24"/>
          <w:szCs w:val="24"/>
          <w:vertAlign w:val="subscript"/>
        </w:rPr>
        <w:t>eq</w:t>
      </w:r>
      <w:r>
        <w:rPr>
          <w:rFonts w:eastAsiaTheme="minorEastAsia"/>
          <w:color w:val="auto"/>
          <w:sz w:val="24"/>
          <w:szCs w:val="24"/>
        </w:rPr>
        <w:t>—预测点的噪声预测值，dB；</w:t>
      </w:r>
    </w:p>
    <w:p>
      <w:pPr>
        <w:spacing w:line="360" w:lineRule="auto"/>
        <w:ind w:firstLine="1200" w:firstLineChars="500"/>
        <w:rPr>
          <w:rFonts w:eastAsiaTheme="minorEastAsia"/>
          <w:color w:val="auto"/>
          <w:sz w:val="24"/>
          <w:szCs w:val="24"/>
        </w:rPr>
      </w:pPr>
      <w:r>
        <w:rPr>
          <w:rFonts w:eastAsiaTheme="minorEastAsia"/>
          <w:color w:val="auto"/>
          <w:sz w:val="24"/>
          <w:szCs w:val="24"/>
        </w:rPr>
        <w:t>L</w:t>
      </w:r>
      <w:r>
        <w:rPr>
          <w:rFonts w:eastAsiaTheme="minorEastAsia"/>
          <w:color w:val="auto"/>
          <w:sz w:val="24"/>
          <w:szCs w:val="24"/>
          <w:vertAlign w:val="subscript"/>
        </w:rPr>
        <w:t>eqg</w:t>
      </w:r>
      <w:r>
        <w:rPr>
          <w:rFonts w:eastAsiaTheme="minorEastAsia"/>
          <w:color w:val="auto"/>
          <w:sz w:val="24"/>
          <w:szCs w:val="24"/>
        </w:rPr>
        <w:t>—建设项目声源在预测点的等效声级贡献值，dB；</w:t>
      </w:r>
    </w:p>
    <w:p>
      <w:pPr>
        <w:spacing w:line="360" w:lineRule="auto"/>
        <w:ind w:firstLine="1200" w:firstLineChars="500"/>
        <w:rPr>
          <w:rFonts w:eastAsiaTheme="minorEastAsia"/>
          <w:color w:val="auto"/>
          <w:sz w:val="24"/>
          <w:szCs w:val="24"/>
        </w:rPr>
      </w:pPr>
      <w:r>
        <w:rPr>
          <w:rFonts w:eastAsiaTheme="minorEastAsia"/>
          <w:color w:val="auto"/>
          <w:sz w:val="24"/>
          <w:szCs w:val="24"/>
        </w:rPr>
        <w:t>Leqb—预测点的背景值，dB。</w:t>
      </w:r>
    </w:p>
    <w:p>
      <w:pPr>
        <w:spacing w:line="360" w:lineRule="auto"/>
        <w:ind w:firstLine="480" w:firstLineChars="200"/>
        <w:rPr>
          <w:rFonts w:eastAsiaTheme="minorEastAsia"/>
          <w:color w:val="auto"/>
          <w:sz w:val="24"/>
          <w:szCs w:val="24"/>
        </w:rPr>
      </w:pPr>
      <w:r>
        <w:rPr>
          <w:rFonts w:eastAsiaTheme="minorEastAsia"/>
          <w:color w:val="auto"/>
          <w:sz w:val="24"/>
          <w:szCs w:val="24"/>
        </w:rPr>
        <w:t>（4）户外声传播衰减计算</w:t>
      </w:r>
    </w:p>
    <w:p>
      <w:pPr>
        <w:spacing w:line="360" w:lineRule="auto"/>
        <w:ind w:firstLine="480" w:firstLineChars="200"/>
        <w:rPr>
          <w:rFonts w:eastAsiaTheme="minorEastAsia"/>
          <w:color w:val="auto"/>
          <w:sz w:val="24"/>
          <w:szCs w:val="24"/>
        </w:rPr>
      </w:pPr>
      <w:r>
        <w:rPr>
          <w:rFonts w:eastAsiaTheme="minorEastAsia"/>
          <w:color w:val="auto"/>
          <w:sz w:val="24"/>
          <w:szCs w:val="24"/>
        </w:rPr>
        <w:t>户外声传播衰减包括几何发散(Adiv)、大气吸收(Aatm)、地面效应(Agr)、屏障屏蔽(Abar)、其他多方面效应(Amisc)引起的衰减。</w:t>
      </w:r>
    </w:p>
    <w:p>
      <w:pPr>
        <w:spacing w:line="360" w:lineRule="auto"/>
        <w:ind w:firstLine="480" w:firstLineChars="200"/>
        <w:rPr>
          <w:rFonts w:eastAsiaTheme="minorEastAsia"/>
          <w:color w:val="auto"/>
          <w:sz w:val="24"/>
          <w:szCs w:val="24"/>
        </w:rPr>
      </w:pPr>
      <w:r>
        <w:rPr>
          <w:rFonts w:eastAsiaTheme="minorEastAsia"/>
          <w:color w:val="auto"/>
          <w:sz w:val="24"/>
          <w:szCs w:val="24"/>
        </w:rPr>
        <w:t>距声源点r处的A声级按下式计算：</w:t>
      </w:r>
    </w:p>
    <w:p>
      <w:pPr>
        <w:pStyle w:val="130"/>
        <w:ind w:firstLine="480"/>
        <w:jc w:val="center"/>
        <w:rPr>
          <w:color w:val="auto"/>
        </w:rPr>
      </w:pPr>
      <w:bookmarkStart w:id="451" w:name="_Toc11595434"/>
      <w:r>
        <w:rPr>
          <w:color w:val="auto"/>
        </w:rPr>
        <w:t>L</w:t>
      </w:r>
      <w:r>
        <w:rPr>
          <w:color w:val="auto"/>
          <w:vertAlign w:val="subscript"/>
        </w:rPr>
        <w:t>P</w:t>
      </w:r>
      <w:r>
        <w:rPr>
          <w:color w:val="auto"/>
        </w:rPr>
        <w:t>(r)=L</w:t>
      </w:r>
      <w:r>
        <w:rPr>
          <w:color w:val="auto"/>
          <w:vertAlign w:val="subscript"/>
        </w:rPr>
        <w:t>P</w:t>
      </w:r>
      <w:r>
        <w:rPr>
          <w:color w:val="auto"/>
        </w:rPr>
        <w:t>(r</w:t>
      </w:r>
      <w:r>
        <w:rPr>
          <w:color w:val="auto"/>
          <w:vertAlign w:val="subscript"/>
        </w:rPr>
        <w:t>0</w:t>
      </w:r>
      <w:r>
        <w:rPr>
          <w:color w:val="auto"/>
        </w:rPr>
        <w:t>)-（A</w:t>
      </w:r>
      <w:r>
        <w:rPr>
          <w:color w:val="auto"/>
          <w:vertAlign w:val="subscript"/>
        </w:rPr>
        <w:t>div</w:t>
      </w:r>
      <w:r>
        <w:rPr>
          <w:color w:val="auto"/>
        </w:rPr>
        <w:t>+A</w:t>
      </w:r>
      <w:r>
        <w:rPr>
          <w:color w:val="auto"/>
          <w:vertAlign w:val="subscript"/>
        </w:rPr>
        <w:t>atm</w:t>
      </w:r>
      <w:r>
        <w:rPr>
          <w:color w:val="auto"/>
        </w:rPr>
        <w:t>+A</w:t>
      </w:r>
      <w:r>
        <w:rPr>
          <w:color w:val="auto"/>
          <w:vertAlign w:val="subscript"/>
        </w:rPr>
        <w:t>bar</w:t>
      </w:r>
      <w:r>
        <w:rPr>
          <w:color w:val="auto"/>
        </w:rPr>
        <w:t>+A</w:t>
      </w:r>
      <w:r>
        <w:rPr>
          <w:color w:val="auto"/>
          <w:vertAlign w:val="subscript"/>
        </w:rPr>
        <w:t>gr</w:t>
      </w:r>
      <w:r>
        <w:rPr>
          <w:color w:val="auto"/>
        </w:rPr>
        <w:t>+A</w:t>
      </w:r>
      <w:r>
        <w:rPr>
          <w:color w:val="auto"/>
          <w:vertAlign w:val="subscript"/>
        </w:rPr>
        <w:t>misc</w:t>
      </w:r>
      <w:r>
        <w:rPr>
          <w:color w:val="auto"/>
        </w:rPr>
        <w:t>）</w:t>
      </w:r>
      <w:bookmarkEnd w:id="451"/>
    </w:p>
    <w:p>
      <w:pPr>
        <w:spacing w:line="360" w:lineRule="auto"/>
        <w:ind w:firstLine="480" w:firstLineChars="200"/>
        <w:rPr>
          <w:rFonts w:eastAsiaTheme="minorEastAsia"/>
          <w:color w:val="auto"/>
          <w:sz w:val="24"/>
          <w:szCs w:val="24"/>
        </w:rPr>
      </w:pPr>
      <w:r>
        <w:rPr>
          <w:rFonts w:eastAsiaTheme="minorEastAsia"/>
          <w:color w:val="auto"/>
          <w:sz w:val="24"/>
          <w:szCs w:val="24"/>
        </w:rPr>
        <w:t>在预测中考虑反射引起的修正、屏障引起的衰减、双绕射、室内声源等效室外声源等影响和计算方法。</w:t>
      </w:r>
    </w:p>
    <w:p>
      <w:pPr>
        <w:pStyle w:val="5"/>
        <w:numPr>
          <w:ilvl w:val="2"/>
          <w:numId w:val="0"/>
        </w:numPr>
        <w:ind w:left="-720" w:leftChars="-343" w:firstLine="723" w:firstLineChars="300"/>
        <w:rPr>
          <w:color w:val="auto"/>
        </w:rPr>
      </w:pPr>
      <w:bookmarkStart w:id="452" w:name="_Toc387745666"/>
      <w:bookmarkStart w:id="453" w:name="_Toc31858"/>
      <w:bookmarkStart w:id="454" w:name="_Toc493853544"/>
      <w:bookmarkStart w:id="455" w:name="_Toc331436401"/>
      <w:bookmarkStart w:id="456" w:name="_Toc335824664"/>
      <w:bookmarkStart w:id="457" w:name="_Toc109398680"/>
      <w:bookmarkStart w:id="458" w:name="_Toc11595436"/>
      <w:bookmarkStart w:id="459" w:name="_Toc484463510"/>
      <w:bookmarkStart w:id="460" w:name="_Toc388620078"/>
      <w:bookmarkStart w:id="461" w:name="_Toc31632"/>
      <w:r>
        <w:rPr>
          <w:color w:val="auto"/>
        </w:rPr>
        <w:t>7.5.2预测结果</w:t>
      </w:r>
      <w:bookmarkEnd w:id="452"/>
      <w:bookmarkEnd w:id="453"/>
      <w:bookmarkEnd w:id="454"/>
      <w:bookmarkEnd w:id="455"/>
      <w:bookmarkEnd w:id="456"/>
      <w:bookmarkEnd w:id="457"/>
      <w:bookmarkEnd w:id="458"/>
      <w:bookmarkEnd w:id="459"/>
      <w:bookmarkEnd w:id="460"/>
      <w:bookmarkEnd w:id="461"/>
    </w:p>
    <w:p>
      <w:pPr>
        <w:spacing w:line="360" w:lineRule="auto"/>
        <w:ind w:firstLine="480" w:firstLineChars="200"/>
        <w:rPr>
          <w:rFonts w:eastAsiaTheme="minorEastAsia"/>
          <w:color w:val="auto"/>
          <w:kern w:val="24"/>
          <w:sz w:val="24"/>
          <w:szCs w:val="24"/>
        </w:rPr>
      </w:pPr>
      <w:r>
        <w:rPr>
          <w:rFonts w:eastAsiaTheme="minorEastAsia"/>
          <w:color w:val="auto"/>
          <w:kern w:val="24"/>
          <w:sz w:val="24"/>
          <w:szCs w:val="24"/>
        </w:rPr>
        <w:t>因本项目</w:t>
      </w:r>
      <w:r>
        <w:rPr>
          <w:rFonts w:hint="eastAsia" w:eastAsiaTheme="minorEastAsia"/>
          <w:color w:val="auto"/>
          <w:kern w:val="24"/>
          <w:sz w:val="24"/>
          <w:szCs w:val="24"/>
        </w:rPr>
        <w:t>全厂</w:t>
      </w:r>
      <w:r>
        <w:rPr>
          <w:rFonts w:eastAsiaTheme="minorEastAsia"/>
          <w:color w:val="auto"/>
          <w:kern w:val="24"/>
          <w:sz w:val="24"/>
          <w:szCs w:val="24"/>
        </w:rPr>
        <w:t>主体工程已建设完成</w:t>
      </w:r>
      <w:r>
        <w:rPr>
          <w:rFonts w:hint="eastAsia" w:eastAsiaTheme="minorEastAsia"/>
          <w:color w:val="auto"/>
          <w:kern w:val="24"/>
          <w:sz w:val="24"/>
          <w:szCs w:val="24"/>
        </w:rPr>
        <w:t>并可正常运行</w:t>
      </w:r>
      <w:r>
        <w:rPr>
          <w:rFonts w:eastAsiaTheme="minorEastAsia"/>
          <w:color w:val="auto"/>
          <w:kern w:val="24"/>
          <w:sz w:val="24"/>
          <w:szCs w:val="24"/>
        </w:rPr>
        <w:t>，厂区内主要生产设施已安装完成并可正常运行，故运营期噪声预测及分析采用昼间和夜间各预测点的噪声实测值进行分析，由宁夏中科精科检测技术有限公司于2021年12月21日～12月22日进行监测，共设5个监测点位，分别布设于东、南、西、北厂界以及西侧的声环境敏感目标阳沟村希望小学处。监测结果见下表。</w:t>
      </w:r>
    </w:p>
    <w:p>
      <w:pPr>
        <w:ind w:firstLine="422"/>
        <w:jc w:val="center"/>
        <w:rPr>
          <w:b/>
          <w:bCs/>
          <w:color w:val="auto"/>
          <w:kern w:val="0"/>
          <w:sz w:val="24"/>
          <w:szCs w:val="24"/>
          <w:lang w:val="zh-CN"/>
        </w:rPr>
      </w:pPr>
      <w:r>
        <w:rPr>
          <w:b/>
          <w:bCs/>
          <w:color w:val="auto"/>
          <w:kern w:val="0"/>
          <w:sz w:val="24"/>
          <w:szCs w:val="24"/>
          <w:lang w:val="zh-CN"/>
        </w:rPr>
        <w:t>表</w:t>
      </w:r>
      <w:r>
        <w:rPr>
          <w:b/>
          <w:bCs/>
          <w:color w:val="auto"/>
          <w:kern w:val="0"/>
          <w:sz w:val="24"/>
          <w:szCs w:val="24"/>
        </w:rPr>
        <w:t>7</w:t>
      </w:r>
      <w:r>
        <w:rPr>
          <w:b/>
          <w:bCs/>
          <w:color w:val="auto"/>
          <w:kern w:val="0"/>
          <w:sz w:val="24"/>
          <w:szCs w:val="24"/>
          <w:lang w:val="zh-CN"/>
        </w:rPr>
        <w:t>.</w:t>
      </w:r>
      <w:r>
        <w:rPr>
          <w:b/>
          <w:bCs/>
          <w:color w:val="auto"/>
          <w:kern w:val="0"/>
          <w:sz w:val="24"/>
          <w:szCs w:val="24"/>
        </w:rPr>
        <w:t>5</w:t>
      </w:r>
      <w:r>
        <w:rPr>
          <w:b/>
          <w:bCs/>
          <w:color w:val="auto"/>
          <w:kern w:val="0"/>
          <w:sz w:val="24"/>
          <w:szCs w:val="24"/>
          <w:lang w:val="zh-CN"/>
        </w:rPr>
        <w:t>-</w:t>
      </w:r>
      <w:r>
        <w:rPr>
          <w:b/>
          <w:bCs/>
          <w:color w:val="auto"/>
          <w:kern w:val="0"/>
          <w:sz w:val="24"/>
          <w:szCs w:val="24"/>
        </w:rPr>
        <w:t>1</w:t>
      </w:r>
      <w:r>
        <w:rPr>
          <w:color w:val="auto"/>
          <w:sz w:val="24"/>
          <w:szCs w:val="24"/>
        </w:rPr>
        <w:t xml:space="preserve">     </w:t>
      </w:r>
      <w:r>
        <w:rPr>
          <w:b/>
          <w:bCs/>
          <w:color w:val="auto"/>
          <w:kern w:val="0"/>
          <w:sz w:val="24"/>
          <w:szCs w:val="24"/>
          <w:lang w:val="zh-CN"/>
        </w:rPr>
        <w:t>各预测点噪声</w:t>
      </w:r>
      <w:r>
        <w:rPr>
          <w:b/>
          <w:bCs/>
          <w:color w:val="auto"/>
          <w:kern w:val="0"/>
          <w:sz w:val="24"/>
          <w:szCs w:val="24"/>
        </w:rPr>
        <w:t xml:space="preserve">实测结果一览表  </w:t>
      </w:r>
      <w:r>
        <w:rPr>
          <w:b/>
          <w:bCs/>
          <w:color w:val="auto"/>
          <w:kern w:val="0"/>
          <w:sz w:val="24"/>
          <w:szCs w:val="24"/>
          <w:lang w:val="zh-CN"/>
        </w:rPr>
        <w:t>单位：dB（A）</w:t>
      </w:r>
    </w:p>
    <w:tbl>
      <w:tblPr>
        <w:tblStyle w:val="74"/>
        <w:tblW w:w="8989"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39"/>
        <w:gridCol w:w="2066"/>
        <w:gridCol w:w="1393"/>
        <w:gridCol w:w="1400"/>
        <w:gridCol w:w="1393"/>
        <w:gridCol w:w="139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3" w:hRule="atLeast"/>
          <w:jc w:val="center"/>
        </w:trPr>
        <w:tc>
          <w:tcPr>
            <w:tcW w:w="1339" w:type="dxa"/>
            <w:vMerge w:val="restart"/>
            <w:vAlign w:val="center"/>
          </w:tcPr>
          <w:p>
            <w:pPr>
              <w:pStyle w:val="164"/>
              <w:rPr>
                <w:color w:val="auto"/>
              </w:rPr>
            </w:pPr>
            <w:r>
              <w:rPr>
                <w:color w:val="auto"/>
              </w:rPr>
              <w:t>检测点位</w:t>
            </w:r>
          </w:p>
        </w:tc>
        <w:tc>
          <w:tcPr>
            <w:tcW w:w="2066" w:type="dxa"/>
            <w:vMerge w:val="restart"/>
            <w:vAlign w:val="center"/>
          </w:tcPr>
          <w:p>
            <w:pPr>
              <w:pStyle w:val="164"/>
              <w:rPr>
                <w:color w:val="auto"/>
              </w:rPr>
            </w:pPr>
            <w:r>
              <w:rPr>
                <w:color w:val="auto"/>
              </w:rPr>
              <w:t>检测点位</w:t>
            </w:r>
          </w:p>
        </w:tc>
        <w:tc>
          <w:tcPr>
            <w:tcW w:w="2793" w:type="dxa"/>
            <w:gridSpan w:val="2"/>
            <w:vAlign w:val="center"/>
          </w:tcPr>
          <w:p>
            <w:pPr>
              <w:pStyle w:val="164"/>
              <w:spacing w:line="240" w:lineRule="auto"/>
              <w:rPr>
                <w:color w:val="auto"/>
              </w:rPr>
            </w:pPr>
            <w:r>
              <w:rPr>
                <w:color w:val="auto"/>
              </w:rPr>
              <w:t>2021年12月21日</w:t>
            </w:r>
          </w:p>
        </w:tc>
        <w:tc>
          <w:tcPr>
            <w:tcW w:w="2791" w:type="dxa"/>
            <w:gridSpan w:val="2"/>
            <w:vAlign w:val="center"/>
          </w:tcPr>
          <w:p>
            <w:pPr>
              <w:pStyle w:val="164"/>
              <w:spacing w:line="240" w:lineRule="auto"/>
              <w:rPr>
                <w:color w:val="auto"/>
              </w:rPr>
            </w:pPr>
            <w:r>
              <w:rPr>
                <w:color w:val="auto"/>
              </w:rPr>
              <w:t>2021年12月22日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1339" w:type="dxa"/>
            <w:vMerge w:val="continue"/>
            <w:vAlign w:val="center"/>
          </w:tcPr>
          <w:p>
            <w:pPr>
              <w:pStyle w:val="164"/>
              <w:rPr>
                <w:color w:val="auto"/>
              </w:rPr>
            </w:pPr>
          </w:p>
        </w:tc>
        <w:tc>
          <w:tcPr>
            <w:tcW w:w="2066" w:type="dxa"/>
            <w:vMerge w:val="continue"/>
            <w:vAlign w:val="center"/>
          </w:tcPr>
          <w:p>
            <w:pPr>
              <w:pStyle w:val="164"/>
              <w:rPr>
                <w:color w:val="auto"/>
              </w:rPr>
            </w:pPr>
          </w:p>
        </w:tc>
        <w:tc>
          <w:tcPr>
            <w:tcW w:w="1393" w:type="dxa"/>
            <w:vAlign w:val="center"/>
          </w:tcPr>
          <w:p>
            <w:pPr>
              <w:pStyle w:val="164"/>
              <w:spacing w:line="240" w:lineRule="auto"/>
              <w:rPr>
                <w:color w:val="auto"/>
              </w:rPr>
            </w:pPr>
            <w:r>
              <w:rPr>
                <w:color w:val="auto"/>
              </w:rPr>
              <w:t>昼间</w:t>
            </w:r>
          </w:p>
        </w:tc>
        <w:tc>
          <w:tcPr>
            <w:tcW w:w="1400" w:type="dxa"/>
            <w:vAlign w:val="center"/>
          </w:tcPr>
          <w:p>
            <w:pPr>
              <w:pStyle w:val="164"/>
              <w:spacing w:line="240" w:lineRule="auto"/>
              <w:rPr>
                <w:color w:val="auto"/>
              </w:rPr>
            </w:pPr>
            <w:r>
              <w:rPr>
                <w:color w:val="auto"/>
              </w:rPr>
              <w:t>夜间</w:t>
            </w:r>
          </w:p>
        </w:tc>
        <w:tc>
          <w:tcPr>
            <w:tcW w:w="1393" w:type="dxa"/>
            <w:vAlign w:val="center"/>
          </w:tcPr>
          <w:p>
            <w:pPr>
              <w:pStyle w:val="164"/>
              <w:spacing w:line="240" w:lineRule="auto"/>
              <w:rPr>
                <w:color w:val="auto"/>
              </w:rPr>
            </w:pPr>
            <w:r>
              <w:rPr>
                <w:color w:val="auto"/>
              </w:rPr>
              <w:t>昼间</w:t>
            </w:r>
          </w:p>
        </w:tc>
        <w:tc>
          <w:tcPr>
            <w:tcW w:w="1398" w:type="dxa"/>
            <w:vAlign w:val="center"/>
          </w:tcPr>
          <w:p>
            <w:pPr>
              <w:pStyle w:val="164"/>
              <w:spacing w:line="240" w:lineRule="auto"/>
              <w:rPr>
                <w:color w:val="auto"/>
              </w:rPr>
            </w:pPr>
            <w:r>
              <w:rPr>
                <w:color w:val="auto"/>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7" w:hRule="atLeast"/>
          <w:jc w:val="center"/>
        </w:trPr>
        <w:tc>
          <w:tcPr>
            <w:tcW w:w="1339" w:type="dxa"/>
            <w:vAlign w:val="center"/>
          </w:tcPr>
          <w:p>
            <w:pPr>
              <w:pStyle w:val="164"/>
              <w:rPr>
                <w:color w:val="auto"/>
              </w:rPr>
            </w:pPr>
            <w:r>
              <w:rPr>
                <w:color w:val="auto"/>
              </w:rPr>
              <w:t>1#</w:t>
            </w:r>
          </w:p>
        </w:tc>
        <w:tc>
          <w:tcPr>
            <w:tcW w:w="2066" w:type="dxa"/>
            <w:vAlign w:val="center"/>
          </w:tcPr>
          <w:p>
            <w:pPr>
              <w:pStyle w:val="164"/>
              <w:rPr>
                <w:color w:val="auto"/>
              </w:rPr>
            </w:pPr>
            <w:r>
              <w:rPr>
                <w:color w:val="auto"/>
              </w:rPr>
              <w:t>厂界北侧外1m处</w:t>
            </w:r>
          </w:p>
        </w:tc>
        <w:tc>
          <w:tcPr>
            <w:tcW w:w="1393" w:type="dxa"/>
            <w:vAlign w:val="center"/>
          </w:tcPr>
          <w:p>
            <w:pPr>
              <w:pStyle w:val="164"/>
              <w:spacing w:line="240" w:lineRule="auto"/>
              <w:rPr>
                <w:color w:val="auto"/>
              </w:rPr>
            </w:pPr>
            <w:r>
              <w:rPr>
                <w:color w:val="auto"/>
              </w:rPr>
              <w:t>51</w:t>
            </w:r>
          </w:p>
        </w:tc>
        <w:tc>
          <w:tcPr>
            <w:tcW w:w="1400" w:type="dxa"/>
            <w:vAlign w:val="center"/>
          </w:tcPr>
          <w:p>
            <w:pPr>
              <w:pStyle w:val="164"/>
              <w:spacing w:line="240" w:lineRule="auto"/>
              <w:rPr>
                <w:color w:val="auto"/>
              </w:rPr>
            </w:pPr>
            <w:r>
              <w:rPr>
                <w:color w:val="auto"/>
              </w:rPr>
              <w:t>48</w:t>
            </w:r>
          </w:p>
        </w:tc>
        <w:tc>
          <w:tcPr>
            <w:tcW w:w="1393" w:type="dxa"/>
            <w:vAlign w:val="center"/>
          </w:tcPr>
          <w:p>
            <w:pPr>
              <w:pStyle w:val="164"/>
              <w:spacing w:line="240" w:lineRule="auto"/>
              <w:rPr>
                <w:color w:val="auto"/>
              </w:rPr>
            </w:pPr>
            <w:r>
              <w:rPr>
                <w:color w:val="auto"/>
              </w:rPr>
              <w:t>50</w:t>
            </w:r>
          </w:p>
        </w:tc>
        <w:tc>
          <w:tcPr>
            <w:tcW w:w="1398" w:type="dxa"/>
            <w:vAlign w:val="center"/>
          </w:tcPr>
          <w:p>
            <w:pPr>
              <w:pStyle w:val="164"/>
              <w:spacing w:line="240" w:lineRule="auto"/>
              <w:rPr>
                <w:color w:val="auto"/>
              </w:rPr>
            </w:pPr>
            <w:r>
              <w:rPr>
                <w:color w:val="auto"/>
              </w:rPr>
              <w:t>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5" w:hRule="atLeast"/>
          <w:jc w:val="center"/>
        </w:trPr>
        <w:tc>
          <w:tcPr>
            <w:tcW w:w="1339" w:type="dxa"/>
            <w:vAlign w:val="center"/>
          </w:tcPr>
          <w:p>
            <w:pPr>
              <w:pStyle w:val="164"/>
              <w:rPr>
                <w:color w:val="auto"/>
              </w:rPr>
            </w:pPr>
            <w:r>
              <w:rPr>
                <w:color w:val="auto"/>
              </w:rPr>
              <w:t>2#</w:t>
            </w:r>
          </w:p>
        </w:tc>
        <w:tc>
          <w:tcPr>
            <w:tcW w:w="2066" w:type="dxa"/>
            <w:vAlign w:val="center"/>
          </w:tcPr>
          <w:p>
            <w:pPr>
              <w:pStyle w:val="164"/>
              <w:rPr>
                <w:color w:val="auto"/>
              </w:rPr>
            </w:pPr>
            <w:r>
              <w:rPr>
                <w:color w:val="auto"/>
              </w:rPr>
              <w:t>厂界南侧外1m处</w:t>
            </w:r>
          </w:p>
        </w:tc>
        <w:tc>
          <w:tcPr>
            <w:tcW w:w="1393" w:type="dxa"/>
            <w:vAlign w:val="center"/>
          </w:tcPr>
          <w:p>
            <w:pPr>
              <w:pStyle w:val="164"/>
              <w:spacing w:line="240" w:lineRule="auto"/>
              <w:rPr>
                <w:color w:val="auto"/>
              </w:rPr>
            </w:pPr>
            <w:r>
              <w:rPr>
                <w:color w:val="auto"/>
              </w:rPr>
              <w:t>54</w:t>
            </w:r>
          </w:p>
        </w:tc>
        <w:tc>
          <w:tcPr>
            <w:tcW w:w="1400" w:type="dxa"/>
            <w:vAlign w:val="center"/>
          </w:tcPr>
          <w:p>
            <w:pPr>
              <w:pStyle w:val="164"/>
              <w:spacing w:line="240" w:lineRule="auto"/>
              <w:rPr>
                <w:color w:val="auto"/>
              </w:rPr>
            </w:pPr>
            <w:r>
              <w:rPr>
                <w:color w:val="auto"/>
              </w:rPr>
              <w:t>49</w:t>
            </w:r>
          </w:p>
        </w:tc>
        <w:tc>
          <w:tcPr>
            <w:tcW w:w="1393" w:type="dxa"/>
            <w:vAlign w:val="center"/>
          </w:tcPr>
          <w:p>
            <w:pPr>
              <w:pStyle w:val="164"/>
              <w:spacing w:line="240" w:lineRule="auto"/>
              <w:rPr>
                <w:color w:val="auto"/>
              </w:rPr>
            </w:pPr>
            <w:r>
              <w:rPr>
                <w:color w:val="auto"/>
              </w:rPr>
              <w:t>53</w:t>
            </w:r>
          </w:p>
        </w:tc>
        <w:tc>
          <w:tcPr>
            <w:tcW w:w="1398" w:type="dxa"/>
            <w:vAlign w:val="center"/>
          </w:tcPr>
          <w:p>
            <w:pPr>
              <w:pStyle w:val="164"/>
              <w:spacing w:line="240" w:lineRule="auto"/>
              <w:rPr>
                <w:color w:val="auto"/>
              </w:rPr>
            </w:pPr>
            <w:r>
              <w:rPr>
                <w:color w:val="auto"/>
              </w:rPr>
              <w:t>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jc w:val="center"/>
        </w:trPr>
        <w:tc>
          <w:tcPr>
            <w:tcW w:w="1339" w:type="dxa"/>
            <w:vAlign w:val="center"/>
          </w:tcPr>
          <w:p>
            <w:pPr>
              <w:pStyle w:val="164"/>
              <w:rPr>
                <w:color w:val="auto"/>
              </w:rPr>
            </w:pPr>
            <w:r>
              <w:rPr>
                <w:color w:val="auto"/>
              </w:rPr>
              <w:t>3#</w:t>
            </w:r>
          </w:p>
        </w:tc>
        <w:tc>
          <w:tcPr>
            <w:tcW w:w="2066" w:type="dxa"/>
            <w:vAlign w:val="center"/>
          </w:tcPr>
          <w:p>
            <w:pPr>
              <w:pStyle w:val="164"/>
              <w:rPr>
                <w:color w:val="auto"/>
              </w:rPr>
            </w:pPr>
            <w:r>
              <w:rPr>
                <w:color w:val="auto"/>
              </w:rPr>
              <w:t>厂界东侧外1m处</w:t>
            </w:r>
          </w:p>
        </w:tc>
        <w:tc>
          <w:tcPr>
            <w:tcW w:w="1393" w:type="dxa"/>
            <w:vAlign w:val="center"/>
          </w:tcPr>
          <w:p>
            <w:pPr>
              <w:pStyle w:val="164"/>
              <w:spacing w:line="240" w:lineRule="auto"/>
              <w:rPr>
                <w:color w:val="auto"/>
              </w:rPr>
            </w:pPr>
            <w:r>
              <w:rPr>
                <w:color w:val="auto"/>
              </w:rPr>
              <w:t>51</w:t>
            </w:r>
          </w:p>
        </w:tc>
        <w:tc>
          <w:tcPr>
            <w:tcW w:w="1400" w:type="dxa"/>
            <w:vAlign w:val="center"/>
          </w:tcPr>
          <w:p>
            <w:pPr>
              <w:pStyle w:val="164"/>
              <w:spacing w:line="240" w:lineRule="auto"/>
              <w:rPr>
                <w:color w:val="auto"/>
              </w:rPr>
            </w:pPr>
            <w:r>
              <w:rPr>
                <w:color w:val="auto"/>
              </w:rPr>
              <w:t>46</w:t>
            </w:r>
          </w:p>
        </w:tc>
        <w:tc>
          <w:tcPr>
            <w:tcW w:w="1393" w:type="dxa"/>
            <w:vAlign w:val="center"/>
          </w:tcPr>
          <w:p>
            <w:pPr>
              <w:pStyle w:val="164"/>
              <w:spacing w:line="240" w:lineRule="auto"/>
              <w:rPr>
                <w:color w:val="auto"/>
              </w:rPr>
            </w:pPr>
            <w:r>
              <w:rPr>
                <w:color w:val="auto"/>
              </w:rPr>
              <w:t>49</w:t>
            </w:r>
          </w:p>
        </w:tc>
        <w:tc>
          <w:tcPr>
            <w:tcW w:w="1398" w:type="dxa"/>
            <w:vAlign w:val="center"/>
          </w:tcPr>
          <w:p>
            <w:pPr>
              <w:pStyle w:val="164"/>
              <w:spacing w:line="240" w:lineRule="auto"/>
              <w:rPr>
                <w:color w:val="auto"/>
              </w:rPr>
            </w:pPr>
            <w:r>
              <w:rPr>
                <w:color w:val="auto"/>
              </w:rPr>
              <w:t>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5" w:hRule="atLeast"/>
          <w:jc w:val="center"/>
        </w:trPr>
        <w:tc>
          <w:tcPr>
            <w:tcW w:w="1339" w:type="dxa"/>
            <w:vAlign w:val="center"/>
          </w:tcPr>
          <w:p>
            <w:pPr>
              <w:pStyle w:val="164"/>
              <w:rPr>
                <w:color w:val="auto"/>
              </w:rPr>
            </w:pPr>
            <w:r>
              <w:rPr>
                <w:color w:val="auto"/>
              </w:rPr>
              <w:t>4#</w:t>
            </w:r>
          </w:p>
        </w:tc>
        <w:tc>
          <w:tcPr>
            <w:tcW w:w="2066" w:type="dxa"/>
            <w:vAlign w:val="center"/>
          </w:tcPr>
          <w:p>
            <w:pPr>
              <w:pStyle w:val="164"/>
              <w:rPr>
                <w:color w:val="auto"/>
              </w:rPr>
            </w:pPr>
            <w:r>
              <w:rPr>
                <w:color w:val="auto"/>
              </w:rPr>
              <w:t>厂界西侧外1m处</w:t>
            </w:r>
          </w:p>
        </w:tc>
        <w:tc>
          <w:tcPr>
            <w:tcW w:w="1393" w:type="dxa"/>
            <w:vAlign w:val="center"/>
          </w:tcPr>
          <w:p>
            <w:pPr>
              <w:pStyle w:val="164"/>
              <w:spacing w:line="240" w:lineRule="auto"/>
              <w:rPr>
                <w:color w:val="auto"/>
              </w:rPr>
            </w:pPr>
            <w:r>
              <w:rPr>
                <w:color w:val="auto"/>
              </w:rPr>
              <w:t>52</w:t>
            </w:r>
          </w:p>
        </w:tc>
        <w:tc>
          <w:tcPr>
            <w:tcW w:w="1400" w:type="dxa"/>
            <w:vAlign w:val="center"/>
          </w:tcPr>
          <w:p>
            <w:pPr>
              <w:pStyle w:val="164"/>
              <w:spacing w:line="240" w:lineRule="auto"/>
              <w:rPr>
                <w:color w:val="auto"/>
              </w:rPr>
            </w:pPr>
            <w:r>
              <w:rPr>
                <w:color w:val="auto"/>
              </w:rPr>
              <w:t>44</w:t>
            </w:r>
          </w:p>
        </w:tc>
        <w:tc>
          <w:tcPr>
            <w:tcW w:w="1393" w:type="dxa"/>
            <w:vAlign w:val="center"/>
          </w:tcPr>
          <w:p>
            <w:pPr>
              <w:pStyle w:val="164"/>
              <w:spacing w:line="240" w:lineRule="auto"/>
              <w:rPr>
                <w:color w:val="auto"/>
              </w:rPr>
            </w:pPr>
            <w:r>
              <w:rPr>
                <w:color w:val="auto"/>
              </w:rPr>
              <w:t>52</w:t>
            </w:r>
          </w:p>
        </w:tc>
        <w:tc>
          <w:tcPr>
            <w:tcW w:w="1398" w:type="dxa"/>
            <w:vAlign w:val="center"/>
          </w:tcPr>
          <w:p>
            <w:pPr>
              <w:pStyle w:val="164"/>
              <w:spacing w:line="240" w:lineRule="auto"/>
              <w:rPr>
                <w:color w:val="auto"/>
              </w:rPr>
            </w:pPr>
            <w:r>
              <w:rPr>
                <w:color w:val="auto"/>
              </w:rPr>
              <w:t>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26" w:hRule="atLeast"/>
          <w:jc w:val="center"/>
        </w:trPr>
        <w:tc>
          <w:tcPr>
            <w:tcW w:w="1339" w:type="dxa"/>
            <w:vAlign w:val="center"/>
          </w:tcPr>
          <w:p>
            <w:pPr>
              <w:pStyle w:val="164"/>
              <w:rPr>
                <w:color w:val="auto"/>
              </w:rPr>
            </w:pPr>
            <w:r>
              <w:rPr>
                <w:color w:val="auto"/>
              </w:rPr>
              <w:t>5#</w:t>
            </w:r>
          </w:p>
        </w:tc>
        <w:tc>
          <w:tcPr>
            <w:tcW w:w="2066" w:type="dxa"/>
            <w:vAlign w:val="center"/>
          </w:tcPr>
          <w:p>
            <w:pPr>
              <w:pStyle w:val="164"/>
              <w:rPr>
                <w:color w:val="auto"/>
              </w:rPr>
            </w:pPr>
            <w:r>
              <w:rPr>
                <w:bCs/>
                <w:color w:val="auto"/>
              </w:rPr>
              <w:t>永康镇阳沟村希望小学</w:t>
            </w:r>
          </w:p>
        </w:tc>
        <w:tc>
          <w:tcPr>
            <w:tcW w:w="1393" w:type="dxa"/>
            <w:vAlign w:val="center"/>
          </w:tcPr>
          <w:p>
            <w:pPr>
              <w:pStyle w:val="164"/>
              <w:spacing w:line="240" w:lineRule="auto"/>
              <w:rPr>
                <w:color w:val="auto"/>
              </w:rPr>
            </w:pPr>
            <w:r>
              <w:rPr>
                <w:color w:val="auto"/>
              </w:rPr>
              <w:t>48</w:t>
            </w:r>
          </w:p>
        </w:tc>
        <w:tc>
          <w:tcPr>
            <w:tcW w:w="1400" w:type="dxa"/>
            <w:vAlign w:val="center"/>
          </w:tcPr>
          <w:p>
            <w:pPr>
              <w:pStyle w:val="164"/>
              <w:spacing w:line="240" w:lineRule="auto"/>
              <w:rPr>
                <w:color w:val="auto"/>
              </w:rPr>
            </w:pPr>
            <w:r>
              <w:rPr>
                <w:color w:val="auto"/>
              </w:rPr>
              <w:t>41</w:t>
            </w:r>
          </w:p>
        </w:tc>
        <w:tc>
          <w:tcPr>
            <w:tcW w:w="1393" w:type="dxa"/>
            <w:vAlign w:val="center"/>
          </w:tcPr>
          <w:p>
            <w:pPr>
              <w:pStyle w:val="164"/>
              <w:spacing w:line="240" w:lineRule="auto"/>
              <w:rPr>
                <w:color w:val="auto"/>
              </w:rPr>
            </w:pPr>
            <w:r>
              <w:rPr>
                <w:color w:val="auto"/>
              </w:rPr>
              <w:t>47</w:t>
            </w:r>
          </w:p>
        </w:tc>
        <w:tc>
          <w:tcPr>
            <w:tcW w:w="1398" w:type="dxa"/>
            <w:vAlign w:val="center"/>
          </w:tcPr>
          <w:p>
            <w:pPr>
              <w:pStyle w:val="164"/>
              <w:spacing w:line="240" w:lineRule="auto"/>
              <w:rPr>
                <w:color w:val="auto"/>
              </w:rPr>
            </w:pPr>
            <w:r>
              <w:rPr>
                <w:color w:val="auto"/>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6" w:hRule="atLeast"/>
          <w:jc w:val="center"/>
        </w:trPr>
        <w:tc>
          <w:tcPr>
            <w:tcW w:w="3405" w:type="dxa"/>
            <w:gridSpan w:val="2"/>
            <w:vAlign w:val="center"/>
          </w:tcPr>
          <w:p>
            <w:pPr>
              <w:pStyle w:val="164"/>
              <w:rPr>
                <w:color w:val="auto"/>
              </w:rPr>
            </w:pPr>
            <w:r>
              <w:rPr>
                <w:color w:val="auto"/>
              </w:rPr>
              <w:t>评价</w:t>
            </w:r>
          </w:p>
        </w:tc>
        <w:tc>
          <w:tcPr>
            <w:tcW w:w="5584" w:type="dxa"/>
            <w:gridSpan w:val="4"/>
            <w:vAlign w:val="center"/>
          </w:tcPr>
          <w:p>
            <w:pPr>
              <w:pStyle w:val="164"/>
              <w:rPr>
                <w:color w:val="auto"/>
              </w:rPr>
            </w:pPr>
            <w:r>
              <w:rPr>
                <w:color w:val="auto"/>
              </w:rPr>
              <w:t>达标</w:t>
            </w:r>
          </w:p>
        </w:tc>
      </w:tr>
    </w:tbl>
    <w:p>
      <w:pPr>
        <w:spacing w:line="460" w:lineRule="exact"/>
        <w:ind w:firstLine="480" w:firstLineChars="200"/>
        <w:rPr>
          <w:color w:val="auto"/>
          <w:sz w:val="24"/>
          <w:szCs w:val="24"/>
        </w:rPr>
      </w:pPr>
      <w:r>
        <w:rPr>
          <w:color w:val="auto"/>
          <w:sz w:val="24"/>
          <w:szCs w:val="24"/>
        </w:rPr>
        <w:t>由上表可知，昼间及夜间，在正常运行情况下，各厂界噪声可满足《工业企业厂界环境噪声排放标准》（GB12348-2008）2类标准，最近的环境敏感目标（西侧阳沟村希望小学）可满足《声环境质量标准》（GB3096-2008）1类标准要求。</w:t>
      </w:r>
    </w:p>
    <w:p>
      <w:pPr>
        <w:spacing w:line="460" w:lineRule="exact"/>
        <w:rPr>
          <w:color w:val="auto"/>
          <w:sz w:val="24"/>
          <w:szCs w:val="24"/>
        </w:rPr>
      </w:pPr>
      <w:r>
        <w:rPr>
          <w:color w:val="auto"/>
          <w:sz w:val="24"/>
          <w:szCs w:val="24"/>
        </w:rPr>
        <w:t>因此，本项目营运期对区域声环境影响较小。</w:t>
      </w:r>
    </w:p>
    <w:p>
      <w:pPr>
        <w:spacing w:line="460" w:lineRule="exact"/>
        <w:ind w:firstLine="480" w:firstLineChars="200"/>
        <w:rPr>
          <w:color w:val="auto"/>
          <w:sz w:val="24"/>
          <w:szCs w:val="24"/>
        </w:rPr>
      </w:pPr>
      <w:r>
        <w:rPr>
          <w:color w:val="auto"/>
          <w:sz w:val="24"/>
          <w:szCs w:val="24"/>
        </w:rPr>
        <w:t>本项目声环境影响评价自查表见下表。</w:t>
      </w:r>
    </w:p>
    <w:p>
      <w:pPr>
        <w:spacing w:before="120" w:beforeLines="50"/>
        <w:ind w:firstLine="420"/>
        <w:jc w:val="center"/>
        <w:rPr>
          <w:b/>
          <w:bCs/>
          <w:color w:val="auto"/>
          <w:kern w:val="0"/>
          <w:sz w:val="24"/>
          <w:szCs w:val="24"/>
        </w:rPr>
      </w:pPr>
      <w:r>
        <w:rPr>
          <w:b/>
          <w:bCs/>
          <w:color w:val="auto"/>
          <w:kern w:val="0"/>
          <w:sz w:val="24"/>
          <w:szCs w:val="24"/>
          <w:lang w:val="zh-CN"/>
        </w:rPr>
        <w:t>表</w:t>
      </w:r>
      <w:r>
        <w:rPr>
          <w:b/>
          <w:bCs/>
          <w:color w:val="auto"/>
          <w:kern w:val="0"/>
          <w:sz w:val="24"/>
          <w:szCs w:val="24"/>
        </w:rPr>
        <w:t>7</w:t>
      </w:r>
      <w:r>
        <w:rPr>
          <w:b/>
          <w:bCs/>
          <w:color w:val="auto"/>
          <w:kern w:val="0"/>
          <w:sz w:val="24"/>
          <w:szCs w:val="24"/>
          <w:lang w:val="zh-CN"/>
        </w:rPr>
        <w:t>.</w:t>
      </w:r>
      <w:r>
        <w:rPr>
          <w:b/>
          <w:bCs/>
          <w:color w:val="auto"/>
          <w:kern w:val="0"/>
          <w:sz w:val="24"/>
          <w:szCs w:val="24"/>
        </w:rPr>
        <w:t>5</w:t>
      </w:r>
      <w:r>
        <w:rPr>
          <w:b/>
          <w:bCs/>
          <w:color w:val="auto"/>
          <w:kern w:val="0"/>
          <w:sz w:val="24"/>
          <w:szCs w:val="24"/>
          <w:lang w:val="zh-CN"/>
        </w:rPr>
        <w:t>-</w:t>
      </w:r>
      <w:r>
        <w:rPr>
          <w:b/>
          <w:bCs/>
          <w:color w:val="auto"/>
          <w:kern w:val="0"/>
          <w:sz w:val="24"/>
          <w:szCs w:val="24"/>
        </w:rPr>
        <w:t>2</w:t>
      </w:r>
      <w:r>
        <w:rPr>
          <w:color w:val="auto"/>
          <w:sz w:val="24"/>
          <w:szCs w:val="24"/>
        </w:rPr>
        <w:t xml:space="preserve">  </w:t>
      </w:r>
      <w:r>
        <w:rPr>
          <w:b/>
          <w:bCs/>
          <w:color w:val="auto"/>
          <w:kern w:val="0"/>
          <w:sz w:val="24"/>
          <w:szCs w:val="24"/>
        </w:rPr>
        <w:t>本项目声环境影响评价自查表</w:t>
      </w:r>
    </w:p>
    <w:tbl>
      <w:tblPr>
        <w:tblStyle w:val="74"/>
        <w:tblW w:w="8974" w:type="dxa"/>
        <w:jc w:val="center"/>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01"/>
        <w:gridCol w:w="1410"/>
        <w:gridCol w:w="1090"/>
        <w:gridCol w:w="548"/>
        <w:gridCol w:w="315"/>
        <w:gridCol w:w="299"/>
        <w:gridCol w:w="1004"/>
        <w:gridCol w:w="678"/>
        <w:gridCol w:w="445"/>
        <w:gridCol w:w="549"/>
        <w:gridCol w:w="508"/>
        <w:gridCol w:w="1127"/>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86" w:hRule="atLeast"/>
          <w:jc w:val="center"/>
        </w:trPr>
        <w:tc>
          <w:tcPr>
            <w:tcW w:w="2411" w:type="dxa"/>
            <w:gridSpan w:val="2"/>
            <w:tcBorders>
              <w:right w:val="single" w:color="000000" w:sz="4" w:space="0"/>
            </w:tcBorders>
            <w:vAlign w:val="center"/>
          </w:tcPr>
          <w:p>
            <w:pPr>
              <w:pStyle w:val="161"/>
              <w:ind w:left="821" w:right="809"/>
              <w:jc w:val="center"/>
              <w:rPr>
                <w:color w:val="auto"/>
                <w:sz w:val="18"/>
              </w:rPr>
            </w:pPr>
            <w:r>
              <w:rPr>
                <w:color w:val="auto"/>
                <w:sz w:val="18"/>
              </w:rPr>
              <w:t>工作内容</w:t>
            </w:r>
          </w:p>
        </w:tc>
        <w:tc>
          <w:tcPr>
            <w:tcW w:w="6563" w:type="dxa"/>
            <w:gridSpan w:val="10"/>
            <w:tcBorders>
              <w:left w:val="single" w:color="000000" w:sz="4" w:space="0"/>
            </w:tcBorders>
            <w:vAlign w:val="center"/>
          </w:tcPr>
          <w:p>
            <w:pPr>
              <w:pStyle w:val="161"/>
              <w:ind w:left="26"/>
              <w:jc w:val="center"/>
              <w:rPr>
                <w:color w:val="auto"/>
                <w:sz w:val="18"/>
              </w:rPr>
            </w:pPr>
            <w:r>
              <w:rPr>
                <w:color w:val="auto"/>
                <w:sz w:val="18"/>
              </w:rPr>
              <w:t>自查项目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45" w:hRule="atLeast"/>
          <w:jc w:val="center"/>
        </w:trPr>
        <w:tc>
          <w:tcPr>
            <w:tcW w:w="1001" w:type="dxa"/>
            <w:vMerge w:val="restart"/>
            <w:tcBorders>
              <w:bottom w:val="single" w:color="000000" w:sz="4" w:space="0"/>
              <w:right w:val="single" w:color="000000" w:sz="4" w:space="0"/>
            </w:tcBorders>
            <w:vAlign w:val="center"/>
          </w:tcPr>
          <w:p>
            <w:pPr>
              <w:pStyle w:val="161"/>
              <w:ind w:left="225" w:right="125" w:hanging="92"/>
              <w:rPr>
                <w:color w:val="auto"/>
                <w:sz w:val="18"/>
              </w:rPr>
            </w:pPr>
            <w:r>
              <w:rPr>
                <w:color w:val="auto"/>
                <w:sz w:val="18"/>
              </w:rPr>
              <w:t>评价等级与范围</w:t>
            </w:r>
          </w:p>
        </w:tc>
        <w:tc>
          <w:tcPr>
            <w:tcW w:w="1410" w:type="dxa"/>
            <w:tcBorders>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评价等级</w:t>
            </w:r>
          </w:p>
        </w:tc>
        <w:tc>
          <w:tcPr>
            <w:tcW w:w="6563" w:type="dxa"/>
            <w:gridSpan w:val="10"/>
            <w:tcBorders>
              <w:left w:val="single" w:color="000000" w:sz="4" w:space="0"/>
              <w:bottom w:val="single" w:color="000000" w:sz="4" w:space="0"/>
            </w:tcBorders>
            <w:vAlign w:val="center"/>
          </w:tcPr>
          <w:p>
            <w:pPr>
              <w:pStyle w:val="161"/>
              <w:tabs>
                <w:tab w:val="left" w:pos="2103"/>
                <w:tab w:val="left" w:pos="3635"/>
              </w:tabs>
              <w:ind w:left="29"/>
              <w:jc w:val="center"/>
              <w:rPr>
                <w:color w:val="auto"/>
                <w:sz w:val="18"/>
              </w:rPr>
            </w:pPr>
            <w:r>
              <w:rPr>
                <w:color w:val="auto"/>
                <w:sz w:val="18"/>
              </w:rPr>
              <w:t>一级</w:t>
            </w:r>
            <w:r>
              <w:rPr>
                <w:color w:val="auto"/>
                <w:sz w:val="18"/>
              </w:rPr>
              <w:sym w:font="Wingdings 2" w:char="00A3"/>
            </w:r>
            <w:r>
              <w:rPr>
                <w:color w:val="auto"/>
                <w:sz w:val="18"/>
              </w:rPr>
              <w:tab/>
            </w:r>
            <w:r>
              <w:rPr>
                <w:color w:val="auto"/>
                <w:sz w:val="18"/>
              </w:rPr>
              <w:t>二</w:t>
            </w:r>
            <w:r>
              <w:rPr>
                <w:color w:val="auto"/>
                <w:spacing w:val="-3"/>
                <w:sz w:val="18"/>
              </w:rPr>
              <w:t>级</w:t>
            </w:r>
            <w:r>
              <w:rPr>
                <w:color w:val="auto"/>
                <w:sz w:val="18"/>
              </w:rPr>
              <w:sym w:font="Wingdings 2" w:char="0052"/>
            </w:r>
            <w:r>
              <w:rPr>
                <w:color w:val="auto"/>
                <w:sz w:val="18"/>
              </w:rPr>
              <w:tab/>
            </w:r>
            <w:r>
              <w:rPr>
                <w:color w:val="auto"/>
                <w:sz w:val="18"/>
              </w:rPr>
              <w:t xml:space="preserve">    三级</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65" w:hRule="atLeast"/>
          <w:jc w:val="center"/>
        </w:trPr>
        <w:tc>
          <w:tcPr>
            <w:tcW w:w="1001" w:type="dxa"/>
            <w:vMerge w:val="continue"/>
            <w:tcBorders>
              <w:top w:val="nil"/>
              <w:bottom w:val="single" w:color="000000" w:sz="4" w:space="0"/>
              <w:right w:val="single" w:color="000000" w:sz="4" w:space="0"/>
            </w:tcBorders>
            <w:vAlign w:val="center"/>
          </w:tcPr>
          <w:p>
            <w:pPr>
              <w:rPr>
                <w:color w:val="auto"/>
                <w:sz w:val="2"/>
                <w:szCs w:val="2"/>
              </w:rPr>
            </w:pP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评价范围</w:t>
            </w:r>
          </w:p>
        </w:tc>
        <w:tc>
          <w:tcPr>
            <w:tcW w:w="6563" w:type="dxa"/>
            <w:gridSpan w:val="10"/>
            <w:tcBorders>
              <w:top w:val="single" w:color="000000" w:sz="4" w:space="0"/>
              <w:left w:val="single" w:color="000000" w:sz="4" w:space="0"/>
              <w:bottom w:val="single" w:color="000000" w:sz="4" w:space="0"/>
            </w:tcBorders>
            <w:vAlign w:val="center"/>
          </w:tcPr>
          <w:p>
            <w:pPr>
              <w:pStyle w:val="161"/>
              <w:tabs>
                <w:tab w:val="left" w:pos="2384"/>
                <w:tab w:val="left" w:pos="5315"/>
              </w:tabs>
              <w:ind w:left="217"/>
              <w:rPr>
                <w:color w:val="auto"/>
                <w:sz w:val="18"/>
              </w:rPr>
            </w:pPr>
            <w:r>
              <w:rPr>
                <w:rFonts w:eastAsia="Times New Roman"/>
                <w:color w:val="auto"/>
                <w:sz w:val="18"/>
              </w:rPr>
              <w:t>200m</w:t>
            </w:r>
            <w:r>
              <w:rPr>
                <w:color w:val="auto"/>
                <w:sz w:val="18"/>
              </w:rPr>
              <w:sym w:font="Wingdings 2" w:char="0052"/>
            </w:r>
            <w:r>
              <w:rPr>
                <w:color w:val="auto"/>
                <w:sz w:val="18"/>
              </w:rPr>
              <w:tab/>
            </w:r>
            <w:r>
              <w:rPr>
                <w:color w:val="auto"/>
                <w:sz w:val="18"/>
              </w:rPr>
              <w:t xml:space="preserve">  </w:t>
            </w:r>
            <w:r>
              <w:rPr>
                <w:color w:val="auto"/>
                <w:spacing w:val="-3"/>
                <w:sz w:val="18"/>
              </w:rPr>
              <w:t>大</w:t>
            </w:r>
            <w:r>
              <w:rPr>
                <w:color w:val="auto"/>
                <w:sz w:val="18"/>
              </w:rPr>
              <w:t>于</w:t>
            </w:r>
            <w:r>
              <w:rPr>
                <w:color w:val="auto"/>
                <w:spacing w:val="-46"/>
                <w:sz w:val="18"/>
              </w:rPr>
              <w:t xml:space="preserve"> </w:t>
            </w:r>
            <w:r>
              <w:rPr>
                <w:rFonts w:eastAsia="Times New Roman"/>
                <w:color w:val="auto"/>
                <w:sz w:val="18"/>
              </w:rPr>
              <w:t>200m</w:t>
            </w:r>
            <w:r>
              <w:rPr>
                <w:color w:val="auto"/>
                <w:sz w:val="18"/>
              </w:rPr>
              <w:sym w:font="Wingdings 2" w:char="00A3"/>
            </w:r>
            <w:r>
              <w:rPr>
                <w:color w:val="auto"/>
                <w:sz w:val="18"/>
              </w:rPr>
              <w:t xml:space="preserve">                    小于</w:t>
            </w:r>
            <w:r>
              <w:rPr>
                <w:color w:val="auto"/>
                <w:spacing w:val="-48"/>
                <w:sz w:val="18"/>
              </w:rPr>
              <w:t xml:space="preserve"> </w:t>
            </w:r>
            <w:r>
              <w:rPr>
                <w:rFonts w:eastAsia="Times New Roman"/>
                <w:color w:val="auto"/>
                <w:sz w:val="18"/>
              </w:rPr>
              <w:t>200m</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71" w:hRule="atLeast"/>
          <w:jc w:val="center"/>
        </w:trPr>
        <w:tc>
          <w:tcPr>
            <w:tcW w:w="1001" w:type="dxa"/>
            <w:tcBorders>
              <w:top w:val="single" w:color="000000" w:sz="4" w:space="0"/>
              <w:bottom w:val="single" w:color="000000" w:sz="4" w:space="0"/>
              <w:right w:val="single" w:color="000000" w:sz="4" w:space="0"/>
            </w:tcBorders>
            <w:vAlign w:val="center"/>
          </w:tcPr>
          <w:p>
            <w:pPr>
              <w:pStyle w:val="161"/>
              <w:ind w:left="113" w:right="107"/>
              <w:jc w:val="center"/>
              <w:rPr>
                <w:color w:val="auto"/>
                <w:sz w:val="18"/>
              </w:rPr>
            </w:pPr>
            <w:r>
              <w:rPr>
                <w:color w:val="auto"/>
                <w:sz w:val="18"/>
              </w:rPr>
              <w:t>评价因子</w:t>
            </w: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评价因子</w:t>
            </w:r>
          </w:p>
        </w:tc>
        <w:tc>
          <w:tcPr>
            <w:tcW w:w="2252" w:type="dxa"/>
            <w:gridSpan w:val="4"/>
            <w:tcBorders>
              <w:top w:val="single" w:color="000000" w:sz="4" w:space="0"/>
              <w:left w:val="single" w:color="000000" w:sz="4" w:space="0"/>
              <w:bottom w:val="single" w:color="000000" w:sz="4" w:space="0"/>
              <w:right w:val="nil"/>
            </w:tcBorders>
            <w:vAlign w:val="center"/>
          </w:tcPr>
          <w:p>
            <w:pPr>
              <w:pStyle w:val="161"/>
              <w:jc w:val="center"/>
              <w:rPr>
                <w:color w:val="auto"/>
                <w:sz w:val="18"/>
              </w:rPr>
            </w:pPr>
            <w:r>
              <w:rPr>
                <w:color w:val="auto"/>
                <w:sz w:val="18"/>
              </w:rPr>
              <w:t>等效连续</w:t>
            </w:r>
            <w:r>
              <w:rPr>
                <w:rFonts w:eastAsia="Times New Roman"/>
                <w:color w:val="auto"/>
                <w:sz w:val="18"/>
              </w:rPr>
              <w:t>A</w:t>
            </w:r>
            <w:r>
              <w:rPr>
                <w:color w:val="auto"/>
                <w:sz w:val="18"/>
              </w:rPr>
              <w:t>声级</w:t>
            </w:r>
            <w:r>
              <w:rPr>
                <w:color w:val="auto"/>
                <w:sz w:val="18"/>
              </w:rPr>
              <w:sym w:font="Wingdings 2" w:char="0052"/>
            </w:r>
          </w:p>
        </w:tc>
        <w:tc>
          <w:tcPr>
            <w:tcW w:w="1682" w:type="dxa"/>
            <w:gridSpan w:val="2"/>
            <w:tcBorders>
              <w:top w:val="single" w:color="000000" w:sz="4" w:space="0"/>
              <w:left w:val="nil"/>
              <w:bottom w:val="single" w:color="000000" w:sz="4" w:space="0"/>
              <w:right w:val="nil"/>
            </w:tcBorders>
            <w:vAlign w:val="center"/>
          </w:tcPr>
          <w:p>
            <w:pPr>
              <w:pStyle w:val="161"/>
              <w:ind w:left="397"/>
              <w:rPr>
                <w:color w:val="auto"/>
                <w:sz w:val="18"/>
              </w:rPr>
            </w:pPr>
            <w:r>
              <w:rPr>
                <w:color w:val="auto"/>
                <w:sz w:val="18"/>
              </w:rPr>
              <w:t>最大</w:t>
            </w:r>
            <w:r>
              <w:rPr>
                <w:rFonts w:eastAsia="Times New Roman"/>
                <w:color w:val="auto"/>
                <w:sz w:val="18"/>
              </w:rPr>
              <w:t>A</w:t>
            </w:r>
            <w:r>
              <w:rPr>
                <w:color w:val="auto"/>
                <w:sz w:val="18"/>
              </w:rPr>
              <w:t>声级</w:t>
            </w:r>
            <w:r>
              <w:rPr>
                <w:color w:val="auto"/>
                <w:sz w:val="18"/>
              </w:rPr>
              <w:sym w:font="Wingdings 2" w:char="00A3"/>
            </w:r>
          </w:p>
        </w:tc>
        <w:tc>
          <w:tcPr>
            <w:tcW w:w="2629" w:type="dxa"/>
            <w:gridSpan w:val="4"/>
            <w:tcBorders>
              <w:top w:val="single" w:color="000000" w:sz="4" w:space="0"/>
              <w:left w:val="nil"/>
              <w:bottom w:val="single" w:color="000000" w:sz="4" w:space="0"/>
            </w:tcBorders>
            <w:vAlign w:val="center"/>
          </w:tcPr>
          <w:p>
            <w:pPr>
              <w:pStyle w:val="161"/>
              <w:ind w:left="263"/>
              <w:rPr>
                <w:color w:val="auto"/>
                <w:sz w:val="18"/>
              </w:rPr>
            </w:pPr>
            <w:r>
              <w:rPr>
                <w:color w:val="auto"/>
                <w:sz w:val="18"/>
              </w:rPr>
              <w:t>计权等效连续感觉噪声级</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70" w:hRule="atLeast"/>
          <w:jc w:val="center"/>
        </w:trPr>
        <w:tc>
          <w:tcPr>
            <w:tcW w:w="1001" w:type="dxa"/>
            <w:tcBorders>
              <w:top w:val="single" w:color="000000" w:sz="4" w:space="0"/>
              <w:bottom w:val="single" w:color="000000" w:sz="4" w:space="0"/>
              <w:right w:val="single" w:color="000000" w:sz="4" w:space="0"/>
            </w:tcBorders>
            <w:vAlign w:val="center"/>
          </w:tcPr>
          <w:p>
            <w:pPr>
              <w:pStyle w:val="161"/>
              <w:ind w:left="113" w:right="107"/>
              <w:jc w:val="center"/>
              <w:rPr>
                <w:color w:val="auto"/>
                <w:sz w:val="18"/>
              </w:rPr>
            </w:pPr>
            <w:r>
              <w:rPr>
                <w:color w:val="auto"/>
                <w:sz w:val="18"/>
              </w:rPr>
              <w:t>评价标准</w:t>
            </w: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评价标准</w:t>
            </w:r>
          </w:p>
        </w:tc>
        <w:tc>
          <w:tcPr>
            <w:tcW w:w="2252" w:type="dxa"/>
            <w:gridSpan w:val="4"/>
            <w:tcBorders>
              <w:top w:val="single" w:color="000000" w:sz="4" w:space="0"/>
              <w:left w:val="single" w:color="000000" w:sz="4" w:space="0"/>
              <w:bottom w:val="single" w:color="000000" w:sz="4" w:space="0"/>
              <w:right w:val="nil"/>
            </w:tcBorders>
            <w:vAlign w:val="center"/>
          </w:tcPr>
          <w:p>
            <w:pPr>
              <w:pStyle w:val="161"/>
              <w:jc w:val="center"/>
              <w:rPr>
                <w:color w:val="auto"/>
                <w:sz w:val="18"/>
              </w:rPr>
            </w:pPr>
            <w:r>
              <w:rPr>
                <w:color w:val="auto"/>
                <w:sz w:val="18"/>
              </w:rPr>
              <w:t>国家标准</w:t>
            </w:r>
            <w:r>
              <w:rPr>
                <w:color w:val="auto"/>
                <w:sz w:val="18"/>
              </w:rPr>
              <w:sym w:font="Wingdings 2" w:char="0052"/>
            </w:r>
          </w:p>
        </w:tc>
        <w:tc>
          <w:tcPr>
            <w:tcW w:w="1682" w:type="dxa"/>
            <w:gridSpan w:val="2"/>
            <w:tcBorders>
              <w:top w:val="single" w:color="000000" w:sz="4" w:space="0"/>
              <w:left w:val="nil"/>
              <w:bottom w:val="single" w:color="000000" w:sz="4" w:space="0"/>
              <w:right w:val="nil"/>
            </w:tcBorders>
            <w:vAlign w:val="center"/>
          </w:tcPr>
          <w:p>
            <w:pPr>
              <w:pStyle w:val="161"/>
              <w:ind w:left="507"/>
              <w:rPr>
                <w:color w:val="auto"/>
                <w:sz w:val="18"/>
              </w:rPr>
            </w:pPr>
            <w:r>
              <w:rPr>
                <w:color w:val="auto"/>
                <w:sz w:val="18"/>
              </w:rPr>
              <w:t>地方标准</w:t>
            </w:r>
            <w:r>
              <w:rPr>
                <w:color w:val="auto"/>
                <w:sz w:val="18"/>
              </w:rPr>
              <w:sym w:font="Wingdings 2" w:char="00A3"/>
            </w:r>
          </w:p>
        </w:tc>
        <w:tc>
          <w:tcPr>
            <w:tcW w:w="2629" w:type="dxa"/>
            <w:gridSpan w:val="4"/>
            <w:tcBorders>
              <w:top w:val="single" w:color="000000" w:sz="4" w:space="0"/>
              <w:left w:val="nil"/>
              <w:bottom w:val="single" w:color="000000" w:sz="4" w:space="0"/>
            </w:tcBorders>
            <w:vAlign w:val="center"/>
          </w:tcPr>
          <w:p>
            <w:pPr>
              <w:pStyle w:val="161"/>
              <w:ind w:left="77" w:right="94"/>
              <w:jc w:val="center"/>
              <w:rPr>
                <w:color w:val="auto"/>
                <w:sz w:val="18"/>
              </w:rPr>
            </w:pPr>
            <w:r>
              <w:rPr>
                <w:color w:val="auto"/>
                <w:sz w:val="18"/>
              </w:rPr>
              <w:t>国外标准</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85" w:hRule="atLeast"/>
          <w:jc w:val="center"/>
        </w:trPr>
        <w:tc>
          <w:tcPr>
            <w:tcW w:w="1001" w:type="dxa"/>
            <w:vMerge w:val="restart"/>
            <w:tcBorders>
              <w:top w:val="single" w:color="000000" w:sz="4" w:space="0"/>
              <w:bottom w:val="single" w:color="000000" w:sz="4" w:space="0"/>
              <w:right w:val="single" w:color="000000" w:sz="4" w:space="0"/>
            </w:tcBorders>
            <w:vAlign w:val="center"/>
          </w:tcPr>
          <w:p>
            <w:pPr>
              <w:pStyle w:val="161"/>
              <w:jc w:val="center"/>
              <w:rPr>
                <w:color w:val="auto"/>
                <w:sz w:val="18"/>
              </w:rPr>
            </w:pPr>
            <w:r>
              <w:rPr>
                <w:color w:val="auto"/>
                <w:sz w:val="18"/>
              </w:rPr>
              <w:t>现状评价</w:t>
            </w: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27"/>
              <w:jc w:val="center"/>
              <w:rPr>
                <w:color w:val="auto"/>
                <w:sz w:val="18"/>
              </w:rPr>
            </w:pPr>
            <w:r>
              <w:rPr>
                <w:color w:val="auto"/>
                <w:sz w:val="18"/>
              </w:rPr>
              <w:t>环境功能区</w:t>
            </w:r>
          </w:p>
        </w:tc>
        <w:tc>
          <w:tcPr>
            <w:tcW w:w="1090" w:type="dxa"/>
            <w:tcBorders>
              <w:top w:val="single" w:color="000000" w:sz="4" w:space="0"/>
              <w:left w:val="single" w:color="000000" w:sz="4" w:space="0"/>
              <w:bottom w:val="single" w:color="000000" w:sz="4" w:space="0"/>
              <w:right w:val="single" w:color="000000" w:sz="4" w:space="0"/>
            </w:tcBorders>
            <w:vAlign w:val="center"/>
          </w:tcPr>
          <w:p>
            <w:pPr>
              <w:pStyle w:val="161"/>
              <w:ind w:left="214"/>
              <w:rPr>
                <w:color w:val="auto"/>
                <w:sz w:val="18"/>
              </w:rPr>
            </w:pPr>
            <w:r>
              <w:rPr>
                <w:rFonts w:eastAsia="Times New Roman"/>
                <w:color w:val="auto"/>
                <w:sz w:val="18"/>
              </w:rPr>
              <w:t>0</w:t>
            </w:r>
            <w:r>
              <w:rPr>
                <w:color w:val="auto"/>
                <w:sz w:val="18"/>
              </w:rPr>
              <w:t>类区</w:t>
            </w:r>
            <w:r>
              <w:rPr>
                <w:color w:val="auto"/>
                <w:sz w:val="18"/>
              </w:rPr>
              <w:sym w:font="Wingdings 2" w:char="00A3"/>
            </w:r>
          </w:p>
        </w:tc>
        <w:tc>
          <w:tcPr>
            <w:tcW w:w="1162" w:type="dxa"/>
            <w:gridSpan w:val="3"/>
            <w:tcBorders>
              <w:top w:val="single" w:color="000000" w:sz="4" w:space="0"/>
              <w:left w:val="single" w:color="000000" w:sz="4" w:space="0"/>
              <w:bottom w:val="single" w:color="000000" w:sz="4" w:space="0"/>
              <w:right w:val="single" w:color="000000" w:sz="4" w:space="0"/>
            </w:tcBorders>
            <w:vAlign w:val="center"/>
          </w:tcPr>
          <w:p>
            <w:pPr>
              <w:pStyle w:val="161"/>
              <w:ind w:left="216"/>
              <w:rPr>
                <w:color w:val="auto"/>
                <w:sz w:val="18"/>
              </w:rPr>
            </w:pPr>
            <w:r>
              <w:rPr>
                <w:rFonts w:eastAsia="Times New Roman"/>
                <w:color w:val="auto"/>
                <w:sz w:val="18"/>
              </w:rPr>
              <w:t>1</w:t>
            </w:r>
            <w:r>
              <w:rPr>
                <w:color w:val="auto"/>
                <w:sz w:val="18"/>
              </w:rPr>
              <w:t>类区</w:t>
            </w:r>
            <w:r>
              <w:rPr>
                <w:color w:val="auto"/>
                <w:sz w:val="18"/>
              </w:rPr>
              <w:sym w:font="Wingdings 2" w:char="0052"/>
            </w:r>
          </w:p>
        </w:tc>
        <w:tc>
          <w:tcPr>
            <w:tcW w:w="1004" w:type="dxa"/>
            <w:tcBorders>
              <w:top w:val="single" w:color="000000" w:sz="4" w:space="0"/>
              <w:left w:val="single" w:color="000000" w:sz="4" w:space="0"/>
              <w:bottom w:val="single" w:color="000000" w:sz="4" w:space="0"/>
              <w:right w:val="single" w:color="000000" w:sz="4" w:space="0"/>
            </w:tcBorders>
            <w:vAlign w:val="center"/>
          </w:tcPr>
          <w:p>
            <w:pPr>
              <w:pStyle w:val="161"/>
              <w:ind w:left="214"/>
              <w:rPr>
                <w:color w:val="auto"/>
                <w:sz w:val="18"/>
              </w:rPr>
            </w:pPr>
            <w:r>
              <w:rPr>
                <w:rFonts w:eastAsia="Times New Roman"/>
                <w:color w:val="auto"/>
                <w:sz w:val="18"/>
              </w:rPr>
              <w:t>2</w:t>
            </w:r>
            <w:r>
              <w:rPr>
                <w:color w:val="auto"/>
                <w:sz w:val="18"/>
              </w:rPr>
              <w:t>类区</w:t>
            </w:r>
            <w:r>
              <w:rPr>
                <w:color w:val="auto"/>
                <w:sz w:val="18"/>
              </w:rPr>
              <w:sym w:font="Wingdings 2" w:char="0052"/>
            </w:r>
          </w:p>
        </w:tc>
        <w:tc>
          <w:tcPr>
            <w:tcW w:w="1123" w:type="dxa"/>
            <w:gridSpan w:val="2"/>
            <w:tcBorders>
              <w:top w:val="single" w:color="000000" w:sz="4" w:space="0"/>
              <w:left w:val="single" w:color="000000" w:sz="4" w:space="0"/>
              <w:bottom w:val="single" w:color="000000" w:sz="4" w:space="0"/>
              <w:right w:val="single" w:color="000000" w:sz="4" w:space="0"/>
            </w:tcBorders>
            <w:vAlign w:val="center"/>
          </w:tcPr>
          <w:p>
            <w:pPr>
              <w:pStyle w:val="161"/>
              <w:ind w:left="242"/>
              <w:rPr>
                <w:color w:val="auto"/>
                <w:sz w:val="18"/>
              </w:rPr>
            </w:pPr>
            <w:r>
              <w:rPr>
                <w:rFonts w:eastAsia="Times New Roman"/>
                <w:color w:val="auto"/>
                <w:sz w:val="18"/>
              </w:rPr>
              <w:t>3</w:t>
            </w:r>
            <w:r>
              <w:rPr>
                <w:color w:val="auto"/>
                <w:sz w:val="18"/>
              </w:rPr>
              <w:t>类区</w:t>
            </w:r>
            <w:r>
              <w:rPr>
                <w:color w:val="auto"/>
                <w:sz w:val="18"/>
              </w:rPr>
              <w:sym w:font="Wingdings 2" w:char="00A3"/>
            </w:r>
          </w:p>
        </w:tc>
        <w:tc>
          <w:tcPr>
            <w:tcW w:w="1057" w:type="dxa"/>
            <w:gridSpan w:val="2"/>
            <w:tcBorders>
              <w:top w:val="single" w:color="000000" w:sz="4" w:space="0"/>
              <w:left w:val="single" w:color="000000" w:sz="4" w:space="0"/>
              <w:bottom w:val="single" w:color="000000" w:sz="4" w:space="0"/>
              <w:right w:val="single" w:color="000000" w:sz="4" w:space="0"/>
            </w:tcBorders>
            <w:vAlign w:val="center"/>
          </w:tcPr>
          <w:p>
            <w:pPr>
              <w:pStyle w:val="161"/>
              <w:ind w:left="170"/>
              <w:rPr>
                <w:color w:val="auto"/>
                <w:sz w:val="18"/>
              </w:rPr>
            </w:pPr>
            <w:r>
              <w:rPr>
                <w:rFonts w:eastAsia="Times New Roman"/>
                <w:color w:val="auto"/>
                <w:sz w:val="18"/>
              </w:rPr>
              <w:t>4a</w:t>
            </w:r>
            <w:r>
              <w:rPr>
                <w:color w:val="auto"/>
                <w:sz w:val="18"/>
              </w:rPr>
              <w:t>类区</w:t>
            </w:r>
            <w:r>
              <w:rPr>
                <w:color w:val="auto"/>
                <w:sz w:val="18"/>
              </w:rPr>
              <w:sym w:font="Wingdings 2" w:char="00A3"/>
            </w:r>
          </w:p>
        </w:tc>
        <w:tc>
          <w:tcPr>
            <w:tcW w:w="1127" w:type="dxa"/>
            <w:tcBorders>
              <w:top w:val="single" w:color="000000" w:sz="4" w:space="0"/>
              <w:left w:val="single" w:color="000000" w:sz="4" w:space="0"/>
              <w:bottom w:val="single" w:color="000000" w:sz="4" w:space="0"/>
            </w:tcBorders>
            <w:vAlign w:val="center"/>
          </w:tcPr>
          <w:p>
            <w:pPr>
              <w:pStyle w:val="161"/>
              <w:ind w:left="89" w:right="30"/>
              <w:jc w:val="center"/>
              <w:rPr>
                <w:color w:val="auto"/>
                <w:sz w:val="18"/>
              </w:rPr>
            </w:pPr>
            <w:r>
              <w:rPr>
                <w:rFonts w:eastAsia="Times New Roman"/>
                <w:color w:val="auto"/>
                <w:sz w:val="18"/>
              </w:rPr>
              <w:t>4b</w:t>
            </w:r>
            <w:r>
              <w:rPr>
                <w:color w:val="auto"/>
                <w:sz w:val="18"/>
              </w:rPr>
              <w:t>类区</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74" w:hRule="atLeast"/>
          <w:jc w:val="center"/>
        </w:trPr>
        <w:tc>
          <w:tcPr>
            <w:tcW w:w="1001" w:type="dxa"/>
            <w:vMerge w:val="continue"/>
            <w:tcBorders>
              <w:top w:val="nil"/>
              <w:bottom w:val="single" w:color="000000" w:sz="4" w:space="0"/>
              <w:right w:val="single" w:color="000000" w:sz="4" w:space="0"/>
            </w:tcBorders>
            <w:vAlign w:val="center"/>
          </w:tcPr>
          <w:p>
            <w:pPr>
              <w:rPr>
                <w:color w:val="auto"/>
                <w:sz w:val="2"/>
                <w:szCs w:val="2"/>
              </w:rPr>
            </w:pP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评价年度</w:t>
            </w:r>
          </w:p>
        </w:tc>
        <w:tc>
          <w:tcPr>
            <w:tcW w:w="1638" w:type="dxa"/>
            <w:gridSpan w:val="2"/>
            <w:tcBorders>
              <w:top w:val="single" w:color="000000" w:sz="4" w:space="0"/>
              <w:left w:val="single" w:color="000000" w:sz="4" w:space="0"/>
              <w:bottom w:val="single" w:color="000000" w:sz="4" w:space="0"/>
              <w:right w:val="single" w:color="000000" w:sz="4" w:space="0"/>
            </w:tcBorders>
            <w:vAlign w:val="center"/>
          </w:tcPr>
          <w:p>
            <w:pPr>
              <w:pStyle w:val="161"/>
              <w:ind w:left="555"/>
              <w:rPr>
                <w:color w:val="auto"/>
                <w:sz w:val="18"/>
              </w:rPr>
            </w:pPr>
            <w:r>
              <w:rPr>
                <w:color w:val="auto"/>
                <w:sz w:val="18"/>
              </w:rPr>
              <w:t>初期</w:t>
            </w:r>
            <w:r>
              <w:rPr>
                <w:color w:val="auto"/>
                <w:sz w:val="18"/>
              </w:rPr>
              <w:sym w:font="Wingdings 2" w:char="00A3"/>
            </w:r>
          </w:p>
        </w:tc>
        <w:tc>
          <w:tcPr>
            <w:tcW w:w="1618" w:type="dxa"/>
            <w:gridSpan w:val="3"/>
            <w:tcBorders>
              <w:top w:val="single" w:color="000000" w:sz="4" w:space="0"/>
              <w:left w:val="single" w:color="000000" w:sz="4" w:space="0"/>
              <w:bottom w:val="single" w:color="000000" w:sz="4" w:space="0"/>
              <w:right w:val="single" w:color="000000" w:sz="4" w:space="0"/>
            </w:tcBorders>
            <w:vAlign w:val="center"/>
          </w:tcPr>
          <w:p>
            <w:pPr>
              <w:pStyle w:val="161"/>
              <w:ind w:left="559"/>
              <w:rPr>
                <w:color w:val="auto"/>
                <w:sz w:val="18"/>
              </w:rPr>
            </w:pPr>
            <w:r>
              <w:rPr>
                <w:color w:val="auto"/>
                <w:sz w:val="18"/>
              </w:rPr>
              <w:t>近期</w:t>
            </w:r>
            <w:r>
              <w:rPr>
                <w:color w:val="auto"/>
                <w:sz w:val="18"/>
              </w:rPr>
              <w:sym w:font="Wingdings 2" w:char="0052"/>
            </w:r>
          </w:p>
        </w:tc>
        <w:tc>
          <w:tcPr>
            <w:tcW w:w="1672" w:type="dxa"/>
            <w:gridSpan w:val="3"/>
            <w:tcBorders>
              <w:top w:val="single" w:color="000000" w:sz="4" w:space="0"/>
              <w:left w:val="single" w:color="000000" w:sz="4" w:space="0"/>
              <w:bottom w:val="single" w:color="000000" w:sz="4" w:space="0"/>
              <w:right w:val="single" w:color="000000" w:sz="4" w:space="0"/>
            </w:tcBorders>
            <w:vAlign w:val="center"/>
          </w:tcPr>
          <w:p>
            <w:pPr>
              <w:pStyle w:val="161"/>
              <w:ind w:left="583"/>
              <w:rPr>
                <w:color w:val="auto"/>
                <w:sz w:val="18"/>
              </w:rPr>
            </w:pPr>
            <w:r>
              <w:rPr>
                <w:color w:val="auto"/>
                <w:sz w:val="18"/>
              </w:rPr>
              <w:t>中期</w:t>
            </w:r>
            <w:r>
              <w:rPr>
                <w:color w:val="auto"/>
                <w:sz w:val="18"/>
              </w:rPr>
              <w:sym w:font="Wingdings 2" w:char="00A3"/>
            </w:r>
          </w:p>
        </w:tc>
        <w:tc>
          <w:tcPr>
            <w:tcW w:w="1635" w:type="dxa"/>
            <w:gridSpan w:val="2"/>
            <w:tcBorders>
              <w:top w:val="single" w:color="000000" w:sz="4" w:space="0"/>
              <w:left w:val="single" w:color="000000" w:sz="4" w:space="0"/>
              <w:bottom w:val="single" w:color="000000" w:sz="4" w:space="0"/>
            </w:tcBorders>
            <w:vAlign w:val="center"/>
          </w:tcPr>
          <w:p>
            <w:pPr>
              <w:pStyle w:val="161"/>
              <w:ind w:left="546"/>
              <w:rPr>
                <w:color w:val="auto"/>
                <w:sz w:val="18"/>
              </w:rPr>
            </w:pPr>
            <w:r>
              <w:rPr>
                <w:color w:val="auto"/>
                <w:sz w:val="18"/>
              </w:rPr>
              <w:t>远期</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82" w:hRule="atLeast"/>
          <w:jc w:val="center"/>
        </w:trPr>
        <w:tc>
          <w:tcPr>
            <w:tcW w:w="1001" w:type="dxa"/>
            <w:vMerge w:val="continue"/>
            <w:tcBorders>
              <w:top w:val="nil"/>
              <w:bottom w:val="single" w:color="000000" w:sz="4" w:space="0"/>
              <w:right w:val="single" w:color="000000" w:sz="4" w:space="0"/>
            </w:tcBorders>
            <w:vAlign w:val="center"/>
          </w:tcPr>
          <w:p>
            <w:pPr>
              <w:rPr>
                <w:color w:val="auto"/>
                <w:sz w:val="2"/>
                <w:szCs w:val="2"/>
              </w:rPr>
            </w:pP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现状调查方法</w:t>
            </w:r>
          </w:p>
        </w:tc>
        <w:tc>
          <w:tcPr>
            <w:tcW w:w="2252" w:type="dxa"/>
            <w:gridSpan w:val="4"/>
            <w:tcBorders>
              <w:top w:val="single" w:color="000000" w:sz="4" w:space="0"/>
              <w:left w:val="single" w:color="000000" w:sz="4" w:space="0"/>
              <w:bottom w:val="single" w:color="000000" w:sz="4" w:space="0"/>
              <w:right w:val="nil"/>
            </w:tcBorders>
            <w:vAlign w:val="center"/>
          </w:tcPr>
          <w:p>
            <w:pPr>
              <w:pStyle w:val="161"/>
              <w:jc w:val="center"/>
              <w:rPr>
                <w:color w:val="auto"/>
                <w:sz w:val="18"/>
              </w:rPr>
            </w:pPr>
            <w:r>
              <w:rPr>
                <w:color w:val="auto"/>
                <w:sz w:val="18"/>
              </w:rPr>
              <w:t>现场实测法</w:t>
            </w:r>
            <w:r>
              <w:rPr>
                <w:color w:val="auto"/>
                <w:sz w:val="18"/>
              </w:rPr>
              <w:sym w:font="Wingdings 2" w:char="0052"/>
            </w:r>
          </w:p>
        </w:tc>
        <w:tc>
          <w:tcPr>
            <w:tcW w:w="2676" w:type="dxa"/>
            <w:gridSpan w:val="4"/>
            <w:tcBorders>
              <w:top w:val="single" w:color="000000" w:sz="4" w:space="0"/>
              <w:left w:val="nil"/>
              <w:bottom w:val="single" w:color="000000" w:sz="4" w:space="0"/>
              <w:right w:val="nil"/>
            </w:tcBorders>
            <w:vAlign w:val="center"/>
          </w:tcPr>
          <w:p>
            <w:pPr>
              <w:pStyle w:val="161"/>
              <w:jc w:val="center"/>
              <w:rPr>
                <w:color w:val="auto"/>
                <w:sz w:val="18"/>
              </w:rPr>
            </w:pPr>
            <w:r>
              <w:rPr>
                <w:color w:val="auto"/>
                <w:sz w:val="18"/>
              </w:rPr>
              <w:t>现场实测加模型计算法</w:t>
            </w:r>
            <w:r>
              <w:rPr>
                <w:color w:val="auto"/>
                <w:sz w:val="18"/>
              </w:rPr>
              <w:sym w:font="Wingdings 2" w:char="00A3"/>
            </w:r>
          </w:p>
        </w:tc>
        <w:tc>
          <w:tcPr>
            <w:tcW w:w="1635" w:type="dxa"/>
            <w:gridSpan w:val="2"/>
            <w:tcBorders>
              <w:top w:val="single" w:color="000000" w:sz="4" w:space="0"/>
              <w:left w:val="nil"/>
              <w:bottom w:val="single" w:color="000000" w:sz="4" w:space="0"/>
            </w:tcBorders>
            <w:vAlign w:val="center"/>
          </w:tcPr>
          <w:p>
            <w:pPr>
              <w:pStyle w:val="161"/>
              <w:ind w:left="395"/>
              <w:rPr>
                <w:color w:val="auto"/>
                <w:sz w:val="18"/>
              </w:rPr>
            </w:pPr>
            <w:r>
              <w:rPr>
                <w:color w:val="auto"/>
                <w:sz w:val="18"/>
              </w:rPr>
              <w:t>收集资料</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02" w:hRule="atLeast"/>
          <w:jc w:val="center"/>
        </w:trPr>
        <w:tc>
          <w:tcPr>
            <w:tcW w:w="1001" w:type="dxa"/>
            <w:vMerge w:val="continue"/>
            <w:tcBorders>
              <w:top w:val="nil"/>
              <w:bottom w:val="single" w:color="000000" w:sz="4" w:space="0"/>
              <w:right w:val="single" w:color="000000" w:sz="4" w:space="0"/>
            </w:tcBorders>
            <w:vAlign w:val="center"/>
          </w:tcPr>
          <w:p>
            <w:pPr>
              <w:rPr>
                <w:color w:val="auto"/>
                <w:sz w:val="2"/>
                <w:szCs w:val="2"/>
              </w:rPr>
            </w:pP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现状评价</w:t>
            </w:r>
          </w:p>
        </w:tc>
        <w:tc>
          <w:tcPr>
            <w:tcW w:w="1953" w:type="dxa"/>
            <w:gridSpan w:val="3"/>
            <w:tcBorders>
              <w:top w:val="single" w:color="000000" w:sz="4" w:space="0"/>
              <w:left w:val="single" w:color="000000" w:sz="4" w:space="0"/>
              <w:bottom w:val="single" w:color="000000" w:sz="4" w:space="0"/>
              <w:right w:val="single" w:color="000000" w:sz="4" w:space="0"/>
            </w:tcBorders>
            <w:vAlign w:val="center"/>
          </w:tcPr>
          <w:p>
            <w:pPr>
              <w:pStyle w:val="161"/>
              <w:ind w:left="534"/>
              <w:rPr>
                <w:color w:val="auto"/>
                <w:sz w:val="18"/>
              </w:rPr>
            </w:pPr>
            <w:r>
              <w:rPr>
                <w:color w:val="auto"/>
                <w:sz w:val="18"/>
              </w:rPr>
              <w:t>达标百分比</w:t>
            </w:r>
          </w:p>
        </w:tc>
        <w:tc>
          <w:tcPr>
            <w:tcW w:w="4610" w:type="dxa"/>
            <w:gridSpan w:val="7"/>
            <w:tcBorders>
              <w:top w:val="single" w:color="000000" w:sz="4" w:space="0"/>
              <w:left w:val="single" w:color="000000" w:sz="4" w:space="0"/>
              <w:bottom w:val="single" w:color="000000" w:sz="4" w:space="0"/>
            </w:tcBorders>
            <w:vAlign w:val="center"/>
          </w:tcPr>
          <w:p>
            <w:pPr>
              <w:pStyle w:val="161"/>
              <w:jc w:val="center"/>
              <w:rPr>
                <w:color w:val="auto"/>
                <w:sz w:val="18"/>
              </w:rPr>
            </w:pPr>
            <w:r>
              <w:rPr>
                <w:color w:val="auto"/>
                <w:sz w:val="18"/>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83" w:hRule="atLeast"/>
          <w:jc w:val="center"/>
        </w:trPr>
        <w:tc>
          <w:tcPr>
            <w:tcW w:w="1001" w:type="dxa"/>
            <w:tcBorders>
              <w:top w:val="single" w:color="000000" w:sz="4" w:space="0"/>
              <w:bottom w:val="single" w:color="000000" w:sz="4" w:space="0"/>
              <w:right w:val="single" w:color="000000" w:sz="4" w:space="0"/>
            </w:tcBorders>
            <w:vAlign w:val="center"/>
          </w:tcPr>
          <w:p>
            <w:pPr>
              <w:pStyle w:val="161"/>
              <w:ind w:left="313" w:right="215" w:hanging="89"/>
              <w:rPr>
                <w:color w:val="auto"/>
                <w:sz w:val="18"/>
              </w:rPr>
            </w:pPr>
            <w:r>
              <w:rPr>
                <w:color w:val="auto"/>
                <w:sz w:val="18"/>
              </w:rPr>
              <w:t>噪声源调查</w:t>
            </w: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621" w:right="148" w:hanging="452"/>
              <w:rPr>
                <w:color w:val="auto"/>
                <w:sz w:val="18"/>
              </w:rPr>
            </w:pPr>
            <w:r>
              <w:rPr>
                <w:color w:val="auto"/>
                <w:sz w:val="18"/>
              </w:rPr>
              <w:t>噪声源调查方法</w:t>
            </w:r>
          </w:p>
        </w:tc>
        <w:tc>
          <w:tcPr>
            <w:tcW w:w="1953" w:type="dxa"/>
            <w:gridSpan w:val="3"/>
            <w:tcBorders>
              <w:top w:val="single" w:color="000000" w:sz="4" w:space="0"/>
              <w:left w:val="single" w:color="000000" w:sz="4" w:space="0"/>
              <w:bottom w:val="single" w:color="000000" w:sz="4" w:space="0"/>
              <w:right w:val="nil"/>
            </w:tcBorders>
            <w:vAlign w:val="center"/>
          </w:tcPr>
          <w:p>
            <w:pPr>
              <w:pStyle w:val="161"/>
              <w:jc w:val="center"/>
              <w:rPr>
                <w:color w:val="auto"/>
                <w:sz w:val="18"/>
              </w:rPr>
            </w:pPr>
            <w:r>
              <w:rPr>
                <w:color w:val="auto"/>
                <w:sz w:val="18"/>
              </w:rPr>
              <w:t>现场实测</w:t>
            </w:r>
            <w:r>
              <w:rPr>
                <w:color w:val="auto"/>
                <w:sz w:val="18"/>
              </w:rPr>
              <w:sym w:font="Wingdings 2" w:char="00A3"/>
            </w:r>
          </w:p>
        </w:tc>
        <w:tc>
          <w:tcPr>
            <w:tcW w:w="2426" w:type="dxa"/>
            <w:gridSpan w:val="4"/>
            <w:tcBorders>
              <w:top w:val="single" w:color="000000" w:sz="4" w:space="0"/>
              <w:left w:val="nil"/>
              <w:bottom w:val="single" w:color="000000" w:sz="4" w:space="0"/>
              <w:right w:val="nil"/>
            </w:tcBorders>
            <w:vAlign w:val="center"/>
          </w:tcPr>
          <w:p>
            <w:pPr>
              <w:pStyle w:val="161"/>
              <w:jc w:val="center"/>
              <w:rPr>
                <w:color w:val="auto"/>
                <w:sz w:val="18"/>
              </w:rPr>
            </w:pPr>
            <w:r>
              <w:rPr>
                <w:color w:val="auto"/>
                <w:sz w:val="18"/>
              </w:rPr>
              <w:t>已有资料</w:t>
            </w:r>
            <w:r>
              <w:rPr>
                <w:color w:val="auto"/>
                <w:sz w:val="18"/>
              </w:rPr>
              <w:sym w:font="Wingdings 2" w:char="00A3"/>
            </w:r>
          </w:p>
        </w:tc>
        <w:tc>
          <w:tcPr>
            <w:tcW w:w="2184" w:type="dxa"/>
            <w:gridSpan w:val="3"/>
            <w:tcBorders>
              <w:top w:val="single" w:color="000000" w:sz="4" w:space="0"/>
              <w:left w:val="nil"/>
              <w:bottom w:val="single" w:color="000000" w:sz="4" w:space="0"/>
            </w:tcBorders>
            <w:vAlign w:val="center"/>
          </w:tcPr>
          <w:p>
            <w:pPr>
              <w:pStyle w:val="161"/>
              <w:ind w:left="152"/>
              <w:jc w:val="center"/>
              <w:rPr>
                <w:color w:val="auto"/>
                <w:sz w:val="18"/>
              </w:rPr>
            </w:pPr>
            <w:r>
              <w:rPr>
                <w:color w:val="auto"/>
                <w:sz w:val="18"/>
              </w:rPr>
              <w:t>研究成果</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14" w:hRule="atLeast"/>
          <w:jc w:val="center"/>
        </w:trPr>
        <w:tc>
          <w:tcPr>
            <w:tcW w:w="1001" w:type="dxa"/>
            <w:vMerge w:val="restart"/>
            <w:tcBorders>
              <w:top w:val="single" w:color="000000" w:sz="4" w:space="0"/>
              <w:bottom w:val="single" w:color="000000" w:sz="4" w:space="0"/>
              <w:right w:val="single" w:color="000000" w:sz="4" w:space="0"/>
            </w:tcBorders>
            <w:vAlign w:val="center"/>
          </w:tcPr>
          <w:p>
            <w:pPr>
              <w:pStyle w:val="161"/>
              <w:ind w:left="133" w:right="125"/>
              <w:jc w:val="center"/>
              <w:rPr>
                <w:color w:val="auto"/>
                <w:sz w:val="18"/>
              </w:rPr>
            </w:pPr>
            <w:r>
              <w:rPr>
                <w:color w:val="auto"/>
                <w:sz w:val="18"/>
              </w:rPr>
              <w:t>声环境影响预测与评价</w:t>
            </w: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预测模型</w:t>
            </w:r>
          </w:p>
        </w:tc>
        <w:tc>
          <w:tcPr>
            <w:tcW w:w="1953" w:type="dxa"/>
            <w:gridSpan w:val="3"/>
            <w:tcBorders>
              <w:top w:val="single" w:color="000000" w:sz="4" w:space="0"/>
              <w:left w:val="single" w:color="000000" w:sz="4" w:space="0"/>
              <w:bottom w:val="single" w:color="000000" w:sz="4" w:space="0"/>
              <w:right w:val="nil"/>
            </w:tcBorders>
            <w:vAlign w:val="center"/>
          </w:tcPr>
          <w:p>
            <w:pPr>
              <w:pStyle w:val="161"/>
              <w:jc w:val="center"/>
              <w:rPr>
                <w:color w:val="auto"/>
                <w:sz w:val="18"/>
              </w:rPr>
            </w:pPr>
            <w:r>
              <w:rPr>
                <w:color w:val="auto"/>
                <w:sz w:val="18"/>
              </w:rPr>
              <w:t>导则推荐模型</w:t>
            </w:r>
            <w:r>
              <w:rPr>
                <w:color w:val="auto"/>
                <w:sz w:val="18"/>
              </w:rPr>
              <w:sym w:font="Wingdings 2" w:char="00A3"/>
            </w:r>
          </w:p>
        </w:tc>
        <w:tc>
          <w:tcPr>
            <w:tcW w:w="4610" w:type="dxa"/>
            <w:gridSpan w:val="7"/>
            <w:tcBorders>
              <w:top w:val="single" w:color="000000" w:sz="4" w:space="0"/>
              <w:left w:val="nil"/>
              <w:bottom w:val="single" w:color="000000" w:sz="4" w:space="0"/>
            </w:tcBorders>
            <w:vAlign w:val="center"/>
          </w:tcPr>
          <w:p>
            <w:pPr>
              <w:pStyle w:val="161"/>
              <w:tabs>
                <w:tab w:val="left" w:pos="1633"/>
              </w:tabs>
              <w:ind w:left="61"/>
              <w:jc w:val="center"/>
              <w:rPr>
                <w:rFonts w:eastAsia="Times New Roman"/>
                <w:color w:val="auto"/>
                <w:sz w:val="18"/>
              </w:rPr>
            </w:pPr>
            <w:r>
              <w:rPr>
                <w:color w:val="auto"/>
                <w:sz w:val="18"/>
              </w:rPr>
              <w:t>其他</w:t>
            </w:r>
            <w:r>
              <w:rPr>
                <w:color w:val="auto"/>
                <w:sz w:val="18"/>
              </w:rPr>
              <w:sym w:font="Wingdings 2" w:char="0052"/>
            </w:r>
            <w:r>
              <w:rPr>
                <w:rFonts w:eastAsia="Times New Roman"/>
                <w:color w:val="auto"/>
                <w:sz w:val="18"/>
                <w:u w:val="single"/>
              </w:rPr>
              <w:t xml:space="preserve"> </w:t>
            </w:r>
            <w:r>
              <w:rPr>
                <w:color w:val="auto"/>
                <w:sz w:val="18"/>
                <w:u w:val="single"/>
              </w:rPr>
              <w:t>现场实测法</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66" w:hRule="atLeast"/>
          <w:jc w:val="center"/>
        </w:trPr>
        <w:tc>
          <w:tcPr>
            <w:tcW w:w="1001" w:type="dxa"/>
            <w:vMerge w:val="continue"/>
            <w:tcBorders>
              <w:top w:val="nil"/>
              <w:bottom w:val="single" w:color="000000" w:sz="4" w:space="0"/>
              <w:right w:val="single" w:color="000000" w:sz="4" w:space="0"/>
            </w:tcBorders>
            <w:vAlign w:val="center"/>
          </w:tcPr>
          <w:p>
            <w:pPr>
              <w:rPr>
                <w:color w:val="auto"/>
                <w:sz w:val="2"/>
                <w:szCs w:val="2"/>
              </w:rPr>
            </w:pP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预测范围</w:t>
            </w:r>
          </w:p>
        </w:tc>
        <w:tc>
          <w:tcPr>
            <w:tcW w:w="1953" w:type="dxa"/>
            <w:gridSpan w:val="3"/>
            <w:tcBorders>
              <w:top w:val="single" w:color="000000" w:sz="4" w:space="0"/>
              <w:left w:val="single" w:color="000000" w:sz="4" w:space="0"/>
              <w:bottom w:val="single" w:color="000000" w:sz="4" w:space="0"/>
              <w:right w:val="nil"/>
            </w:tcBorders>
            <w:vAlign w:val="center"/>
          </w:tcPr>
          <w:p>
            <w:pPr>
              <w:pStyle w:val="161"/>
              <w:jc w:val="center"/>
              <w:rPr>
                <w:color w:val="auto"/>
                <w:sz w:val="18"/>
              </w:rPr>
            </w:pPr>
            <w:r>
              <w:rPr>
                <w:color w:val="auto"/>
                <w:sz w:val="18"/>
              </w:rPr>
              <w:t>200m</w:t>
            </w:r>
            <w:r>
              <w:rPr>
                <w:color w:val="auto"/>
                <w:sz w:val="18"/>
              </w:rPr>
              <w:sym w:font="Wingdings 2" w:char="0052"/>
            </w:r>
          </w:p>
        </w:tc>
        <w:tc>
          <w:tcPr>
            <w:tcW w:w="2426" w:type="dxa"/>
            <w:gridSpan w:val="4"/>
            <w:tcBorders>
              <w:top w:val="single" w:color="000000" w:sz="4" w:space="0"/>
              <w:left w:val="nil"/>
              <w:bottom w:val="single" w:color="000000" w:sz="4" w:space="0"/>
              <w:right w:val="nil"/>
            </w:tcBorders>
            <w:vAlign w:val="center"/>
          </w:tcPr>
          <w:p>
            <w:pPr>
              <w:pStyle w:val="161"/>
              <w:jc w:val="center"/>
              <w:rPr>
                <w:color w:val="auto"/>
                <w:sz w:val="18"/>
              </w:rPr>
            </w:pPr>
            <w:r>
              <w:rPr>
                <w:color w:val="auto"/>
                <w:sz w:val="18"/>
              </w:rPr>
              <w:t>大于</w:t>
            </w:r>
            <w:r>
              <w:rPr>
                <w:rFonts w:eastAsia="Times New Roman"/>
                <w:color w:val="auto"/>
                <w:sz w:val="18"/>
              </w:rPr>
              <w:t>200m</w:t>
            </w:r>
            <w:r>
              <w:rPr>
                <w:color w:val="auto"/>
                <w:sz w:val="18"/>
              </w:rPr>
              <w:sym w:font="Wingdings 2" w:char="00A3"/>
            </w:r>
          </w:p>
        </w:tc>
        <w:tc>
          <w:tcPr>
            <w:tcW w:w="2184" w:type="dxa"/>
            <w:gridSpan w:val="3"/>
            <w:tcBorders>
              <w:top w:val="single" w:color="000000" w:sz="4" w:space="0"/>
              <w:left w:val="nil"/>
              <w:bottom w:val="single" w:color="000000" w:sz="4" w:space="0"/>
            </w:tcBorders>
            <w:vAlign w:val="center"/>
          </w:tcPr>
          <w:p>
            <w:pPr>
              <w:pStyle w:val="161"/>
              <w:jc w:val="center"/>
              <w:rPr>
                <w:color w:val="auto"/>
                <w:sz w:val="18"/>
              </w:rPr>
            </w:pPr>
            <w:r>
              <w:rPr>
                <w:color w:val="auto"/>
                <w:sz w:val="18"/>
              </w:rPr>
              <w:t>小于</w:t>
            </w:r>
            <w:r>
              <w:rPr>
                <w:rFonts w:eastAsia="Times New Roman"/>
                <w:color w:val="auto"/>
                <w:sz w:val="18"/>
              </w:rPr>
              <w:t>200m</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62" w:hRule="atLeast"/>
          <w:jc w:val="center"/>
        </w:trPr>
        <w:tc>
          <w:tcPr>
            <w:tcW w:w="1001" w:type="dxa"/>
            <w:vMerge w:val="continue"/>
            <w:tcBorders>
              <w:top w:val="nil"/>
              <w:bottom w:val="single" w:color="000000" w:sz="4" w:space="0"/>
              <w:right w:val="single" w:color="000000" w:sz="4" w:space="0"/>
            </w:tcBorders>
            <w:vAlign w:val="center"/>
          </w:tcPr>
          <w:p>
            <w:pPr>
              <w:rPr>
                <w:color w:val="auto"/>
                <w:sz w:val="2"/>
                <w:szCs w:val="2"/>
              </w:rPr>
            </w:pP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预测因子</w:t>
            </w:r>
          </w:p>
        </w:tc>
        <w:tc>
          <w:tcPr>
            <w:tcW w:w="1953" w:type="dxa"/>
            <w:gridSpan w:val="3"/>
            <w:tcBorders>
              <w:top w:val="single" w:color="000000" w:sz="4" w:space="0"/>
              <w:left w:val="single" w:color="000000" w:sz="4" w:space="0"/>
              <w:bottom w:val="single" w:color="000000" w:sz="4" w:space="0"/>
              <w:right w:val="nil"/>
            </w:tcBorders>
            <w:vAlign w:val="center"/>
          </w:tcPr>
          <w:p>
            <w:pPr>
              <w:pStyle w:val="161"/>
              <w:jc w:val="center"/>
              <w:rPr>
                <w:color w:val="auto"/>
                <w:sz w:val="18"/>
              </w:rPr>
            </w:pPr>
            <w:r>
              <w:rPr>
                <w:color w:val="auto"/>
                <w:sz w:val="18"/>
              </w:rPr>
              <w:t>等效连续</w:t>
            </w:r>
            <w:r>
              <w:rPr>
                <w:rFonts w:eastAsia="Times New Roman"/>
                <w:color w:val="auto"/>
                <w:sz w:val="18"/>
              </w:rPr>
              <w:t>A</w:t>
            </w:r>
            <w:r>
              <w:rPr>
                <w:color w:val="auto"/>
                <w:sz w:val="18"/>
              </w:rPr>
              <w:t>声级</w:t>
            </w:r>
            <w:r>
              <w:rPr>
                <w:color w:val="auto"/>
                <w:sz w:val="18"/>
              </w:rPr>
              <w:sym w:font="Wingdings 2" w:char="0052"/>
            </w:r>
          </w:p>
        </w:tc>
        <w:tc>
          <w:tcPr>
            <w:tcW w:w="1981" w:type="dxa"/>
            <w:gridSpan w:val="3"/>
            <w:tcBorders>
              <w:top w:val="single" w:color="000000" w:sz="4" w:space="0"/>
              <w:left w:val="nil"/>
              <w:bottom w:val="single" w:color="000000" w:sz="4" w:space="0"/>
              <w:right w:val="nil"/>
            </w:tcBorders>
            <w:vAlign w:val="center"/>
          </w:tcPr>
          <w:p>
            <w:pPr>
              <w:pStyle w:val="161"/>
              <w:jc w:val="center"/>
              <w:rPr>
                <w:color w:val="auto"/>
                <w:sz w:val="18"/>
              </w:rPr>
            </w:pPr>
            <w:r>
              <w:rPr>
                <w:color w:val="auto"/>
                <w:sz w:val="18"/>
              </w:rPr>
              <w:t>最大</w:t>
            </w:r>
            <w:r>
              <w:rPr>
                <w:rFonts w:eastAsia="Times New Roman"/>
                <w:color w:val="auto"/>
                <w:sz w:val="18"/>
              </w:rPr>
              <w:t>A</w:t>
            </w:r>
            <w:r>
              <w:rPr>
                <w:color w:val="auto"/>
                <w:sz w:val="18"/>
              </w:rPr>
              <w:t>声级</w:t>
            </w:r>
            <w:r>
              <w:rPr>
                <w:color w:val="auto"/>
                <w:sz w:val="18"/>
              </w:rPr>
              <w:sym w:font="Wingdings 2" w:char="00A3"/>
            </w:r>
          </w:p>
        </w:tc>
        <w:tc>
          <w:tcPr>
            <w:tcW w:w="2629" w:type="dxa"/>
            <w:gridSpan w:val="4"/>
            <w:tcBorders>
              <w:top w:val="single" w:color="000000" w:sz="4" w:space="0"/>
              <w:left w:val="nil"/>
              <w:bottom w:val="single" w:color="000000" w:sz="4" w:space="0"/>
            </w:tcBorders>
            <w:vAlign w:val="center"/>
          </w:tcPr>
          <w:p>
            <w:pPr>
              <w:pStyle w:val="161"/>
              <w:ind w:left="246"/>
              <w:rPr>
                <w:color w:val="auto"/>
                <w:sz w:val="18"/>
              </w:rPr>
            </w:pPr>
            <w:r>
              <w:rPr>
                <w:color w:val="auto"/>
                <w:sz w:val="18"/>
              </w:rPr>
              <w:t>计权等效连续感觉噪声级</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71" w:hRule="atLeast"/>
          <w:jc w:val="center"/>
        </w:trPr>
        <w:tc>
          <w:tcPr>
            <w:tcW w:w="1001" w:type="dxa"/>
            <w:vMerge w:val="continue"/>
            <w:tcBorders>
              <w:top w:val="nil"/>
              <w:bottom w:val="single" w:color="000000" w:sz="4" w:space="0"/>
              <w:right w:val="single" w:color="000000" w:sz="4" w:space="0"/>
            </w:tcBorders>
            <w:vAlign w:val="center"/>
          </w:tcPr>
          <w:p>
            <w:pPr>
              <w:rPr>
                <w:color w:val="auto"/>
                <w:sz w:val="2"/>
                <w:szCs w:val="2"/>
              </w:rPr>
            </w:pP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621" w:right="148" w:hanging="452"/>
              <w:rPr>
                <w:color w:val="auto"/>
                <w:sz w:val="18"/>
              </w:rPr>
            </w:pPr>
            <w:r>
              <w:rPr>
                <w:color w:val="auto"/>
                <w:sz w:val="18"/>
              </w:rPr>
              <w:t>厂界噪声贡献值</w:t>
            </w:r>
          </w:p>
        </w:tc>
        <w:tc>
          <w:tcPr>
            <w:tcW w:w="1953" w:type="dxa"/>
            <w:gridSpan w:val="3"/>
            <w:tcBorders>
              <w:top w:val="single" w:color="000000" w:sz="4" w:space="0"/>
              <w:left w:val="single" w:color="000000" w:sz="4" w:space="0"/>
              <w:bottom w:val="single" w:color="000000" w:sz="4" w:space="0"/>
              <w:right w:val="nil"/>
            </w:tcBorders>
            <w:vAlign w:val="center"/>
          </w:tcPr>
          <w:p>
            <w:pPr>
              <w:pStyle w:val="161"/>
              <w:ind w:left="219"/>
              <w:rPr>
                <w:color w:val="auto"/>
                <w:sz w:val="18"/>
              </w:rPr>
            </w:pPr>
            <w:r>
              <w:rPr>
                <w:color w:val="auto"/>
                <w:sz w:val="18"/>
              </w:rPr>
              <w:t>达标</w:t>
            </w:r>
            <w:r>
              <w:rPr>
                <w:color w:val="auto"/>
                <w:sz w:val="18"/>
              </w:rPr>
              <w:sym w:font="Wingdings 2" w:char="0052"/>
            </w:r>
          </w:p>
        </w:tc>
        <w:tc>
          <w:tcPr>
            <w:tcW w:w="4610" w:type="dxa"/>
            <w:gridSpan w:val="7"/>
            <w:tcBorders>
              <w:top w:val="single" w:color="000000" w:sz="4" w:space="0"/>
              <w:left w:val="nil"/>
              <w:bottom w:val="single" w:color="000000" w:sz="4" w:space="0"/>
            </w:tcBorders>
            <w:vAlign w:val="center"/>
          </w:tcPr>
          <w:p>
            <w:pPr>
              <w:pStyle w:val="161"/>
              <w:rPr>
                <w:color w:val="auto"/>
                <w:sz w:val="18"/>
              </w:rPr>
            </w:pPr>
            <w:r>
              <w:rPr>
                <w:color w:val="auto"/>
                <w:sz w:val="18"/>
              </w:rPr>
              <w:t>不达标</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67" w:hRule="atLeast"/>
          <w:jc w:val="center"/>
        </w:trPr>
        <w:tc>
          <w:tcPr>
            <w:tcW w:w="1001" w:type="dxa"/>
            <w:vMerge w:val="continue"/>
            <w:tcBorders>
              <w:top w:val="nil"/>
              <w:bottom w:val="single" w:color="000000" w:sz="4" w:space="0"/>
              <w:right w:val="single" w:color="000000" w:sz="4" w:space="0"/>
            </w:tcBorders>
            <w:vAlign w:val="center"/>
          </w:tcPr>
          <w:p>
            <w:pPr>
              <w:rPr>
                <w:color w:val="auto"/>
                <w:sz w:val="2"/>
                <w:szCs w:val="2"/>
              </w:rPr>
            </w:pP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261" w:right="148" w:hanging="92"/>
              <w:rPr>
                <w:color w:val="auto"/>
                <w:sz w:val="18"/>
              </w:rPr>
            </w:pPr>
            <w:r>
              <w:rPr>
                <w:color w:val="auto"/>
                <w:sz w:val="18"/>
              </w:rPr>
              <w:t>声环境保护目标处噪声值</w:t>
            </w:r>
          </w:p>
        </w:tc>
        <w:tc>
          <w:tcPr>
            <w:tcW w:w="1953" w:type="dxa"/>
            <w:gridSpan w:val="3"/>
            <w:tcBorders>
              <w:top w:val="single" w:color="000000" w:sz="4" w:space="0"/>
              <w:left w:val="single" w:color="000000" w:sz="4" w:space="0"/>
              <w:bottom w:val="single" w:color="000000" w:sz="4" w:space="0"/>
              <w:right w:val="nil"/>
            </w:tcBorders>
            <w:vAlign w:val="center"/>
          </w:tcPr>
          <w:p>
            <w:pPr>
              <w:pStyle w:val="161"/>
              <w:ind w:left="265"/>
              <w:rPr>
                <w:color w:val="auto"/>
                <w:sz w:val="18"/>
              </w:rPr>
            </w:pPr>
            <w:r>
              <w:rPr>
                <w:color w:val="auto"/>
                <w:sz w:val="18"/>
              </w:rPr>
              <w:t>达标</w:t>
            </w:r>
            <w:r>
              <w:rPr>
                <w:color w:val="auto"/>
                <w:sz w:val="18"/>
              </w:rPr>
              <w:sym w:font="Wingdings 2" w:char="0052"/>
            </w:r>
          </w:p>
        </w:tc>
        <w:tc>
          <w:tcPr>
            <w:tcW w:w="4610" w:type="dxa"/>
            <w:gridSpan w:val="7"/>
            <w:tcBorders>
              <w:top w:val="single" w:color="000000" w:sz="4" w:space="0"/>
              <w:left w:val="nil"/>
              <w:bottom w:val="single" w:color="000000" w:sz="4" w:space="0"/>
            </w:tcBorders>
            <w:vAlign w:val="center"/>
          </w:tcPr>
          <w:p>
            <w:pPr>
              <w:pStyle w:val="161"/>
              <w:rPr>
                <w:color w:val="auto"/>
                <w:sz w:val="18"/>
              </w:rPr>
            </w:pPr>
            <w:r>
              <w:rPr>
                <w:color w:val="auto"/>
                <w:sz w:val="18"/>
              </w:rPr>
              <w:t>不达标</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71" w:hRule="atLeast"/>
          <w:jc w:val="center"/>
        </w:trPr>
        <w:tc>
          <w:tcPr>
            <w:tcW w:w="1001" w:type="dxa"/>
            <w:vMerge w:val="restart"/>
            <w:tcBorders>
              <w:top w:val="single" w:color="000000" w:sz="4" w:space="0"/>
              <w:bottom w:val="single" w:color="000000" w:sz="4" w:space="0"/>
              <w:right w:val="single" w:color="000000" w:sz="4" w:space="0"/>
            </w:tcBorders>
            <w:vAlign w:val="center"/>
          </w:tcPr>
          <w:p>
            <w:pPr>
              <w:pStyle w:val="161"/>
              <w:ind w:left="313" w:right="125" w:hanging="180"/>
              <w:rPr>
                <w:color w:val="auto"/>
                <w:sz w:val="18"/>
              </w:rPr>
            </w:pPr>
            <w:r>
              <w:rPr>
                <w:color w:val="auto"/>
                <w:sz w:val="18"/>
              </w:rPr>
              <w:t>环境监测计划</w:t>
            </w: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排放监测</w:t>
            </w:r>
          </w:p>
        </w:tc>
        <w:tc>
          <w:tcPr>
            <w:tcW w:w="3256" w:type="dxa"/>
            <w:gridSpan w:val="5"/>
            <w:tcBorders>
              <w:top w:val="single" w:color="000000" w:sz="4" w:space="0"/>
              <w:left w:val="single" w:color="000000" w:sz="4" w:space="0"/>
              <w:bottom w:val="single" w:color="000000" w:sz="4" w:space="0"/>
              <w:right w:val="nil"/>
            </w:tcBorders>
            <w:vAlign w:val="center"/>
          </w:tcPr>
          <w:p>
            <w:pPr>
              <w:pStyle w:val="161"/>
              <w:tabs>
                <w:tab w:val="left" w:pos="1621"/>
              </w:tabs>
              <w:ind w:left="358"/>
              <w:rPr>
                <w:color w:val="auto"/>
                <w:sz w:val="18"/>
              </w:rPr>
            </w:pPr>
            <w:r>
              <w:rPr>
                <w:color w:val="auto"/>
                <w:sz w:val="18"/>
              </w:rPr>
              <w:t>厂界监测</w:t>
            </w:r>
            <w:r>
              <w:rPr>
                <w:color w:val="auto"/>
                <w:sz w:val="18"/>
              </w:rPr>
              <w:sym w:font="Wingdings 2" w:char="0052"/>
            </w:r>
            <w:r>
              <w:rPr>
                <w:color w:val="auto"/>
                <w:sz w:val="18"/>
              </w:rPr>
              <w:tab/>
            </w:r>
            <w:r>
              <w:rPr>
                <w:color w:val="auto"/>
                <w:sz w:val="18"/>
              </w:rPr>
              <w:t>固定位置监</w:t>
            </w:r>
            <w:r>
              <w:rPr>
                <w:color w:val="auto"/>
                <w:spacing w:val="-3"/>
                <w:sz w:val="18"/>
              </w:rPr>
              <w:t>测</w:t>
            </w:r>
            <w:r>
              <w:rPr>
                <w:color w:val="auto"/>
                <w:sz w:val="18"/>
              </w:rPr>
              <w:sym w:font="Wingdings 2" w:char="00A3"/>
            </w:r>
          </w:p>
        </w:tc>
        <w:tc>
          <w:tcPr>
            <w:tcW w:w="2180" w:type="dxa"/>
            <w:gridSpan w:val="4"/>
            <w:tcBorders>
              <w:top w:val="single" w:color="000000" w:sz="4" w:space="0"/>
              <w:left w:val="nil"/>
              <w:bottom w:val="single" w:color="000000" w:sz="4" w:space="0"/>
              <w:right w:val="nil"/>
            </w:tcBorders>
            <w:vAlign w:val="center"/>
          </w:tcPr>
          <w:p>
            <w:pPr>
              <w:pStyle w:val="161"/>
              <w:ind w:left="117"/>
              <w:rPr>
                <w:color w:val="auto"/>
                <w:sz w:val="18"/>
              </w:rPr>
            </w:pPr>
            <w:r>
              <w:rPr>
                <w:color w:val="auto"/>
                <w:sz w:val="18"/>
              </w:rPr>
              <w:t>自动监测</w:t>
            </w:r>
            <w:r>
              <w:rPr>
                <w:color w:val="auto"/>
                <w:sz w:val="18"/>
              </w:rPr>
              <w:sym w:font="Wingdings 2" w:char="00A3"/>
            </w:r>
            <w:r>
              <w:rPr>
                <w:color w:val="auto"/>
                <w:sz w:val="18"/>
              </w:rPr>
              <w:t xml:space="preserve"> 手动监测</w:t>
            </w:r>
            <w:r>
              <w:rPr>
                <w:color w:val="auto"/>
                <w:sz w:val="18"/>
              </w:rPr>
              <w:sym w:font="Wingdings 2" w:char="0052"/>
            </w:r>
          </w:p>
        </w:tc>
        <w:tc>
          <w:tcPr>
            <w:tcW w:w="1127" w:type="dxa"/>
            <w:tcBorders>
              <w:top w:val="single" w:color="000000" w:sz="4" w:space="0"/>
              <w:left w:val="nil"/>
              <w:bottom w:val="single" w:color="000000" w:sz="4" w:space="0"/>
            </w:tcBorders>
            <w:vAlign w:val="center"/>
          </w:tcPr>
          <w:p>
            <w:pPr>
              <w:pStyle w:val="161"/>
              <w:ind w:left="74" w:right="94"/>
              <w:jc w:val="center"/>
              <w:rPr>
                <w:color w:val="auto"/>
                <w:sz w:val="18"/>
              </w:rPr>
            </w:pPr>
            <w:r>
              <w:rPr>
                <w:color w:val="auto"/>
                <w:sz w:val="18"/>
              </w:rPr>
              <w:t>无监测</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480" w:hRule="atLeast"/>
          <w:jc w:val="center"/>
        </w:trPr>
        <w:tc>
          <w:tcPr>
            <w:tcW w:w="1001" w:type="dxa"/>
            <w:vMerge w:val="continue"/>
            <w:tcBorders>
              <w:top w:val="nil"/>
              <w:bottom w:val="single" w:color="000000" w:sz="4" w:space="0"/>
              <w:right w:val="single" w:color="000000" w:sz="4" w:space="0"/>
            </w:tcBorders>
            <w:vAlign w:val="center"/>
          </w:tcPr>
          <w:p>
            <w:pPr>
              <w:rPr>
                <w:color w:val="auto"/>
                <w:sz w:val="2"/>
                <w:szCs w:val="2"/>
              </w:rPr>
            </w:pP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69" w:right="148"/>
              <w:rPr>
                <w:color w:val="auto"/>
                <w:sz w:val="18"/>
              </w:rPr>
            </w:pPr>
            <w:r>
              <w:rPr>
                <w:color w:val="auto"/>
                <w:sz w:val="18"/>
              </w:rPr>
              <w:t>声环境保护目标处噪声监测</w:t>
            </w:r>
          </w:p>
        </w:tc>
        <w:tc>
          <w:tcPr>
            <w:tcW w:w="3256" w:type="dxa"/>
            <w:gridSpan w:val="5"/>
            <w:tcBorders>
              <w:top w:val="single" w:color="000000" w:sz="4" w:space="0"/>
              <w:left w:val="single" w:color="000000" w:sz="4" w:space="0"/>
              <w:bottom w:val="single" w:color="000000" w:sz="4" w:space="0"/>
              <w:right w:val="single" w:color="000000" w:sz="4" w:space="0"/>
            </w:tcBorders>
            <w:vAlign w:val="center"/>
          </w:tcPr>
          <w:p>
            <w:pPr>
              <w:pStyle w:val="161"/>
              <w:tabs>
                <w:tab w:val="left" w:pos="2252"/>
              </w:tabs>
              <w:ind w:left="810"/>
              <w:rPr>
                <w:color w:val="auto"/>
                <w:sz w:val="18"/>
              </w:rPr>
            </w:pPr>
            <w:r>
              <w:rPr>
                <w:color w:val="auto"/>
                <w:sz w:val="18"/>
              </w:rPr>
              <w:t>监测因子</w:t>
            </w:r>
            <w:r>
              <w:rPr>
                <w:color w:val="auto"/>
                <w:spacing w:val="-92"/>
                <w:sz w:val="18"/>
              </w:rPr>
              <w:t>：</w:t>
            </w:r>
            <w:r>
              <w:rPr>
                <w:color w:val="auto"/>
                <w:sz w:val="18"/>
              </w:rPr>
              <w:t>（</w:t>
            </w:r>
            <w:r>
              <w:rPr>
                <w:color w:val="auto"/>
                <w:sz w:val="18"/>
              </w:rPr>
              <w:tab/>
            </w:r>
            <w:r>
              <w:rPr>
                <w:color w:val="auto"/>
                <w:sz w:val="18"/>
              </w:rPr>
              <w:t>）</w:t>
            </w:r>
          </w:p>
        </w:tc>
        <w:tc>
          <w:tcPr>
            <w:tcW w:w="2180" w:type="dxa"/>
            <w:gridSpan w:val="4"/>
            <w:tcBorders>
              <w:top w:val="single" w:color="000000" w:sz="4" w:space="0"/>
              <w:left w:val="single" w:color="000000" w:sz="4" w:space="0"/>
              <w:bottom w:val="single" w:color="000000" w:sz="4" w:space="0"/>
              <w:right w:val="single" w:color="000000" w:sz="4" w:space="0"/>
            </w:tcBorders>
            <w:vAlign w:val="center"/>
          </w:tcPr>
          <w:p>
            <w:pPr>
              <w:pStyle w:val="161"/>
              <w:tabs>
                <w:tab w:val="left" w:pos="1735"/>
              </w:tabs>
              <w:ind w:left="201"/>
              <w:rPr>
                <w:color w:val="auto"/>
                <w:sz w:val="18"/>
              </w:rPr>
            </w:pPr>
            <w:r>
              <w:rPr>
                <w:color w:val="auto"/>
                <w:sz w:val="18"/>
              </w:rPr>
              <w:t>监测点位数（</w:t>
            </w:r>
            <w:r>
              <w:rPr>
                <w:color w:val="auto"/>
                <w:sz w:val="18"/>
              </w:rPr>
              <w:tab/>
            </w:r>
            <w:r>
              <w:rPr>
                <w:color w:val="auto"/>
                <w:sz w:val="18"/>
              </w:rPr>
              <w:t>）</w:t>
            </w:r>
          </w:p>
        </w:tc>
        <w:tc>
          <w:tcPr>
            <w:tcW w:w="1127" w:type="dxa"/>
            <w:tcBorders>
              <w:top w:val="single" w:color="000000" w:sz="4" w:space="0"/>
              <w:left w:val="single" w:color="000000" w:sz="4" w:space="0"/>
              <w:bottom w:val="single" w:color="000000" w:sz="4" w:space="0"/>
            </w:tcBorders>
            <w:vAlign w:val="center"/>
          </w:tcPr>
          <w:p>
            <w:pPr>
              <w:pStyle w:val="161"/>
              <w:ind w:left="53" w:right="78"/>
              <w:jc w:val="center"/>
              <w:rPr>
                <w:color w:val="auto"/>
                <w:sz w:val="18"/>
              </w:rPr>
            </w:pPr>
            <w:r>
              <w:rPr>
                <w:color w:val="auto"/>
                <w:sz w:val="18"/>
              </w:rPr>
              <w:t>无监测</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392" w:hRule="atLeast"/>
          <w:jc w:val="center"/>
        </w:trPr>
        <w:tc>
          <w:tcPr>
            <w:tcW w:w="1001" w:type="dxa"/>
            <w:tcBorders>
              <w:top w:val="single" w:color="000000" w:sz="4" w:space="0"/>
              <w:bottom w:val="single" w:color="000000" w:sz="4" w:space="0"/>
              <w:right w:val="single" w:color="000000" w:sz="4" w:space="0"/>
            </w:tcBorders>
            <w:vAlign w:val="center"/>
          </w:tcPr>
          <w:p>
            <w:pPr>
              <w:pStyle w:val="161"/>
              <w:ind w:left="113" w:right="107"/>
              <w:jc w:val="center"/>
              <w:rPr>
                <w:color w:val="auto"/>
                <w:sz w:val="18"/>
              </w:rPr>
            </w:pPr>
            <w:r>
              <w:rPr>
                <w:color w:val="auto"/>
                <w:sz w:val="18"/>
              </w:rPr>
              <w:t>评价结论</w:t>
            </w:r>
          </w:p>
        </w:tc>
        <w:tc>
          <w:tcPr>
            <w:tcW w:w="1410" w:type="dxa"/>
            <w:tcBorders>
              <w:top w:val="single" w:color="000000" w:sz="4" w:space="0"/>
              <w:left w:val="single" w:color="000000" w:sz="4" w:space="0"/>
              <w:bottom w:val="single" w:color="000000" w:sz="4" w:space="0"/>
              <w:right w:val="single" w:color="000000" w:sz="4" w:space="0"/>
            </w:tcBorders>
            <w:vAlign w:val="center"/>
          </w:tcPr>
          <w:p>
            <w:pPr>
              <w:pStyle w:val="161"/>
              <w:ind w:left="149" w:right="130"/>
              <w:jc w:val="center"/>
              <w:rPr>
                <w:color w:val="auto"/>
                <w:sz w:val="18"/>
              </w:rPr>
            </w:pPr>
            <w:r>
              <w:rPr>
                <w:color w:val="auto"/>
                <w:sz w:val="18"/>
              </w:rPr>
              <w:t>环境影响</w:t>
            </w:r>
          </w:p>
        </w:tc>
        <w:tc>
          <w:tcPr>
            <w:tcW w:w="6563" w:type="dxa"/>
            <w:gridSpan w:val="10"/>
            <w:tcBorders>
              <w:top w:val="single" w:color="000000" w:sz="4" w:space="0"/>
              <w:left w:val="single" w:color="000000" w:sz="4" w:space="0"/>
              <w:bottom w:val="single" w:color="000000" w:sz="4" w:space="0"/>
            </w:tcBorders>
            <w:vAlign w:val="center"/>
          </w:tcPr>
          <w:p>
            <w:pPr>
              <w:pStyle w:val="161"/>
              <w:tabs>
                <w:tab w:val="left" w:pos="1202"/>
              </w:tabs>
              <w:ind w:left="29"/>
              <w:jc w:val="center"/>
              <w:rPr>
                <w:color w:val="auto"/>
                <w:sz w:val="18"/>
              </w:rPr>
            </w:pPr>
            <w:r>
              <w:rPr>
                <w:color w:val="auto"/>
                <w:sz w:val="18"/>
              </w:rPr>
              <w:t>可行</w:t>
            </w:r>
            <w:r>
              <w:rPr>
                <w:color w:val="auto"/>
                <w:sz w:val="18"/>
              </w:rPr>
              <w:sym w:font="Wingdings 2" w:char="0052"/>
            </w:r>
            <w:r>
              <w:rPr>
                <w:color w:val="auto"/>
                <w:sz w:val="18"/>
              </w:rPr>
              <w:tab/>
            </w:r>
            <w:r>
              <w:rPr>
                <w:color w:val="auto"/>
                <w:sz w:val="18"/>
              </w:rPr>
              <w:t>不可行</w:t>
            </w:r>
            <w:r>
              <w:rPr>
                <w:color w:val="auto"/>
                <w:sz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Ex>
        <w:trPr>
          <w:trHeight w:val="296" w:hRule="atLeast"/>
          <w:jc w:val="center"/>
        </w:trPr>
        <w:tc>
          <w:tcPr>
            <w:tcW w:w="8974" w:type="dxa"/>
            <w:gridSpan w:val="12"/>
            <w:tcBorders>
              <w:top w:val="single" w:color="000000" w:sz="4" w:space="0"/>
            </w:tcBorders>
            <w:vAlign w:val="center"/>
          </w:tcPr>
          <w:p>
            <w:pPr>
              <w:pStyle w:val="161"/>
              <w:tabs>
                <w:tab w:val="left" w:pos="3079"/>
              </w:tabs>
              <w:ind w:left="105"/>
              <w:rPr>
                <w:color w:val="auto"/>
                <w:sz w:val="18"/>
              </w:rPr>
            </w:pPr>
            <w:r>
              <w:rPr>
                <w:color w:val="auto"/>
                <w:sz w:val="18"/>
              </w:rPr>
              <w:t>注</w:t>
            </w:r>
            <w:r>
              <w:rPr>
                <w:color w:val="auto"/>
                <w:spacing w:val="-92"/>
                <w:sz w:val="18"/>
              </w:rPr>
              <w:t>：</w:t>
            </w:r>
            <w:r>
              <w:rPr>
                <w:color w:val="auto"/>
                <w:sz w:val="18"/>
              </w:rPr>
              <w:t>“□”为勾选项，可√</w:t>
            </w:r>
            <w:r>
              <w:rPr>
                <w:color w:val="auto"/>
                <w:spacing w:val="1"/>
                <w:sz w:val="18"/>
              </w:rPr>
              <w:t xml:space="preserve"> </w:t>
            </w:r>
            <w:r>
              <w:rPr>
                <w:color w:val="auto"/>
                <w:spacing w:val="-92"/>
                <w:sz w:val="18"/>
              </w:rPr>
              <w:t>；</w:t>
            </w:r>
            <w:r>
              <w:rPr>
                <w:color w:val="auto"/>
                <w:sz w:val="18"/>
              </w:rPr>
              <w:t>：（）为内容填写项</w:t>
            </w:r>
          </w:p>
        </w:tc>
      </w:tr>
    </w:tbl>
    <w:p>
      <w:pPr>
        <w:pStyle w:val="4"/>
        <w:numPr>
          <w:ilvl w:val="1"/>
          <w:numId w:val="0"/>
        </w:numPr>
        <w:spacing w:before="120"/>
        <w:rPr>
          <w:color w:val="auto"/>
        </w:rPr>
      </w:pPr>
      <w:bookmarkStart w:id="462" w:name="_Toc335824665"/>
      <w:bookmarkStart w:id="463" w:name="_Toc388620079"/>
      <w:bookmarkStart w:id="464" w:name="_Toc387745667"/>
      <w:bookmarkStart w:id="465" w:name="_Toc109398681"/>
      <w:bookmarkStart w:id="466" w:name="_Toc493853545"/>
      <w:bookmarkStart w:id="467" w:name="_Toc11595437"/>
      <w:r>
        <w:rPr>
          <w:color w:val="auto"/>
        </w:rPr>
        <w:t>7.6运营期固体废物环境影响分析</w:t>
      </w:r>
      <w:bookmarkEnd w:id="462"/>
      <w:bookmarkEnd w:id="463"/>
      <w:bookmarkEnd w:id="464"/>
      <w:r>
        <w:rPr>
          <w:color w:val="auto"/>
        </w:rPr>
        <w:t>及评价</w:t>
      </w:r>
      <w:bookmarkEnd w:id="465"/>
      <w:bookmarkEnd w:id="466"/>
      <w:bookmarkEnd w:id="467"/>
    </w:p>
    <w:p>
      <w:pPr>
        <w:pStyle w:val="130"/>
        <w:ind w:firstLine="456"/>
        <w:rPr>
          <w:color w:val="auto"/>
        </w:rPr>
      </w:pPr>
      <w:bookmarkStart w:id="468" w:name="_Toc446334704"/>
      <w:bookmarkStart w:id="469" w:name="_Toc421"/>
      <w:r>
        <w:rPr>
          <w:color w:val="auto"/>
          <w:spacing w:val="-6"/>
        </w:rPr>
        <w:t>本项目</w:t>
      </w:r>
      <w:r>
        <w:rPr>
          <w:rFonts w:hint="eastAsia"/>
          <w:color w:val="auto"/>
          <w:spacing w:val="-6"/>
        </w:rPr>
        <w:t>建成后全厂</w:t>
      </w:r>
      <w:r>
        <w:rPr>
          <w:color w:val="auto"/>
          <w:spacing w:val="-6"/>
        </w:rPr>
        <w:t>产生的主要固体废物包括生活垃圾、报废周转箱、灭菌处理后的医疗废物、废活性炭、废滤芯、污水处理站污泥和废树脂。</w:t>
      </w:r>
    </w:p>
    <w:p>
      <w:pPr>
        <w:pStyle w:val="130"/>
        <w:ind w:firstLine="480" w:firstLineChars="0"/>
        <w:rPr>
          <w:color w:val="auto"/>
        </w:rPr>
      </w:pPr>
      <w:r>
        <w:rPr>
          <w:bCs w:val="0"/>
          <w:color w:val="auto"/>
        </w:rPr>
        <w:t>⑴一</w:t>
      </w:r>
      <w:r>
        <w:rPr>
          <w:color w:val="auto"/>
        </w:rPr>
        <w:t>般工业固体废物</w:t>
      </w:r>
    </w:p>
    <w:p>
      <w:pPr>
        <w:pStyle w:val="130"/>
        <w:ind w:firstLine="480"/>
        <w:rPr>
          <w:color w:val="auto"/>
        </w:rPr>
      </w:pPr>
      <w:r>
        <w:rPr>
          <w:color w:val="auto"/>
        </w:rPr>
        <w:t>主要为生活垃圾、报废周转箱和软水制备产生的废树脂，产生总量为6.695t/a。其中生活垃圾产生量为6.6t/a，报废周转箱产生量为0.015t/a，废树脂产生量为0.08t/a，收集后清运至中卫市第二生活垃圾填埋场卫生填埋。</w:t>
      </w:r>
    </w:p>
    <w:p>
      <w:pPr>
        <w:pStyle w:val="130"/>
        <w:ind w:firstLine="480"/>
        <w:rPr>
          <w:color w:val="auto"/>
        </w:rPr>
      </w:pPr>
      <w:r>
        <w:rPr>
          <w:color w:val="auto"/>
        </w:rPr>
        <w:t>⑵危险废物</w:t>
      </w:r>
    </w:p>
    <w:p>
      <w:pPr>
        <w:pStyle w:val="130"/>
        <w:ind w:firstLine="480"/>
        <w:rPr>
          <w:color w:val="auto"/>
        </w:rPr>
      </w:pPr>
      <w:r>
        <w:rPr>
          <w:color w:val="auto"/>
        </w:rPr>
        <w:t>主要包括灭菌处理后的医疗废物、废活性炭、废滤芯、污水处理站污泥和废树脂，产生总量为2434.078t/a。其中灭菌处理后的医疗废物产生量为2433.14t/a，根据《国家危险废物名录（2021）》附录，属于豁免类危险废物，其处置过程不按危险废物管理，收集后清运至中卫市第二生活垃圾填埋场填埋。废活性炭产生量为0.05t/a、废滤芯产生量为0.088t/a、污水处理站污泥产生量为0.8t/a，全部要求建设单位照危险废物管理要求在危废暂存间内分类暂存、转移，收集后委托宁夏德坤环保科技实业集团有限公司处置。</w:t>
      </w:r>
    </w:p>
    <w:p>
      <w:pPr>
        <w:pStyle w:val="130"/>
        <w:ind w:firstLine="480"/>
        <w:rPr>
          <w:color w:val="auto"/>
        </w:rPr>
      </w:pPr>
      <w:r>
        <w:rPr>
          <w:color w:val="auto"/>
        </w:rPr>
        <w:t>综上，本项目</w:t>
      </w:r>
      <w:r>
        <w:rPr>
          <w:rFonts w:hint="eastAsia"/>
          <w:color w:val="auto"/>
        </w:rPr>
        <w:t>建成后全厂</w:t>
      </w:r>
      <w:r>
        <w:rPr>
          <w:color w:val="auto"/>
        </w:rPr>
        <w:t>各类固体废物均采取了有效的处理措施，不会对项目所在地环境造成明显影响。</w:t>
      </w:r>
    </w:p>
    <w:p>
      <w:pPr>
        <w:pStyle w:val="4"/>
        <w:numPr>
          <w:ilvl w:val="1"/>
          <w:numId w:val="0"/>
        </w:numPr>
        <w:spacing w:before="120"/>
        <w:rPr>
          <w:color w:val="auto"/>
        </w:rPr>
      </w:pPr>
      <w:bookmarkStart w:id="470" w:name="_Toc109398682"/>
      <w:r>
        <w:rPr>
          <w:color w:val="auto"/>
        </w:rPr>
        <w:t>7.7运营期土壤环境影响分析与评价</w:t>
      </w:r>
      <w:bookmarkEnd w:id="470"/>
    </w:p>
    <w:p>
      <w:pPr>
        <w:pStyle w:val="5"/>
        <w:numPr>
          <w:ilvl w:val="2"/>
          <w:numId w:val="0"/>
        </w:numPr>
        <w:ind w:left="-720" w:leftChars="-343" w:firstLine="723" w:firstLineChars="300"/>
        <w:rPr>
          <w:color w:val="auto"/>
        </w:rPr>
      </w:pPr>
      <w:bookmarkStart w:id="471" w:name="_Toc109398683"/>
      <w:r>
        <w:rPr>
          <w:color w:val="auto"/>
        </w:rPr>
        <w:t>7.7.1土壤类型及质量调查</w:t>
      </w:r>
      <w:bookmarkEnd w:id="471"/>
    </w:p>
    <w:p>
      <w:pPr>
        <w:pStyle w:val="130"/>
        <w:ind w:firstLine="480"/>
        <w:rPr>
          <w:color w:val="auto"/>
        </w:rPr>
      </w:pPr>
      <w:r>
        <w:rPr>
          <w:color w:val="auto"/>
        </w:rPr>
        <w:t>评价范围内土壤类型调查数据来自国家土壤信息服务平台数据（网址：http://www.soilinfo.cn/map/index.aspx#），结合《中国土壤分类与代码》（GBT 17296-2009）p124 土类索引表可知，项目评价范围内土壤类型均为灰钙土。根据现状监测数据，1-5#、7~11#监测点位土壤检测因子浓度均满足《土壤环境质量建设用地土壤污染风险管控标准》（试行）（GB 36600-2018）表1第二类用地筛选值；6#监测点位土壤检测因子浓度均满足《土壤环境质量 农用地土壤污染风险管控标准》（GB 15618-2018）表1中风险筛选值。</w:t>
      </w:r>
    </w:p>
    <w:p>
      <w:pPr>
        <w:pStyle w:val="5"/>
        <w:numPr>
          <w:ilvl w:val="2"/>
          <w:numId w:val="0"/>
        </w:numPr>
        <w:ind w:left="-720" w:leftChars="-343" w:firstLine="723" w:firstLineChars="300"/>
        <w:rPr>
          <w:color w:val="auto"/>
        </w:rPr>
      </w:pPr>
      <w:bookmarkStart w:id="472" w:name="_Toc109398684"/>
      <w:r>
        <w:rPr>
          <w:color w:val="auto"/>
        </w:rPr>
        <w:t>7.7.2土壤评价等级</w:t>
      </w:r>
      <w:bookmarkEnd w:id="472"/>
    </w:p>
    <w:p>
      <w:pPr>
        <w:pStyle w:val="130"/>
        <w:ind w:firstLine="480"/>
        <w:rPr>
          <w:color w:val="auto"/>
        </w:rPr>
      </w:pPr>
      <w:r>
        <w:rPr>
          <w:color w:val="auto"/>
        </w:rPr>
        <w:t>本项目建设地点位于中卫市永康镇阳沟村中卫市生活垃圾填埋场西侧，根据《环境影响评价技术导则土壤环境》（HJ964-2018）中的土壤环境影响评价工作等级划分依据，为一级评价。</w:t>
      </w:r>
    </w:p>
    <w:p>
      <w:pPr>
        <w:pStyle w:val="5"/>
        <w:numPr>
          <w:ilvl w:val="2"/>
          <w:numId w:val="0"/>
        </w:numPr>
        <w:ind w:left="-720" w:leftChars="-343" w:firstLine="723" w:firstLineChars="300"/>
        <w:rPr>
          <w:color w:val="auto"/>
        </w:rPr>
      </w:pPr>
      <w:bookmarkStart w:id="473" w:name="_Toc109398685"/>
      <w:r>
        <w:rPr>
          <w:color w:val="auto"/>
        </w:rPr>
        <w:t>7.7.3土壤影响途径及因子识别</w:t>
      </w:r>
      <w:bookmarkEnd w:id="473"/>
    </w:p>
    <w:p>
      <w:pPr>
        <w:pStyle w:val="130"/>
        <w:ind w:firstLine="480"/>
        <w:rPr>
          <w:color w:val="auto"/>
        </w:rPr>
      </w:pPr>
      <w:r>
        <w:rPr>
          <w:color w:val="auto"/>
        </w:rPr>
        <w:t>1、土壤影响途径</w:t>
      </w:r>
    </w:p>
    <w:p>
      <w:pPr>
        <w:pStyle w:val="130"/>
        <w:ind w:firstLine="480"/>
        <w:rPr>
          <w:color w:val="auto"/>
        </w:rPr>
      </w:pPr>
      <w:r>
        <w:rPr>
          <w:color w:val="auto"/>
        </w:rPr>
        <w:t>根据项目的生产工艺特点及《环境影响评价技术导则土壤环境（试行）》（</w:t>
      </w:r>
      <w:r>
        <w:rPr>
          <w:rFonts w:eastAsia="TimesNewRomanPS-BoldMT"/>
          <w:color w:val="auto"/>
        </w:rPr>
        <w:t>HJ964-2018</w:t>
      </w:r>
      <w:r>
        <w:rPr>
          <w:color w:val="auto"/>
        </w:rPr>
        <w:t>），本项目为污染影响类型。运营期各污染物通过大气沉降、污水下渗等途径对土壤可能产生不利影响，因此，确定本项目</w:t>
      </w:r>
      <w:r>
        <w:rPr>
          <w:rFonts w:hint="eastAsia"/>
          <w:color w:val="auto"/>
        </w:rPr>
        <w:t>建成后全厂</w:t>
      </w:r>
      <w:r>
        <w:rPr>
          <w:color w:val="auto"/>
        </w:rPr>
        <w:t>运营期影响途径为大气沉降和垂直入渗，土壤影响类型与影响途径见表7.7-1。</w:t>
      </w:r>
    </w:p>
    <w:p>
      <w:pPr>
        <w:pStyle w:val="114"/>
        <w:spacing w:before="0" w:beforeLines="0"/>
        <w:rPr>
          <w:color w:val="auto"/>
        </w:rPr>
      </w:pPr>
      <w:r>
        <w:rPr>
          <w:color w:val="auto"/>
        </w:rPr>
        <w:t>表7.7-1  建设项目土壤环境影响类型与影响途径表</w:t>
      </w:r>
    </w:p>
    <w:tbl>
      <w:tblPr>
        <w:tblStyle w:val="75"/>
        <w:tblW w:w="847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4"/>
        <w:gridCol w:w="1695"/>
        <w:gridCol w:w="1695"/>
        <w:gridCol w:w="1695"/>
        <w:gridCol w:w="16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694" w:type="dxa"/>
            <w:vMerge w:val="restart"/>
            <w:vAlign w:val="center"/>
          </w:tcPr>
          <w:p>
            <w:pPr>
              <w:jc w:val="center"/>
              <w:rPr>
                <w:color w:val="auto"/>
              </w:rPr>
            </w:pPr>
            <w:r>
              <w:rPr>
                <w:color w:val="auto"/>
              </w:rPr>
              <w:t>不同时段</w:t>
            </w:r>
          </w:p>
        </w:tc>
        <w:tc>
          <w:tcPr>
            <w:tcW w:w="6780" w:type="dxa"/>
            <w:gridSpan w:val="4"/>
            <w:vAlign w:val="center"/>
          </w:tcPr>
          <w:p>
            <w:pPr>
              <w:jc w:val="center"/>
              <w:rPr>
                <w:color w:val="auto"/>
              </w:rPr>
            </w:pPr>
            <w:r>
              <w:rPr>
                <w:color w:val="auto"/>
              </w:rPr>
              <w:t>污染影响型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694" w:type="dxa"/>
            <w:vMerge w:val="continue"/>
            <w:vAlign w:val="center"/>
          </w:tcPr>
          <w:p>
            <w:pPr>
              <w:jc w:val="center"/>
              <w:rPr>
                <w:color w:val="auto"/>
              </w:rPr>
            </w:pPr>
          </w:p>
        </w:tc>
        <w:tc>
          <w:tcPr>
            <w:tcW w:w="1695" w:type="dxa"/>
            <w:vAlign w:val="center"/>
          </w:tcPr>
          <w:p>
            <w:pPr>
              <w:jc w:val="center"/>
              <w:rPr>
                <w:color w:val="auto"/>
              </w:rPr>
            </w:pPr>
            <w:r>
              <w:rPr>
                <w:color w:val="auto"/>
              </w:rPr>
              <w:t>大气沉降</w:t>
            </w:r>
          </w:p>
        </w:tc>
        <w:tc>
          <w:tcPr>
            <w:tcW w:w="1695" w:type="dxa"/>
            <w:vAlign w:val="center"/>
          </w:tcPr>
          <w:p>
            <w:pPr>
              <w:jc w:val="center"/>
              <w:rPr>
                <w:color w:val="auto"/>
              </w:rPr>
            </w:pPr>
            <w:r>
              <w:rPr>
                <w:color w:val="auto"/>
              </w:rPr>
              <w:t>地面漫流</w:t>
            </w:r>
          </w:p>
        </w:tc>
        <w:tc>
          <w:tcPr>
            <w:tcW w:w="1695" w:type="dxa"/>
            <w:vAlign w:val="center"/>
          </w:tcPr>
          <w:p>
            <w:pPr>
              <w:jc w:val="center"/>
              <w:rPr>
                <w:color w:val="auto"/>
              </w:rPr>
            </w:pPr>
            <w:r>
              <w:rPr>
                <w:color w:val="auto"/>
              </w:rPr>
              <w:t>垂直入渗</w:t>
            </w:r>
          </w:p>
        </w:tc>
        <w:tc>
          <w:tcPr>
            <w:tcW w:w="1695" w:type="dxa"/>
            <w:vAlign w:val="center"/>
          </w:tcPr>
          <w:p>
            <w:pPr>
              <w:jc w:val="center"/>
              <w:rPr>
                <w:color w:val="auto"/>
              </w:rPr>
            </w:pPr>
            <w:r>
              <w:rPr>
                <w:color w:val="auto"/>
              </w:rPr>
              <w:t>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694" w:type="dxa"/>
            <w:vAlign w:val="center"/>
          </w:tcPr>
          <w:p>
            <w:pPr>
              <w:jc w:val="center"/>
              <w:rPr>
                <w:color w:val="auto"/>
              </w:rPr>
            </w:pPr>
            <w:r>
              <w:rPr>
                <w:color w:val="auto"/>
              </w:rPr>
              <w:t>运营期</w:t>
            </w:r>
          </w:p>
        </w:tc>
        <w:tc>
          <w:tcPr>
            <w:tcW w:w="1695" w:type="dxa"/>
            <w:vAlign w:val="center"/>
          </w:tcPr>
          <w:p>
            <w:pPr>
              <w:jc w:val="center"/>
              <w:rPr>
                <w:color w:val="auto"/>
              </w:rPr>
            </w:pPr>
            <w:r>
              <w:rPr>
                <w:color w:val="auto"/>
              </w:rPr>
              <w:t>√</w:t>
            </w:r>
          </w:p>
        </w:tc>
        <w:tc>
          <w:tcPr>
            <w:tcW w:w="1695" w:type="dxa"/>
            <w:vAlign w:val="center"/>
          </w:tcPr>
          <w:p>
            <w:pPr>
              <w:jc w:val="center"/>
              <w:rPr>
                <w:color w:val="auto"/>
              </w:rPr>
            </w:pPr>
            <w:r>
              <w:rPr>
                <w:color w:val="auto"/>
              </w:rPr>
              <w:t>无</w:t>
            </w:r>
          </w:p>
        </w:tc>
        <w:tc>
          <w:tcPr>
            <w:tcW w:w="1695" w:type="dxa"/>
            <w:vAlign w:val="center"/>
          </w:tcPr>
          <w:p>
            <w:pPr>
              <w:jc w:val="center"/>
              <w:rPr>
                <w:color w:val="auto"/>
              </w:rPr>
            </w:pPr>
            <w:r>
              <w:rPr>
                <w:color w:val="auto"/>
              </w:rPr>
              <w:t>√</w:t>
            </w:r>
          </w:p>
        </w:tc>
        <w:tc>
          <w:tcPr>
            <w:tcW w:w="1695" w:type="dxa"/>
            <w:vAlign w:val="center"/>
          </w:tcPr>
          <w:p>
            <w:pPr>
              <w:jc w:val="center"/>
              <w:rPr>
                <w:b/>
                <w:color w:val="auto"/>
              </w:rPr>
            </w:pPr>
            <w:r>
              <w:rPr>
                <w:color w:val="auto"/>
              </w:rPr>
              <w:t>无</w:t>
            </w:r>
          </w:p>
        </w:tc>
      </w:tr>
    </w:tbl>
    <w:p>
      <w:pPr>
        <w:pStyle w:val="130"/>
        <w:spacing w:before="120" w:beforeLines="50"/>
        <w:ind w:firstLine="480"/>
        <w:rPr>
          <w:color w:val="auto"/>
        </w:rPr>
      </w:pPr>
      <w:r>
        <w:rPr>
          <w:color w:val="auto"/>
        </w:rPr>
        <w:t>2、土壤影响因子</w:t>
      </w:r>
    </w:p>
    <w:p>
      <w:pPr>
        <w:pStyle w:val="130"/>
        <w:ind w:firstLine="480"/>
        <w:rPr>
          <w:color w:val="auto"/>
        </w:rPr>
      </w:pPr>
      <w:r>
        <w:rPr>
          <w:color w:val="auto"/>
        </w:rPr>
        <w:t>土壤影响因子识别见表</w:t>
      </w:r>
      <w:r>
        <w:rPr>
          <w:rFonts w:eastAsia="TimesNewRomanPSMT"/>
          <w:color w:val="auto"/>
        </w:rPr>
        <w:t>7.7-2</w:t>
      </w:r>
      <w:r>
        <w:rPr>
          <w:color w:val="auto"/>
        </w:rPr>
        <w:t>。</w:t>
      </w:r>
    </w:p>
    <w:p>
      <w:pPr>
        <w:pStyle w:val="114"/>
        <w:spacing w:before="0" w:beforeLines="0"/>
        <w:rPr>
          <w:color w:val="auto"/>
        </w:rPr>
      </w:pPr>
      <w:r>
        <w:rPr>
          <w:color w:val="auto"/>
        </w:rPr>
        <w:t>表7.7-2  本项目</w:t>
      </w:r>
      <w:r>
        <w:rPr>
          <w:rFonts w:hint="eastAsia"/>
          <w:color w:val="auto"/>
        </w:rPr>
        <w:t>建成后全厂</w:t>
      </w:r>
      <w:r>
        <w:rPr>
          <w:color w:val="auto"/>
        </w:rPr>
        <w:t>土壤影响因子识别表</w:t>
      </w:r>
    </w:p>
    <w:tbl>
      <w:tblPr>
        <w:tblStyle w:val="75"/>
        <w:tblW w:w="842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05"/>
        <w:gridCol w:w="1262"/>
        <w:gridCol w:w="1691"/>
        <w:gridCol w:w="33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24" w:hRule="atLeast"/>
        </w:trPr>
        <w:tc>
          <w:tcPr>
            <w:tcW w:w="2105" w:type="dxa"/>
            <w:vAlign w:val="center"/>
          </w:tcPr>
          <w:p>
            <w:pPr>
              <w:jc w:val="center"/>
              <w:rPr>
                <w:color w:val="auto"/>
              </w:rPr>
            </w:pPr>
            <w:r>
              <w:rPr>
                <w:color w:val="auto"/>
              </w:rPr>
              <w:t>污染源</w:t>
            </w:r>
          </w:p>
        </w:tc>
        <w:tc>
          <w:tcPr>
            <w:tcW w:w="1262" w:type="dxa"/>
            <w:vAlign w:val="center"/>
          </w:tcPr>
          <w:p>
            <w:pPr>
              <w:jc w:val="center"/>
              <w:rPr>
                <w:color w:val="auto"/>
              </w:rPr>
            </w:pPr>
            <w:r>
              <w:rPr>
                <w:rStyle w:val="115"/>
                <w:b w:val="0"/>
                <w:color w:val="auto"/>
                <w:sz w:val="21"/>
                <w:szCs w:val="21"/>
              </w:rPr>
              <w:t>污染工序</w:t>
            </w:r>
          </w:p>
        </w:tc>
        <w:tc>
          <w:tcPr>
            <w:tcW w:w="1691" w:type="dxa"/>
            <w:vAlign w:val="center"/>
          </w:tcPr>
          <w:p>
            <w:pPr>
              <w:jc w:val="center"/>
              <w:rPr>
                <w:color w:val="auto"/>
              </w:rPr>
            </w:pPr>
            <w:r>
              <w:rPr>
                <w:color w:val="auto"/>
              </w:rPr>
              <w:t>污染途径</w:t>
            </w:r>
          </w:p>
        </w:tc>
        <w:tc>
          <w:tcPr>
            <w:tcW w:w="3366" w:type="dxa"/>
            <w:vAlign w:val="center"/>
          </w:tcPr>
          <w:p>
            <w:pPr>
              <w:jc w:val="center"/>
              <w:rPr>
                <w:color w:val="auto"/>
              </w:rPr>
            </w:pPr>
            <w:r>
              <w:rPr>
                <w:color w:val="auto"/>
              </w:rPr>
              <w:t>污染因子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24" w:hRule="atLeast"/>
        </w:trPr>
        <w:tc>
          <w:tcPr>
            <w:tcW w:w="2105" w:type="dxa"/>
            <w:vAlign w:val="center"/>
          </w:tcPr>
          <w:p>
            <w:pPr>
              <w:jc w:val="center"/>
              <w:rPr>
                <w:color w:val="auto"/>
              </w:rPr>
            </w:pPr>
            <w:r>
              <w:rPr>
                <w:color w:val="auto"/>
                <w:szCs w:val="21"/>
              </w:rPr>
              <w:t>高温蒸汽灭菌车间</w:t>
            </w:r>
          </w:p>
        </w:tc>
        <w:tc>
          <w:tcPr>
            <w:tcW w:w="1262" w:type="dxa"/>
            <w:vAlign w:val="center"/>
          </w:tcPr>
          <w:p>
            <w:pPr>
              <w:jc w:val="center"/>
              <w:rPr>
                <w:color w:val="auto"/>
              </w:rPr>
            </w:pPr>
            <w:r>
              <w:rPr>
                <w:color w:val="auto"/>
              </w:rPr>
              <w:t>生产过程</w:t>
            </w:r>
          </w:p>
        </w:tc>
        <w:tc>
          <w:tcPr>
            <w:tcW w:w="1691" w:type="dxa"/>
            <w:vAlign w:val="center"/>
          </w:tcPr>
          <w:p>
            <w:pPr>
              <w:jc w:val="center"/>
              <w:rPr>
                <w:color w:val="auto"/>
              </w:rPr>
            </w:pPr>
            <w:r>
              <w:rPr>
                <w:color w:val="auto"/>
              </w:rPr>
              <w:t>大气沉降</w:t>
            </w:r>
          </w:p>
        </w:tc>
        <w:tc>
          <w:tcPr>
            <w:tcW w:w="3366" w:type="dxa"/>
            <w:vAlign w:val="center"/>
          </w:tcPr>
          <w:p>
            <w:pPr>
              <w:jc w:val="center"/>
              <w:rPr>
                <w:color w:val="auto"/>
              </w:rPr>
            </w:pPr>
            <w:r>
              <w:rPr>
                <w:color w:val="auto"/>
              </w:rPr>
              <w:t>颗粒物、</w:t>
            </w:r>
            <w:r>
              <w:rPr>
                <w:rStyle w:val="115"/>
                <w:b w:val="0"/>
                <w:color w:val="auto"/>
                <w:sz w:val="21"/>
                <w:szCs w:val="21"/>
              </w:rPr>
              <w:t>NH</w:t>
            </w:r>
            <w:r>
              <w:rPr>
                <w:rStyle w:val="115"/>
                <w:b w:val="0"/>
                <w:color w:val="auto"/>
                <w:sz w:val="21"/>
                <w:szCs w:val="21"/>
                <w:vertAlign w:val="subscript"/>
              </w:rPr>
              <w:t>3</w:t>
            </w:r>
            <w:r>
              <w:rPr>
                <w:rStyle w:val="115"/>
                <w:b w:val="0"/>
                <w:color w:val="auto"/>
                <w:sz w:val="21"/>
                <w:szCs w:val="21"/>
              </w:rPr>
              <w:t>、H</w:t>
            </w:r>
            <w:r>
              <w:rPr>
                <w:rStyle w:val="115"/>
                <w:b w:val="0"/>
                <w:color w:val="auto"/>
                <w:sz w:val="21"/>
                <w:szCs w:val="21"/>
                <w:vertAlign w:val="subscript"/>
              </w:rPr>
              <w:t>2</w:t>
            </w:r>
            <w:r>
              <w:rPr>
                <w:rStyle w:val="115"/>
                <w:b w:val="0"/>
                <w:color w:val="auto"/>
                <w:sz w:val="21"/>
                <w:szCs w:val="21"/>
              </w:rPr>
              <w:t>S、VOCs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8" w:hRule="atLeast"/>
        </w:trPr>
        <w:tc>
          <w:tcPr>
            <w:tcW w:w="2105" w:type="dxa"/>
            <w:vMerge w:val="restart"/>
            <w:vAlign w:val="center"/>
          </w:tcPr>
          <w:p>
            <w:pPr>
              <w:jc w:val="center"/>
              <w:rPr>
                <w:color w:val="auto"/>
              </w:rPr>
            </w:pPr>
            <w:r>
              <w:rPr>
                <w:color w:val="auto"/>
                <w:szCs w:val="21"/>
              </w:rPr>
              <w:t>污水处理站</w:t>
            </w:r>
          </w:p>
        </w:tc>
        <w:tc>
          <w:tcPr>
            <w:tcW w:w="1262" w:type="dxa"/>
            <w:vMerge w:val="restart"/>
            <w:vAlign w:val="center"/>
          </w:tcPr>
          <w:p>
            <w:pPr>
              <w:jc w:val="center"/>
              <w:rPr>
                <w:color w:val="auto"/>
              </w:rPr>
            </w:pPr>
            <w:r>
              <w:rPr>
                <w:color w:val="auto"/>
                <w:szCs w:val="21"/>
              </w:rPr>
              <w:t>污水处理</w:t>
            </w:r>
          </w:p>
        </w:tc>
        <w:tc>
          <w:tcPr>
            <w:tcW w:w="1691" w:type="dxa"/>
            <w:vAlign w:val="center"/>
          </w:tcPr>
          <w:p>
            <w:pPr>
              <w:jc w:val="center"/>
              <w:rPr>
                <w:color w:val="auto"/>
              </w:rPr>
            </w:pPr>
            <w:r>
              <w:rPr>
                <w:color w:val="auto"/>
              </w:rPr>
              <w:t>垂直入渗</w:t>
            </w:r>
          </w:p>
        </w:tc>
        <w:tc>
          <w:tcPr>
            <w:tcW w:w="3366" w:type="dxa"/>
            <w:vAlign w:val="center"/>
          </w:tcPr>
          <w:p>
            <w:pPr>
              <w:jc w:val="center"/>
              <w:rPr>
                <w:color w:val="auto"/>
              </w:rPr>
            </w:pPr>
            <w:r>
              <w:rPr>
                <w:rStyle w:val="115"/>
                <w:b w:val="0"/>
                <w:color w:val="auto"/>
                <w:sz w:val="21"/>
                <w:szCs w:val="21"/>
              </w:rPr>
              <w:t>pH、COD、</w:t>
            </w:r>
            <w:r>
              <w:rPr>
                <w:color w:val="auto"/>
                <w:szCs w:val="21"/>
              </w:rPr>
              <w:t>BOD、氨氮、SS、粪大肠菌群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24" w:hRule="atLeast"/>
        </w:trPr>
        <w:tc>
          <w:tcPr>
            <w:tcW w:w="2105" w:type="dxa"/>
            <w:vMerge w:val="continue"/>
            <w:vAlign w:val="center"/>
          </w:tcPr>
          <w:p>
            <w:pPr>
              <w:jc w:val="center"/>
              <w:rPr>
                <w:color w:val="auto"/>
              </w:rPr>
            </w:pPr>
          </w:p>
        </w:tc>
        <w:tc>
          <w:tcPr>
            <w:tcW w:w="1262" w:type="dxa"/>
            <w:vMerge w:val="continue"/>
            <w:vAlign w:val="center"/>
          </w:tcPr>
          <w:p>
            <w:pPr>
              <w:jc w:val="center"/>
              <w:rPr>
                <w:color w:val="auto"/>
              </w:rPr>
            </w:pPr>
          </w:p>
        </w:tc>
        <w:tc>
          <w:tcPr>
            <w:tcW w:w="1691" w:type="dxa"/>
            <w:vAlign w:val="center"/>
          </w:tcPr>
          <w:p>
            <w:pPr>
              <w:jc w:val="center"/>
              <w:rPr>
                <w:color w:val="auto"/>
              </w:rPr>
            </w:pPr>
            <w:r>
              <w:rPr>
                <w:color w:val="auto"/>
              </w:rPr>
              <w:t>大气沉降</w:t>
            </w:r>
          </w:p>
        </w:tc>
        <w:tc>
          <w:tcPr>
            <w:tcW w:w="3366" w:type="dxa"/>
            <w:vAlign w:val="center"/>
          </w:tcPr>
          <w:p>
            <w:pPr>
              <w:jc w:val="center"/>
              <w:rPr>
                <w:color w:val="auto"/>
              </w:rPr>
            </w:pPr>
            <w:r>
              <w:rPr>
                <w:rStyle w:val="115"/>
                <w:b w:val="0"/>
                <w:color w:val="auto"/>
                <w:sz w:val="21"/>
                <w:szCs w:val="21"/>
              </w:rPr>
              <w:t>NH</w:t>
            </w:r>
            <w:r>
              <w:rPr>
                <w:rStyle w:val="115"/>
                <w:b w:val="0"/>
                <w:color w:val="auto"/>
                <w:sz w:val="21"/>
                <w:szCs w:val="21"/>
                <w:vertAlign w:val="subscript"/>
              </w:rPr>
              <w:t>3</w:t>
            </w:r>
            <w:r>
              <w:rPr>
                <w:rStyle w:val="115"/>
                <w:b w:val="0"/>
                <w:color w:val="auto"/>
                <w:sz w:val="21"/>
                <w:szCs w:val="21"/>
              </w:rPr>
              <w:t>、H</w:t>
            </w:r>
            <w:r>
              <w:rPr>
                <w:rStyle w:val="115"/>
                <w:b w:val="0"/>
                <w:color w:val="auto"/>
                <w:sz w:val="21"/>
                <w:szCs w:val="21"/>
                <w:vertAlign w:val="subscript"/>
              </w:rPr>
              <w:t>2</w:t>
            </w:r>
            <w:r>
              <w:rPr>
                <w:rStyle w:val="115"/>
                <w:b w:val="0"/>
                <w:color w:val="auto"/>
                <w:sz w:val="21"/>
                <w:szCs w:val="21"/>
              </w:rPr>
              <w:t>S</w:t>
            </w:r>
          </w:p>
        </w:tc>
      </w:tr>
    </w:tbl>
    <w:p>
      <w:pPr>
        <w:pStyle w:val="5"/>
        <w:numPr>
          <w:ilvl w:val="2"/>
          <w:numId w:val="0"/>
        </w:numPr>
        <w:ind w:left="-720" w:leftChars="-343" w:firstLine="723" w:firstLineChars="300"/>
        <w:rPr>
          <w:color w:val="auto"/>
        </w:rPr>
      </w:pPr>
      <w:bookmarkStart w:id="474" w:name="_Toc109398686"/>
      <w:r>
        <w:rPr>
          <w:color w:val="auto"/>
        </w:rPr>
        <w:t>7.7.4土壤环境影响分析与评价</w:t>
      </w:r>
      <w:bookmarkEnd w:id="474"/>
    </w:p>
    <w:p>
      <w:pPr>
        <w:pStyle w:val="130"/>
        <w:ind w:firstLine="480"/>
        <w:rPr>
          <w:color w:val="auto"/>
        </w:rPr>
      </w:pPr>
      <w:r>
        <w:rPr>
          <w:color w:val="auto"/>
        </w:rPr>
        <w:t>根据《环境影响评价技术导则土壤环境（试行）》（HJ964-2018）评价工作等级为一级的建设项目，预测方法可参照附录E或进行类别分析，本次土壤环境影响采用类比分析法进行说明。</w:t>
      </w:r>
    </w:p>
    <w:p>
      <w:pPr>
        <w:pStyle w:val="130"/>
        <w:ind w:firstLine="480"/>
        <w:rPr>
          <w:color w:val="auto"/>
        </w:rPr>
      </w:pPr>
      <w:r>
        <w:rPr>
          <w:color w:val="auto"/>
        </w:rPr>
        <w:t>1、大气沉降对土壤环境影响</w:t>
      </w:r>
    </w:p>
    <w:p>
      <w:pPr>
        <w:pStyle w:val="130"/>
        <w:ind w:firstLine="480"/>
        <w:rPr>
          <w:color w:val="auto"/>
        </w:rPr>
      </w:pPr>
      <w:r>
        <w:rPr>
          <w:color w:val="auto"/>
        </w:rPr>
        <w:t>本项目</w:t>
      </w:r>
      <w:r>
        <w:rPr>
          <w:rFonts w:hint="eastAsia"/>
          <w:color w:val="auto"/>
        </w:rPr>
        <w:t>建成后全厂</w:t>
      </w:r>
      <w:r>
        <w:rPr>
          <w:color w:val="auto"/>
        </w:rPr>
        <w:t>运营期产生的大气污染物主要是氨气、硫化氢、VOCs、颗粒物，以气态形式存在，沉降性较差，且不涉及土壤污染重点污染物（重金属及多环芳烃有机物），因此不会对土壤产生明显的污染，改变土壤的环境质量，在达标排放的情况下对土壤环境影响较小。</w:t>
      </w:r>
      <w:r>
        <w:rPr>
          <w:rFonts w:hint="eastAsia"/>
          <w:color w:val="auto"/>
        </w:rPr>
        <w:t>并且本项目现有工程已运行多年，根据对项目区域的土壤环境质量现状监测数据可知，项目区域未造成土壤污染，对其影响较小。</w:t>
      </w:r>
    </w:p>
    <w:p>
      <w:pPr>
        <w:pStyle w:val="130"/>
        <w:ind w:firstLine="480"/>
        <w:rPr>
          <w:color w:val="auto"/>
        </w:rPr>
      </w:pPr>
      <w:r>
        <w:rPr>
          <w:color w:val="auto"/>
        </w:rPr>
        <w:t>2、垂直入渗对土壤环境影响</w:t>
      </w:r>
    </w:p>
    <w:p>
      <w:pPr>
        <w:pStyle w:val="130"/>
        <w:ind w:firstLine="480"/>
        <w:rPr>
          <w:color w:val="auto"/>
        </w:rPr>
      </w:pPr>
      <w:r>
        <w:rPr>
          <w:color w:val="auto"/>
        </w:rPr>
        <w:t>根据工程分析，本项目</w:t>
      </w:r>
      <w:r>
        <w:rPr>
          <w:rFonts w:hint="eastAsia"/>
          <w:color w:val="auto"/>
        </w:rPr>
        <w:t>建成后全厂</w:t>
      </w:r>
      <w:r>
        <w:rPr>
          <w:color w:val="auto"/>
        </w:rPr>
        <w:t>废水主要污染物为COD、BOD</w:t>
      </w:r>
      <w:r>
        <w:rPr>
          <w:color w:val="auto"/>
          <w:vertAlign w:val="subscript"/>
        </w:rPr>
        <w:t>5</w:t>
      </w:r>
      <w:r>
        <w:rPr>
          <w:color w:val="auto"/>
        </w:rPr>
        <w:t>、SS、NH</w:t>
      </w:r>
      <w:r>
        <w:rPr>
          <w:color w:val="auto"/>
          <w:vertAlign w:val="subscript"/>
        </w:rPr>
        <w:t>3</w:t>
      </w:r>
      <w:r>
        <w:rPr>
          <w:color w:val="auto"/>
        </w:rPr>
        <w:t>-N、TP、粪大肠杆菌、总余氯，不涉及土壤污染重点污染物（重金属及多环芳烃有机物），主要污染因子不涉及《土壤环境质量 建设用地土壤污染风险管控标准（试行）》（GB 36600-2018）和《土壤环境质量 农用地土壤污染风险管控标准（试行）》（GB15618-2018）中的管控因子。本项目厂区内各重点单元的地面均采取防渗措施，正常情况下不会对土壤环境造成影响。</w:t>
      </w:r>
    </w:p>
    <w:p>
      <w:pPr>
        <w:pStyle w:val="130"/>
        <w:ind w:firstLine="480"/>
        <w:rPr>
          <w:color w:val="auto"/>
        </w:rPr>
      </w:pPr>
      <w:r>
        <w:rPr>
          <w:color w:val="auto"/>
        </w:rPr>
        <w:t>本项目采取分区防渗的措施，根据项目可能泄漏至地面区域污染物的性质和生产单元的构筑方式，将评价区域划分为重点防渗区和一般防渗区。项目对废水输送管道及废水收集池等均进行严格的防渗，可避免废水发生“跑、冒、滴、漏”现象污染土壤环境。收集池等一旦发生渗漏事故，废水中主要污染物为 COD、BOD5、NH3-N、SS 等易吸附降解，在渗漏发生点周围泄漏溶液被土壤迅速吸附，随着泄漏，泄漏溶液向更远更深层位移动，沿着溶液运动方向，随着路径的增加，土壤中污染物含量降低。当泄漏溶液量足够大时，污染可达到潜水面。事故下泄漏对地下水影响见地下水影响预测章节。</w:t>
      </w:r>
    </w:p>
    <w:p>
      <w:pPr>
        <w:pStyle w:val="130"/>
        <w:ind w:firstLine="480"/>
        <w:rPr>
          <w:color w:val="auto"/>
        </w:rPr>
        <w:sectPr>
          <w:pgSz w:w="11906" w:h="16838"/>
          <w:pgMar w:top="1701" w:right="1701" w:bottom="1701" w:left="1701" w:header="851" w:footer="851" w:gutter="0"/>
          <w:cols w:space="720" w:num="1"/>
          <w:docGrid w:linePitch="466" w:charSpace="0"/>
        </w:sectPr>
      </w:pPr>
      <w:r>
        <w:rPr>
          <w:color w:val="auto"/>
        </w:rPr>
        <w:t>通过类比《重庆同兴医疗废物处理有限公司主城区医疗废物处理中心技改项目环境影响报告书》（2019年5月）中对土壤环境的评价结论及原有项目运行情况进一步分析项目运营期对区域土壤环境的影响程度。同兴医疗废物处理中心采用高温蒸汽灭菌工艺处理医疗废物，本项目现有工程采用高温蒸汽灭菌工艺处理医疗废物，两个项目均已建成运行多年，医废处理处理设施生产线建成投运至今一直处于正常稳定运行状态，医疗废物处理工艺与本项目相同，“三废”治理措施与本项目类似，且重庆同兴医疗废物处理有限公司处理规模大于本项目规模，类比分析可行。根据近期对上述两个医疗废物处理项目所在厂区及周边土壤的监测结果，重庆同兴医疗废物处理有限公司厂区内土壤满足《土壤环境质量 建设用地土壤污染风险管控标准（试行）》（GB36600-2018）中建设用地土壤污染管控标准第二类用地筛选值；本项目现有工程运营多年后，项目用地及周边用地土壤满足《土壤环境质量 建设用地土壤污染风险管控标准（试行）》（GB36600-2018）中建设用地土壤污染管控标准第二类用地筛选值，周边农用地满足《土壤环境质量 农用地土壤污染风险管控标准（试行）》（GB 15618-2018）中风险筛选值 pH＞7.5 情况下的“其他”标准限值。由此可见，上述医疗废物处理项目在采取相应的污染物治理措施后，未对项目地及周边土壤造成明显的不利影响。且本污水处理间、高温蒸煮厂房、医疗废物卸料间、初期雨水收集池、事故水池、废水处理站及污水管网均严格按照《危险废物贮存污染控制标准》（GB18597-2001）的有关要求进行建设。因此，本项目建成投运后，在加强环境管理，保证各项污染防治措施（设施）正常运行的情况下，对区域土壤环境的影响在可接受的范围内，建设可行。</w:t>
      </w:r>
    </w:p>
    <w:p>
      <w:pPr>
        <w:pStyle w:val="114"/>
        <w:spacing w:before="120"/>
        <w:rPr>
          <w:color w:val="auto"/>
        </w:rPr>
      </w:pPr>
      <w:r>
        <w:rPr>
          <w:color w:val="auto"/>
        </w:rPr>
        <w:t>表</w:t>
      </w:r>
      <w:r>
        <w:rPr>
          <w:rFonts w:eastAsia="Calibri"/>
          <w:color w:val="auto"/>
        </w:rPr>
        <w:t>7.7</w:t>
      </w:r>
      <w:r>
        <w:rPr>
          <w:rFonts w:eastAsiaTheme="minorEastAsia"/>
          <w:color w:val="auto"/>
        </w:rPr>
        <w:t>-</w:t>
      </w:r>
      <w:r>
        <w:rPr>
          <w:rFonts w:eastAsia="Calibri"/>
          <w:color w:val="auto"/>
        </w:rPr>
        <w:t xml:space="preserve">3  </w:t>
      </w:r>
      <w:r>
        <w:rPr>
          <w:color w:val="auto"/>
        </w:rPr>
        <w:t>与同类型已建成运行的医疗废物处理项目土壤环境影响</w:t>
      </w:r>
      <w:r>
        <w:rPr>
          <w:rFonts w:hint="eastAsia"/>
          <w:color w:val="auto"/>
        </w:rPr>
        <w:t>类比</w:t>
      </w:r>
      <w:r>
        <w:rPr>
          <w:color w:val="auto"/>
        </w:rPr>
        <w:t>分析表</w:t>
      </w:r>
    </w:p>
    <w:tbl>
      <w:tblPr>
        <w:tblStyle w:val="513"/>
        <w:tblW w:w="14176"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363"/>
        <w:gridCol w:w="660"/>
        <w:gridCol w:w="1140"/>
        <w:gridCol w:w="990"/>
        <w:gridCol w:w="1080"/>
        <w:gridCol w:w="840"/>
        <w:gridCol w:w="990"/>
        <w:gridCol w:w="1335"/>
        <w:gridCol w:w="885"/>
        <w:gridCol w:w="1590"/>
        <w:gridCol w:w="330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721" w:hRule="atLeast"/>
          <w:jc w:val="center"/>
        </w:trPr>
        <w:tc>
          <w:tcPr>
            <w:tcW w:w="1363" w:type="dxa"/>
            <w:vAlign w:val="center"/>
          </w:tcPr>
          <w:p>
            <w:pPr>
              <w:pStyle w:val="164"/>
              <w:rPr>
                <w:rFonts w:ascii="Times New Roman" w:hAnsi="Times New Roman"/>
                <w:color w:val="auto"/>
                <w:lang w:eastAsia="en-US"/>
              </w:rPr>
            </w:pPr>
            <w:r>
              <w:rPr>
                <w:rFonts w:ascii="Times New Roman" w:hAnsi="Times New Roman"/>
                <w:color w:val="auto"/>
                <w:lang w:eastAsia="en-US"/>
              </w:rPr>
              <w:t>项目名称</w:t>
            </w:r>
          </w:p>
        </w:tc>
        <w:tc>
          <w:tcPr>
            <w:tcW w:w="660" w:type="dxa"/>
            <w:vAlign w:val="center"/>
          </w:tcPr>
          <w:p>
            <w:pPr>
              <w:pStyle w:val="164"/>
              <w:rPr>
                <w:rFonts w:ascii="Times New Roman" w:hAnsi="Times New Roman"/>
                <w:color w:val="auto"/>
                <w:lang w:eastAsia="en-US"/>
              </w:rPr>
            </w:pPr>
            <w:r>
              <w:rPr>
                <w:rFonts w:ascii="Times New Roman" w:hAnsi="Times New Roman"/>
                <w:color w:val="auto"/>
                <w:lang w:eastAsia="en-US"/>
              </w:rPr>
              <w:t>项目位置</w:t>
            </w:r>
          </w:p>
        </w:tc>
        <w:tc>
          <w:tcPr>
            <w:tcW w:w="1140" w:type="dxa"/>
            <w:vAlign w:val="center"/>
          </w:tcPr>
          <w:p>
            <w:pPr>
              <w:pStyle w:val="164"/>
              <w:rPr>
                <w:rFonts w:ascii="Times New Roman" w:hAnsi="Times New Roman"/>
                <w:color w:val="auto"/>
                <w:lang w:eastAsia="en-US"/>
              </w:rPr>
            </w:pPr>
            <w:r>
              <w:rPr>
                <w:rFonts w:ascii="Times New Roman" w:hAnsi="Times New Roman"/>
                <w:color w:val="auto"/>
                <w:lang w:eastAsia="en-US"/>
              </w:rPr>
              <w:t>医疗废物处理类别</w:t>
            </w:r>
          </w:p>
        </w:tc>
        <w:tc>
          <w:tcPr>
            <w:tcW w:w="990" w:type="dxa"/>
            <w:vAlign w:val="center"/>
          </w:tcPr>
          <w:p>
            <w:pPr>
              <w:pStyle w:val="164"/>
              <w:rPr>
                <w:rFonts w:ascii="Times New Roman" w:hAnsi="Times New Roman"/>
                <w:color w:val="auto"/>
                <w:lang w:eastAsia="en-US"/>
              </w:rPr>
            </w:pPr>
            <w:r>
              <w:rPr>
                <w:rFonts w:ascii="Times New Roman" w:hAnsi="Times New Roman"/>
                <w:color w:val="auto"/>
                <w:lang w:eastAsia="en-US"/>
              </w:rPr>
              <w:t>处理工艺</w:t>
            </w:r>
          </w:p>
        </w:tc>
        <w:tc>
          <w:tcPr>
            <w:tcW w:w="1080" w:type="dxa"/>
            <w:vAlign w:val="center"/>
          </w:tcPr>
          <w:p>
            <w:pPr>
              <w:pStyle w:val="164"/>
              <w:rPr>
                <w:rFonts w:ascii="Times New Roman" w:hAnsi="Times New Roman"/>
                <w:color w:val="auto"/>
                <w:lang w:eastAsia="en-US"/>
              </w:rPr>
            </w:pPr>
            <w:r>
              <w:rPr>
                <w:rFonts w:ascii="Times New Roman" w:hAnsi="Times New Roman"/>
                <w:color w:val="auto"/>
                <w:lang w:eastAsia="en-US"/>
              </w:rPr>
              <w:t>处理规模</w:t>
            </w:r>
          </w:p>
        </w:tc>
        <w:tc>
          <w:tcPr>
            <w:tcW w:w="840" w:type="dxa"/>
            <w:vAlign w:val="center"/>
          </w:tcPr>
          <w:p>
            <w:pPr>
              <w:pStyle w:val="164"/>
              <w:rPr>
                <w:rFonts w:ascii="Times New Roman" w:hAnsi="Times New Roman"/>
                <w:color w:val="auto"/>
                <w:lang w:eastAsia="en-US"/>
              </w:rPr>
            </w:pPr>
            <w:r>
              <w:rPr>
                <w:rFonts w:ascii="Times New Roman" w:hAnsi="Times New Roman"/>
                <w:color w:val="auto"/>
                <w:lang w:eastAsia="en-US"/>
              </w:rPr>
              <w:t>建成投产时间</w:t>
            </w:r>
          </w:p>
        </w:tc>
        <w:tc>
          <w:tcPr>
            <w:tcW w:w="990" w:type="dxa"/>
            <w:vAlign w:val="center"/>
          </w:tcPr>
          <w:p>
            <w:pPr>
              <w:pStyle w:val="164"/>
              <w:rPr>
                <w:rFonts w:ascii="Times New Roman" w:hAnsi="Times New Roman"/>
                <w:color w:val="auto"/>
                <w:lang w:eastAsia="en-US"/>
              </w:rPr>
            </w:pPr>
            <w:r>
              <w:rPr>
                <w:rFonts w:ascii="Times New Roman" w:hAnsi="Times New Roman"/>
                <w:color w:val="auto"/>
                <w:lang w:eastAsia="en-US"/>
              </w:rPr>
              <w:t>运行状态</w:t>
            </w:r>
          </w:p>
        </w:tc>
        <w:tc>
          <w:tcPr>
            <w:tcW w:w="1335" w:type="dxa"/>
            <w:vAlign w:val="center"/>
          </w:tcPr>
          <w:p>
            <w:pPr>
              <w:pStyle w:val="164"/>
              <w:rPr>
                <w:rFonts w:ascii="Times New Roman" w:hAnsi="Times New Roman"/>
                <w:color w:val="auto"/>
                <w:lang w:eastAsia="zh-CN"/>
              </w:rPr>
            </w:pPr>
            <w:r>
              <w:rPr>
                <w:rFonts w:ascii="Times New Roman" w:hAnsi="Times New Roman"/>
                <w:color w:val="auto"/>
                <w:lang w:eastAsia="zh-CN"/>
              </w:rPr>
              <w:t>土壤环境质量监测点位</w:t>
            </w:r>
          </w:p>
        </w:tc>
        <w:tc>
          <w:tcPr>
            <w:tcW w:w="885" w:type="dxa"/>
            <w:vAlign w:val="center"/>
          </w:tcPr>
          <w:p>
            <w:pPr>
              <w:pStyle w:val="164"/>
              <w:rPr>
                <w:rFonts w:ascii="Times New Roman" w:hAnsi="Times New Roman"/>
                <w:color w:val="auto"/>
                <w:lang w:eastAsia="en-US"/>
              </w:rPr>
            </w:pPr>
            <w:r>
              <w:rPr>
                <w:rFonts w:ascii="Times New Roman" w:hAnsi="Times New Roman"/>
                <w:color w:val="auto"/>
                <w:lang w:eastAsia="en-US"/>
              </w:rPr>
              <w:t>监测时间</w:t>
            </w:r>
          </w:p>
        </w:tc>
        <w:tc>
          <w:tcPr>
            <w:tcW w:w="1590" w:type="dxa"/>
            <w:vAlign w:val="center"/>
          </w:tcPr>
          <w:p>
            <w:pPr>
              <w:pStyle w:val="164"/>
              <w:rPr>
                <w:rFonts w:ascii="Times New Roman" w:hAnsi="Times New Roman"/>
                <w:color w:val="auto"/>
                <w:lang w:eastAsia="en-US"/>
              </w:rPr>
            </w:pPr>
            <w:r>
              <w:rPr>
                <w:rFonts w:ascii="Times New Roman" w:hAnsi="Times New Roman"/>
                <w:color w:val="auto"/>
                <w:lang w:eastAsia="en-US"/>
              </w:rPr>
              <w:t>监测因子</w:t>
            </w:r>
          </w:p>
        </w:tc>
        <w:tc>
          <w:tcPr>
            <w:tcW w:w="3303" w:type="dxa"/>
            <w:vAlign w:val="center"/>
          </w:tcPr>
          <w:p>
            <w:pPr>
              <w:pStyle w:val="164"/>
              <w:rPr>
                <w:rFonts w:ascii="Times New Roman" w:hAnsi="Times New Roman"/>
                <w:color w:val="auto"/>
                <w:lang w:eastAsia="zh-CN"/>
              </w:rPr>
            </w:pPr>
            <w:r>
              <w:rPr>
                <w:rFonts w:ascii="Times New Roman" w:hAnsi="Times New Roman"/>
                <w:color w:val="auto"/>
                <w:lang w:eastAsia="zh-CN"/>
              </w:rPr>
              <w:t>土壤环境质量监测结果</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1804" w:hRule="atLeast"/>
          <w:jc w:val="center"/>
        </w:trPr>
        <w:tc>
          <w:tcPr>
            <w:tcW w:w="1363" w:type="dxa"/>
            <w:vAlign w:val="center"/>
          </w:tcPr>
          <w:p>
            <w:pPr>
              <w:pStyle w:val="164"/>
              <w:rPr>
                <w:rFonts w:ascii="Times New Roman" w:hAnsi="Times New Roman"/>
                <w:color w:val="auto"/>
                <w:lang w:eastAsia="zh-CN"/>
              </w:rPr>
            </w:pPr>
            <w:r>
              <w:rPr>
                <w:rFonts w:ascii="Times New Roman" w:hAnsi="Times New Roman"/>
                <w:color w:val="auto"/>
                <w:lang w:eastAsia="zh-CN"/>
              </w:rPr>
              <w:t>重庆同兴医疗废物处理有限公司主城区医疗废物处理中心技改项目</w:t>
            </w:r>
          </w:p>
        </w:tc>
        <w:tc>
          <w:tcPr>
            <w:tcW w:w="660" w:type="dxa"/>
            <w:vAlign w:val="center"/>
          </w:tcPr>
          <w:p>
            <w:pPr>
              <w:pStyle w:val="164"/>
              <w:rPr>
                <w:rFonts w:ascii="Times New Roman" w:hAnsi="Times New Roman"/>
                <w:color w:val="auto"/>
                <w:lang w:eastAsia="en-US"/>
              </w:rPr>
            </w:pPr>
            <w:r>
              <w:rPr>
                <w:rFonts w:ascii="Times New Roman" w:hAnsi="Times New Roman"/>
                <w:color w:val="auto"/>
                <w:lang w:eastAsia="en-US"/>
              </w:rPr>
              <w:t>北碚区同兴村</w:t>
            </w:r>
          </w:p>
        </w:tc>
        <w:tc>
          <w:tcPr>
            <w:tcW w:w="1140" w:type="dxa"/>
            <w:vAlign w:val="center"/>
          </w:tcPr>
          <w:p>
            <w:pPr>
              <w:pStyle w:val="164"/>
              <w:rPr>
                <w:rFonts w:ascii="Times New Roman" w:hAnsi="Times New Roman"/>
                <w:color w:val="auto"/>
                <w:lang w:eastAsia="zh-CN"/>
              </w:rPr>
            </w:pPr>
            <w:r>
              <w:rPr>
                <w:rFonts w:ascii="Times New Roman" w:hAnsi="Times New Roman"/>
                <w:color w:val="auto"/>
                <w:lang w:eastAsia="zh-CN"/>
              </w:rPr>
              <w:t>感染性医疗废物和损伤性医疗废物</w:t>
            </w:r>
          </w:p>
        </w:tc>
        <w:tc>
          <w:tcPr>
            <w:tcW w:w="990" w:type="dxa"/>
            <w:vAlign w:val="center"/>
          </w:tcPr>
          <w:p>
            <w:pPr>
              <w:pStyle w:val="164"/>
              <w:rPr>
                <w:rFonts w:ascii="Times New Roman" w:hAnsi="Times New Roman"/>
                <w:color w:val="auto"/>
                <w:lang w:eastAsia="en-US"/>
              </w:rPr>
            </w:pPr>
            <w:r>
              <w:rPr>
                <w:rFonts w:ascii="Times New Roman" w:hAnsi="Times New Roman"/>
                <w:color w:val="auto"/>
                <w:lang w:eastAsia="en-US"/>
              </w:rPr>
              <w:t>高温蒸汽灭菌+ 破碎</w:t>
            </w:r>
          </w:p>
        </w:tc>
        <w:tc>
          <w:tcPr>
            <w:tcW w:w="1080" w:type="dxa"/>
            <w:vAlign w:val="center"/>
          </w:tcPr>
          <w:p>
            <w:pPr>
              <w:pStyle w:val="164"/>
              <w:rPr>
                <w:rFonts w:ascii="Times New Roman" w:hAnsi="Times New Roman"/>
                <w:color w:val="auto"/>
                <w:lang w:eastAsia="en-US"/>
              </w:rPr>
            </w:pPr>
            <w:r>
              <w:rPr>
                <w:rFonts w:ascii="Times New Roman" w:hAnsi="Times New Roman"/>
                <w:color w:val="auto"/>
                <w:lang w:eastAsia="en-US"/>
              </w:rPr>
              <w:t>22吨/天</w:t>
            </w:r>
          </w:p>
        </w:tc>
        <w:tc>
          <w:tcPr>
            <w:tcW w:w="840" w:type="dxa"/>
            <w:vAlign w:val="center"/>
          </w:tcPr>
          <w:p>
            <w:pPr>
              <w:pStyle w:val="164"/>
              <w:rPr>
                <w:rFonts w:ascii="Times New Roman" w:hAnsi="Times New Roman"/>
                <w:color w:val="auto"/>
                <w:lang w:eastAsia="en-US"/>
              </w:rPr>
            </w:pPr>
            <w:r>
              <w:rPr>
                <w:rFonts w:ascii="Times New Roman" w:hAnsi="Times New Roman"/>
                <w:color w:val="auto"/>
                <w:lang w:eastAsia="en-US"/>
              </w:rPr>
              <w:t>2013年1 月</w:t>
            </w:r>
          </w:p>
        </w:tc>
        <w:tc>
          <w:tcPr>
            <w:tcW w:w="990" w:type="dxa"/>
            <w:vAlign w:val="center"/>
          </w:tcPr>
          <w:p>
            <w:pPr>
              <w:pStyle w:val="164"/>
              <w:rPr>
                <w:rFonts w:ascii="Times New Roman" w:hAnsi="Times New Roman"/>
                <w:color w:val="auto"/>
                <w:lang w:eastAsia="en-US"/>
              </w:rPr>
            </w:pPr>
            <w:r>
              <w:rPr>
                <w:rFonts w:ascii="Times New Roman" w:hAnsi="Times New Roman"/>
                <w:color w:val="auto"/>
                <w:lang w:eastAsia="en-US"/>
              </w:rPr>
              <w:t>正常运行</w:t>
            </w:r>
          </w:p>
        </w:tc>
        <w:tc>
          <w:tcPr>
            <w:tcW w:w="1335" w:type="dxa"/>
            <w:vAlign w:val="center"/>
          </w:tcPr>
          <w:p>
            <w:pPr>
              <w:pStyle w:val="164"/>
              <w:rPr>
                <w:rFonts w:ascii="Times New Roman" w:hAnsi="Times New Roman"/>
                <w:color w:val="auto"/>
                <w:lang w:eastAsia="zh-CN"/>
              </w:rPr>
            </w:pPr>
            <w:r>
              <w:rPr>
                <w:rFonts w:ascii="Times New Roman" w:hAnsi="Times New Roman"/>
                <w:color w:val="auto"/>
                <w:lang w:eastAsia="zh-CN"/>
              </w:rPr>
              <w:t>南侧厂界处、临近废水处理站处及临近处理车间处土样</w:t>
            </w:r>
          </w:p>
        </w:tc>
        <w:tc>
          <w:tcPr>
            <w:tcW w:w="885" w:type="dxa"/>
            <w:vAlign w:val="center"/>
          </w:tcPr>
          <w:p>
            <w:pPr>
              <w:pStyle w:val="164"/>
              <w:rPr>
                <w:rFonts w:ascii="Times New Roman" w:hAnsi="Times New Roman"/>
                <w:color w:val="auto"/>
                <w:lang w:eastAsia="en-US"/>
              </w:rPr>
            </w:pPr>
            <w:r>
              <w:rPr>
                <w:rFonts w:ascii="Times New Roman" w:hAnsi="Times New Roman"/>
                <w:color w:val="auto"/>
                <w:lang w:eastAsia="en-US"/>
              </w:rPr>
              <w:t>2018年8 月23日</w:t>
            </w:r>
          </w:p>
        </w:tc>
        <w:tc>
          <w:tcPr>
            <w:tcW w:w="1590" w:type="dxa"/>
            <w:vAlign w:val="center"/>
          </w:tcPr>
          <w:p>
            <w:pPr>
              <w:pStyle w:val="164"/>
              <w:rPr>
                <w:rFonts w:ascii="Times New Roman" w:hAnsi="Times New Roman"/>
                <w:color w:val="auto"/>
                <w:lang w:eastAsia="zh-CN"/>
              </w:rPr>
            </w:pPr>
            <w:r>
              <w:rPr>
                <w:rFonts w:ascii="Times New Roman" w:hAnsi="Times New Roman"/>
                <w:color w:val="auto"/>
                <w:lang w:eastAsia="zh-CN"/>
              </w:rPr>
              <w:t>《土壤环境质量建设用地土壤污染风险管控标准（试行）》(GB36600-2018)表 1 的全部因子</w:t>
            </w:r>
          </w:p>
        </w:tc>
        <w:tc>
          <w:tcPr>
            <w:tcW w:w="3303" w:type="dxa"/>
            <w:vAlign w:val="center"/>
          </w:tcPr>
          <w:p>
            <w:pPr>
              <w:pStyle w:val="164"/>
              <w:rPr>
                <w:rFonts w:ascii="Times New Roman" w:hAnsi="Times New Roman"/>
                <w:color w:val="auto"/>
                <w:lang w:eastAsia="zh-CN"/>
              </w:rPr>
            </w:pPr>
            <w:r>
              <w:rPr>
                <w:rFonts w:ascii="Times New Roman" w:hAnsi="Times New Roman"/>
                <w:color w:val="auto"/>
                <w:lang w:eastAsia="zh-CN"/>
              </w:rPr>
              <w:t>满足《土壤环境质量 建设用地土壤污染风险管控标准（试行）》(GB36600-2018)中建设用地土壤污染管控标准第二类用地筛选值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363" w:type="dxa"/>
            <w:vAlign w:val="center"/>
          </w:tcPr>
          <w:p>
            <w:pPr>
              <w:pStyle w:val="164"/>
              <w:rPr>
                <w:rFonts w:ascii="Times New Roman" w:hAnsi="Times New Roman"/>
                <w:color w:val="auto"/>
                <w:lang w:eastAsia="en-US"/>
              </w:rPr>
            </w:pPr>
            <w:r>
              <w:rPr>
                <w:rFonts w:ascii="Times New Roman" w:hAnsi="Times New Roman"/>
                <w:color w:val="auto"/>
                <w:lang w:eastAsia="en-US"/>
              </w:rPr>
              <w:t>本项目现有工程</w:t>
            </w:r>
          </w:p>
        </w:tc>
        <w:tc>
          <w:tcPr>
            <w:tcW w:w="660" w:type="dxa"/>
            <w:vAlign w:val="center"/>
          </w:tcPr>
          <w:p>
            <w:pPr>
              <w:pStyle w:val="164"/>
              <w:rPr>
                <w:rFonts w:ascii="Times New Roman" w:hAnsi="Times New Roman"/>
                <w:color w:val="auto"/>
                <w:lang w:eastAsia="en-US"/>
              </w:rPr>
            </w:pPr>
            <w:r>
              <w:rPr>
                <w:rFonts w:ascii="Times New Roman" w:hAnsi="Times New Roman"/>
                <w:color w:val="auto"/>
                <w:lang w:eastAsia="en-US"/>
              </w:rPr>
              <w:t>中卫市永康镇阳沟村</w:t>
            </w:r>
          </w:p>
        </w:tc>
        <w:tc>
          <w:tcPr>
            <w:tcW w:w="1140" w:type="dxa"/>
            <w:vAlign w:val="center"/>
          </w:tcPr>
          <w:p>
            <w:pPr>
              <w:pStyle w:val="164"/>
              <w:rPr>
                <w:rFonts w:ascii="Times New Roman" w:hAnsi="Times New Roman"/>
                <w:color w:val="auto"/>
                <w:lang w:eastAsia="zh-CN"/>
              </w:rPr>
            </w:pPr>
            <w:r>
              <w:rPr>
                <w:rFonts w:ascii="Times New Roman" w:hAnsi="Times New Roman"/>
                <w:color w:val="auto"/>
                <w:lang w:eastAsia="zh-CN"/>
              </w:rPr>
              <w:t>感染性医疗废物和损伤性医疗废物</w:t>
            </w:r>
          </w:p>
        </w:tc>
        <w:tc>
          <w:tcPr>
            <w:tcW w:w="990" w:type="dxa"/>
            <w:vAlign w:val="center"/>
          </w:tcPr>
          <w:p>
            <w:pPr>
              <w:pStyle w:val="164"/>
              <w:rPr>
                <w:rFonts w:ascii="Times New Roman" w:hAnsi="Times New Roman"/>
                <w:color w:val="auto"/>
                <w:lang w:eastAsia="en-US"/>
              </w:rPr>
            </w:pPr>
            <w:r>
              <w:rPr>
                <w:rFonts w:ascii="Times New Roman" w:hAnsi="Times New Roman"/>
                <w:color w:val="auto"/>
                <w:lang w:eastAsia="en-US"/>
              </w:rPr>
              <w:t>高温蒸汽灭菌+ 破碎</w:t>
            </w:r>
          </w:p>
        </w:tc>
        <w:tc>
          <w:tcPr>
            <w:tcW w:w="1080" w:type="dxa"/>
            <w:vAlign w:val="center"/>
          </w:tcPr>
          <w:p>
            <w:pPr>
              <w:pStyle w:val="164"/>
              <w:rPr>
                <w:rFonts w:ascii="Times New Roman" w:hAnsi="Times New Roman"/>
                <w:color w:val="auto"/>
                <w:lang w:eastAsia="en-US"/>
              </w:rPr>
            </w:pPr>
            <w:r>
              <w:rPr>
                <w:rFonts w:ascii="Times New Roman" w:hAnsi="Times New Roman"/>
                <w:color w:val="auto"/>
                <w:lang w:eastAsia="en-US"/>
              </w:rPr>
              <w:t>3吨/天</w:t>
            </w:r>
          </w:p>
        </w:tc>
        <w:tc>
          <w:tcPr>
            <w:tcW w:w="840" w:type="dxa"/>
            <w:vAlign w:val="center"/>
          </w:tcPr>
          <w:p>
            <w:pPr>
              <w:pStyle w:val="164"/>
              <w:rPr>
                <w:rFonts w:ascii="Times New Roman" w:hAnsi="Times New Roman"/>
                <w:color w:val="auto"/>
                <w:lang w:eastAsia="en-US"/>
              </w:rPr>
            </w:pPr>
            <w:r>
              <w:rPr>
                <w:rFonts w:ascii="Times New Roman" w:hAnsi="Times New Roman"/>
                <w:color w:val="auto"/>
                <w:lang w:eastAsia="en-US"/>
              </w:rPr>
              <w:t>2011年 12月</w:t>
            </w:r>
          </w:p>
        </w:tc>
        <w:tc>
          <w:tcPr>
            <w:tcW w:w="990" w:type="dxa"/>
            <w:vAlign w:val="center"/>
          </w:tcPr>
          <w:p>
            <w:pPr>
              <w:pStyle w:val="164"/>
              <w:rPr>
                <w:rFonts w:ascii="Times New Roman" w:hAnsi="Times New Roman"/>
                <w:color w:val="auto"/>
                <w:lang w:eastAsia="en-US"/>
              </w:rPr>
            </w:pPr>
            <w:r>
              <w:rPr>
                <w:rFonts w:ascii="Times New Roman" w:hAnsi="Times New Roman"/>
                <w:color w:val="auto"/>
                <w:lang w:eastAsia="en-US"/>
              </w:rPr>
              <w:t>正常运行</w:t>
            </w:r>
          </w:p>
        </w:tc>
        <w:tc>
          <w:tcPr>
            <w:tcW w:w="1335" w:type="dxa"/>
            <w:vAlign w:val="center"/>
          </w:tcPr>
          <w:p>
            <w:pPr>
              <w:pStyle w:val="164"/>
              <w:rPr>
                <w:rFonts w:ascii="Times New Roman" w:hAnsi="Times New Roman"/>
                <w:color w:val="auto"/>
                <w:lang w:eastAsia="zh-CN"/>
              </w:rPr>
            </w:pPr>
            <w:r>
              <w:rPr>
                <w:rFonts w:ascii="Times New Roman" w:hAnsi="Times New Roman"/>
                <w:color w:val="auto"/>
                <w:lang w:eastAsia="zh-CN"/>
              </w:rPr>
              <w:t>占地范围内设置5个柱状采样点（柱状样在0~0.5m、0.5~1.5m、1.5~3m分别取样），2个表层样点，占地范围外设置4个表层样点</w:t>
            </w:r>
          </w:p>
        </w:tc>
        <w:tc>
          <w:tcPr>
            <w:tcW w:w="885" w:type="dxa"/>
            <w:vAlign w:val="center"/>
          </w:tcPr>
          <w:p>
            <w:pPr>
              <w:pStyle w:val="164"/>
              <w:rPr>
                <w:rFonts w:ascii="Times New Roman" w:hAnsi="Times New Roman"/>
                <w:color w:val="auto"/>
                <w:lang w:eastAsia="en-US"/>
              </w:rPr>
            </w:pPr>
            <w:r>
              <w:rPr>
                <w:rFonts w:ascii="Times New Roman" w:hAnsi="Times New Roman"/>
                <w:color w:val="auto"/>
                <w:lang w:eastAsia="en-US"/>
              </w:rPr>
              <w:t>2020年4月16日</w:t>
            </w:r>
          </w:p>
        </w:tc>
        <w:tc>
          <w:tcPr>
            <w:tcW w:w="1590" w:type="dxa"/>
            <w:vAlign w:val="center"/>
          </w:tcPr>
          <w:p>
            <w:pPr>
              <w:pStyle w:val="164"/>
              <w:rPr>
                <w:rFonts w:ascii="Times New Roman" w:hAnsi="Times New Roman"/>
                <w:color w:val="auto"/>
                <w:lang w:eastAsia="zh-CN"/>
              </w:rPr>
            </w:pPr>
            <w:r>
              <w:rPr>
                <w:rFonts w:ascii="Times New Roman" w:hAnsi="Times New Roman"/>
                <w:color w:val="auto"/>
                <w:lang w:eastAsia="zh-CN"/>
              </w:rPr>
              <w:t>《土壤环境质量建设用地土壤污染风险管控标准（试行）》(GB36600-2018)表 1 的全部因子和《土壤环境质量 农用地土壤污染风险管控标准（试行）》(GB15618-2018）的全部因子</w:t>
            </w:r>
          </w:p>
        </w:tc>
        <w:tc>
          <w:tcPr>
            <w:tcW w:w="3303" w:type="dxa"/>
            <w:vAlign w:val="center"/>
          </w:tcPr>
          <w:p>
            <w:pPr>
              <w:pStyle w:val="164"/>
              <w:rPr>
                <w:rFonts w:ascii="Times New Roman" w:hAnsi="Times New Roman"/>
                <w:color w:val="auto"/>
                <w:lang w:eastAsia="zh-CN"/>
              </w:rPr>
            </w:pPr>
            <w:r>
              <w:rPr>
                <w:rFonts w:ascii="Times New Roman" w:hAnsi="Times New Roman"/>
                <w:color w:val="auto"/>
                <w:lang w:eastAsia="zh-CN"/>
              </w:rPr>
              <w:t>建设用地土壤满足《土壤环境质量 建设用地土壤污染风险管控标准（试行）》（GB36600-2018）中建设用地土壤污染管控标准第二类用地筛选值；农用地（旱地） 满足《土壤环境质量 农用地土壤污染风险管控标准（试行）》（GB 15618-2018）中风险筛选值 pH＞7.5 情况下的“其他”标准限值</w:t>
            </w:r>
          </w:p>
        </w:tc>
      </w:tr>
    </w:tbl>
    <w:p>
      <w:pPr>
        <w:rPr>
          <w:color w:val="auto"/>
        </w:rPr>
      </w:pPr>
    </w:p>
    <w:p>
      <w:pPr>
        <w:rPr>
          <w:color w:val="auto"/>
        </w:rPr>
        <w:sectPr>
          <w:pgSz w:w="16838" w:h="11906" w:orient="landscape"/>
          <w:pgMar w:top="1701" w:right="1701" w:bottom="1701" w:left="1701" w:header="851" w:footer="851" w:gutter="0"/>
          <w:cols w:space="720" w:num="1"/>
          <w:docGrid w:linePitch="466" w:charSpace="0"/>
        </w:sectPr>
      </w:pPr>
    </w:p>
    <w:bookmarkEnd w:id="468"/>
    <w:bookmarkEnd w:id="469"/>
    <w:p>
      <w:pPr>
        <w:pStyle w:val="130"/>
        <w:ind w:firstLine="480"/>
        <w:rPr>
          <w:color w:val="auto"/>
        </w:rPr>
      </w:pPr>
      <w:bookmarkStart w:id="475" w:name="_Toc11595438"/>
      <w:r>
        <w:rPr>
          <w:color w:val="auto"/>
        </w:rPr>
        <w:t>本项目土壤环境影响评价自查情况见表7.7-4。</w:t>
      </w:r>
    </w:p>
    <w:p>
      <w:pPr>
        <w:pStyle w:val="114"/>
        <w:spacing w:before="0" w:beforeLines="0"/>
        <w:rPr>
          <w:color w:val="auto"/>
        </w:rPr>
      </w:pPr>
      <w:r>
        <w:rPr>
          <w:color w:val="auto"/>
        </w:rPr>
        <w:t>表7.7-4   土壤环境影响评价自查表</w:t>
      </w:r>
    </w:p>
    <w:tbl>
      <w:tblPr>
        <w:tblStyle w:val="74"/>
        <w:tblW w:w="8835" w:type="dxa"/>
        <w:jc w:val="center"/>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07"/>
        <w:gridCol w:w="1577"/>
        <w:gridCol w:w="1332"/>
        <w:gridCol w:w="1168"/>
        <w:gridCol w:w="1383"/>
        <w:gridCol w:w="418"/>
        <w:gridCol w:w="1800"/>
        <w:gridCol w:w="65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2084" w:type="dxa"/>
            <w:gridSpan w:val="2"/>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工作内容</w:t>
            </w:r>
          </w:p>
        </w:tc>
        <w:tc>
          <w:tcPr>
            <w:tcW w:w="6101" w:type="dxa"/>
            <w:gridSpan w:val="5"/>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完成情况</w:t>
            </w:r>
          </w:p>
        </w:tc>
        <w:tc>
          <w:tcPr>
            <w:tcW w:w="650"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restart"/>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影响识别</w:t>
            </w: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影响类型</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污染影响型</w:t>
            </w:r>
            <w:r>
              <w:rPr>
                <w:color w:val="auto"/>
                <w:sz w:val="18"/>
                <w:szCs w:val="18"/>
                <w:lang w:bidi="en-US"/>
              </w:rPr>
              <w:sym w:font="Wingdings 2" w:char="0052"/>
            </w:r>
            <w:r>
              <w:rPr>
                <w:color w:val="auto"/>
                <w:sz w:val="18"/>
                <w:szCs w:val="18"/>
                <w:lang w:bidi="en-US"/>
              </w:rPr>
              <w:t>；生态影响型</w:t>
            </w:r>
            <w:r>
              <w:rPr>
                <w:color w:val="auto"/>
                <w:sz w:val="18"/>
                <w:szCs w:val="18"/>
                <w:lang w:bidi="en-US"/>
              </w:rPr>
              <w:sym w:font="Wingdings 2" w:char="00A3"/>
            </w:r>
            <w:r>
              <w:rPr>
                <w:color w:val="auto"/>
                <w:sz w:val="18"/>
                <w:szCs w:val="18"/>
                <w:lang w:bidi="en-US"/>
              </w:rPr>
              <w:t>；两种兼有</w:t>
            </w:r>
            <w:r>
              <w:rPr>
                <w:color w:val="auto"/>
                <w:sz w:val="18"/>
                <w:szCs w:val="18"/>
                <w:lang w:bidi="en-US"/>
              </w:rPr>
              <w:sym w:font="Wingdings 2" w:char="00A3"/>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土地利用类型</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建设用地</w:t>
            </w:r>
            <w:r>
              <w:rPr>
                <w:color w:val="auto"/>
                <w:sz w:val="18"/>
                <w:szCs w:val="18"/>
                <w:lang w:bidi="en-US"/>
              </w:rPr>
              <w:sym w:font="Wingdings 2" w:char="0052"/>
            </w:r>
            <w:r>
              <w:rPr>
                <w:color w:val="auto"/>
                <w:sz w:val="18"/>
                <w:szCs w:val="18"/>
                <w:lang w:bidi="en-US"/>
              </w:rPr>
              <w:t>；农用地</w:t>
            </w:r>
            <w:r>
              <w:rPr>
                <w:color w:val="auto"/>
                <w:sz w:val="18"/>
                <w:szCs w:val="18"/>
                <w:lang w:bidi="en-US"/>
              </w:rPr>
              <w:sym w:font="Wingdings 2" w:char="0052"/>
            </w:r>
            <w:r>
              <w:rPr>
                <w:color w:val="auto"/>
                <w:sz w:val="18"/>
                <w:szCs w:val="18"/>
                <w:lang w:bidi="en-US"/>
              </w:rPr>
              <w:t>；未利用地</w:t>
            </w:r>
            <w:r>
              <w:rPr>
                <w:color w:val="auto"/>
                <w:sz w:val="18"/>
                <w:szCs w:val="18"/>
                <w:lang w:bidi="en-US"/>
              </w:rPr>
              <w:sym w:font="Wingdings 2" w:char="00A3"/>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占地规模</w:t>
            </w:r>
          </w:p>
        </w:tc>
        <w:tc>
          <w:tcPr>
            <w:tcW w:w="6101" w:type="dxa"/>
            <w:gridSpan w:val="5"/>
            <w:tcBorders>
              <w:tl2br w:val="nil"/>
              <w:tr2bl w:val="nil"/>
            </w:tcBorders>
            <w:vAlign w:val="center"/>
          </w:tcPr>
          <w:p>
            <w:pPr>
              <w:tabs>
                <w:tab w:val="left" w:pos="1370"/>
              </w:tabs>
              <w:autoSpaceDE w:val="0"/>
              <w:autoSpaceDN w:val="0"/>
              <w:adjustRightInd w:val="0"/>
              <w:snapToGrid w:val="0"/>
              <w:ind w:left="105" w:leftChars="50"/>
              <w:rPr>
                <w:rFonts w:eastAsia="Times New Roman"/>
                <w:color w:val="auto"/>
                <w:sz w:val="18"/>
                <w:szCs w:val="18"/>
                <w:lang w:eastAsia="en-US" w:bidi="en-US"/>
              </w:rPr>
            </w:pPr>
            <w:r>
              <w:rPr>
                <w:color w:val="auto"/>
                <w:sz w:val="18"/>
                <w:szCs w:val="18"/>
                <w:lang w:eastAsia="en-US" w:bidi="en-US"/>
              </w:rPr>
              <w:t>（</w:t>
            </w:r>
            <w:r>
              <w:rPr>
                <w:color w:val="auto"/>
                <w:sz w:val="18"/>
                <w:szCs w:val="18"/>
                <w:lang w:bidi="en-US"/>
              </w:rPr>
              <w:t>0.55</w:t>
            </w:r>
            <w:r>
              <w:rPr>
                <w:color w:val="auto"/>
                <w:sz w:val="18"/>
                <w:szCs w:val="18"/>
                <w:lang w:eastAsia="en-US" w:bidi="en-US"/>
              </w:rPr>
              <w:t>）</w:t>
            </w:r>
            <w:r>
              <w:rPr>
                <w:rFonts w:eastAsia="Times New Roman"/>
                <w:color w:val="auto"/>
                <w:sz w:val="18"/>
                <w:szCs w:val="18"/>
                <w:lang w:eastAsia="en-US" w:bidi="en-US"/>
              </w:rPr>
              <w:t>hm²</w:t>
            </w:r>
          </w:p>
        </w:tc>
        <w:tc>
          <w:tcPr>
            <w:tcW w:w="650" w:type="dxa"/>
            <w:tcBorders>
              <w:tl2br w:val="nil"/>
              <w:tr2bl w:val="nil"/>
            </w:tcBorders>
            <w:vAlign w:val="center"/>
          </w:tcPr>
          <w:p>
            <w:pPr>
              <w:autoSpaceDE w:val="0"/>
              <w:autoSpaceDN w:val="0"/>
              <w:adjustRightInd w:val="0"/>
              <w:snapToGrid w:val="0"/>
              <w:jc w:val="center"/>
              <w:rPr>
                <w:color w:val="auto"/>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敏感目标信息</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周边学校、居民区和农用地</w:t>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影响途径</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大气沉降</w:t>
            </w:r>
            <w:r>
              <w:rPr>
                <w:color w:val="auto"/>
                <w:sz w:val="18"/>
                <w:szCs w:val="18"/>
                <w:lang w:bidi="en-US"/>
              </w:rPr>
              <w:sym w:font="Wingdings 2" w:char="0052"/>
            </w:r>
            <w:r>
              <w:rPr>
                <w:color w:val="auto"/>
                <w:sz w:val="18"/>
                <w:szCs w:val="18"/>
                <w:lang w:bidi="en-US"/>
              </w:rPr>
              <w:t>；地面漫流</w:t>
            </w:r>
            <w:r>
              <w:rPr>
                <w:color w:val="auto"/>
                <w:sz w:val="18"/>
                <w:szCs w:val="18"/>
                <w:lang w:bidi="en-US"/>
              </w:rPr>
              <w:sym w:font="Wingdings 2" w:char="00A3"/>
            </w:r>
            <w:r>
              <w:rPr>
                <w:color w:val="auto"/>
                <w:sz w:val="18"/>
                <w:szCs w:val="18"/>
                <w:lang w:bidi="en-US"/>
              </w:rPr>
              <w:t>；垂直入渗</w:t>
            </w:r>
            <w:r>
              <w:rPr>
                <w:color w:val="auto"/>
                <w:sz w:val="18"/>
                <w:szCs w:val="18"/>
                <w:lang w:bidi="en-US"/>
              </w:rPr>
              <w:sym w:font="Wingdings 2" w:char="0052"/>
            </w:r>
            <w:r>
              <w:rPr>
                <w:color w:val="auto"/>
                <w:sz w:val="18"/>
                <w:szCs w:val="18"/>
                <w:lang w:bidi="en-US"/>
              </w:rPr>
              <w:t>；地下水位</w:t>
            </w:r>
            <w:r>
              <w:rPr>
                <w:color w:val="auto"/>
                <w:sz w:val="18"/>
                <w:szCs w:val="18"/>
                <w:lang w:bidi="en-US"/>
              </w:rPr>
              <w:sym w:font="Wingdings 2" w:char="00A3"/>
            </w:r>
            <w:r>
              <w:rPr>
                <w:color w:val="auto"/>
                <w:sz w:val="18"/>
                <w:szCs w:val="18"/>
                <w:lang w:bidi="en-US"/>
              </w:rPr>
              <w:t>；其他（）</w:t>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全部污染物</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rPr>
              <w:t>颗粒物、</w:t>
            </w:r>
            <w:r>
              <w:rPr>
                <w:rStyle w:val="115"/>
                <w:b w:val="0"/>
                <w:color w:val="auto"/>
                <w:sz w:val="18"/>
                <w:szCs w:val="18"/>
              </w:rPr>
              <w:t>NH</w:t>
            </w:r>
            <w:r>
              <w:rPr>
                <w:rStyle w:val="115"/>
                <w:b w:val="0"/>
                <w:color w:val="auto"/>
                <w:sz w:val="18"/>
                <w:szCs w:val="18"/>
                <w:vertAlign w:val="subscript"/>
              </w:rPr>
              <w:t>3</w:t>
            </w:r>
            <w:r>
              <w:rPr>
                <w:rStyle w:val="115"/>
                <w:b w:val="0"/>
                <w:color w:val="auto"/>
                <w:sz w:val="18"/>
                <w:szCs w:val="18"/>
              </w:rPr>
              <w:t>、H</w:t>
            </w:r>
            <w:r>
              <w:rPr>
                <w:rStyle w:val="115"/>
                <w:b w:val="0"/>
                <w:color w:val="auto"/>
                <w:sz w:val="18"/>
                <w:szCs w:val="18"/>
                <w:vertAlign w:val="subscript"/>
              </w:rPr>
              <w:t>2</w:t>
            </w:r>
            <w:r>
              <w:rPr>
                <w:rStyle w:val="115"/>
                <w:b w:val="0"/>
                <w:color w:val="auto"/>
                <w:sz w:val="18"/>
                <w:szCs w:val="18"/>
              </w:rPr>
              <w:t>S、VOCs、</w:t>
            </w:r>
            <w:r>
              <w:rPr>
                <w:color w:val="auto"/>
                <w:sz w:val="18"/>
                <w:szCs w:val="18"/>
              </w:rPr>
              <w:t>COD、BOD、氨氮、SS、粪大肠菌群、余氯</w:t>
            </w:r>
          </w:p>
        </w:tc>
        <w:tc>
          <w:tcPr>
            <w:tcW w:w="650" w:type="dxa"/>
            <w:tcBorders>
              <w:tl2br w:val="nil"/>
              <w:tr2bl w:val="nil"/>
            </w:tcBorders>
            <w:vAlign w:val="center"/>
          </w:tcPr>
          <w:p>
            <w:pPr>
              <w:autoSpaceDE w:val="0"/>
              <w:autoSpaceDN w:val="0"/>
              <w:adjustRightInd w:val="0"/>
              <w:snapToGrid w:val="0"/>
              <w:jc w:val="center"/>
              <w:rPr>
                <w:color w:val="auto"/>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特征因子</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w:t>
            </w:r>
          </w:p>
        </w:tc>
        <w:tc>
          <w:tcPr>
            <w:tcW w:w="650" w:type="dxa"/>
            <w:tcBorders>
              <w:tl2br w:val="nil"/>
              <w:tr2bl w:val="nil"/>
            </w:tcBorders>
            <w:vAlign w:val="center"/>
          </w:tcPr>
          <w:p>
            <w:pPr>
              <w:autoSpaceDE w:val="0"/>
              <w:autoSpaceDN w:val="0"/>
              <w:adjustRightInd w:val="0"/>
              <w:snapToGrid w:val="0"/>
              <w:jc w:val="center"/>
              <w:rPr>
                <w:color w:val="auto"/>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所属土壤环境影响评价项目类别</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Ⅰ类</w:t>
            </w:r>
            <w:r>
              <w:rPr>
                <w:color w:val="auto"/>
                <w:sz w:val="18"/>
                <w:szCs w:val="18"/>
                <w:lang w:bidi="en-US"/>
              </w:rPr>
              <w:sym w:font="Wingdings 2" w:char="0052"/>
            </w:r>
            <w:r>
              <w:rPr>
                <w:color w:val="auto"/>
                <w:sz w:val="18"/>
                <w:szCs w:val="18"/>
                <w:lang w:bidi="en-US"/>
              </w:rPr>
              <w:t>；Ⅱ类</w:t>
            </w:r>
            <w:r>
              <w:rPr>
                <w:color w:val="auto"/>
                <w:sz w:val="18"/>
                <w:szCs w:val="18"/>
                <w:lang w:bidi="en-US"/>
              </w:rPr>
              <w:sym w:font="Wingdings 2" w:char="00A3"/>
            </w:r>
            <w:r>
              <w:rPr>
                <w:color w:val="auto"/>
                <w:sz w:val="18"/>
                <w:szCs w:val="18"/>
                <w:lang w:bidi="en-US"/>
              </w:rPr>
              <w:t>；Ⅲ类□；Ⅳ类□</w:t>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敏感程度</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敏感</w:t>
            </w:r>
            <w:r>
              <w:rPr>
                <w:color w:val="auto"/>
                <w:sz w:val="18"/>
                <w:szCs w:val="18"/>
                <w:lang w:bidi="en-US"/>
              </w:rPr>
              <w:sym w:font="Wingdings 2" w:char="0052"/>
            </w:r>
            <w:r>
              <w:rPr>
                <w:color w:val="auto"/>
                <w:sz w:val="18"/>
                <w:szCs w:val="18"/>
                <w:lang w:bidi="en-US"/>
              </w:rPr>
              <w:t>；较敏感</w:t>
            </w:r>
            <w:r>
              <w:rPr>
                <w:color w:val="auto"/>
                <w:sz w:val="18"/>
                <w:szCs w:val="18"/>
                <w:lang w:bidi="en-US"/>
              </w:rPr>
              <w:sym w:font="Wingdings 2" w:char="00A3"/>
            </w:r>
            <w:r>
              <w:rPr>
                <w:color w:val="auto"/>
                <w:sz w:val="18"/>
                <w:szCs w:val="18"/>
                <w:lang w:bidi="en-US"/>
              </w:rPr>
              <w:t>；不敏感</w:t>
            </w:r>
            <w:r>
              <w:rPr>
                <w:color w:val="auto"/>
                <w:sz w:val="18"/>
                <w:szCs w:val="18"/>
                <w:lang w:bidi="en-US"/>
              </w:rPr>
              <w:sym w:font="Wingdings 2" w:char="00A3"/>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2084" w:type="dxa"/>
            <w:gridSpan w:val="2"/>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评价工作等级</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一级</w:t>
            </w:r>
            <w:r>
              <w:rPr>
                <w:color w:val="auto"/>
                <w:sz w:val="18"/>
                <w:szCs w:val="18"/>
                <w:lang w:bidi="en-US"/>
              </w:rPr>
              <w:sym w:font="Wingdings 2" w:char="0052"/>
            </w:r>
            <w:r>
              <w:rPr>
                <w:color w:val="auto"/>
                <w:sz w:val="18"/>
                <w:szCs w:val="18"/>
                <w:lang w:bidi="en-US"/>
              </w:rPr>
              <w:t>；二级</w:t>
            </w:r>
            <w:r>
              <w:rPr>
                <w:color w:val="auto"/>
                <w:sz w:val="18"/>
                <w:szCs w:val="18"/>
                <w:lang w:bidi="en-US"/>
              </w:rPr>
              <w:sym w:font="Wingdings 2" w:char="00A3"/>
            </w:r>
            <w:r>
              <w:rPr>
                <w:color w:val="auto"/>
                <w:sz w:val="18"/>
                <w:szCs w:val="18"/>
                <w:lang w:bidi="en-US"/>
              </w:rPr>
              <w:t>；三级</w:t>
            </w:r>
            <w:r>
              <w:rPr>
                <w:color w:val="auto"/>
                <w:sz w:val="18"/>
                <w:szCs w:val="18"/>
                <w:lang w:bidi="en-US"/>
              </w:rPr>
              <w:sym w:font="Wingdings 2" w:char="00A3"/>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restart"/>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现状调查内容</w:t>
            </w: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资料收集</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eastAsia="en-US" w:bidi="en-US"/>
              </w:rPr>
            </w:pPr>
            <w:r>
              <w:rPr>
                <w:rFonts w:eastAsia="Times New Roman"/>
                <w:color w:val="auto"/>
                <w:sz w:val="18"/>
                <w:szCs w:val="18"/>
                <w:lang w:eastAsia="en-US" w:bidi="en-US"/>
              </w:rPr>
              <w:t>a</w:t>
            </w:r>
            <w:r>
              <w:rPr>
                <w:color w:val="auto"/>
                <w:sz w:val="18"/>
                <w:szCs w:val="18"/>
                <w:lang w:eastAsia="en-US" w:bidi="en-US"/>
              </w:rPr>
              <w:t>）</w:t>
            </w:r>
            <w:r>
              <w:rPr>
                <w:color w:val="auto"/>
                <w:sz w:val="18"/>
                <w:szCs w:val="18"/>
                <w:lang w:eastAsia="en-US" w:bidi="en-US"/>
              </w:rPr>
              <w:sym w:font="Wingdings 2" w:char="0052"/>
            </w:r>
            <w:r>
              <w:rPr>
                <w:color w:val="auto"/>
                <w:sz w:val="18"/>
                <w:szCs w:val="18"/>
                <w:lang w:eastAsia="en-US" w:bidi="en-US"/>
              </w:rPr>
              <w:t>；</w:t>
            </w:r>
            <w:r>
              <w:rPr>
                <w:rFonts w:eastAsia="Times New Roman"/>
                <w:color w:val="auto"/>
                <w:sz w:val="18"/>
                <w:szCs w:val="18"/>
                <w:lang w:eastAsia="en-US" w:bidi="en-US"/>
              </w:rPr>
              <w:t>b</w:t>
            </w:r>
            <w:r>
              <w:rPr>
                <w:color w:val="auto"/>
                <w:sz w:val="18"/>
                <w:szCs w:val="18"/>
                <w:lang w:eastAsia="en-US" w:bidi="en-US"/>
              </w:rPr>
              <w:t>）</w:t>
            </w:r>
            <w:r>
              <w:rPr>
                <w:color w:val="auto"/>
                <w:sz w:val="18"/>
                <w:szCs w:val="18"/>
                <w:lang w:eastAsia="en-US" w:bidi="en-US"/>
              </w:rPr>
              <w:sym w:font="Wingdings 2" w:char="0052"/>
            </w:r>
            <w:r>
              <w:rPr>
                <w:color w:val="auto"/>
                <w:sz w:val="18"/>
                <w:szCs w:val="18"/>
                <w:lang w:eastAsia="en-US" w:bidi="en-US"/>
              </w:rPr>
              <w:t>；</w:t>
            </w:r>
            <w:r>
              <w:rPr>
                <w:rFonts w:eastAsia="Times New Roman"/>
                <w:color w:val="auto"/>
                <w:sz w:val="18"/>
                <w:szCs w:val="18"/>
                <w:lang w:eastAsia="en-US" w:bidi="en-US"/>
              </w:rPr>
              <w:t>c</w:t>
            </w:r>
            <w:r>
              <w:rPr>
                <w:color w:val="auto"/>
                <w:sz w:val="18"/>
                <w:szCs w:val="18"/>
                <w:lang w:eastAsia="en-US" w:bidi="en-US"/>
              </w:rPr>
              <w:t>）</w:t>
            </w:r>
            <w:r>
              <w:rPr>
                <w:color w:val="auto"/>
                <w:sz w:val="18"/>
                <w:szCs w:val="18"/>
                <w:lang w:eastAsia="en-US" w:bidi="en-US"/>
              </w:rPr>
              <w:sym w:font="Wingdings 2" w:char="0052"/>
            </w:r>
            <w:r>
              <w:rPr>
                <w:color w:val="auto"/>
                <w:sz w:val="18"/>
                <w:szCs w:val="18"/>
                <w:lang w:eastAsia="en-US" w:bidi="en-US"/>
              </w:rPr>
              <w:t>；d）</w:t>
            </w:r>
            <w:r>
              <w:rPr>
                <w:color w:val="auto"/>
                <w:sz w:val="18"/>
                <w:szCs w:val="18"/>
                <w:lang w:eastAsia="en-US" w:bidi="en-US"/>
              </w:rPr>
              <w:sym w:font="Wingdings 2" w:char="0052"/>
            </w:r>
          </w:p>
        </w:tc>
        <w:tc>
          <w:tcPr>
            <w:tcW w:w="650" w:type="dxa"/>
            <w:tcBorders>
              <w:tl2br w:val="nil"/>
              <w:tr2bl w:val="nil"/>
            </w:tcBorders>
            <w:vAlign w:val="center"/>
          </w:tcPr>
          <w:p>
            <w:pPr>
              <w:autoSpaceDE w:val="0"/>
              <w:autoSpaceDN w:val="0"/>
              <w:adjustRightInd w:val="0"/>
              <w:snapToGrid w:val="0"/>
              <w:jc w:val="center"/>
              <w:rPr>
                <w:color w:val="auto"/>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理化特性</w:t>
            </w:r>
          </w:p>
        </w:tc>
        <w:tc>
          <w:tcPr>
            <w:tcW w:w="6101" w:type="dxa"/>
            <w:gridSpan w:val="5"/>
            <w:tcBorders>
              <w:tl2br w:val="nil"/>
              <w:tr2bl w:val="nil"/>
            </w:tcBorders>
            <w:vAlign w:val="center"/>
          </w:tcPr>
          <w:p>
            <w:pPr>
              <w:autoSpaceDE w:val="0"/>
              <w:autoSpaceDN w:val="0"/>
              <w:adjustRightInd w:val="0"/>
              <w:snapToGrid w:val="0"/>
              <w:jc w:val="center"/>
              <w:rPr>
                <w:color w:val="auto"/>
                <w:sz w:val="18"/>
                <w:szCs w:val="18"/>
                <w:lang w:bidi="en-US"/>
              </w:rPr>
            </w:pPr>
            <w:r>
              <w:rPr>
                <w:color w:val="auto"/>
                <w:kern w:val="0"/>
                <w:sz w:val="18"/>
                <w:szCs w:val="18"/>
              </w:rPr>
              <w:t>pH值、阳离子交换量、氧化还原点位、饱和导水率、土壤容重、孔隙度</w:t>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同附录C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c>
          <w:tcPr>
            <w:tcW w:w="1577" w:type="dxa"/>
            <w:vMerge w:val="restart"/>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现状监测点位</w:t>
            </w:r>
          </w:p>
        </w:tc>
        <w:tc>
          <w:tcPr>
            <w:tcW w:w="1332" w:type="dxa"/>
            <w:tcBorders>
              <w:tl2br w:val="nil"/>
              <w:tr2bl w:val="nil"/>
            </w:tcBorders>
            <w:vAlign w:val="center"/>
          </w:tcPr>
          <w:p>
            <w:pPr>
              <w:autoSpaceDE w:val="0"/>
              <w:autoSpaceDN w:val="0"/>
              <w:adjustRightInd w:val="0"/>
              <w:snapToGrid w:val="0"/>
              <w:jc w:val="center"/>
              <w:rPr>
                <w:color w:val="auto"/>
                <w:sz w:val="18"/>
                <w:szCs w:val="18"/>
                <w:lang w:eastAsia="en-US" w:bidi="en-US"/>
              </w:rPr>
            </w:pPr>
          </w:p>
        </w:tc>
        <w:tc>
          <w:tcPr>
            <w:tcW w:w="1168"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占地范围内</w:t>
            </w:r>
          </w:p>
        </w:tc>
        <w:tc>
          <w:tcPr>
            <w:tcW w:w="1383"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占地范围外</w:t>
            </w:r>
          </w:p>
        </w:tc>
        <w:tc>
          <w:tcPr>
            <w:tcW w:w="2218" w:type="dxa"/>
            <w:gridSpan w:val="2"/>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深度</w:t>
            </w:r>
          </w:p>
        </w:tc>
        <w:tc>
          <w:tcPr>
            <w:tcW w:w="650" w:type="dxa"/>
            <w:vMerge w:val="restart"/>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点位布置图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332"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表层样点数</w:t>
            </w:r>
          </w:p>
        </w:tc>
        <w:tc>
          <w:tcPr>
            <w:tcW w:w="1168" w:type="dxa"/>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2</w:t>
            </w:r>
          </w:p>
        </w:tc>
        <w:tc>
          <w:tcPr>
            <w:tcW w:w="1383" w:type="dxa"/>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4</w:t>
            </w:r>
          </w:p>
        </w:tc>
        <w:tc>
          <w:tcPr>
            <w:tcW w:w="2218" w:type="dxa"/>
            <w:gridSpan w:val="2"/>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0-0.2m</w:t>
            </w:r>
          </w:p>
        </w:tc>
        <w:tc>
          <w:tcPr>
            <w:tcW w:w="650"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332"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柱状样点数</w:t>
            </w:r>
          </w:p>
        </w:tc>
        <w:tc>
          <w:tcPr>
            <w:tcW w:w="1168" w:type="dxa"/>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5</w:t>
            </w:r>
          </w:p>
        </w:tc>
        <w:tc>
          <w:tcPr>
            <w:tcW w:w="1383" w:type="dxa"/>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0</w:t>
            </w:r>
          </w:p>
        </w:tc>
        <w:tc>
          <w:tcPr>
            <w:tcW w:w="2218" w:type="dxa"/>
            <w:gridSpan w:val="2"/>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bidi="en-US"/>
              </w:rPr>
              <w:t>0~0.5m、0.5~1.5m、1.5~3 m</w:t>
            </w:r>
          </w:p>
        </w:tc>
        <w:tc>
          <w:tcPr>
            <w:tcW w:w="650"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现状监测因子</w:t>
            </w:r>
          </w:p>
        </w:tc>
        <w:tc>
          <w:tcPr>
            <w:tcW w:w="6101" w:type="dxa"/>
            <w:gridSpan w:val="5"/>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45项因子、理化特性</w:t>
            </w:r>
          </w:p>
        </w:tc>
        <w:tc>
          <w:tcPr>
            <w:tcW w:w="650" w:type="dxa"/>
            <w:tcBorders>
              <w:tl2br w:val="nil"/>
              <w:tr2bl w:val="nil"/>
            </w:tcBorders>
            <w:vAlign w:val="center"/>
          </w:tcPr>
          <w:p>
            <w:pPr>
              <w:autoSpaceDE w:val="0"/>
              <w:autoSpaceDN w:val="0"/>
              <w:adjustRightInd w:val="0"/>
              <w:snapToGrid w:val="0"/>
              <w:jc w:val="center"/>
              <w:rPr>
                <w:color w:val="auto"/>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restart"/>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现状评价</w:t>
            </w: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评价因子</w:t>
            </w:r>
          </w:p>
        </w:tc>
        <w:tc>
          <w:tcPr>
            <w:tcW w:w="6101" w:type="dxa"/>
            <w:gridSpan w:val="5"/>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45项因子</w:t>
            </w:r>
          </w:p>
        </w:tc>
        <w:tc>
          <w:tcPr>
            <w:tcW w:w="650" w:type="dxa"/>
            <w:tcBorders>
              <w:tl2br w:val="nil"/>
              <w:tr2bl w:val="nil"/>
            </w:tcBorders>
            <w:vAlign w:val="center"/>
          </w:tcPr>
          <w:p>
            <w:pPr>
              <w:autoSpaceDE w:val="0"/>
              <w:autoSpaceDN w:val="0"/>
              <w:adjustRightInd w:val="0"/>
              <w:snapToGrid w:val="0"/>
              <w:jc w:val="center"/>
              <w:rPr>
                <w:color w:val="auto"/>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评价标准</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eastAsia="en-US" w:bidi="en-US"/>
              </w:rPr>
            </w:pPr>
            <w:r>
              <w:rPr>
                <w:rFonts w:eastAsia="Times New Roman"/>
                <w:color w:val="auto"/>
                <w:sz w:val="18"/>
                <w:szCs w:val="18"/>
                <w:lang w:eastAsia="en-US" w:bidi="en-US"/>
              </w:rPr>
              <w:t>GB 15618</w:t>
            </w:r>
            <w:r>
              <w:rPr>
                <w:color w:val="auto"/>
                <w:sz w:val="18"/>
                <w:szCs w:val="18"/>
                <w:lang w:eastAsia="en-US" w:bidi="en-US"/>
              </w:rPr>
              <w:sym w:font="Wingdings 2" w:char="0052"/>
            </w:r>
            <w:r>
              <w:rPr>
                <w:color w:val="auto"/>
                <w:sz w:val="18"/>
                <w:szCs w:val="18"/>
                <w:lang w:eastAsia="en-US" w:bidi="en-US"/>
              </w:rPr>
              <w:t>；</w:t>
            </w:r>
            <w:r>
              <w:rPr>
                <w:rFonts w:eastAsia="Times New Roman"/>
                <w:color w:val="auto"/>
                <w:sz w:val="18"/>
                <w:szCs w:val="18"/>
                <w:lang w:eastAsia="en-US" w:bidi="en-US"/>
              </w:rPr>
              <w:t>GB 36600</w:t>
            </w:r>
            <w:r>
              <w:rPr>
                <w:color w:val="auto"/>
                <w:sz w:val="18"/>
                <w:szCs w:val="18"/>
                <w:lang w:eastAsia="en-US" w:bidi="en-US"/>
              </w:rPr>
              <w:sym w:font="Wingdings 2" w:char="0052"/>
            </w:r>
            <w:r>
              <w:rPr>
                <w:color w:val="auto"/>
                <w:sz w:val="18"/>
                <w:szCs w:val="18"/>
                <w:lang w:eastAsia="en-US" w:bidi="en-US"/>
              </w:rPr>
              <w:t>；表</w:t>
            </w:r>
            <w:r>
              <w:rPr>
                <w:rFonts w:eastAsia="Times New Roman"/>
                <w:color w:val="auto"/>
                <w:sz w:val="18"/>
                <w:szCs w:val="18"/>
                <w:lang w:eastAsia="en-US" w:bidi="en-US"/>
              </w:rPr>
              <w:t>D.1</w:t>
            </w:r>
            <w:r>
              <w:rPr>
                <w:color w:val="auto"/>
                <w:sz w:val="18"/>
                <w:szCs w:val="18"/>
                <w:lang w:eastAsia="en-US" w:bidi="en-US"/>
              </w:rPr>
              <w:sym w:font="Wingdings 2" w:char="00A3"/>
            </w:r>
            <w:r>
              <w:rPr>
                <w:color w:val="auto"/>
                <w:sz w:val="18"/>
                <w:szCs w:val="18"/>
                <w:lang w:eastAsia="en-US" w:bidi="en-US"/>
              </w:rPr>
              <w:t xml:space="preserve">；表 </w:t>
            </w:r>
            <w:r>
              <w:rPr>
                <w:rFonts w:eastAsia="Times New Roman"/>
                <w:color w:val="auto"/>
                <w:sz w:val="18"/>
                <w:szCs w:val="18"/>
                <w:lang w:eastAsia="en-US" w:bidi="en-US"/>
              </w:rPr>
              <w:t>D.2</w:t>
            </w:r>
            <w:r>
              <w:rPr>
                <w:color w:val="auto"/>
                <w:sz w:val="18"/>
                <w:szCs w:val="18"/>
                <w:lang w:eastAsia="en-US" w:bidi="en-US"/>
              </w:rPr>
              <w:sym w:font="Wingdings 2" w:char="00A3"/>
            </w:r>
            <w:r>
              <w:rPr>
                <w:color w:val="auto"/>
                <w:sz w:val="18"/>
                <w:szCs w:val="18"/>
                <w:lang w:eastAsia="en-US" w:bidi="en-US"/>
              </w:rPr>
              <w:t>；其他（）</w:t>
            </w:r>
          </w:p>
        </w:tc>
        <w:tc>
          <w:tcPr>
            <w:tcW w:w="650" w:type="dxa"/>
            <w:tcBorders>
              <w:tl2br w:val="nil"/>
              <w:tr2bl w:val="nil"/>
            </w:tcBorders>
            <w:vAlign w:val="center"/>
          </w:tcPr>
          <w:p>
            <w:pPr>
              <w:autoSpaceDE w:val="0"/>
              <w:autoSpaceDN w:val="0"/>
              <w:adjustRightInd w:val="0"/>
              <w:snapToGrid w:val="0"/>
              <w:jc w:val="center"/>
              <w:rPr>
                <w:color w:val="auto"/>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现状评价结论</w:t>
            </w:r>
          </w:p>
        </w:tc>
        <w:tc>
          <w:tcPr>
            <w:tcW w:w="6101" w:type="dxa"/>
            <w:gridSpan w:val="5"/>
            <w:tcBorders>
              <w:tl2br w:val="nil"/>
              <w:tr2bl w:val="nil"/>
            </w:tcBorders>
            <w:vAlign w:val="center"/>
          </w:tcPr>
          <w:p>
            <w:pPr>
              <w:autoSpaceDE w:val="0"/>
              <w:autoSpaceDN w:val="0"/>
              <w:adjustRightInd w:val="0"/>
              <w:snapToGrid w:val="0"/>
              <w:ind w:left="105" w:leftChars="50"/>
              <w:jc w:val="center"/>
              <w:rPr>
                <w:color w:val="auto"/>
                <w:sz w:val="18"/>
                <w:szCs w:val="18"/>
                <w:lang w:bidi="en-US"/>
              </w:rPr>
            </w:pPr>
            <w:r>
              <w:rPr>
                <w:color w:val="auto"/>
                <w:sz w:val="18"/>
                <w:szCs w:val="18"/>
                <w:lang w:bidi="en-US"/>
              </w:rPr>
              <w:t>1-5#、7~11#</w:t>
            </w:r>
            <w:r>
              <w:rPr>
                <w:color w:val="auto"/>
                <w:sz w:val="18"/>
                <w:szCs w:val="18"/>
              </w:rPr>
              <w:t>监测点位</w:t>
            </w:r>
            <w:r>
              <w:rPr>
                <w:color w:val="auto"/>
                <w:sz w:val="18"/>
                <w:szCs w:val="18"/>
                <w:lang w:bidi="en-US"/>
              </w:rPr>
              <w:t>土壤现状值均可满足《土壤环境质量 建设用地土壤污染风险管控标准》（GB36600-2018）第二类用地筛选值，</w:t>
            </w:r>
            <w:r>
              <w:rPr>
                <w:color w:val="auto"/>
                <w:sz w:val="18"/>
                <w:szCs w:val="18"/>
              </w:rPr>
              <w:t>6#监测点位满足</w:t>
            </w:r>
            <w:r>
              <w:rPr>
                <w:color w:val="auto"/>
                <w:sz w:val="18"/>
                <w:szCs w:val="18"/>
                <w:lang w:bidi="en-US"/>
              </w:rPr>
              <w:t>《土壤环境质量 农用地土壤污染风险管控标准》（GB 15618-2018）表1中风险筛选值要求</w:t>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restart"/>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影响预测</w:t>
            </w: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预测因子</w:t>
            </w:r>
          </w:p>
        </w:tc>
        <w:tc>
          <w:tcPr>
            <w:tcW w:w="6101" w:type="dxa"/>
            <w:gridSpan w:val="5"/>
            <w:tcBorders>
              <w:tl2br w:val="nil"/>
              <w:tr2bl w:val="nil"/>
            </w:tcBorders>
            <w:vAlign w:val="center"/>
          </w:tcPr>
          <w:p>
            <w:pPr>
              <w:autoSpaceDE w:val="0"/>
              <w:autoSpaceDN w:val="0"/>
              <w:adjustRightInd w:val="0"/>
              <w:snapToGrid w:val="0"/>
              <w:ind w:left="105" w:leftChars="50"/>
              <w:jc w:val="center"/>
              <w:rPr>
                <w:color w:val="auto"/>
                <w:sz w:val="18"/>
                <w:szCs w:val="18"/>
                <w:lang w:bidi="en-US"/>
              </w:rPr>
            </w:pPr>
            <w:r>
              <w:rPr>
                <w:rStyle w:val="73"/>
                <w:color w:val="auto"/>
                <w:sz w:val="18"/>
                <w:szCs w:val="18"/>
              </w:rPr>
              <w:t>/</w:t>
            </w:r>
          </w:p>
        </w:tc>
        <w:tc>
          <w:tcPr>
            <w:tcW w:w="650" w:type="dxa"/>
            <w:tcBorders>
              <w:tl2br w:val="nil"/>
              <w:tr2bl w:val="nil"/>
            </w:tcBorders>
            <w:vAlign w:val="center"/>
          </w:tcPr>
          <w:p>
            <w:pPr>
              <w:autoSpaceDE w:val="0"/>
              <w:autoSpaceDN w:val="0"/>
              <w:adjustRightInd w:val="0"/>
              <w:snapToGrid w:val="0"/>
              <w:jc w:val="center"/>
              <w:rPr>
                <w:color w:val="auto"/>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预测方法</w:t>
            </w:r>
          </w:p>
        </w:tc>
        <w:tc>
          <w:tcPr>
            <w:tcW w:w="6101" w:type="dxa"/>
            <w:gridSpan w:val="5"/>
            <w:tcBorders>
              <w:tl2br w:val="nil"/>
              <w:tr2bl w:val="nil"/>
            </w:tcBorders>
            <w:vAlign w:val="center"/>
          </w:tcPr>
          <w:p>
            <w:pPr>
              <w:tabs>
                <w:tab w:val="left" w:pos="2930"/>
              </w:tabs>
              <w:autoSpaceDE w:val="0"/>
              <w:autoSpaceDN w:val="0"/>
              <w:adjustRightInd w:val="0"/>
              <w:snapToGrid w:val="0"/>
              <w:ind w:left="105" w:leftChars="50"/>
              <w:rPr>
                <w:color w:val="auto"/>
                <w:sz w:val="18"/>
                <w:szCs w:val="18"/>
                <w:lang w:bidi="en-US"/>
              </w:rPr>
            </w:pPr>
            <w:r>
              <w:rPr>
                <w:color w:val="auto"/>
                <w:sz w:val="18"/>
                <w:szCs w:val="18"/>
                <w:lang w:bidi="en-US"/>
              </w:rPr>
              <w:t>附录</w:t>
            </w:r>
            <w:r>
              <w:rPr>
                <w:color w:val="auto"/>
                <w:spacing w:val="-46"/>
                <w:sz w:val="18"/>
                <w:szCs w:val="18"/>
                <w:lang w:bidi="en-US"/>
              </w:rPr>
              <w:t xml:space="preserve"> </w:t>
            </w:r>
            <w:r>
              <w:rPr>
                <w:rFonts w:eastAsia="Times New Roman"/>
                <w:color w:val="auto"/>
                <w:sz w:val="18"/>
                <w:szCs w:val="18"/>
                <w:lang w:bidi="en-US"/>
              </w:rPr>
              <w:t>E</w:t>
            </w:r>
            <w:r>
              <w:rPr>
                <w:color w:val="auto"/>
                <w:sz w:val="18"/>
                <w:szCs w:val="18"/>
                <w:lang w:bidi="en-US"/>
              </w:rPr>
              <w:sym w:font="Wingdings 2" w:char="00A3"/>
            </w:r>
            <w:r>
              <w:rPr>
                <w:color w:val="auto"/>
                <w:sz w:val="18"/>
                <w:szCs w:val="18"/>
                <w:lang w:bidi="en-US"/>
              </w:rPr>
              <w:t>；附录</w:t>
            </w:r>
            <w:r>
              <w:rPr>
                <w:color w:val="auto"/>
                <w:spacing w:val="-45"/>
                <w:sz w:val="18"/>
                <w:szCs w:val="18"/>
                <w:lang w:bidi="en-US"/>
              </w:rPr>
              <w:t xml:space="preserve"> </w:t>
            </w:r>
            <w:r>
              <w:rPr>
                <w:rFonts w:eastAsia="Times New Roman"/>
                <w:color w:val="auto"/>
                <w:sz w:val="18"/>
                <w:szCs w:val="18"/>
                <w:lang w:bidi="en-US"/>
              </w:rPr>
              <w:t>F</w:t>
            </w:r>
            <w:r>
              <w:rPr>
                <w:color w:val="auto"/>
                <w:sz w:val="18"/>
                <w:szCs w:val="18"/>
                <w:lang w:bidi="en-US"/>
              </w:rPr>
              <w:sym w:font="Wingdings 2" w:char="00A3"/>
            </w:r>
            <w:r>
              <w:rPr>
                <w:color w:val="auto"/>
                <w:sz w:val="18"/>
                <w:szCs w:val="18"/>
                <w:lang w:bidi="en-US"/>
              </w:rPr>
              <w:t>；其他（/）</w:t>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预测分析内容</w:t>
            </w:r>
          </w:p>
        </w:tc>
        <w:tc>
          <w:tcPr>
            <w:tcW w:w="6101" w:type="dxa"/>
            <w:gridSpan w:val="5"/>
            <w:tcBorders>
              <w:tl2br w:val="nil"/>
              <w:tr2bl w:val="nil"/>
            </w:tcBorders>
            <w:vAlign w:val="center"/>
          </w:tcPr>
          <w:p>
            <w:pPr>
              <w:tabs>
                <w:tab w:val="left" w:pos="1639"/>
              </w:tabs>
              <w:autoSpaceDE w:val="0"/>
              <w:autoSpaceDN w:val="0"/>
              <w:adjustRightInd w:val="0"/>
              <w:snapToGrid w:val="0"/>
              <w:ind w:left="105" w:leftChars="50"/>
              <w:rPr>
                <w:color w:val="auto"/>
                <w:sz w:val="18"/>
                <w:szCs w:val="18"/>
                <w:lang w:bidi="en-US"/>
              </w:rPr>
            </w:pPr>
            <w:r>
              <w:rPr>
                <w:color w:val="auto"/>
                <w:sz w:val="18"/>
                <w:szCs w:val="18"/>
                <w:lang w:bidi="en-US"/>
              </w:rPr>
              <w:t>影响范围（/）            影响程度（/）</w:t>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预测结论</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达标结论：</w:t>
            </w:r>
            <w:r>
              <w:rPr>
                <w:rFonts w:eastAsia="Times New Roman"/>
                <w:color w:val="auto"/>
                <w:sz w:val="18"/>
                <w:szCs w:val="18"/>
                <w:lang w:bidi="en-US"/>
              </w:rPr>
              <w:t>a</w:t>
            </w:r>
            <w:r>
              <w:rPr>
                <w:color w:val="auto"/>
                <w:sz w:val="18"/>
                <w:szCs w:val="18"/>
                <w:lang w:bidi="en-US"/>
              </w:rPr>
              <w:t>）</w:t>
            </w:r>
            <w:r>
              <w:rPr>
                <w:color w:val="auto"/>
                <w:sz w:val="18"/>
                <w:szCs w:val="18"/>
                <w:lang w:bidi="en-US"/>
              </w:rPr>
              <w:sym w:font="Wingdings 2" w:char="0052"/>
            </w:r>
            <w:r>
              <w:rPr>
                <w:color w:val="auto"/>
                <w:sz w:val="18"/>
                <w:szCs w:val="18"/>
                <w:lang w:bidi="en-US"/>
              </w:rPr>
              <w:t>；</w:t>
            </w:r>
            <w:r>
              <w:rPr>
                <w:rFonts w:eastAsia="Times New Roman"/>
                <w:color w:val="auto"/>
                <w:sz w:val="18"/>
                <w:szCs w:val="18"/>
                <w:lang w:bidi="en-US"/>
              </w:rPr>
              <w:t>b</w:t>
            </w:r>
            <w:r>
              <w:rPr>
                <w:color w:val="auto"/>
                <w:sz w:val="18"/>
                <w:szCs w:val="18"/>
                <w:lang w:bidi="en-US"/>
              </w:rPr>
              <w:t>）</w:t>
            </w:r>
            <w:r>
              <w:rPr>
                <w:color w:val="auto"/>
                <w:sz w:val="18"/>
                <w:szCs w:val="18"/>
                <w:lang w:bidi="en-US"/>
              </w:rPr>
              <w:sym w:font="Wingdings 2" w:char="00A3"/>
            </w:r>
            <w:r>
              <w:rPr>
                <w:color w:val="auto"/>
                <w:sz w:val="18"/>
                <w:szCs w:val="18"/>
                <w:lang w:bidi="en-US"/>
              </w:rPr>
              <w:t>；</w:t>
            </w:r>
            <w:r>
              <w:rPr>
                <w:rFonts w:eastAsia="Times New Roman"/>
                <w:color w:val="auto"/>
                <w:sz w:val="18"/>
                <w:szCs w:val="18"/>
                <w:lang w:bidi="en-US"/>
              </w:rPr>
              <w:t>c</w:t>
            </w:r>
            <w:r>
              <w:rPr>
                <w:color w:val="auto"/>
                <w:sz w:val="18"/>
                <w:szCs w:val="18"/>
                <w:lang w:bidi="en-US"/>
              </w:rPr>
              <w:t>）</w:t>
            </w:r>
            <w:r>
              <w:rPr>
                <w:color w:val="auto"/>
                <w:sz w:val="18"/>
                <w:szCs w:val="18"/>
                <w:lang w:bidi="en-US"/>
              </w:rPr>
              <w:sym w:font="Wingdings 2" w:char="00A3"/>
            </w:r>
          </w:p>
          <w:p>
            <w:pPr>
              <w:autoSpaceDE w:val="0"/>
              <w:autoSpaceDN w:val="0"/>
              <w:adjustRightInd w:val="0"/>
              <w:snapToGrid w:val="0"/>
              <w:ind w:left="105" w:leftChars="50"/>
              <w:rPr>
                <w:color w:val="auto"/>
                <w:sz w:val="18"/>
                <w:szCs w:val="18"/>
                <w:lang w:bidi="en-US"/>
              </w:rPr>
            </w:pPr>
            <w:r>
              <w:rPr>
                <w:color w:val="auto"/>
                <w:sz w:val="18"/>
                <w:szCs w:val="18"/>
                <w:lang w:bidi="en-US"/>
              </w:rPr>
              <w:t>不达标结论：</w:t>
            </w:r>
            <w:r>
              <w:rPr>
                <w:rFonts w:eastAsia="Times New Roman"/>
                <w:color w:val="auto"/>
                <w:sz w:val="18"/>
                <w:szCs w:val="18"/>
                <w:lang w:bidi="en-US"/>
              </w:rPr>
              <w:t>a</w:t>
            </w:r>
            <w:r>
              <w:rPr>
                <w:color w:val="auto"/>
                <w:sz w:val="18"/>
                <w:szCs w:val="18"/>
                <w:lang w:bidi="en-US"/>
              </w:rPr>
              <w:t>）</w:t>
            </w:r>
            <w:r>
              <w:rPr>
                <w:color w:val="auto"/>
                <w:sz w:val="18"/>
                <w:szCs w:val="18"/>
                <w:lang w:bidi="en-US"/>
              </w:rPr>
              <w:sym w:font="Wingdings 2" w:char="00A3"/>
            </w:r>
            <w:r>
              <w:rPr>
                <w:color w:val="auto"/>
                <w:sz w:val="18"/>
                <w:szCs w:val="18"/>
                <w:lang w:bidi="en-US"/>
              </w:rPr>
              <w:t>；</w:t>
            </w:r>
            <w:r>
              <w:rPr>
                <w:rFonts w:eastAsia="Times New Roman"/>
                <w:color w:val="auto"/>
                <w:sz w:val="18"/>
                <w:szCs w:val="18"/>
                <w:lang w:bidi="en-US"/>
              </w:rPr>
              <w:t>b</w:t>
            </w:r>
            <w:r>
              <w:rPr>
                <w:color w:val="auto"/>
                <w:sz w:val="18"/>
                <w:szCs w:val="18"/>
                <w:lang w:bidi="en-US"/>
              </w:rPr>
              <w:t>）</w:t>
            </w:r>
            <w:r>
              <w:rPr>
                <w:color w:val="auto"/>
                <w:sz w:val="18"/>
                <w:szCs w:val="18"/>
                <w:lang w:bidi="en-US"/>
              </w:rPr>
              <w:sym w:font="Wingdings 2" w:char="00A3"/>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restart"/>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防治措施</w:t>
            </w: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防控措施</w:t>
            </w:r>
          </w:p>
        </w:tc>
        <w:tc>
          <w:tcPr>
            <w:tcW w:w="6101" w:type="dxa"/>
            <w:gridSpan w:val="5"/>
            <w:tcBorders>
              <w:tl2br w:val="nil"/>
              <w:tr2bl w:val="nil"/>
            </w:tcBorders>
            <w:vAlign w:val="center"/>
          </w:tcPr>
          <w:p>
            <w:pPr>
              <w:autoSpaceDE w:val="0"/>
              <w:autoSpaceDN w:val="0"/>
              <w:adjustRightInd w:val="0"/>
              <w:snapToGrid w:val="0"/>
              <w:ind w:left="105" w:leftChars="50"/>
              <w:rPr>
                <w:color w:val="auto"/>
                <w:sz w:val="18"/>
                <w:szCs w:val="18"/>
                <w:lang w:bidi="en-US"/>
              </w:rPr>
            </w:pPr>
            <w:r>
              <w:rPr>
                <w:color w:val="auto"/>
                <w:sz w:val="18"/>
                <w:szCs w:val="18"/>
                <w:lang w:bidi="en-US"/>
              </w:rPr>
              <w:t>土壤环境质量现状保障</w:t>
            </w:r>
            <w:r>
              <w:rPr>
                <w:color w:val="auto"/>
                <w:sz w:val="18"/>
                <w:szCs w:val="18"/>
                <w:lang w:bidi="en-US"/>
              </w:rPr>
              <w:sym w:font="Wingdings 2" w:char="00A3"/>
            </w:r>
            <w:r>
              <w:rPr>
                <w:color w:val="auto"/>
                <w:sz w:val="18"/>
                <w:szCs w:val="18"/>
                <w:lang w:bidi="en-US"/>
              </w:rPr>
              <w:t>；源头控制</w:t>
            </w:r>
            <w:r>
              <w:rPr>
                <w:color w:val="auto"/>
                <w:sz w:val="18"/>
                <w:szCs w:val="18"/>
                <w:lang w:bidi="en-US"/>
              </w:rPr>
              <w:sym w:font="Wingdings 2" w:char="0052"/>
            </w:r>
            <w:r>
              <w:rPr>
                <w:color w:val="auto"/>
                <w:sz w:val="18"/>
                <w:szCs w:val="18"/>
                <w:lang w:bidi="en-US"/>
              </w:rPr>
              <w:t>；过程防控</w:t>
            </w:r>
            <w:r>
              <w:rPr>
                <w:color w:val="auto"/>
                <w:sz w:val="18"/>
                <w:szCs w:val="18"/>
                <w:lang w:bidi="en-US"/>
              </w:rPr>
              <w:sym w:font="Wingdings 2" w:char="0052"/>
            </w:r>
            <w:r>
              <w:rPr>
                <w:color w:val="auto"/>
                <w:sz w:val="18"/>
                <w:szCs w:val="18"/>
                <w:lang w:bidi="en-US"/>
              </w:rPr>
              <w:t>；其他（）</w:t>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c>
          <w:tcPr>
            <w:tcW w:w="1577" w:type="dxa"/>
            <w:vMerge w:val="restart"/>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跟踪监测</w:t>
            </w:r>
          </w:p>
        </w:tc>
        <w:tc>
          <w:tcPr>
            <w:tcW w:w="2500" w:type="dxa"/>
            <w:gridSpan w:val="2"/>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监测点数</w:t>
            </w:r>
          </w:p>
        </w:tc>
        <w:tc>
          <w:tcPr>
            <w:tcW w:w="1801" w:type="dxa"/>
            <w:gridSpan w:val="2"/>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监测指标</w:t>
            </w:r>
          </w:p>
        </w:tc>
        <w:tc>
          <w:tcPr>
            <w:tcW w:w="1800"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监测频次</w:t>
            </w:r>
          </w:p>
        </w:tc>
        <w:tc>
          <w:tcPr>
            <w:tcW w:w="650" w:type="dxa"/>
            <w:vMerge w:val="restart"/>
            <w:tcBorders>
              <w:tl2br w:val="nil"/>
              <w:tr2bl w:val="nil"/>
            </w:tcBorders>
            <w:vAlign w:val="center"/>
          </w:tcPr>
          <w:p>
            <w:pPr>
              <w:autoSpaceDE w:val="0"/>
              <w:autoSpaceDN w:val="0"/>
              <w:adjustRightInd w:val="0"/>
              <w:snapToGrid w:val="0"/>
              <w:jc w:val="center"/>
              <w:rPr>
                <w:color w:val="auto"/>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2500" w:type="dxa"/>
            <w:gridSpan w:val="2"/>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1</w:t>
            </w:r>
          </w:p>
        </w:tc>
        <w:tc>
          <w:tcPr>
            <w:tcW w:w="1801" w:type="dxa"/>
            <w:gridSpan w:val="2"/>
            <w:tcBorders>
              <w:tl2br w:val="nil"/>
              <w:tr2bl w:val="nil"/>
            </w:tcBorders>
            <w:vAlign w:val="center"/>
          </w:tcPr>
          <w:p>
            <w:pPr>
              <w:autoSpaceDE w:val="0"/>
              <w:autoSpaceDN w:val="0"/>
              <w:adjustRightInd w:val="0"/>
              <w:snapToGrid w:val="0"/>
              <w:jc w:val="center"/>
              <w:rPr>
                <w:color w:val="auto"/>
                <w:sz w:val="18"/>
                <w:szCs w:val="18"/>
                <w:lang w:bidi="en-US"/>
              </w:rPr>
            </w:pPr>
            <w:r>
              <w:rPr>
                <w:rStyle w:val="73"/>
                <w:color w:val="auto"/>
                <w:sz w:val="18"/>
                <w:szCs w:val="18"/>
              </w:rPr>
              <w:t>45项基本因子</w:t>
            </w:r>
          </w:p>
        </w:tc>
        <w:tc>
          <w:tcPr>
            <w:tcW w:w="1800" w:type="dxa"/>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3年1次</w:t>
            </w:r>
          </w:p>
        </w:tc>
        <w:tc>
          <w:tcPr>
            <w:tcW w:w="650"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507" w:type="dxa"/>
            <w:vMerge w:val="continue"/>
            <w:tcBorders>
              <w:tl2br w:val="nil"/>
              <w:tr2bl w:val="nil"/>
            </w:tcBorders>
            <w:vAlign w:val="center"/>
          </w:tcPr>
          <w:p>
            <w:pPr>
              <w:autoSpaceDE w:val="0"/>
              <w:autoSpaceDN w:val="0"/>
              <w:adjustRightInd w:val="0"/>
              <w:snapToGrid w:val="0"/>
              <w:jc w:val="center"/>
              <w:rPr>
                <w:color w:val="auto"/>
                <w:kern w:val="0"/>
                <w:sz w:val="18"/>
                <w:szCs w:val="18"/>
                <w:lang w:eastAsia="en-US" w:bidi="en-US"/>
              </w:rPr>
            </w:pPr>
          </w:p>
        </w:tc>
        <w:tc>
          <w:tcPr>
            <w:tcW w:w="1577" w:type="dxa"/>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信息公开指标</w:t>
            </w:r>
          </w:p>
        </w:tc>
        <w:tc>
          <w:tcPr>
            <w:tcW w:w="6101" w:type="dxa"/>
            <w:gridSpan w:val="5"/>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建立项目土壤跟踪监测档案，定期向相关部门汇报</w:t>
            </w:r>
          </w:p>
        </w:tc>
        <w:tc>
          <w:tcPr>
            <w:tcW w:w="650" w:type="dxa"/>
            <w:vMerge w:val="continue"/>
            <w:tcBorders>
              <w:tl2br w:val="nil"/>
              <w:tr2bl w:val="nil"/>
            </w:tcBorders>
            <w:vAlign w:val="center"/>
          </w:tcPr>
          <w:p>
            <w:pPr>
              <w:autoSpaceDE w:val="0"/>
              <w:autoSpaceDN w:val="0"/>
              <w:adjustRightInd w:val="0"/>
              <w:snapToGrid w:val="0"/>
              <w:jc w:val="center"/>
              <w:rPr>
                <w:color w:val="auto"/>
                <w:kern w:val="0"/>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2084" w:type="dxa"/>
            <w:gridSpan w:val="2"/>
            <w:tcBorders>
              <w:tl2br w:val="nil"/>
              <w:tr2bl w:val="nil"/>
            </w:tcBorders>
            <w:vAlign w:val="center"/>
          </w:tcPr>
          <w:p>
            <w:pPr>
              <w:autoSpaceDE w:val="0"/>
              <w:autoSpaceDN w:val="0"/>
              <w:adjustRightInd w:val="0"/>
              <w:snapToGrid w:val="0"/>
              <w:jc w:val="center"/>
              <w:rPr>
                <w:color w:val="auto"/>
                <w:sz w:val="18"/>
                <w:szCs w:val="18"/>
                <w:lang w:eastAsia="en-US" w:bidi="en-US"/>
              </w:rPr>
            </w:pPr>
            <w:r>
              <w:rPr>
                <w:color w:val="auto"/>
                <w:sz w:val="18"/>
                <w:szCs w:val="18"/>
                <w:lang w:eastAsia="en-US" w:bidi="en-US"/>
              </w:rPr>
              <w:t>评价结论</w:t>
            </w:r>
          </w:p>
        </w:tc>
        <w:tc>
          <w:tcPr>
            <w:tcW w:w="6101" w:type="dxa"/>
            <w:gridSpan w:val="5"/>
            <w:tcBorders>
              <w:tl2br w:val="nil"/>
              <w:tr2bl w:val="nil"/>
            </w:tcBorders>
            <w:vAlign w:val="center"/>
          </w:tcPr>
          <w:p>
            <w:pPr>
              <w:autoSpaceDE w:val="0"/>
              <w:autoSpaceDN w:val="0"/>
              <w:adjustRightInd w:val="0"/>
              <w:snapToGrid w:val="0"/>
              <w:jc w:val="center"/>
              <w:rPr>
                <w:color w:val="auto"/>
                <w:sz w:val="18"/>
                <w:szCs w:val="18"/>
                <w:lang w:bidi="en-US"/>
              </w:rPr>
            </w:pPr>
            <w:r>
              <w:rPr>
                <w:color w:val="auto"/>
                <w:sz w:val="18"/>
                <w:szCs w:val="18"/>
                <w:lang w:bidi="en-US"/>
              </w:rPr>
              <w:t>项目建设对土壤环境影响较小</w:t>
            </w:r>
          </w:p>
        </w:tc>
        <w:tc>
          <w:tcPr>
            <w:tcW w:w="650" w:type="dxa"/>
            <w:tcBorders>
              <w:tl2br w:val="nil"/>
              <w:tr2bl w:val="nil"/>
            </w:tcBorders>
            <w:vAlign w:val="center"/>
          </w:tcPr>
          <w:p>
            <w:pPr>
              <w:autoSpaceDE w:val="0"/>
              <w:autoSpaceDN w:val="0"/>
              <w:adjustRightInd w:val="0"/>
              <w:snapToGrid w:val="0"/>
              <w:jc w:val="center"/>
              <w:rPr>
                <w:color w:val="auto"/>
                <w:sz w:val="18"/>
                <w:szCs w:val="18"/>
                <w:lang w:bidi="en-US"/>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jc w:val="center"/>
        </w:trPr>
        <w:tc>
          <w:tcPr>
            <w:tcW w:w="8835" w:type="dxa"/>
            <w:gridSpan w:val="8"/>
            <w:tcBorders>
              <w:tl2br w:val="nil"/>
              <w:tr2bl w:val="nil"/>
            </w:tcBorders>
            <w:vAlign w:val="center"/>
          </w:tcPr>
          <w:p>
            <w:pPr>
              <w:autoSpaceDE w:val="0"/>
              <w:autoSpaceDN w:val="0"/>
              <w:adjustRightInd w:val="0"/>
              <w:snapToGrid w:val="0"/>
              <w:rPr>
                <w:color w:val="auto"/>
                <w:sz w:val="18"/>
                <w:szCs w:val="18"/>
                <w:lang w:bidi="en-US"/>
              </w:rPr>
            </w:pPr>
            <w:r>
              <w:rPr>
                <w:color w:val="auto"/>
                <w:sz w:val="18"/>
                <w:szCs w:val="18"/>
                <w:lang w:bidi="en-US"/>
              </w:rPr>
              <w:t xml:space="preserve">注 </w:t>
            </w:r>
            <w:r>
              <w:rPr>
                <w:rFonts w:eastAsia="Times New Roman"/>
                <w:color w:val="auto"/>
                <w:sz w:val="18"/>
                <w:szCs w:val="18"/>
                <w:lang w:bidi="en-US"/>
              </w:rPr>
              <w:t>1</w:t>
            </w:r>
            <w:r>
              <w:rPr>
                <w:color w:val="auto"/>
                <w:sz w:val="18"/>
                <w:szCs w:val="18"/>
                <w:lang w:bidi="en-US"/>
              </w:rPr>
              <w:t>：“□”为勾选项，可√；“（ ）”为内容填写项；“备注”为其他补充内容。</w:t>
            </w:r>
          </w:p>
          <w:p>
            <w:pPr>
              <w:autoSpaceDE w:val="0"/>
              <w:autoSpaceDN w:val="0"/>
              <w:adjustRightInd w:val="0"/>
              <w:snapToGrid w:val="0"/>
              <w:rPr>
                <w:color w:val="auto"/>
                <w:sz w:val="18"/>
                <w:szCs w:val="18"/>
                <w:lang w:bidi="en-US"/>
              </w:rPr>
            </w:pPr>
            <w:r>
              <w:rPr>
                <w:color w:val="auto"/>
                <w:sz w:val="18"/>
                <w:szCs w:val="18"/>
                <w:lang w:bidi="en-US"/>
              </w:rPr>
              <w:t xml:space="preserve">注 </w:t>
            </w:r>
            <w:r>
              <w:rPr>
                <w:rFonts w:eastAsia="Times New Roman"/>
                <w:color w:val="auto"/>
                <w:sz w:val="18"/>
                <w:szCs w:val="18"/>
                <w:lang w:bidi="en-US"/>
              </w:rPr>
              <w:t>2</w:t>
            </w:r>
            <w:r>
              <w:rPr>
                <w:color w:val="auto"/>
                <w:sz w:val="18"/>
                <w:szCs w:val="18"/>
                <w:lang w:bidi="en-US"/>
              </w:rPr>
              <w:t>：需要分别开展土壤环境影响评级工作的，分别填写自查表。</w:t>
            </w:r>
          </w:p>
        </w:tc>
      </w:tr>
    </w:tbl>
    <w:p>
      <w:pPr>
        <w:pStyle w:val="130"/>
        <w:ind w:firstLine="480"/>
        <w:rPr>
          <w:color w:val="auto"/>
        </w:rPr>
      </w:pPr>
    </w:p>
    <w:p>
      <w:pPr>
        <w:pStyle w:val="130"/>
        <w:ind w:firstLine="480"/>
        <w:rPr>
          <w:color w:val="auto"/>
        </w:rPr>
      </w:pPr>
    </w:p>
    <w:p>
      <w:pPr>
        <w:pStyle w:val="4"/>
        <w:numPr>
          <w:ilvl w:val="1"/>
          <w:numId w:val="0"/>
        </w:numPr>
        <w:spacing w:before="120"/>
        <w:rPr>
          <w:color w:val="auto"/>
        </w:rPr>
      </w:pPr>
      <w:bookmarkStart w:id="476" w:name="_Toc109398687"/>
      <w:r>
        <w:rPr>
          <w:color w:val="auto"/>
        </w:rPr>
        <w:t>7.8</w:t>
      </w:r>
      <w:r>
        <w:rPr>
          <w:rFonts w:hint="eastAsia"/>
          <w:color w:val="auto"/>
        </w:rPr>
        <w:t>运营期生态环境</w:t>
      </w:r>
      <w:r>
        <w:rPr>
          <w:color w:val="auto"/>
        </w:rPr>
        <w:t>环境影响分析</w:t>
      </w:r>
      <w:r>
        <w:rPr>
          <w:rFonts w:hint="eastAsia"/>
          <w:color w:val="auto"/>
        </w:rPr>
        <w:t>与评价</w:t>
      </w:r>
      <w:bookmarkEnd w:id="476"/>
    </w:p>
    <w:p>
      <w:pPr>
        <w:pStyle w:val="130"/>
        <w:ind w:firstLine="480"/>
        <w:rPr>
          <w:color w:val="auto"/>
        </w:rPr>
      </w:pPr>
      <w:r>
        <w:rPr>
          <w:rFonts w:hint="eastAsia"/>
          <w:color w:val="auto"/>
        </w:rPr>
        <w:t>本项目建成后全厂运营期主要生态影响包括生产过程中产生的大气污染物</w:t>
      </w:r>
      <w:r>
        <w:rPr>
          <w:color w:val="auto"/>
        </w:rPr>
        <w:t>氨气、硫化氢、VOCs、颗粒物</w:t>
      </w:r>
      <w:r>
        <w:rPr>
          <w:rFonts w:hint="eastAsia"/>
          <w:color w:val="auto"/>
        </w:rPr>
        <w:t>将对周边植被造成影响，产生的噪声对周边动物造成影响，产生的废气污染物和废水对土壤造成沉降污染。</w:t>
      </w:r>
    </w:p>
    <w:p>
      <w:pPr>
        <w:pStyle w:val="130"/>
        <w:ind w:firstLine="480"/>
        <w:rPr>
          <w:color w:val="auto"/>
        </w:rPr>
      </w:pPr>
      <w:r>
        <w:rPr>
          <w:color w:val="auto"/>
        </w:rPr>
        <w:t>1</w:t>
      </w:r>
      <w:r>
        <w:rPr>
          <w:rFonts w:hint="eastAsia"/>
          <w:color w:val="auto"/>
        </w:rPr>
        <w:t>、对土地利用的影响分析</w:t>
      </w:r>
    </w:p>
    <w:p>
      <w:pPr>
        <w:pStyle w:val="130"/>
        <w:ind w:firstLine="480"/>
        <w:rPr>
          <w:color w:val="auto"/>
        </w:rPr>
      </w:pPr>
      <w:r>
        <w:rPr>
          <w:rFonts w:hint="eastAsia"/>
          <w:color w:val="auto"/>
        </w:rPr>
        <w:t>本项目在现有场地内进行建设，不新增用地。</w:t>
      </w:r>
    </w:p>
    <w:p>
      <w:pPr>
        <w:pStyle w:val="130"/>
        <w:ind w:firstLine="480"/>
        <w:rPr>
          <w:color w:val="auto"/>
        </w:rPr>
      </w:pPr>
      <w:r>
        <w:rPr>
          <w:rFonts w:hint="eastAsia"/>
          <w:color w:val="auto"/>
        </w:rPr>
        <w:t>2、对动植物的影响分析</w:t>
      </w:r>
    </w:p>
    <w:p>
      <w:pPr>
        <w:pStyle w:val="130"/>
        <w:ind w:firstLine="480"/>
        <w:rPr>
          <w:color w:val="auto"/>
        </w:rPr>
      </w:pPr>
      <w:r>
        <w:rPr>
          <w:rFonts w:hint="eastAsia"/>
          <w:color w:val="auto"/>
        </w:rPr>
        <w:t>本项目在运营期产生的噪声，将驱赶原地块栖息的动物，改变原有动物交互行为，由于现有工程已运行数年，厂址周边的陆生动物已适应了项目区域环境，故本项目的建设不会周边陆生动物的活动区域、迁移途径、栖息区域、觅食范围等造成较明显的影响，且评价区内无野生动物保护区、无国家级保护动物，也不是动物迁徙地带，项目的建设不会对连通性造成影响，基本不会对动物的生存、迁徙、生育、繁殖产生影响。</w:t>
      </w:r>
    </w:p>
    <w:p>
      <w:pPr>
        <w:pStyle w:val="130"/>
        <w:ind w:firstLine="480"/>
        <w:rPr>
          <w:color w:val="auto"/>
        </w:rPr>
      </w:pPr>
      <w:r>
        <w:rPr>
          <w:rFonts w:hint="eastAsia"/>
          <w:color w:val="auto"/>
        </w:rPr>
        <w:t>本项目排放的大气污染物，通过扩散对周边植被造成的影响较轻微，且本项目各大气污染物均可实现达标排放，项目区内亦无珍稀、濒危或国家及自治区级保护植物。</w:t>
      </w:r>
    </w:p>
    <w:p>
      <w:pPr>
        <w:pStyle w:val="130"/>
        <w:ind w:firstLine="480"/>
        <w:rPr>
          <w:color w:val="auto"/>
        </w:rPr>
      </w:pPr>
      <w:r>
        <w:rPr>
          <w:rFonts w:hint="eastAsia"/>
          <w:color w:val="auto"/>
        </w:rPr>
        <w:t>3、对土壤的影响</w:t>
      </w:r>
    </w:p>
    <w:p>
      <w:pPr>
        <w:pStyle w:val="130"/>
        <w:ind w:firstLine="480"/>
        <w:rPr>
          <w:color w:val="auto"/>
        </w:rPr>
      </w:pPr>
      <w:r>
        <w:rPr>
          <w:rFonts w:hint="eastAsia"/>
          <w:color w:val="auto"/>
        </w:rPr>
        <w:t>本项目对土壤的影响主要表现为大气沉降，厂区废水垂直入渗，根据前文对土壤环境的影响分析可知，</w:t>
      </w:r>
      <w:r>
        <w:rPr>
          <w:color w:val="auto"/>
        </w:rPr>
        <w:t>本项目建成投运后，在加强环境管理，保证各项污染防治措施（设施）正常运行的情况下，对区域土壤环境的影响在可接受的范围内，</w:t>
      </w:r>
      <w:r>
        <w:rPr>
          <w:rFonts w:hint="eastAsia"/>
          <w:color w:val="auto"/>
        </w:rPr>
        <w:t>并且建设单位已在厂区及周边设置有绿化，可净化有害气体、防减噪声，提高区域的植被覆盖水平，对区域生态环境有明显的改善作用。</w:t>
      </w:r>
    </w:p>
    <w:p>
      <w:pPr>
        <w:pStyle w:val="130"/>
        <w:ind w:firstLine="480"/>
        <w:rPr>
          <w:color w:val="auto"/>
        </w:rPr>
      </w:pPr>
      <w:r>
        <w:rPr>
          <w:color w:val="auto"/>
        </w:rPr>
        <w:br w:type="page"/>
      </w:r>
    </w:p>
    <w:p>
      <w:pPr>
        <w:pStyle w:val="4"/>
        <w:numPr>
          <w:ilvl w:val="1"/>
          <w:numId w:val="0"/>
        </w:numPr>
        <w:spacing w:before="120"/>
        <w:rPr>
          <w:color w:val="auto"/>
        </w:rPr>
      </w:pPr>
      <w:bookmarkStart w:id="477" w:name="_Toc109398688"/>
      <w:r>
        <w:rPr>
          <w:color w:val="auto"/>
        </w:rPr>
        <w:t>7.9运输过程环境影响分析</w:t>
      </w:r>
      <w:bookmarkEnd w:id="477"/>
    </w:p>
    <w:p>
      <w:pPr>
        <w:pStyle w:val="130"/>
        <w:ind w:firstLine="480"/>
        <w:rPr>
          <w:color w:val="auto"/>
        </w:rPr>
      </w:pPr>
      <w:r>
        <w:rPr>
          <w:color w:val="auto"/>
        </w:rPr>
        <w:t>本项目</w:t>
      </w:r>
      <w:r>
        <w:rPr>
          <w:rFonts w:hint="eastAsia"/>
          <w:color w:val="auto"/>
        </w:rPr>
        <w:t>建成后全厂</w:t>
      </w:r>
      <w:r>
        <w:rPr>
          <w:color w:val="auto"/>
        </w:rPr>
        <w:t>采用汽车公路运输，配备7辆</w:t>
      </w:r>
      <w:r>
        <w:rPr>
          <w:rFonts w:hint="eastAsia"/>
          <w:color w:val="auto"/>
        </w:rPr>
        <w:t>3</w:t>
      </w:r>
      <w:r>
        <w:rPr>
          <w:color w:val="auto"/>
        </w:rPr>
        <w:t>t</w:t>
      </w:r>
      <w:r>
        <w:rPr>
          <w:rFonts w:hint="eastAsia"/>
          <w:color w:val="auto"/>
        </w:rPr>
        <w:t>医疗废物转运</w:t>
      </w:r>
      <w:r>
        <w:rPr>
          <w:color w:val="auto"/>
        </w:rPr>
        <w:t>车辆</w:t>
      </w:r>
      <w:r>
        <w:rPr>
          <w:rFonts w:hint="eastAsia"/>
          <w:color w:val="auto"/>
        </w:rPr>
        <w:t>（现有的5辆1</w:t>
      </w:r>
      <w:r>
        <w:rPr>
          <w:color w:val="auto"/>
        </w:rPr>
        <w:t>.5t</w:t>
      </w:r>
      <w:r>
        <w:rPr>
          <w:rFonts w:hint="eastAsia"/>
          <w:color w:val="auto"/>
        </w:rPr>
        <w:t>医疗废物转运</w:t>
      </w:r>
      <w:r>
        <w:rPr>
          <w:color w:val="auto"/>
        </w:rPr>
        <w:t>车</w:t>
      </w:r>
      <w:r>
        <w:rPr>
          <w:rFonts w:hint="eastAsia"/>
          <w:color w:val="auto"/>
        </w:rPr>
        <w:t>备用）</w:t>
      </w:r>
      <w:r>
        <w:rPr>
          <w:color w:val="auto"/>
        </w:rPr>
        <w:t>承担医疗废物的运输工作。</w:t>
      </w:r>
    </w:p>
    <w:p>
      <w:pPr>
        <w:pStyle w:val="130"/>
        <w:ind w:firstLine="480"/>
        <w:rPr>
          <w:color w:val="auto"/>
        </w:rPr>
      </w:pPr>
      <w:r>
        <w:rPr>
          <w:color w:val="auto"/>
        </w:rPr>
        <w:t>1、噪声影响</w:t>
      </w:r>
    </w:p>
    <w:p>
      <w:pPr>
        <w:pStyle w:val="130"/>
        <w:ind w:firstLine="480"/>
        <w:rPr>
          <w:color w:val="auto"/>
        </w:rPr>
      </w:pPr>
      <w:r>
        <w:rPr>
          <w:color w:val="auto"/>
        </w:rPr>
        <w:t>项目进场道路为厂区与</w:t>
      </w:r>
      <w:r>
        <w:rPr>
          <w:rFonts w:hint="eastAsia"/>
          <w:color w:val="auto"/>
          <w:lang w:eastAsia="zh-CN"/>
        </w:rPr>
        <w:t>迎大线</w:t>
      </w:r>
      <w:r>
        <w:rPr>
          <w:color w:val="auto"/>
        </w:rPr>
        <w:t>直接连通，进场道路两侧100m范围内无居民、学校等环境敏感目标，进场道路交通噪声对外环境影响很小。项目场外运输路线为中卫市境内国道或高速公路，均为交通干线，具有社会车辆多，交通量大等特点，本项目运输车辆对上述几条运输干线的交通量增加值很小，因此，项目交通运输噪声对外环境影响不大。</w:t>
      </w:r>
    </w:p>
    <w:p>
      <w:pPr>
        <w:pStyle w:val="130"/>
        <w:ind w:firstLine="480"/>
        <w:rPr>
          <w:color w:val="auto"/>
        </w:rPr>
      </w:pPr>
      <w:r>
        <w:rPr>
          <w:color w:val="auto"/>
        </w:rPr>
        <w:t>2、道路扬尘影响</w:t>
      </w:r>
    </w:p>
    <w:p>
      <w:pPr>
        <w:pStyle w:val="130"/>
        <w:ind w:firstLine="480"/>
        <w:rPr>
          <w:color w:val="auto"/>
        </w:rPr>
      </w:pPr>
      <w:r>
        <w:rPr>
          <w:color w:val="auto"/>
        </w:rPr>
        <w:t>项目产生的道路扬尘主要为运输路面飘尘，主要污染物为TSP。道路运输扬尘TSP 浓度与车流量的变化趋势比较一致，随着车流量的增加，扬尘浓度也随之升高。道路运输扬尘浓度大小除了与车流量及路面状况有关外，还与其它条件，如降水、空气湿度、风速、风向，路面洒水，路旁植树状况、车辆速度以及车斗装渣后的抛洒散落等情况有关。项目运输道路为沥青路面，为防治运输道路的扬尘污染，项目出厂前对车辆进行冲洗，对入场道路面粉尘及时清扫，保持路面洁净，并对道路定期洒水，减少二次扬尘。同时，本次环评要求车辆严禁超速行驶。采取上述措施后，运输道路扬尘对周围环境影响很小。</w:t>
      </w:r>
    </w:p>
    <w:p>
      <w:pPr>
        <w:pStyle w:val="130"/>
        <w:ind w:firstLine="480"/>
        <w:rPr>
          <w:color w:val="auto"/>
        </w:rPr>
      </w:pPr>
      <w:r>
        <w:rPr>
          <w:color w:val="auto"/>
        </w:rPr>
        <w:t>3、对水环境的影响</w:t>
      </w:r>
    </w:p>
    <w:p>
      <w:pPr>
        <w:pStyle w:val="130"/>
        <w:ind w:firstLine="480"/>
        <w:rPr>
          <w:color w:val="auto"/>
        </w:rPr>
      </w:pPr>
      <w:r>
        <w:rPr>
          <w:color w:val="auto"/>
        </w:rPr>
        <w:t>项目运输线路沿途可能经过的地表水体为黄河，不经过水源地。项目收运的医疗废物，采用不同的包装容器，液态采用塑料桶盛装，固态危废采用袋包装运输，桶装废物及固体废物采用货车运输。为了防止运输线路对地表水环境的影响，项目应按照交通部关于修改《道路危险货物运输管理规定》中的要求，再运输过程应采取污染防治措施如下：</w:t>
      </w:r>
    </w:p>
    <w:p>
      <w:pPr>
        <w:pStyle w:val="130"/>
        <w:ind w:firstLine="480"/>
        <w:rPr>
          <w:color w:val="auto"/>
        </w:rPr>
      </w:pPr>
      <w:r>
        <w:rPr>
          <w:color w:val="auto"/>
        </w:rPr>
        <w:t xml:space="preserve">⑴车辆、设备管理 </w:t>
      </w:r>
    </w:p>
    <w:p>
      <w:pPr>
        <w:pStyle w:val="130"/>
        <w:ind w:firstLine="480"/>
        <w:rPr>
          <w:color w:val="auto"/>
        </w:rPr>
      </w:pPr>
      <w:r>
        <w:rPr>
          <w:color w:val="auto"/>
        </w:rPr>
        <w:t xml:space="preserve">①建设单位应当按照《道路运输车辆技术管理规定》中有关车辆管理的规定，维护、检测、使用和管理专用车辆，确保专用车辆技术状况良好。 </w:t>
      </w:r>
    </w:p>
    <w:p>
      <w:pPr>
        <w:pStyle w:val="130"/>
        <w:ind w:firstLine="480"/>
        <w:rPr>
          <w:color w:val="auto"/>
        </w:rPr>
      </w:pPr>
      <w:r>
        <w:rPr>
          <w:color w:val="auto"/>
        </w:rPr>
        <w:t xml:space="preserve">②必需的应急处理器材、安全防护设施设备和专用车辆标志的配备情况，具有行驶记录功能的卫星定位装置的配备情况。 </w:t>
      </w:r>
    </w:p>
    <w:p>
      <w:pPr>
        <w:pStyle w:val="130"/>
        <w:ind w:firstLine="480"/>
        <w:rPr>
          <w:color w:val="auto"/>
        </w:rPr>
      </w:pPr>
      <w:r>
        <w:rPr>
          <w:color w:val="auto"/>
        </w:rPr>
        <w:t xml:space="preserve">③禁止使用报废的、擅自改装的、检测不合格的、车辆技术等级达不到一级的和其他不符合国家规定的车辆从事道路危险货物运输。 </w:t>
      </w:r>
    </w:p>
    <w:p>
      <w:pPr>
        <w:pStyle w:val="130"/>
        <w:ind w:firstLine="480"/>
        <w:rPr>
          <w:color w:val="auto"/>
        </w:rPr>
      </w:pPr>
      <w:r>
        <w:rPr>
          <w:color w:val="auto"/>
        </w:rPr>
        <w:t xml:space="preserve">④用于装卸危险废物的机械及工具的技术状况应当符合行业标准《汽车运输危险货物规则》（JT617）规定的技术要求。 </w:t>
      </w:r>
    </w:p>
    <w:p>
      <w:pPr>
        <w:pStyle w:val="130"/>
        <w:ind w:firstLine="480"/>
        <w:rPr>
          <w:color w:val="auto"/>
        </w:rPr>
      </w:pPr>
      <w:r>
        <w:rPr>
          <w:color w:val="auto"/>
        </w:rPr>
        <w:t>⑤建设单位对重复使用的危险废物包装物、容器，在重复使用前应当进行检查；发现存在安全隐患的，应当维修或者更换。建设单位应当对检查情况作出记录，记录的保存期限不得少于2年。</w:t>
      </w:r>
    </w:p>
    <w:p>
      <w:pPr>
        <w:pStyle w:val="130"/>
        <w:ind w:firstLine="480"/>
        <w:rPr>
          <w:color w:val="auto"/>
        </w:rPr>
      </w:pPr>
      <w:r>
        <w:rPr>
          <w:color w:val="auto"/>
        </w:rPr>
        <w:t xml:space="preserve">⑵道路危险货物运输 </w:t>
      </w:r>
    </w:p>
    <w:p>
      <w:pPr>
        <w:pStyle w:val="130"/>
        <w:ind w:firstLine="480"/>
        <w:rPr>
          <w:color w:val="auto"/>
        </w:rPr>
      </w:pPr>
      <w:r>
        <w:rPr>
          <w:color w:val="auto"/>
        </w:rPr>
        <w:t>①道建设单位应当严格按照道路运输管理机构决定的许可事项从事道路危险废物运输活动，不得转让、出租道路危险废物运输许可证件。</w:t>
      </w:r>
    </w:p>
    <w:p>
      <w:pPr>
        <w:pStyle w:val="130"/>
        <w:ind w:firstLine="480"/>
        <w:rPr>
          <w:color w:val="auto"/>
        </w:rPr>
      </w:pPr>
      <w:r>
        <w:rPr>
          <w:color w:val="auto"/>
        </w:rPr>
        <w:t xml:space="preserve">②不得使用医疗废物的专用车辆运输普通货物，不得将危险货物与普通货物混装运输。 </w:t>
      </w:r>
    </w:p>
    <w:p>
      <w:pPr>
        <w:pStyle w:val="130"/>
        <w:ind w:firstLine="480"/>
        <w:rPr>
          <w:color w:val="auto"/>
        </w:rPr>
      </w:pPr>
      <w:r>
        <w:rPr>
          <w:color w:val="auto"/>
        </w:rPr>
        <w:t xml:space="preserve">③危废运输专用车辆应当按照国家标准《道路运输危险货物车辆标志》（GB13392）的要求悬挂标志。 </w:t>
      </w:r>
    </w:p>
    <w:p>
      <w:pPr>
        <w:pStyle w:val="130"/>
        <w:ind w:firstLine="480"/>
        <w:rPr>
          <w:color w:val="auto"/>
        </w:rPr>
      </w:pPr>
      <w:r>
        <w:rPr>
          <w:color w:val="auto"/>
        </w:rPr>
        <w:t xml:space="preserve">④建设单位应当按照有关规定办理相关运输手续，车辆所载医疗废物将注明废物来源、性质和运往地点，应当采取必要措施，防止危险废物脱落、扬散、丢失以及燃烧、爆炸、泄漏等。 </w:t>
      </w:r>
    </w:p>
    <w:p>
      <w:pPr>
        <w:pStyle w:val="130"/>
        <w:ind w:firstLine="480"/>
        <w:rPr>
          <w:color w:val="auto"/>
        </w:rPr>
      </w:pPr>
      <w:r>
        <w:rPr>
          <w:color w:val="auto"/>
        </w:rPr>
        <w:t>⑤在道路危险废物运输过程中，除驾驶人员外，还应当在专用车辆上配备押运人员，确保医疗废物处于押运人员监管之下。</w:t>
      </w:r>
    </w:p>
    <w:p>
      <w:pPr>
        <w:pStyle w:val="130"/>
        <w:ind w:firstLine="480"/>
        <w:rPr>
          <w:color w:val="auto"/>
        </w:rPr>
      </w:pPr>
      <w:r>
        <w:rPr>
          <w:color w:val="auto"/>
        </w:rPr>
        <w:t xml:space="preserve">⑥道路医疗废物运输途中，驾驶人员不得随意停车。发生影响正常运输的情况需要较长时间停车的，驾驶人员、押运人员应当设置警戒带，并采取相应的安全防范措施。 </w:t>
      </w:r>
    </w:p>
    <w:p>
      <w:pPr>
        <w:pStyle w:val="130"/>
        <w:ind w:firstLine="480"/>
        <w:rPr>
          <w:color w:val="auto"/>
        </w:rPr>
      </w:pPr>
      <w:r>
        <w:rPr>
          <w:color w:val="auto"/>
        </w:rPr>
        <w:t>⑦驾驶人员、装卸管理人员和押运人员上岗时应当随身携带从业资格证。危险废物的装卸作业应当遵守安全作业标准、规程和制度，并在装卸管理人员的现场指挥或者监控下进行。危险货物运输托运人和承运人应当按照合同约定指派装卸管理人员；若合同未予约定，则由负责装卸作业的一方指派装卸管理人员。</w:t>
      </w:r>
    </w:p>
    <w:p>
      <w:pPr>
        <w:pStyle w:val="130"/>
        <w:ind w:firstLine="480"/>
        <w:rPr>
          <w:color w:val="auto"/>
        </w:rPr>
      </w:pPr>
      <w:r>
        <w:rPr>
          <w:color w:val="auto"/>
        </w:rPr>
        <w:t xml:space="preserve">⑧严禁专用车辆违反国家有关规定超载、超限运输。建设单位使用罐式专用车辆运输货物时，罐体载货后的总质量应当和专用车辆核定载质量相匹配。 </w:t>
      </w:r>
    </w:p>
    <w:p>
      <w:pPr>
        <w:pStyle w:val="130"/>
        <w:ind w:firstLine="480"/>
        <w:rPr>
          <w:color w:val="auto"/>
        </w:rPr>
      </w:pPr>
      <w:r>
        <w:rPr>
          <w:color w:val="auto"/>
        </w:rPr>
        <w:t xml:space="preserve">⑨建设单位当要求驾驶人员和押运人员在运输危险货物时，严格遵守有关部门关于危险货物运输线路、时间、速度方面的有关规定。 </w:t>
      </w:r>
    </w:p>
    <w:p>
      <w:pPr>
        <w:pStyle w:val="130"/>
        <w:ind w:firstLine="480"/>
        <w:rPr>
          <w:color w:val="auto"/>
        </w:rPr>
      </w:pPr>
      <w:r>
        <w:rPr>
          <w:color w:val="auto"/>
        </w:rPr>
        <w:t xml:space="preserve">⑩建设单位应当通过卫星定位监控平台或者监控终端及时纠正和处理超速行驶、疲劳驾驶、不按规定线路行驶等违法违规驾驶行为。监控数据应当至少保存3个月，违法驾驶信息及处理情况应当至少保存3年。 </w:t>
      </w:r>
    </w:p>
    <w:p>
      <w:pPr>
        <w:pStyle w:val="130"/>
        <w:ind w:firstLine="480"/>
        <w:rPr>
          <w:color w:val="auto"/>
        </w:rPr>
      </w:pPr>
      <w:r>
        <w:rPr>
          <w:rFonts w:eastAsiaTheme="minorEastAsia"/>
          <w:color w:val="auto"/>
        </w:rPr>
        <w:t>⑪</w:t>
      </w:r>
      <w:r>
        <w:rPr>
          <w:color w:val="auto"/>
        </w:rPr>
        <w:t>医疗废物运输从业人员必须熟悉有关安全生产的法规、技术标准和安全生产规章制度、安全操作规程，了解所装运医疗废物的性质、危害特性、包装物或者容器的使用要求和发生意外事故时的处置措施，并严格执行《汽车运输危险货物规则》（JT617）、《汽车运输、装卸危险货物作业规程》（JT618）等标准，不得违章作业。</w:t>
      </w:r>
    </w:p>
    <w:p>
      <w:pPr>
        <w:pStyle w:val="130"/>
        <w:ind w:firstLine="480"/>
        <w:rPr>
          <w:color w:val="auto"/>
        </w:rPr>
      </w:pPr>
      <w:r>
        <w:rPr>
          <w:color w:val="auto"/>
        </w:rPr>
        <w:t>⑫建设单位应当加强安全生产管理，制定突发事件应急预案，配备应急救援人员和必要的应急救援器材、设备，并定期组织应急救援演练，严格落实各项安全制度。</w:t>
      </w:r>
    </w:p>
    <w:p>
      <w:pPr>
        <w:pStyle w:val="130"/>
        <w:ind w:firstLine="480"/>
        <w:rPr>
          <w:color w:val="auto"/>
        </w:rPr>
      </w:pPr>
      <w:r>
        <w:rPr>
          <w:color w:val="auto"/>
        </w:rPr>
        <w:t>⑬医疗废物运输过程中应严格控制车速，避免紧急制动，急加速等，防止因上述操作造成容器间发生碰撞引起的容器破损或容器盖失位等引起的废液泄漏。</w:t>
      </w:r>
    </w:p>
    <w:p>
      <w:pPr>
        <w:pStyle w:val="130"/>
        <w:ind w:firstLine="480"/>
        <w:rPr>
          <w:color w:val="auto"/>
        </w:rPr>
      </w:pPr>
      <w:r>
        <w:rPr>
          <w:color w:val="auto"/>
        </w:rPr>
        <w:t>⑭注重对运输车司机的培训，不仅要求运输车辆严格按照指定的运输路线行驶，并注重运输过程的安全，而且还培训运输路线经过的河流及市镇村庄等保护目标，并强化对保护目标的保护意识，途径时做到主动减速慢行，减少事故风险。</w:t>
      </w:r>
    </w:p>
    <w:p>
      <w:pPr>
        <w:pStyle w:val="130"/>
        <w:ind w:firstLine="480"/>
        <w:rPr>
          <w:color w:val="auto"/>
        </w:rPr>
      </w:pPr>
      <w:r>
        <w:rPr>
          <w:color w:val="auto"/>
        </w:rPr>
        <w:t xml:space="preserve">⑮在医疗废物运输过程中发生丢失、流散、泄漏等事故，驾驶人员、押运人员应当立即根据应急预案和《道路运输危险货物安全卡》的要求采取应急处置措施，并向事故发生地公安部门、交通运输主管部门和建设单位报告。建设单位接到事故报告后，应当按照本单位医疗废物应急预案组织救援，并向事故发生地安全生产监督管理部门和环境保护、卫生主管部门报告。 </w:t>
      </w:r>
    </w:p>
    <w:p>
      <w:pPr>
        <w:pStyle w:val="130"/>
        <w:ind w:firstLine="480"/>
        <w:rPr>
          <w:color w:val="auto"/>
        </w:rPr>
      </w:pPr>
      <w:r>
        <w:rPr>
          <w:color w:val="auto"/>
        </w:rPr>
        <w:t>采取以上措施后可有效防止项目运输线路对地表水环境的不利影响。</w:t>
      </w:r>
    </w:p>
    <w:p>
      <w:pPr>
        <w:pStyle w:val="130"/>
        <w:ind w:firstLine="480"/>
        <w:rPr>
          <w:color w:val="auto"/>
        </w:rPr>
      </w:pPr>
      <w:r>
        <w:rPr>
          <w:color w:val="auto"/>
        </w:rPr>
        <w:t>综上所述</w:t>
      </w:r>
      <w:r>
        <w:rPr>
          <w:rFonts w:hint="eastAsia"/>
          <w:color w:val="auto"/>
        </w:rPr>
        <w:t>，</w:t>
      </w:r>
      <w:r>
        <w:rPr>
          <w:color w:val="auto"/>
        </w:rPr>
        <w:t>本项目</w:t>
      </w:r>
      <w:r>
        <w:rPr>
          <w:rFonts w:hint="eastAsia"/>
          <w:color w:val="auto"/>
        </w:rPr>
        <w:t>建成后全厂</w:t>
      </w:r>
      <w:r>
        <w:rPr>
          <w:color w:val="auto"/>
        </w:rPr>
        <w:t>运营期在采取了有效的防治措施后，运输过程对周边环境影响较小。</w:t>
      </w:r>
    </w:p>
    <w:p>
      <w:pPr>
        <w:pStyle w:val="4"/>
        <w:numPr>
          <w:ilvl w:val="1"/>
          <w:numId w:val="0"/>
        </w:numPr>
        <w:spacing w:before="120"/>
        <w:rPr>
          <w:color w:val="auto"/>
        </w:rPr>
      </w:pPr>
      <w:bookmarkStart w:id="478" w:name="_Toc109398689"/>
      <w:r>
        <w:rPr>
          <w:color w:val="auto"/>
        </w:rPr>
        <w:t>7.10环境风险</w:t>
      </w:r>
      <w:bookmarkEnd w:id="475"/>
      <w:r>
        <w:rPr>
          <w:color w:val="auto"/>
        </w:rPr>
        <w:t>评价</w:t>
      </w:r>
      <w:bookmarkEnd w:id="478"/>
    </w:p>
    <w:p>
      <w:pPr>
        <w:pStyle w:val="130"/>
        <w:ind w:firstLine="480"/>
        <w:rPr>
          <w:color w:val="auto"/>
        </w:rPr>
      </w:pPr>
      <w:r>
        <w:rPr>
          <w:color w:val="auto"/>
        </w:rPr>
        <w:t>环境风险评价的目的是分析和预测建设项目存在的潜在危险、有害因素，建设项目建设和运营期间可能发生的突发性事件和事故，引起有毒有害和易燃易爆等物质泄漏，所造成的人身安全与环境影响和损害程度，提出合理可行的防范、应急与减缓措施，以使建设项目事故率、损失和环境影响达到可接受水平。</w:t>
      </w:r>
    </w:p>
    <w:p>
      <w:pPr>
        <w:pStyle w:val="5"/>
        <w:numPr>
          <w:ilvl w:val="2"/>
          <w:numId w:val="0"/>
        </w:numPr>
        <w:ind w:left="-720" w:leftChars="-343" w:firstLine="723" w:firstLineChars="300"/>
        <w:rPr>
          <w:color w:val="auto"/>
        </w:rPr>
      </w:pPr>
      <w:bookmarkStart w:id="479" w:name="_Toc109398690"/>
      <w:r>
        <w:rPr>
          <w:color w:val="auto"/>
        </w:rPr>
        <w:t>7.10.1评价内容和程序</w:t>
      </w:r>
      <w:bookmarkEnd w:id="479"/>
    </w:p>
    <w:p>
      <w:pPr>
        <w:pStyle w:val="130"/>
        <w:ind w:firstLine="480"/>
        <w:rPr>
          <w:color w:val="auto"/>
        </w:rPr>
      </w:pPr>
      <w:r>
        <w:rPr>
          <w:color w:val="auto"/>
        </w:rPr>
        <w:drawing>
          <wp:anchor distT="0" distB="0" distL="0" distR="0" simplePos="0" relativeHeight="251661312" behindDoc="0" locked="0" layoutInCell="1" allowOverlap="1">
            <wp:simplePos x="0" y="0"/>
            <wp:positionH relativeFrom="page">
              <wp:posOffset>1082040</wp:posOffset>
            </wp:positionH>
            <wp:positionV relativeFrom="paragraph">
              <wp:posOffset>747395</wp:posOffset>
            </wp:positionV>
            <wp:extent cx="4785360" cy="5006975"/>
            <wp:effectExtent l="0" t="0" r="0" b="3175"/>
            <wp:wrapTopAndBottom/>
            <wp:docPr id="79"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186.jpeg"/>
                    <pic:cNvPicPr>
                      <a:picLocks noChangeAspect="1"/>
                    </pic:cNvPicPr>
                  </pic:nvPicPr>
                  <pic:blipFill>
                    <a:blip r:embed="rId59" cstate="print"/>
                    <a:stretch>
                      <a:fillRect/>
                    </a:stretch>
                  </pic:blipFill>
                  <pic:spPr>
                    <a:xfrm>
                      <a:off x="0" y="0"/>
                      <a:ext cx="4785360" cy="5006975"/>
                    </a:xfrm>
                    <a:prstGeom prst="rect">
                      <a:avLst/>
                    </a:prstGeom>
                  </pic:spPr>
                </pic:pic>
              </a:graphicData>
            </a:graphic>
          </wp:anchor>
        </w:drawing>
      </w:r>
      <w:r>
        <w:rPr>
          <w:color w:val="auto"/>
        </w:rPr>
        <w:t>环境风险评价基本内容包括风险调查、环境风险潜势初判、风险识别、风险事故情形分析、风险预测与评价、环境风险管理等。</w:t>
      </w:r>
    </w:p>
    <w:p>
      <w:pPr>
        <w:pStyle w:val="114"/>
        <w:spacing w:before="120"/>
        <w:rPr>
          <w:color w:val="auto"/>
        </w:rPr>
      </w:pPr>
      <w:r>
        <w:rPr>
          <w:color w:val="auto"/>
        </w:rPr>
        <w:t>图7.10-1 环境风险评价工作程序</w:t>
      </w:r>
    </w:p>
    <w:p>
      <w:pPr>
        <w:pStyle w:val="5"/>
        <w:numPr>
          <w:ilvl w:val="2"/>
          <w:numId w:val="0"/>
        </w:numPr>
        <w:spacing w:before="120" w:beforeLines="50"/>
        <w:ind w:left="-720" w:leftChars="-343" w:firstLine="723" w:firstLineChars="300"/>
        <w:rPr>
          <w:color w:val="auto"/>
        </w:rPr>
      </w:pPr>
      <w:bookmarkStart w:id="480" w:name="_Toc109398691"/>
      <w:r>
        <w:rPr>
          <w:color w:val="auto"/>
        </w:rPr>
        <w:t>7.10.2风险调查</w:t>
      </w:r>
      <w:bookmarkEnd w:id="480"/>
    </w:p>
    <w:p>
      <w:pPr>
        <w:pStyle w:val="130"/>
        <w:ind w:firstLine="480"/>
        <w:rPr>
          <w:color w:val="auto"/>
        </w:rPr>
      </w:pPr>
      <w:r>
        <w:rPr>
          <w:color w:val="auto"/>
        </w:rPr>
        <w:t>⑴医疗废物</w:t>
      </w:r>
    </w:p>
    <w:p>
      <w:pPr>
        <w:pStyle w:val="130"/>
        <w:ind w:firstLine="480"/>
        <w:rPr>
          <w:color w:val="auto"/>
        </w:rPr>
      </w:pPr>
      <w:r>
        <w:rPr>
          <w:color w:val="auto"/>
        </w:rPr>
        <w:t>根据《国家危险废物名录》，医疗废物本身即属于危险废物，进入医疗废物处置工程的医疗废物其危险特性主要为感染性，并且尖锐利器对人身安全有潜在的危险性。医疗废物的集中处理，病原复杂且携带量大，在收集运输、处置过程中操作不当，造成未处理或未完全无害化处理的医疗废物进入环境，将可能产生极大的危害，威胁人群健康，从而造成恶劣的社会影响。</w:t>
      </w:r>
    </w:p>
    <w:p>
      <w:pPr>
        <w:pStyle w:val="130"/>
        <w:ind w:firstLine="480"/>
        <w:rPr>
          <w:color w:val="auto"/>
        </w:rPr>
      </w:pPr>
      <w:r>
        <w:rPr>
          <w:color w:val="auto"/>
        </w:rPr>
        <w:t>⑵危险化学品物质危险性识别</w:t>
      </w:r>
    </w:p>
    <w:p>
      <w:pPr>
        <w:spacing w:line="360" w:lineRule="auto"/>
        <w:ind w:firstLine="480" w:firstLineChars="200"/>
        <w:rPr>
          <w:color w:val="auto"/>
          <w:sz w:val="24"/>
          <w:szCs w:val="24"/>
        </w:rPr>
      </w:pPr>
      <w:r>
        <w:rPr>
          <w:color w:val="auto"/>
          <w:sz w:val="24"/>
          <w:szCs w:val="24"/>
        </w:rPr>
        <w:t>本项目</w:t>
      </w:r>
      <w:r>
        <w:rPr>
          <w:rFonts w:hint="eastAsia"/>
          <w:color w:val="auto"/>
          <w:sz w:val="24"/>
          <w:szCs w:val="24"/>
        </w:rPr>
        <w:t>建成后全厂</w:t>
      </w:r>
      <w:r>
        <w:rPr>
          <w:color w:val="auto"/>
          <w:sz w:val="24"/>
          <w:szCs w:val="24"/>
        </w:rPr>
        <w:t>涉及的危险化学品主要包括次氯酸钠、氢氧化钠。各物质理化性质及危险特性表详见表7.10-1~7.10-2。</w:t>
      </w:r>
    </w:p>
    <w:p>
      <w:pPr>
        <w:pStyle w:val="114"/>
        <w:spacing w:before="0" w:beforeLines="0"/>
        <w:rPr>
          <w:color w:val="auto"/>
        </w:rPr>
      </w:pPr>
      <w:r>
        <w:rPr>
          <w:color w:val="auto"/>
        </w:rPr>
        <w:t>表7.10-1</w:t>
      </w:r>
      <w:r>
        <w:rPr>
          <w:color w:val="auto"/>
        </w:rPr>
        <w:tab/>
      </w:r>
      <w:r>
        <w:rPr>
          <w:color w:val="auto"/>
        </w:rPr>
        <w:t xml:space="preserve">  次氯酸钠理化性质及危害特性</w:t>
      </w:r>
    </w:p>
    <w:tbl>
      <w:tblPr>
        <w:tblStyle w:val="75"/>
        <w:tblW w:w="87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2641"/>
        <w:gridCol w:w="2194"/>
        <w:gridCol w:w="21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43" w:hRule="atLeast"/>
        </w:trPr>
        <w:tc>
          <w:tcPr>
            <w:tcW w:w="1700" w:type="dxa"/>
            <w:tcBorders>
              <w:tl2br w:val="nil"/>
              <w:tr2bl w:val="nil"/>
            </w:tcBorders>
            <w:vAlign w:val="center"/>
          </w:tcPr>
          <w:p>
            <w:pPr>
              <w:jc w:val="center"/>
              <w:rPr>
                <w:color w:val="auto"/>
              </w:rPr>
            </w:pPr>
            <w:bookmarkStart w:id="481" w:name="_Toc11429"/>
            <w:bookmarkStart w:id="482" w:name="_Toc10449"/>
            <w:bookmarkStart w:id="483" w:name="_Toc4242"/>
            <w:bookmarkStart w:id="484" w:name="_Toc1496"/>
            <w:r>
              <w:rPr>
                <w:color w:val="auto"/>
              </w:rPr>
              <w:t>标识</w:t>
            </w:r>
            <w:bookmarkEnd w:id="481"/>
            <w:bookmarkEnd w:id="482"/>
            <w:bookmarkEnd w:id="483"/>
            <w:bookmarkEnd w:id="484"/>
          </w:p>
        </w:tc>
        <w:tc>
          <w:tcPr>
            <w:tcW w:w="2641" w:type="dxa"/>
            <w:tcBorders>
              <w:tl2br w:val="nil"/>
              <w:tr2bl w:val="nil"/>
            </w:tcBorders>
            <w:vAlign w:val="center"/>
          </w:tcPr>
          <w:p>
            <w:pPr>
              <w:jc w:val="center"/>
              <w:rPr>
                <w:color w:val="auto"/>
              </w:rPr>
            </w:pPr>
            <w:bookmarkStart w:id="485" w:name="_Toc23048"/>
            <w:bookmarkStart w:id="486" w:name="_Toc3718"/>
            <w:bookmarkStart w:id="487" w:name="_Toc3212"/>
            <w:bookmarkStart w:id="488" w:name="_Toc9925"/>
            <w:r>
              <w:rPr>
                <w:color w:val="auto"/>
              </w:rPr>
              <w:t>中文名：次氯酸钠</w:t>
            </w:r>
            <w:bookmarkEnd w:id="485"/>
            <w:bookmarkEnd w:id="486"/>
            <w:bookmarkEnd w:id="487"/>
            <w:bookmarkEnd w:id="488"/>
          </w:p>
        </w:tc>
        <w:tc>
          <w:tcPr>
            <w:tcW w:w="2194" w:type="dxa"/>
            <w:tcBorders>
              <w:tl2br w:val="nil"/>
              <w:tr2bl w:val="nil"/>
            </w:tcBorders>
            <w:vAlign w:val="center"/>
          </w:tcPr>
          <w:p>
            <w:pPr>
              <w:jc w:val="center"/>
              <w:rPr>
                <w:color w:val="auto"/>
              </w:rPr>
            </w:pPr>
            <w:bookmarkStart w:id="489" w:name="_Toc852"/>
            <w:bookmarkStart w:id="490" w:name="_Toc17025"/>
            <w:bookmarkStart w:id="491" w:name="_Toc31523"/>
            <w:bookmarkStart w:id="492" w:name="_Toc166"/>
            <w:r>
              <w:rPr>
                <w:color w:val="auto"/>
              </w:rPr>
              <w:t>NaClO</w:t>
            </w:r>
            <w:bookmarkEnd w:id="489"/>
            <w:bookmarkEnd w:id="490"/>
            <w:bookmarkEnd w:id="491"/>
            <w:bookmarkEnd w:id="492"/>
          </w:p>
        </w:tc>
        <w:tc>
          <w:tcPr>
            <w:tcW w:w="2185" w:type="dxa"/>
            <w:tcBorders>
              <w:tl2br w:val="nil"/>
              <w:tr2bl w:val="nil"/>
            </w:tcBorders>
            <w:vAlign w:val="center"/>
          </w:tcPr>
          <w:p>
            <w:pPr>
              <w:jc w:val="center"/>
              <w:rPr>
                <w:color w:val="auto"/>
              </w:rPr>
            </w:pPr>
            <w:bookmarkStart w:id="493" w:name="_Toc27592"/>
            <w:bookmarkStart w:id="494" w:name="_Toc19086"/>
            <w:bookmarkStart w:id="495" w:name="_Toc16290"/>
            <w:bookmarkStart w:id="496" w:name="_Toc17317"/>
            <w:r>
              <w:rPr>
                <w:color w:val="auto"/>
              </w:rPr>
              <w:t>分子式：74.44</w:t>
            </w:r>
            <w:bookmarkEnd w:id="493"/>
            <w:bookmarkEnd w:id="494"/>
            <w:bookmarkEnd w:id="495"/>
            <w:bookmarkEnd w:id="496"/>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58" w:hRule="atLeast"/>
        </w:trPr>
        <w:tc>
          <w:tcPr>
            <w:tcW w:w="1700" w:type="dxa"/>
            <w:tcBorders>
              <w:tl2br w:val="nil"/>
              <w:tr2bl w:val="nil"/>
            </w:tcBorders>
            <w:vAlign w:val="center"/>
          </w:tcPr>
          <w:p>
            <w:pPr>
              <w:jc w:val="center"/>
              <w:rPr>
                <w:color w:val="auto"/>
              </w:rPr>
            </w:pPr>
            <w:bookmarkStart w:id="497" w:name="_Toc17296"/>
            <w:bookmarkStart w:id="498" w:name="_Toc634"/>
            <w:bookmarkStart w:id="499" w:name="_Toc11038"/>
            <w:bookmarkStart w:id="500" w:name="_Toc1344"/>
            <w:r>
              <w:rPr>
                <w:color w:val="auto"/>
              </w:rPr>
              <w:t>理化性质</w:t>
            </w:r>
            <w:bookmarkEnd w:id="497"/>
            <w:bookmarkEnd w:id="498"/>
            <w:bookmarkEnd w:id="499"/>
            <w:bookmarkEnd w:id="500"/>
          </w:p>
        </w:tc>
        <w:tc>
          <w:tcPr>
            <w:tcW w:w="7020" w:type="dxa"/>
            <w:gridSpan w:val="3"/>
            <w:tcBorders>
              <w:tl2br w:val="nil"/>
              <w:tr2bl w:val="nil"/>
            </w:tcBorders>
            <w:vAlign w:val="center"/>
          </w:tcPr>
          <w:p>
            <w:pPr>
              <w:rPr>
                <w:color w:val="auto"/>
              </w:rPr>
            </w:pPr>
            <w:bookmarkStart w:id="501" w:name="_Toc3647"/>
            <w:bookmarkStart w:id="502" w:name="_Toc15415"/>
            <w:bookmarkStart w:id="503" w:name="_Toc28516"/>
            <w:bookmarkStart w:id="504" w:name="_Toc30300"/>
            <w:r>
              <w:rPr>
                <w:color w:val="auto"/>
              </w:rPr>
              <w:t>纯品为白色结晶状粉末，溶液为微黄色溶液，有似氯气的气味；相对密度(水=1)：1.1；熔点：-16℃，沸点：111℃；CAS号：7681-52-9；溶解性可溶于水</w:t>
            </w:r>
            <w:bookmarkEnd w:id="501"/>
            <w:bookmarkEnd w:id="502"/>
            <w:bookmarkEnd w:id="503"/>
            <w:bookmarkEnd w:id="504"/>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47" w:hRule="atLeast"/>
        </w:trPr>
        <w:tc>
          <w:tcPr>
            <w:tcW w:w="1700" w:type="dxa"/>
            <w:tcBorders>
              <w:tl2br w:val="nil"/>
              <w:tr2bl w:val="nil"/>
            </w:tcBorders>
            <w:vAlign w:val="center"/>
          </w:tcPr>
          <w:p>
            <w:pPr>
              <w:jc w:val="center"/>
              <w:rPr>
                <w:color w:val="auto"/>
              </w:rPr>
            </w:pPr>
            <w:bookmarkStart w:id="505" w:name="_Toc26572"/>
            <w:bookmarkStart w:id="506" w:name="_Toc23858"/>
            <w:bookmarkStart w:id="507" w:name="_Toc22993"/>
            <w:bookmarkStart w:id="508" w:name="_Toc30704"/>
            <w:r>
              <w:rPr>
                <w:color w:val="auto"/>
              </w:rPr>
              <w:t>毒理学资料</w:t>
            </w:r>
            <w:bookmarkEnd w:id="505"/>
            <w:bookmarkEnd w:id="506"/>
            <w:bookmarkEnd w:id="507"/>
            <w:bookmarkEnd w:id="508"/>
          </w:p>
        </w:tc>
        <w:tc>
          <w:tcPr>
            <w:tcW w:w="7020" w:type="dxa"/>
            <w:gridSpan w:val="3"/>
            <w:tcBorders>
              <w:tl2br w:val="nil"/>
              <w:tr2bl w:val="nil"/>
            </w:tcBorders>
            <w:vAlign w:val="center"/>
          </w:tcPr>
          <w:p>
            <w:pPr>
              <w:rPr>
                <w:color w:val="auto"/>
              </w:rPr>
            </w:pPr>
            <w:bookmarkStart w:id="509" w:name="_Toc22529"/>
            <w:bookmarkStart w:id="510" w:name="_Toc24978"/>
            <w:bookmarkStart w:id="511" w:name="_Toc24398"/>
            <w:bookmarkStart w:id="512" w:name="_Toc24813"/>
            <w:r>
              <w:rPr>
                <w:color w:val="auto"/>
              </w:rPr>
              <w:t>LD50：8500mg/kg(小鼠经口)</w:t>
            </w:r>
            <w:bookmarkEnd w:id="509"/>
            <w:bookmarkEnd w:id="510"/>
            <w:bookmarkEnd w:id="511"/>
            <w:bookmarkEnd w:id="51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58" w:hRule="atLeast"/>
        </w:trPr>
        <w:tc>
          <w:tcPr>
            <w:tcW w:w="1700" w:type="dxa"/>
            <w:tcBorders>
              <w:tl2br w:val="nil"/>
              <w:tr2bl w:val="nil"/>
            </w:tcBorders>
            <w:vAlign w:val="center"/>
          </w:tcPr>
          <w:p>
            <w:pPr>
              <w:jc w:val="center"/>
              <w:rPr>
                <w:color w:val="auto"/>
              </w:rPr>
            </w:pPr>
            <w:r>
              <w:rPr>
                <w:color w:val="auto"/>
              </w:rPr>
              <w:t>对人体危害</w:t>
            </w:r>
          </w:p>
        </w:tc>
        <w:tc>
          <w:tcPr>
            <w:tcW w:w="7020" w:type="dxa"/>
            <w:gridSpan w:val="3"/>
            <w:tcBorders>
              <w:tl2br w:val="nil"/>
              <w:tr2bl w:val="nil"/>
            </w:tcBorders>
          </w:tcPr>
          <w:p>
            <w:pPr>
              <w:rPr>
                <w:color w:val="auto"/>
              </w:rPr>
            </w:pPr>
            <w:r>
              <w:rPr>
                <w:color w:val="auto"/>
              </w:rPr>
              <w:t>侵入途径：吸入、食入。</w:t>
            </w:r>
          </w:p>
          <w:p>
            <w:pPr>
              <w:rPr>
                <w:color w:val="auto"/>
              </w:rPr>
            </w:pPr>
            <w:r>
              <w:rPr>
                <w:color w:val="auto"/>
              </w:rPr>
              <w:t>健康危害：经常用手接触本品的工人，手掌大量出汗，指甲变薄，毛发脱落。本品有致敏作用。本品放出的游离氯可能引起中毒。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22" w:hRule="atLeast"/>
        </w:trPr>
        <w:tc>
          <w:tcPr>
            <w:tcW w:w="1700" w:type="dxa"/>
            <w:tcBorders>
              <w:tl2br w:val="nil"/>
              <w:tr2bl w:val="nil"/>
            </w:tcBorders>
            <w:vAlign w:val="center"/>
          </w:tcPr>
          <w:p>
            <w:pPr>
              <w:jc w:val="center"/>
              <w:rPr>
                <w:color w:val="auto"/>
              </w:rPr>
            </w:pPr>
            <w:bookmarkStart w:id="513" w:name="_Toc6522"/>
            <w:bookmarkStart w:id="514" w:name="_Toc21064"/>
            <w:bookmarkStart w:id="515" w:name="_Toc15212"/>
            <w:bookmarkStart w:id="516" w:name="_Toc28153"/>
            <w:r>
              <w:rPr>
                <w:color w:val="auto"/>
              </w:rPr>
              <w:t>急救</w:t>
            </w:r>
            <w:bookmarkEnd w:id="513"/>
            <w:bookmarkEnd w:id="514"/>
            <w:bookmarkEnd w:id="515"/>
            <w:bookmarkEnd w:id="516"/>
          </w:p>
        </w:tc>
        <w:tc>
          <w:tcPr>
            <w:tcW w:w="7020" w:type="dxa"/>
            <w:gridSpan w:val="3"/>
            <w:tcBorders>
              <w:tl2br w:val="nil"/>
              <w:tr2bl w:val="nil"/>
            </w:tcBorders>
            <w:vAlign w:val="center"/>
          </w:tcPr>
          <w:p>
            <w:pPr>
              <w:rPr>
                <w:color w:val="auto"/>
              </w:rPr>
            </w:pPr>
            <w:bookmarkStart w:id="517" w:name="_Toc16716"/>
            <w:bookmarkStart w:id="518" w:name="_Toc31563"/>
            <w:bookmarkStart w:id="519" w:name="_Toc3687"/>
            <w:bookmarkStart w:id="520" w:name="_Toc4357"/>
            <w:r>
              <w:rPr>
                <w:color w:val="auto"/>
              </w:rPr>
              <w:t>皮肤接触：脱去污染的衣着，用大量流动清水冲洗。</w:t>
            </w:r>
            <w:bookmarkEnd w:id="517"/>
            <w:bookmarkEnd w:id="518"/>
            <w:bookmarkEnd w:id="519"/>
            <w:bookmarkEnd w:id="520"/>
          </w:p>
          <w:p>
            <w:pPr>
              <w:rPr>
                <w:color w:val="auto"/>
              </w:rPr>
            </w:pPr>
            <w:bookmarkStart w:id="521" w:name="_Toc5407"/>
            <w:bookmarkStart w:id="522" w:name="_Toc23940"/>
            <w:bookmarkStart w:id="523" w:name="_Toc6195"/>
            <w:bookmarkStart w:id="524" w:name="_Toc32352"/>
            <w:r>
              <w:rPr>
                <w:color w:val="auto"/>
              </w:rPr>
              <w:t>眼睛接触：提起眼睑，用流动清水或生理盐水冲洗。就医。</w:t>
            </w:r>
            <w:bookmarkEnd w:id="521"/>
            <w:bookmarkEnd w:id="522"/>
            <w:bookmarkEnd w:id="523"/>
            <w:bookmarkEnd w:id="524"/>
          </w:p>
          <w:p>
            <w:pPr>
              <w:rPr>
                <w:color w:val="auto"/>
              </w:rPr>
            </w:pPr>
            <w:bookmarkStart w:id="525" w:name="_Toc12050"/>
            <w:bookmarkStart w:id="526" w:name="_Toc18883"/>
            <w:bookmarkStart w:id="527" w:name="_Toc17225"/>
            <w:bookmarkStart w:id="528" w:name="_Toc23218"/>
            <w:r>
              <w:rPr>
                <w:color w:val="auto"/>
              </w:rPr>
              <w:t>吸入：迅速脱离现场至空气新鲜处。保持呼吸道通畅。如呼吸困难，给输氧。如呼吸停止，立即进行人工呼吸。就医。</w:t>
            </w:r>
            <w:bookmarkEnd w:id="525"/>
            <w:bookmarkEnd w:id="526"/>
            <w:bookmarkEnd w:id="527"/>
            <w:bookmarkEnd w:id="528"/>
          </w:p>
          <w:p>
            <w:pPr>
              <w:rPr>
                <w:color w:val="auto"/>
              </w:rPr>
            </w:pPr>
            <w:bookmarkStart w:id="529" w:name="_Toc21890"/>
            <w:bookmarkStart w:id="530" w:name="_Toc8438"/>
            <w:bookmarkStart w:id="531" w:name="_Toc32555"/>
            <w:bookmarkStart w:id="532" w:name="_Toc30952"/>
            <w:r>
              <w:rPr>
                <w:color w:val="auto"/>
              </w:rPr>
              <w:t>食入：饮足量温水，催吐。就医。</w:t>
            </w:r>
            <w:bookmarkEnd w:id="529"/>
            <w:bookmarkEnd w:id="530"/>
            <w:bookmarkEnd w:id="531"/>
            <w:bookmarkEnd w:id="53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88" w:hRule="atLeast"/>
        </w:trPr>
        <w:tc>
          <w:tcPr>
            <w:tcW w:w="1700" w:type="dxa"/>
            <w:tcBorders>
              <w:tl2br w:val="nil"/>
              <w:tr2bl w:val="nil"/>
            </w:tcBorders>
            <w:vAlign w:val="center"/>
          </w:tcPr>
          <w:p>
            <w:pPr>
              <w:jc w:val="center"/>
              <w:rPr>
                <w:color w:val="auto"/>
              </w:rPr>
            </w:pPr>
            <w:r>
              <w:rPr>
                <w:color w:val="auto"/>
              </w:rPr>
              <w:t>防护</w:t>
            </w:r>
          </w:p>
        </w:tc>
        <w:tc>
          <w:tcPr>
            <w:tcW w:w="7020" w:type="dxa"/>
            <w:gridSpan w:val="3"/>
            <w:tcBorders>
              <w:tl2br w:val="nil"/>
              <w:tr2bl w:val="nil"/>
            </w:tcBorders>
          </w:tcPr>
          <w:p>
            <w:pPr>
              <w:rPr>
                <w:color w:val="auto"/>
              </w:rPr>
            </w:pPr>
            <w:r>
              <w:rPr>
                <w:color w:val="auto"/>
              </w:rPr>
              <w:t>工程控制：生产过程密闭，全面通风。提供安全淋浴和洗眼设备。</w:t>
            </w:r>
          </w:p>
          <w:p>
            <w:pPr>
              <w:rPr>
                <w:color w:val="auto"/>
              </w:rPr>
            </w:pPr>
            <w:r>
              <w:rPr>
                <w:color w:val="auto"/>
              </w:rPr>
              <w:t>呼吸系统防护：高浓度环境中，应该佩戴直接式防毒面具（半面罩）。</w:t>
            </w:r>
          </w:p>
          <w:p>
            <w:pPr>
              <w:rPr>
                <w:color w:val="auto"/>
              </w:rPr>
            </w:pPr>
            <w:r>
              <w:rPr>
                <w:color w:val="auto"/>
              </w:rPr>
              <w:t>眼睛防护：戴化学安全防护眼镜。</w:t>
            </w:r>
          </w:p>
          <w:p>
            <w:pPr>
              <w:rPr>
                <w:color w:val="auto"/>
              </w:rPr>
            </w:pPr>
            <w:r>
              <w:rPr>
                <w:color w:val="auto"/>
              </w:rPr>
              <w:t>身体防护：穿防腐工作服。</w:t>
            </w:r>
          </w:p>
          <w:p>
            <w:pPr>
              <w:rPr>
                <w:color w:val="auto"/>
              </w:rPr>
            </w:pPr>
            <w:r>
              <w:rPr>
                <w:color w:val="auto"/>
              </w:rPr>
              <w:t>手防护：戴橡胶手套。</w:t>
            </w:r>
          </w:p>
          <w:p>
            <w:pPr>
              <w:rPr>
                <w:color w:val="auto"/>
              </w:rPr>
            </w:pPr>
            <w:r>
              <w:rPr>
                <w:color w:val="auto"/>
              </w:rPr>
              <w:t>其他防护：工作场所禁止吸烟、进食和饮水。工作毕，淋浴更衣。注意个人清洁卫生。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06" w:hRule="atLeast"/>
        </w:trPr>
        <w:tc>
          <w:tcPr>
            <w:tcW w:w="1700" w:type="dxa"/>
            <w:tcBorders>
              <w:tl2br w:val="nil"/>
              <w:tr2bl w:val="nil"/>
            </w:tcBorders>
            <w:vAlign w:val="center"/>
          </w:tcPr>
          <w:p>
            <w:pPr>
              <w:jc w:val="center"/>
              <w:rPr>
                <w:color w:val="auto"/>
              </w:rPr>
            </w:pPr>
            <w:r>
              <w:rPr>
                <w:color w:val="auto"/>
              </w:rPr>
              <w:t>泄漏处理</w:t>
            </w:r>
          </w:p>
        </w:tc>
        <w:tc>
          <w:tcPr>
            <w:tcW w:w="7020" w:type="dxa"/>
            <w:gridSpan w:val="3"/>
            <w:tcBorders>
              <w:tl2br w:val="nil"/>
              <w:tr2bl w:val="nil"/>
            </w:tcBorders>
          </w:tcPr>
          <w:p>
            <w:pPr>
              <w:rPr>
                <w:color w:val="auto"/>
              </w:rPr>
            </w:pPr>
            <w:r>
              <w:rPr>
                <w:color w:val="auto"/>
              </w:rPr>
              <w:t>迅速撤离泄漏污染区人员至安全区，并进行隔离，严格限制出入。建议应急处理人员戴自给正压式呼吸器，穿一般作业工作服。不要直接接触泄漏物。尽可能切断泄漏源。防止进入下水道、排洪沟等限制性空间。小量泄漏：用砂土、蛭石或其它惰性材料吸收。大量泄漏：构筑围堤或挖坑收容。用泡沫覆盖，降低蒸气灾害。用泵转移至槽车或专用收集器内，回收或运至废物处理场所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71" w:hRule="atLeast"/>
        </w:trPr>
        <w:tc>
          <w:tcPr>
            <w:tcW w:w="1700" w:type="dxa"/>
            <w:tcBorders>
              <w:tl2br w:val="nil"/>
              <w:tr2bl w:val="nil"/>
            </w:tcBorders>
            <w:vAlign w:val="center"/>
          </w:tcPr>
          <w:p>
            <w:pPr>
              <w:jc w:val="center"/>
              <w:rPr>
                <w:color w:val="auto"/>
              </w:rPr>
            </w:pPr>
            <w:r>
              <w:rPr>
                <w:color w:val="auto"/>
              </w:rPr>
              <w:t>贮运</w:t>
            </w:r>
          </w:p>
        </w:tc>
        <w:tc>
          <w:tcPr>
            <w:tcW w:w="7020" w:type="dxa"/>
            <w:gridSpan w:val="3"/>
            <w:tcBorders>
              <w:tl2br w:val="nil"/>
              <w:tr2bl w:val="nil"/>
            </w:tcBorders>
          </w:tcPr>
          <w:p>
            <w:pPr>
              <w:rPr>
                <w:color w:val="auto"/>
              </w:rPr>
            </w:pPr>
            <w:r>
              <w:rPr>
                <w:color w:val="auto"/>
              </w:rPr>
              <w:t>包装方法：小开口钢桶；钢塑复合桶。</w:t>
            </w:r>
          </w:p>
          <w:p>
            <w:pPr>
              <w:rPr>
                <w:color w:val="auto"/>
              </w:rPr>
            </w:pPr>
            <w:r>
              <w:rPr>
                <w:color w:val="auto"/>
              </w:rPr>
              <w:t>储运条件：储存于阴凉、干燥、通风良好的库房。远离火种、热源。防止阳光直射。应与还原剂、易燃或可燃物、酸类、碱类等分开存放。分装和搬运作业要注意个人防护。搬运时要轻装轻卸，防止包装及容器损坏。</w:t>
            </w:r>
          </w:p>
        </w:tc>
      </w:tr>
    </w:tbl>
    <w:p>
      <w:pPr>
        <w:pStyle w:val="114"/>
        <w:spacing w:before="120"/>
        <w:rPr>
          <w:color w:val="auto"/>
        </w:rPr>
      </w:pPr>
      <w:r>
        <w:rPr>
          <w:color w:val="auto"/>
        </w:rPr>
        <w:t>表7.10-2</w:t>
      </w:r>
      <w:r>
        <w:rPr>
          <w:color w:val="auto"/>
        </w:rPr>
        <w:tab/>
      </w:r>
      <w:r>
        <w:rPr>
          <w:color w:val="auto"/>
        </w:rPr>
        <w:t xml:space="preserve">  氢氧化钠理化性质及危害特性</w:t>
      </w:r>
    </w:p>
    <w:tbl>
      <w:tblPr>
        <w:tblStyle w:val="513"/>
        <w:tblW w:w="8894"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352"/>
        <w:gridCol w:w="3538"/>
        <w:gridCol w:w="1459"/>
        <w:gridCol w:w="254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国标编号</w:t>
            </w:r>
          </w:p>
        </w:tc>
        <w:tc>
          <w:tcPr>
            <w:tcW w:w="3538" w:type="dxa"/>
            <w:vAlign w:val="center"/>
          </w:tcPr>
          <w:p>
            <w:pPr>
              <w:pStyle w:val="164"/>
              <w:rPr>
                <w:rFonts w:ascii="Times New Roman" w:hAnsi="Times New Roman"/>
                <w:color w:val="auto"/>
                <w:lang w:eastAsia="en-US"/>
              </w:rPr>
            </w:pPr>
            <w:r>
              <w:rPr>
                <w:rFonts w:ascii="Times New Roman" w:hAnsi="Times New Roman" w:eastAsia="Times New Roman"/>
                <w:color w:val="auto"/>
                <w:lang w:eastAsia="en-US"/>
              </w:rPr>
              <w:t>82001</w:t>
            </w:r>
          </w:p>
        </w:tc>
        <w:tc>
          <w:tcPr>
            <w:tcW w:w="1459" w:type="dxa"/>
            <w:vAlign w:val="center"/>
          </w:tcPr>
          <w:p>
            <w:pPr>
              <w:pStyle w:val="164"/>
              <w:rPr>
                <w:rFonts w:ascii="Times New Roman" w:hAnsi="Times New Roman"/>
                <w:color w:val="auto"/>
                <w:lang w:eastAsia="en-US"/>
              </w:rPr>
            </w:pPr>
            <w:r>
              <w:rPr>
                <w:rFonts w:ascii="Times New Roman" w:hAnsi="Times New Roman" w:eastAsia="Times New Roman"/>
                <w:color w:val="auto"/>
                <w:lang w:eastAsia="en-US"/>
              </w:rPr>
              <w:t>CAS</w:t>
            </w:r>
            <w:r>
              <w:rPr>
                <w:rFonts w:ascii="Times New Roman" w:hAnsi="Times New Roman"/>
                <w:color w:val="auto"/>
                <w:lang w:eastAsia="en-US"/>
              </w:rPr>
              <w:t>号</w:t>
            </w:r>
          </w:p>
        </w:tc>
        <w:tc>
          <w:tcPr>
            <w:tcW w:w="2545" w:type="dxa"/>
            <w:vAlign w:val="center"/>
          </w:tcPr>
          <w:p>
            <w:pPr>
              <w:pStyle w:val="164"/>
              <w:rPr>
                <w:rFonts w:ascii="Times New Roman" w:hAnsi="Times New Roman"/>
                <w:color w:val="auto"/>
                <w:lang w:eastAsia="en-US"/>
              </w:rPr>
            </w:pPr>
            <w:r>
              <w:rPr>
                <w:rFonts w:ascii="Times New Roman" w:hAnsi="Times New Roman" w:eastAsia="Times New Roman"/>
                <w:color w:val="auto"/>
                <w:lang w:eastAsia="en-US"/>
              </w:rPr>
              <w:t>1310-73-2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中文名称</w:t>
            </w:r>
          </w:p>
        </w:tc>
        <w:tc>
          <w:tcPr>
            <w:tcW w:w="3538" w:type="dxa"/>
            <w:vAlign w:val="center"/>
          </w:tcPr>
          <w:p>
            <w:pPr>
              <w:pStyle w:val="164"/>
              <w:rPr>
                <w:rFonts w:ascii="Times New Roman" w:hAnsi="Times New Roman"/>
                <w:color w:val="auto"/>
                <w:lang w:eastAsia="zh-CN"/>
              </w:rPr>
            </w:pPr>
            <w:r>
              <w:rPr>
                <w:rFonts w:ascii="Times New Roman" w:hAnsi="Times New Roman"/>
                <w:color w:val="auto"/>
                <w:lang w:eastAsia="zh-CN"/>
              </w:rPr>
              <w:t>中文名：氢氧化钠；烧碱</w:t>
            </w:r>
          </w:p>
        </w:tc>
        <w:tc>
          <w:tcPr>
            <w:tcW w:w="1459" w:type="dxa"/>
            <w:vAlign w:val="center"/>
          </w:tcPr>
          <w:p>
            <w:pPr>
              <w:pStyle w:val="164"/>
              <w:rPr>
                <w:rFonts w:ascii="Times New Roman" w:hAnsi="Times New Roman"/>
                <w:color w:val="auto"/>
                <w:lang w:eastAsia="en-US"/>
              </w:rPr>
            </w:pPr>
            <w:r>
              <w:rPr>
                <w:rFonts w:ascii="Times New Roman" w:hAnsi="Times New Roman"/>
                <w:color w:val="auto"/>
                <w:lang w:eastAsia="en-US"/>
              </w:rPr>
              <w:t>分子式</w:t>
            </w:r>
          </w:p>
        </w:tc>
        <w:tc>
          <w:tcPr>
            <w:tcW w:w="2545" w:type="dxa"/>
            <w:vAlign w:val="center"/>
          </w:tcPr>
          <w:p>
            <w:pPr>
              <w:pStyle w:val="164"/>
              <w:rPr>
                <w:rFonts w:ascii="Times New Roman" w:hAnsi="Times New Roman"/>
                <w:color w:val="auto"/>
                <w:lang w:eastAsia="en-US"/>
              </w:rPr>
            </w:pPr>
            <w:r>
              <w:rPr>
                <w:rFonts w:ascii="Times New Roman" w:hAnsi="Times New Roman" w:eastAsia="Times New Roman"/>
                <w:color w:val="auto"/>
                <w:lang w:eastAsia="en-US"/>
              </w:rPr>
              <w:t>NaOH</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外观与性状</w:t>
            </w:r>
          </w:p>
        </w:tc>
        <w:tc>
          <w:tcPr>
            <w:tcW w:w="3538" w:type="dxa"/>
            <w:vAlign w:val="center"/>
          </w:tcPr>
          <w:p>
            <w:pPr>
              <w:pStyle w:val="164"/>
              <w:rPr>
                <w:rFonts w:ascii="Times New Roman" w:hAnsi="Times New Roman"/>
                <w:color w:val="auto"/>
                <w:lang w:eastAsia="zh-CN"/>
              </w:rPr>
            </w:pPr>
            <w:r>
              <w:rPr>
                <w:rFonts w:ascii="Times New Roman" w:hAnsi="Times New Roman"/>
                <w:color w:val="auto"/>
                <w:lang w:eastAsia="zh-CN"/>
              </w:rPr>
              <w:t>白色或微带黄绿色粉末或颗粒晶体</w:t>
            </w:r>
          </w:p>
        </w:tc>
        <w:tc>
          <w:tcPr>
            <w:tcW w:w="1459" w:type="dxa"/>
            <w:vAlign w:val="center"/>
          </w:tcPr>
          <w:p>
            <w:pPr>
              <w:pStyle w:val="164"/>
              <w:rPr>
                <w:rFonts w:ascii="Times New Roman" w:hAnsi="Times New Roman"/>
                <w:color w:val="auto"/>
                <w:lang w:eastAsia="en-US"/>
              </w:rPr>
            </w:pPr>
            <w:r>
              <w:rPr>
                <w:rFonts w:ascii="Times New Roman" w:hAnsi="Times New Roman"/>
                <w:color w:val="auto"/>
                <w:lang w:eastAsia="en-US"/>
              </w:rPr>
              <w:t>分子量</w:t>
            </w:r>
          </w:p>
        </w:tc>
        <w:tc>
          <w:tcPr>
            <w:tcW w:w="2545" w:type="dxa"/>
            <w:vAlign w:val="center"/>
          </w:tcPr>
          <w:p>
            <w:pPr>
              <w:pStyle w:val="164"/>
              <w:rPr>
                <w:rFonts w:ascii="Times New Roman" w:hAnsi="Times New Roman"/>
                <w:color w:val="auto"/>
                <w:lang w:eastAsia="en-US"/>
              </w:rPr>
            </w:pPr>
            <w:r>
              <w:rPr>
                <w:rFonts w:ascii="Times New Roman" w:hAnsi="Times New Roman"/>
                <w:color w:val="auto"/>
                <w:lang w:eastAsia="en-US"/>
              </w:rPr>
              <w:t>40.01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蒸汽压</w:t>
            </w:r>
          </w:p>
        </w:tc>
        <w:tc>
          <w:tcPr>
            <w:tcW w:w="3538" w:type="dxa"/>
            <w:vAlign w:val="center"/>
          </w:tcPr>
          <w:p>
            <w:pPr>
              <w:pStyle w:val="164"/>
              <w:rPr>
                <w:rFonts w:ascii="Times New Roman" w:hAnsi="Times New Roman"/>
                <w:color w:val="auto"/>
                <w:lang w:eastAsia="en-US"/>
              </w:rPr>
            </w:pPr>
            <w:r>
              <w:rPr>
                <w:rFonts w:ascii="Times New Roman" w:hAnsi="Times New Roman" w:eastAsia="Times New Roman"/>
                <w:color w:val="auto"/>
                <w:lang w:eastAsia="en-US"/>
              </w:rPr>
              <w:t>0.13(739℃)</w:t>
            </w:r>
          </w:p>
        </w:tc>
        <w:tc>
          <w:tcPr>
            <w:tcW w:w="1459" w:type="dxa"/>
            <w:vAlign w:val="center"/>
          </w:tcPr>
          <w:p>
            <w:pPr>
              <w:pStyle w:val="164"/>
              <w:rPr>
                <w:rFonts w:ascii="Times New Roman" w:hAnsi="Times New Roman"/>
                <w:color w:val="auto"/>
                <w:lang w:eastAsia="en-US"/>
              </w:rPr>
            </w:pPr>
            <w:r>
              <w:rPr>
                <w:rFonts w:ascii="Times New Roman" w:hAnsi="Times New Roman"/>
                <w:color w:val="auto"/>
                <w:lang w:eastAsia="en-US"/>
              </w:rPr>
              <w:t>熔点</w:t>
            </w:r>
          </w:p>
        </w:tc>
        <w:tc>
          <w:tcPr>
            <w:tcW w:w="2545" w:type="dxa"/>
            <w:vAlign w:val="center"/>
          </w:tcPr>
          <w:p>
            <w:pPr>
              <w:pStyle w:val="164"/>
              <w:rPr>
                <w:rFonts w:ascii="Times New Roman" w:hAnsi="Times New Roman"/>
                <w:color w:val="auto"/>
                <w:lang w:eastAsia="en-US"/>
              </w:rPr>
            </w:pPr>
            <w:r>
              <w:rPr>
                <w:rFonts w:ascii="Times New Roman" w:hAnsi="Times New Roman" w:eastAsia="Times New Roman"/>
                <w:color w:val="auto"/>
                <w:lang w:eastAsia="en-US"/>
              </w:rPr>
              <w:t>318.4</w:t>
            </w:r>
            <w:r>
              <w:rPr>
                <w:rFonts w:ascii="Times New Roman" w:hAnsi="Times New Roman" w:eastAsia="微软雅黑"/>
                <w:color w:val="auto"/>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密度</w:t>
            </w:r>
          </w:p>
        </w:tc>
        <w:tc>
          <w:tcPr>
            <w:tcW w:w="3538" w:type="dxa"/>
            <w:vAlign w:val="center"/>
          </w:tcPr>
          <w:p>
            <w:pPr>
              <w:pStyle w:val="164"/>
              <w:rPr>
                <w:rFonts w:ascii="Times New Roman" w:hAnsi="Times New Roman" w:eastAsia="Times New Roman"/>
                <w:color w:val="auto"/>
                <w:lang w:eastAsia="en-US"/>
              </w:rPr>
            </w:pPr>
            <w:r>
              <w:rPr>
                <w:rFonts w:ascii="Times New Roman" w:hAnsi="Times New Roman"/>
                <w:color w:val="auto"/>
                <w:lang w:eastAsia="en-US"/>
              </w:rPr>
              <w:t>相对密度</w:t>
            </w:r>
            <w:r>
              <w:rPr>
                <w:rFonts w:ascii="Times New Roman" w:hAnsi="Times New Roman" w:eastAsia="Times New Roman"/>
                <w:color w:val="auto"/>
                <w:lang w:eastAsia="en-US"/>
              </w:rPr>
              <w:t>(</w:t>
            </w:r>
            <w:r>
              <w:rPr>
                <w:rFonts w:ascii="Times New Roman" w:hAnsi="Times New Roman"/>
                <w:color w:val="auto"/>
                <w:lang w:eastAsia="en-US"/>
              </w:rPr>
              <w:t>水</w:t>
            </w:r>
            <w:r>
              <w:rPr>
                <w:rFonts w:ascii="Times New Roman" w:hAnsi="Times New Roman" w:eastAsia="Times New Roman"/>
                <w:color w:val="auto"/>
                <w:lang w:eastAsia="en-US"/>
              </w:rPr>
              <w:t>=1)1.28</w:t>
            </w:r>
          </w:p>
        </w:tc>
        <w:tc>
          <w:tcPr>
            <w:tcW w:w="1459" w:type="dxa"/>
            <w:vAlign w:val="center"/>
          </w:tcPr>
          <w:p>
            <w:pPr>
              <w:pStyle w:val="164"/>
              <w:rPr>
                <w:rFonts w:ascii="Times New Roman" w:hAnsi="Times New Roman"/>
                <w:color w:val="auto"/>
                <w:lang w:eastAsia="en-US"/>
              </w:rPr>
            </w:pPr>
            <w:r>
              <w:rPr>
                <w:rFonts w:ascii="Times New Roman" w:hAnsi="Times New Roman"/>
                <w:color w:val="auto"/>
                <w:lang w:eastAsia="en-US"/>
              </w:rPr>
              <w:t>稳定性</w:t>
            </w:r>
          </w:p>
        </w:tc>
        <w:tc>
          <w:tcPr>
            <w:tcW w:w="2545" w:type="dxa"/>
            <w:vAlign w:val="center"/>
          </w:tcPr>
          <w:p>
            <w:pPr>
              <w:pStyle w:val="164"/>
              <w:rPr>
                <w:rFonts w:ascii="Times New Roman" w:hAnsi="Times New Roman"/>
                <w:color w:val="auto"/>
                <w:lang w:eastAsia="en-US"/>
              </w:rPr>
            </w:pPr>
            <w:r>
              <w:rPr>
                <w:rFonts w:ascii="Times New Roman" w:hAnsi="Times New Roman"/>
                <w:color w:val="auto"/>
                <w:lang w:eastAsia="en-US"/>
              </w:rPr>
              <w:t>稳定</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危险标记</w:t>
            </w:r>
          </w:p>
        </w:tc>
        <w:tc>
          <w:tcPr>
            <w:tcW w:w="3538" w:type="dxa"/>
            <w:vAlign w:val="center"/>
          </w:tcPr>
          <w:p>
            <w:pPr>
              <w:pStyle w:val="164"/>
              <w:rPr>
                <w:rFonts w:ascii="Times New Roman" w:hAnsi="Times New Roman"/>
                <w:color w:val="auto"/>
                <w:lang w:eastAsia="en-US"/>
              </w:rPr>
            </w:pPr>
            <w:r>
              <w:rPr>
                <w:rFonts w:ascii="Times New Roman" w:hAnsi="Times New Roman" w:eastAsia="Times New Roman"/>
                <w:color w:val="auto"/>
                <w:lang w:eastAsia="en-US"/>
              </w:rPr>
              <w:t>8</w:t>
            </w:r>
            <w:r>
              <w:rPr>
                <w:rFonts w:ascii="Times New Roman" w:hAnsi="Times New Roman"/>
                <w:color w:val="auto"/>
                <w:lang w:eastAsia="en-US"/>
              </w:rPr>
              <w:t>(碱性腐蚀品)</w:t>
            </w:r>
          </w:p>
        </w:tc>
        <w:tc>
          <w:tcPr>
            <w:tcW w:w="1459" w:type="dxa"/>
            <w:vAlign w:val="center"/>
          </w:tcPr>
          <w:p>
            <w:pPr>
              <w:pStyle w:val="164"/>
              <w:rPr>
                <w:rFonts w:ascii="Times New Roman" w:hAnsi="Times New Roman"/>
                <w:color w:val="auto"/>
                <w:lang w:eastAsia="en-US"/>
              </w:rPr>
            </w:pPr>
            <w:r>
              <w:rPr>
                <w:rFonts w:ascii="Times New Roman" w:hAnsi="Times New Roman"/>
                <w:color w:val="auto"/>
                <w:lang w:eastAsia="en-US"/>
              </w:rPr>
              <w:t>溶解性</w:t>
            </w:r>
          </w:p>
        </w:tc>
        <w:tc>
          <w:tcPr>
            <w:tcW w:w="2545" w:type="dxa"/>
            <w:vAlign w:val="center"/>
          </w:tcPr>
          <w:p>
            <w:pPr>
              <w:pStyle w:val="164"/>
              <w:rPr>
                <w:rFonts w:ascii="Times New Roman" w:hAnsi="Times New Roman"/>
                <w:color w:val="auto"/>
                <w:lang w:eastAsia="en-US"/>
              </w:rPr>
            </w:pPr>
            <w:r>
              <w:rPr>
                <w:rFonts w:ascii="Times New Roman" w:hAnsi="Times New Roman"/>
                <w:color w:val="auto"/>
                <w:lang w:eastAsia="en-US"/>
              </w:rPr>
              <w:t>易溶于水、乙醇、甘油，不溶于丙酮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主要用途</w:t>
            </w:r>
          </w:p>
        </w:tc>
        <w:tc>
          <w:tcPr>
            <w:tcW w:w="7542" w:type="dxa"/>
            <w:gridSpan w:val="3"/>
            <w:vAlign w:val="center"/>
          </w:tcPr>
          <w:p>
            <w:pPr>
              <w:pStyle w:val="164"/>
              <w:rPr>
                <w:rFonts w:ascii="Times New Roman" w:hAnsi="Times New Roman"/>
                <w:color w:val="auto"/>
                <w:lang w:eastAsia="zh-CN"/>
              </w:rPr>
            </w:pPr>
            <w:r>
              <w:rPr>
                <w:rFonts w:ascii="Times New Roman" w:hAnsi="Times New Roman"/>
                <w:color w:val="auto"/>
                <w:lang w:eastAsia="zh-CN"/>
              </w:rPr>
              <w:t>氢氧化钠主要用于造纸、纤维素浆粕的生产和肥皂、合成洗涤剂、合成脂肪酸的生产以及动植物油脂的精炼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危险性</w:t>
            </w:r>
          </w:p>
        </w:tc>
        <w:tc>
          <w:tcPr>
            <w:tcW w:w="7542" w:type="dxa"/>
            <w:gridSpan w:val="3"/>
            <w:vAlign w:val="center"/>
          </w:tcPr>
          <w:p>
            <w:pPr>
              <w:pStyle w:val="164"/>
              <w:rPr>
                <w:rFonts w:ascii="Times New Roman" w:hAnsi="Times New Roman"/>
                <w:color w:val="auto"/>
                <w:lang w:eastAsia="zh-CN"/>
              </w:rPr>
            </w:pPr>
            <w:r>
              <w:rPr>
                <w:rFonts w:ascii="Times New Roman" w:hAnsi="Times New Roman"/>
                <w:color w:val="auto"/>
                <w:lang w:eastAsia="zh-CN"/>
              </w:rPr>
              <w:t>本品有强烈刺激和腐蚀性。粉尘刺激眼睛和呼吸道，腐蚀鼻中隔；皮肤和眼睛直接接触可引起灼伤；误服可造成消化道灼伤，粘膜糜烂、出血和休克</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毒性</w:t>
            </w:r>
          </w:p>
        </w:tc>
        <w:tc>
          <w:tcPr>
            <w:tcW w:w="7542" w:type="dxa"/>
            <w:gridSpan w:val="3"/>
            <w:vAlign w:val="center"/>
          </w:tcPr>
          <w:p>
            <w:pPr>
              <w:pStyle w:val="164"/>
              <w:rPr>
                <w:rFonts w:ascii="Times New Roman" w:hAnsi="Times New Roman" w:eastAsia="Times New Roman"/>
                <w:color w:val="auto"/>
                <w:lang w:eastAsia="zh-CN"/>
              </w:rPr>
            </w:pPr>
            <w:r>
              <w:rPr>
                <w:rFonts w:ascii="Times New Roman" w:hAnsi="Times New Roman"/>
                <w:color w:val="auto"/>
                <w:lang w:eastAsia="zh-CN"/>
              </w:rPr>
              <w:t>急性毒性：LD</w:t>
            </w:r>
            <w:r>
              <w:rPr>
                <w:rFonts w:ascii="Times New Roman" w:hAnsi="Times New Roman"/>
                <w:color w:val="auto"/>
                <w:vertAlign w:val="subscript"/>
                <w:lang w:eastAsia="zh-CN"/>
              </w:rPr>
              <w:t>50</w:t>
            </w:r>
            <w:r>
              <w:rPr>
                <w:rFonts w:ascii="Times New Roman" w:hAnsi="Times New Roman"/>
                <w:color w:val="auto"/>
                <w:lang w:eastAsia="zh-CN"/>
              </w:rPr>
              <w:t>无资料；LC</w:t>
            </w:r>
            <w:r>
              <w:rPr>
                <w:rFonts w:ascii="Times New Roman" w:hAnsi="Times New Roman"/>
                <w:color w:val="auto"/>
                <w:vertAlign w:val="subscript"/>
                <w:lang w:eastAsia="zh-CN"/>
              </w:rPr>
              <w:t>50</w:t>
            </w:r>
            <w:r>
              <w:rPr>
                <w:rFonts w:ascii="Times New Roman" w:hAnsi="Times New Roman"/>
                <w:color w:val="auto"/>
                <w:lang w:eastAsia="zh-CN"/>
              </w:rPr>
              <w:t>无资料</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23" w:hRule="atLeast"/>
          <w:jc w:val="center"/>
        </w:trPr>
        <w:tc>
          <w:tcPr>
            <w:tcW w:w="1352" w:type="dxa"/>
            <w:vAlign w:val="center"/>
          </w:tcPr>
          <w:p>
            <w:pPr>
              <w:pStyle w:val="164"/>
              <w:rPr>
                <w:rFonts w:ascii="Times New Roman" w:hAnsi="Times New Roman"/>
                <w:color w:val="auto"/>
                <w:lang w:eastAsia="en-US"/>
              </w:rPr>
            </w:pPr>
            <w:r>
              <w:rPr>
                <w:rFonts w:ascii="Times New Roman" w:hAnsi="Times New Roman"/>
                <w:color w:val="auto"/>
                <w:lang w:eastAsia="en-US"/>
              </w:rPr>
              <w:t>危险特性</w:t>
            </w:r>
          </w:p>
        </w:tc>
        <w:tc>
          <w:tcPr>
            <w:tcW w:w="7542" w:type="dxa"/>
            <w:gridSpan w:val="3"/>
            <w:vAlign w:val="center"/>
          </w:tcPr>
          <w:p>
            <w:pPr>
              <w:pStyle w:val="164"/>
              <w:rPr>
                <w:rFonts w:ascii="Times New Roman" w:hAnsi="Times New Roman"/>
                <w:color w:val="auto"/>
                <w:lang w:eastAsia="en-US"/>
              </w:rPr>
            </w:pPr>
            <w:r>
              <w:rPr>
                <w:rFonts w:ascii="Times New Roman" w:hAnsi="Times New Roman"/>
                <w:color w:val="auto"/>
                <w:lang w:eastAsia="zh-CN"/>
              </w:rPr>
              <w:t>与酸发生中和反应并放热。遇潮时对铝、锌和锡有腐蚀性，并放出易燃易爆的氢气。本品不会燃烧，遇水和水蒸气大量放热，形成腐蚀性溶液。</w:t>
            </w:r>
            <w:r>
              <w:rPr>
                <w:rFonts w:ascii="Times New Roman" w:hAnsi="Times New Roman"/>
                <w:color w:val="auto"/>
                <w:lang w:eastAsia="en-US"/>
              </w:rPr>
              <w:t>具有强腐蚀性</w:t>
            </w:r>
          </w:p>
        </w:tc>
      </w:tr>
    </w:tbl>
    <w:p>
      <w:pPr>
        <w:pStyle w:val="5"/>
        <w:numPr>
          <w:ilvl w:val="2"/>
          <w:numId w:val="0"/>
        </w:numPr>
        <w:spacing w:before="120" w:beforeLines="50"/>
        <w:ind w:left="-720" w:leftChars="-343" w:firstLine="723" w:firstLineChars="300"/>
        <w:rPr>
          <w:color w:val="auto"/>
        </w:rPr>
      </w:pPr>
      <w:bookmarkStart w:id="533" w:name="_Toc109398692"/>
      <w:r>
        <w:rPr>
          <w:color w:val="auto"/>
        </w:rPr>
        <w:t>7.10.3风险潜势初判</w:t>
      </w:r>
      <w:bookmarkEnd w:id="533"/>
    </w:p>
    <w:p>
      <w:pPr>
        <w:pStyle w:val="130"/>
        <w:ind w:firstLine="480"/>
        <w:rPr>
          <w:color w:val="auto"/>
        </w:rPr>
      </w:pPr>
      <w:r>
        <w:rPr>
          <w:color w:val="auto"/>
        </w:rPr>
        <w:t>（1）危险物质数量与临界量比值Q</w:t>
      </w:r>
    </w:p>
    <w:p>
      <w:pPr>
        <w:pStyle w:val="130"/>
        <w:ind w:firstLine="480"/>
        <w:rPr>
          <w:color w:val="auto"/>
        </w:rPr>
      </w:pPr>
      <w:r>
        <w:rPr>
          <w:color w:val="auto"/>
        </w:rPr>
        <w:t>计算所涉及的每种危险物质在厂界内的最大存在总量与其在附录B中对应临界量的比值Q。在不同厂区的同一种物质，按其在厂界内的最大存在总量计算。</w:t>
      </w:r>
    </w:p>
    <w:p>
      <w:pPr>
        <w:pStyle w:val="130"/>
        <w:ind w:firstLine="480"/>
        <w:rPr>
          <w:color w:val="auto"/>
        </w:rPr>
      </w:pPr>
      <w:r>
        <w:rPr>
          <w:color w:val="auto"/>
        </w:rPr>
        <w:t>当只涉及一种危险物质时，计算该物质的总量与其临界量比值，即为Q；当存在多种危险物质时，则按式（C.1）计算物质总量与其临界量比值Q：</w:t>
      </w:r>
    </w:p>
    <w:p>
      <w:pPr>
        <w:pStyle w:val="130"/>
        <w:ind w:firstLine="480"/>
        <w:jc w:val="center"/>
        <w:rPr>
          <w:color w:val="auto"/>
        </w:rPr>
      </w:pPr>
      <w:r>
        <w:rPr>
          <w:color w:val="auto"/>
        </w:rPr>
        <w:t>Q=q1/Q1+q2/Q2……+qn/Qn</w:t>
      </w:r>
    </w:p>
    <w:p>
      <w:pPr>
        <w:pStyle w:val="130"/>
        <w:ind w:firstLine="480"/>
        <w:rPr>
          <w:color w:val="auto"/>
        </w:rPr>
      </w:pPr>
      <w:r>
        <w:rPr>
          <w:color w:val="auto"/>
        </w:rPr>
        <w:t>式中：</w:t>
      </w:r>
    </w:p>
    <w:p>
      <w:pPr>
        <w:pStyle w:val="130"/>
        <w:ind w:firstLine="480"/>
        <w:rPr>
          <w:color w:val="auto"/>
        </w:rPr>
      </w:pPr>
      <w:r>
        <w:rPr>
          <w:color w:val="auto"/>
        </w:rPr>
        <w:t>q1、q2，…，qn—每种危险物质的最大存在总量，t；</w:t>
      </w:r>
    </w:p>
    <w:p>
      <w:pPr>
        <w:pStyle w:val="130"/>
        <w:ind w:firstLine="480"/>
        <w:rPr>
          <w:color w:val="auto"/>
        </w:rPr>
      </w:pPr>
      <w:r>
        <w:rPr>
          <w:color w:val="auto"/>
        </w:rPr>
        <w:t>Q1、Q2，…，Qn—每种危险物质的临界量，t。</w:t>
      </w:r>
    </w:p>
    <w:p>
      <w:pPr>
        <w:pStyle w:val="130"/>
        <w:ind w:firstLine="480"/>
        <w:rPr>
          <w:color w:val="auto"/>
        </w:rPr>
      </w:pPr>
      <w:r>
        <w:rPr>
          <w:color w:val="auto"/>
        </w:rPr>
        <w:t>当 Q＜1 时，本项目环境风险潜势为Ⅰ。</w:t>
      </w:r>
    </w:p>
    <w:p>
      <w:pPr>
        <w:pStyle w:val="130"/>
        <w:ind w:firstLine="480"/>
        <w:rPr>
          <w:color w:val="auto"/>
        </w:rPr>
      </w:pPr>
      <w:r>
        <w:rPr>
          <w:color w:val="auto"/>
        </w:rPr>
        <w:t>当 Q≥1 时，将 Q 值划分为：（1）1≤Q＜10；（2）10≤Q＜100；（3）Q≥100。</w:t>
      </w:r>
    </w:p>
    <w:p>
      <w:pPr>
        <w:pStyle w:val="114"/>
        <w:spacing w:before="0" w:beforeLines="0"/>
        <w:rPr>
          <w:color w:val="auto"/>
        </w:rPr>
      </w:pPr>
      <w:r>
        <w:rPr>
          <w:color w:val="auto"/>
        </w:rPr>
        <w:t>表</w:t>
      </w:r>
      <w:r>
        <w:rPr>
          <w:rFonts w:eastAsia="Times New Roman"/>
          <w:color w:val="auto"/>
        </w:rPr>
        <w:t>7.</w:t>
      </w:r>
      <w:r>
        <w:rPr>
          <w:color w:val="auto"/>
        </w:rPr>
        <w:t>10</w:t>
      </w:r>
      <w:r>
        <w:rPr>
          <w:rFonts w:eastAsiaTheme="minorEastAsia"/>
          <w:color w:val="auto"/>
        </w:rPr>
        <w:t>-</w:t>
      </w:r>
      <w:r>
        <w:rPr>
          <w:rFonts w:eastAsia="Times New Roman"/>
          <w:color w:val="auto"/>
        </w:rPr>
        <w:t xml:space="preserve">5 </w:t>
      </w:r>
      <w:r>
        <w:rPr>
          <w:rFonts w:hint="eastAsia" w:ascii="宋体" w:hAnsi="宋体" w:cs="宋体"/>
          <w:color w:val="auto"/>
        </w:rPr>
        <w:t>本</w:t>
      </w:r>
      <w:r>
        <w:rPr>
          <w:color w:val="auto"/>
        </w:rPr>
        <w:t>项目</w:t>
      </w:r>
      <w:r>
        <w:rPr>
          <w:rFonts w:hint="eastAsia"/>
          <w:color w:val="auto"/>
        </w:rPr>
        <w:t>建成后全厂</w:t>
      </w:r>
      <w:r>
        <w:rPr>
          <w:color w:val="auto"/>
        </w:rPr>
        <w:t>危险物质贮存一览表</w:t>
      </w:r>
    </w:p>
    <w:tbl>
      <w:tblPr>
        <w:tblStyle w:val="513"/>
        <w:tblW w:w="8680" w:type="dxa"/>
        <w:tblInd w:w="5"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40"/>
        <w:gridCol w:w="1373"/>
        <w:gridCol w:w="1582"/>
        <w:gridCol w:w="1277"/>
        <w:gridCol w:w="1234"/>
        <w:gridCol w:w="237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840" w:type="dxa"/>
            <w:vAlign w:val="center"/>
          </w:tcPr>
          <w:p>
            <w:pPr>
              <w:pStyle w:val="164"/>
              <w:rPr>
                <w:rFonts w:ascii="Times New Roman" w:hAnsi="Times New Roman"/>
                <w:color w:val="auto"/>
                <w:lang w:eastAsia="en-US"/>
              </w:rPr>
            </w:pPr>
            <w:r>
              <w:rPr>
                <w:rFonts w:ascii="Times New Roman" w:hAnsi="Times New Roman"/>
                <w:color w:val="auto"/>
                <w:lang w:eastAsia="en-US"/>
              </w:rPr>
              <w:t>序号</w:t>
            </w:r>
          </w:p>
        </w:tc>
        <w:tc>
          <w:tcPr>
            <w:tcW w:w="1373" w:type="dxa"/>
            <w:vAlign w:val="center"/>
          </w:tcPr>
          <w:p>
            <w:pPr>
              <w:pStyle w:val="164"/>
              <w:rPr>
                <w:rFonts w:ascii="Times New Roman" w:hAnsi="Times New Roman"/>
                <w:color w:val="auto"/>
                <w:lang w:eastAsia="en-US"/>
              </w:rPr>
            </w:pPr>
            <w:r>
              <w:rPr>
                <w:rFonts w:ascii="Times New Roman" w:hAnsi="Times New Roman"/>
                <w:color w:val="auto"/>
                <w:lang w:eastAsia="en-US"/>
              </w:rPr>
              <w:t>物料名称</w:t>
            </w:r>
          </w:p>
        </w:tc>
        <w:tc>
          <w:tcPr>
            <w:tcW w:w="1582" w:type="dxa"/>
            <w:vAlign w:val="center"/>
          </w:tcPr>
          <w:p>
            <w:pPr>
              <w:pStyle w:val="164"/>
              <w:rPr>
                <w:rFonts w:ascii="Times New Roman" w:hAnsi="Times New Roman"/>
                <w:color w:val="auto"/>
                <w:lang w:eastAsia="en-US"/>
              </w:rPr>
            </w:pPr>
            <w:r>
              <w:rPr>
                <w:rFonts w:ascii="Times New Roman" w:hAnsi="Times New Roman"/>
                <w:color w:val="auto"/>
                <w:lang w:eastAsia="en-US"/>
              </w:rPr>
              <w:t>最大贮存量</w:t>
            </w:r>
          </w:p>
        </w:tc>
        <w:tc>
          <w:tcPr>
            <w:tcW w:w="1277" w:type="dxa"/>
            <w:vAlign w:val="center"/>
          </w:tcPr>
          <w:p>
            <w:pPr>
              <w:pStyle w:val="164"/>
              <w:rPr>
                <w:rFonts w:ascii="Times New Roman" w:hAnsi="Times New Roman"/>
                <w:color w:val="auto"/>
                <w:lang w:eastAsia="en-US"/>
              </w:rPr>
            </w:pPr>
            <w:r>
              <w:rPr>
                <w:rFonts w:ascii="Times New Roman" w:hAnsi="Times New Roman"/>
                <w:color w:val="auto"/>
                <w:lang w:eastAsia="en-US"/>
              </w:rPr>
              <w:t>临界量</w:t>
            </w:r>
          </w:p>
        </w:tc>
        <w:tc>
          <w:tcPr>
            <w:tcW w:w="1234" w:type="dxa"/>
            <w:vAlign w:val="center"/>
          </w:tcPr>
          <w:p>
            <w:pPr>
              <w:pStyle w:val="164"/>
              <w:rPr>
                <w:rFonts w:ascii="Times New Roman" w:hAnsi="Times New Roman"/>
                <w:color w:val="auto"/>
                <w:lang w:eastAsia="en-US"/>
              </w:rPr>
            </w:pPr>
            <w:r>
              <w:rPr>
                <w:rFonts w:ascii="Times New Roman" w:hAnsi="Times New Roman" w:eastAsia="Times New Roman"/>
                <w:color w:val="auto"/>
                <w:lang w:eastAsia="en-US"/>
              </w:rPr>
              <w:t>Q</w:t>
            </w:r>
            <w:r>
              <w:rPr>
                <w:rFonts w:ascii="Times New Roman" w:hAnsi="Times New Roman"/>
                <w:color w:val="auto"/>
                <w:lang w:eastAsia="en-US"/>
              </w:rPr>
              <w:t>值</w:t>
            </w:r>
          </w:p>
        </w:tc>
        <w:tc>
          <w:tcPr>
            <w:tcW w:w="2374" w:type="dxa"/>
            <w:vAlign w:val="center"/>
          </w:tcPr>
          <w:p>
            <w:pPr>
              <w:pStyle w:val="164"/>
              <w:rPr>
                <w:rFonts w:ascii="Times New Roman" w:hAnsi="Times New Roman"/>
                <w:color w:val="auto"/>
                <w:lang w:eastAsia="en-US"/>
              </w:rPr>
            </w:pPr>
            <w:r>
              <w:rPr>
                <w:rFonts w:ascii="Times New Roman" w:hAnsi="Times New Roman"/>
                <w:color w:val="auto"/>
                <w:lang w:eastAsia="en-US"/>
              </w:rPr>
              <w:t>贮存场所</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37" w:hRule="atLeast"/>
        </w:trPr>
        <w:tc>
          <w:tcPr>
            <w:tcW w:w="840" w:type="dxa"/>
            <w:vAlign w:val="center"/>
          </w:tcPr>
          <w:p>
            <w:pPr>
              <w:pStyle w:val="164"/>
              <w:rPr>
                <w:rFonts w:ascii="Times New Roman" w:hAnsi="Times New Roman"/>
                <w:color w:val="auto"/>
                <w:lang w:eastAsia="en-US"/>
              </w:rPr>
            </w:pPr>
            <w:r>
              <w:rPr>
                <w:rFonts w:ascii="Times New Roman" w:hAnsi="Times New Roman"/>
                <w:color w:val="auto"/>
                <w:lang w:eastAsia="en-US"/>
              </w:rPr>
              <w:t>1</w:t>
            </w:r>
          </w:p>
        </w:tc>
        <w:tc>
          <w:tcPr>
            <w:tcW w:w="1373" w:type="dxa"/>
            <w:vAlign w:val="center"/>
          </w:tcPr>
          <w:p>
            <w:pPr>
              <w:pStyle w:val="164"/>
              <w:rPr>
                <w:rFonts w:ascii="Times New Roman" w:hAnsi="Times New Roman"/>
                <w:color w:val="auto"/>
                <w:lang w:eastAsia="en-US"/>
              </w:rPr>
            </w:pPr>
            <w:r>
              <w:rPr>
                <w:rFonts w:ascii="Times New Roman" w:hAnsi="Times New Roman"/>
                <w:color w:val="auto"/>
                <w:lang w:eastAsia="en-US"/>
              </w:rPr>
              <w:t>次氯酸钠</w:t>
            </w:r>
          </w:p>
        </w:tc>
        <w:tc>
          <w:tcPr>
            <w:tcW w:w="1582" w:type="dxa"/>
            <w:vAlign w:val="center"/>
          </w:tcPr>
          <w:p>
            <w:pPr>
              <w:pStyle w:val="164"/>
              <w:rPr>
                <w:rFonts w:ascii="Times New Roman" w:hAnsi="Times New Roman"/>
                <w:color w:val="auto"/>
                <w:lang w:eastAsia="en-US"/>
              </w:rPr>
            </w:pPr>
            <w:r>
              <w:rPr>
                <w:rFonts w:ascii="Times New Roman" w:hAnsi="Times New Roman"/>
                <w:color w:val="auto"/>
                <w:lang w:eastAsia="en-US"/>
              </w:rPr>
              <w:t>0.5t</w:t>
            </w:r>
          </w:p>
        </w:tc>
        <w:tc>
          <w:tcPr>
            <w:tcW w:w="1277" w:type="dxa"/>
            <w:vAlign w:val="center"/>
          </w:tcPr>
          <w:p>
            <w:pPr>
              <w:pStyle w:val="164"/>
              <w:rPr>
                <w:rFonts w:ascii="Times New Roman" w:hAnsi="Times New Roman"/>
                <w:color w:val="auto"/>
                <w:lang w:eastAsia="en-US"/>
              </w:rPr>
            </w:pPr>
            <w:r>
              <w:rPr>
                <w:rFonts w:ascii="Times New Roman" w:hAnsi="Times New Roman"/>
                <w:color w:val="auto"/>
                <w:lang w:eastAsia="en-US"/>
              </w:rPr>
              <w:t>5t</w:t>
            </w:r>
          </w:p>
        </w:tc>
        <w:tc>
          <w:tcPr>
            <w:tcW w:w="1234" w:type="dxa"/>
            <w:vAlign w:val="center"/>
          </w:tcPr>
          <w:p>
            <w:pPr>
              <w:pStyle w:val="164"/>
              <w:rPr>
                <w:rFonts w:ascii="Times New Roman" w:hAnsi="Times New Roman"/>
                <w:color w:val="auto"/>
                <w:lang w:eastAsia="en-US"/>
              </w:rPr>
            </w:pPr>
            <w:r>
              <w:rPr>
                <w:rFonts w:ascii="Times New Roman" w:hAnsi="Times New Roman"/>
                <w:color w:val="auto"/>
                <w:lang w:eastAsia="en-US"/>
              </w:rPr>
              <w:t>0.1</w:t>
            </w:r>
          </w:p>
        </w:tc>
        <w:tc>
          <w:tcPr>
            <w:tcW w:w="2374" w:type="dxa"/>
            <w:vAlign w:val="center"/>
          </w:tcPr>
          <w:p>
            <w:pPr>
              <w:pStyle w:val="164"/>
              <w:rPr>
                <w:rFonts w:ascii="Times New Roman" w:hAnsi="Times New Roman"/>
                <w:color w:val="auto"/>
                <w:lang w:eastAsia="en-US"/>
              </w:rPr>
            </w:pPr>
            <w:r>
              <w:rPr>
                <w:rFonts w:ascii="Times New Roman" w:hAnsi="Times New Roman"/>
                <w:color w:val="auto"/>
                <w:lang w:eastAsia="en-US"/>
              </w:rPr>
              <w:t>制药间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840" w:type="dxa"/>
            <w:vAlign w:val="center"/>
          </w:tcPr>
          <w:p>
            <w:pPr>
              <w:pStyle w:val="164"/>
              <w:rPr>
                <w:rFonts w:ascii="Times New Roman" w:hAnsi="Times New Roman"/>
                <w:color w:val="auto"/>
                <w:lang w:eastAsia="en-US"/>
              </w:rPr>
            </w:pPr>
            <w:r>
              <w:rPr>
                <w:rFonts w:ascii="Times New Roman" w:hAnsi="Times New Roman"/>
                <w:color w:val="auto"/>
                <w:lang w:eastAsia="en-US"/>
              </w:rPr>
              <w:t>2</w:t>
            </w:r>
          </w:p>
        </w:tc>
        <w:tc>
          <w:tcPr>
            <w:tcW w:w="1373" w:type="dxa"/>
            <w:vAlign w:val="center"/>
          </w:tcPr>
          <w:p>
            <w:pPr>
              <w:pStyle w:val="164"/>
              <w:rPr>
                <w:rFonts w:ascii="Times New Roman" w:hAnsi="Times New Roman"/>
                <w:color w:val="auto"/>
                <w:lang w:eastAsia="en-US"/>
              </w:rPr>
            </w:pPr>
            <w:r>
              <w:rPr>
                <w:rFonts w:ascii="Times New Roman" w:hAnsi="Times New Roman"/>
                <w:color w:val="auto"/>
                <w:lang w:eastAsia="en-US"/>
              </w:rPr>
              <w:t>氢氧化钠</w:t>
            </w:r>
          </w:p>
        </w:tc>
        <w:tc>
          <w:tcPr>
            <w:tcW w:w="1582" w:type="dxa"/>
            <w:vAlign w:val="center"/>
          </w:tcPr>
          <w:p>
            <w:pPr>
              <w:pStyle w:val="164"/>
              <w:rPr>
                <w:rFonts w:ascii="Times New Roman" w:hAnsi="Times New Roman"/>
                <w:color w:val="auto"/>
                <w:lang w:eastAsia="en-US"/>
              </w:rPr>
            </w:pPr>
            <w:r>
              <w:rPr>
                <w:rFonts w:ascii="Times New Roman" w:hAnsi="Times New Roman"/>
                <w:color w:val="auto"/>
                <w:lang w:eastAsia="en-US"/>
              </w:rPr>
              <w:t>0.2t</w:t>
            </w:r>
          </w:p>
        </w:tc>
        <w:tc>
          <w:tcPr>
            <w:tcW w:w="1277" w:type="dxa"/>
            <w:vAlign w:val="center"/>
          </w:tcPr>
          <w:p>
            <w:pPr>
              <w:pStyle w:val="164"/>
              <w:rPr>
                <w:rFonts w:ascii="Times New Roman" w:hAnsi="Times New Roman"/>
                <w:color w:val="auto"/>
                <w:lang w:eastAsia="en-US"/>
              </w:rPr>
            </w:pPr>
            <w:r>
              <w:rPr>
                <w:rFonts w:ascii="Times New Roman" w:hAnsi="Times New Roman"/>
                <w:color w:val="auto"/>
                <w:lang w:eastAsia="en-US"/>
              </w:rPr>
              <w:t>50</w:t>
            </w:r>
          </w:p>
        </w:tc>
        <w:tc>
          <w:tcPr>
            <w:tcW w:w="1234" w:type="dxa"/>
            <w:vAlign w:val="center"/>
          </w:tcPr>
          <w:p>
            <w:pPr>
              <w:pStyle w:val="164"/>
              <w:rPr>
                <w:rFonts w:ascii="Times New Roman" w:hAnsi="Times New Roman"/>
                <w:color w:val="auto"/>
                <w:lang w:eastAsia="en-US"/>
              </w:rPr>
            </w:pPr>
            <w:r>
              <w:rPr>
                <w:rFonts w:ascii="Times New Roman" w:hAnsi="Times New Roman"/>
                <w:color w:val="auto"/>
                <w:lang w:eastAsia="en-US"/>
              </w:rPr>
              <w:t>0.004</w:t>
            </w:r>
          </w:p>
        </w:tc>
        <w:tc>
          <w:tcPr>
            <w:tcW w:w="2374" w:type="dxa"/>
            <w:vAlign w:val="center"/>
          </w:tcPr>
          <w:p>
            <w:pPr>
              <w:pStyle w:val="164"/>
              <w:rPr>
                <w:rFonts w:ascii="Times New Roman" w:hAnsi="Times New Roman"/>
                <w:color w:val="auto"/>
                <w:lang w:eastAsia="zh-CN"/>
              </w:rPr>
            </w:pPr>
            <w:r>
              <w:rPr>
                <w:rFonts w:ascii="Times New Roman" w:hAnsi="Times New Roman"/>
                <w:color w:val="auto"/>
                <w:lang w:eastAsia="zh-CN"/>
              </w:rPr>
              <w:t>制药间及废气治理设施内</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840" w:type="dxa"/>
            <w:vAlign w:val="center"/>
          </w:tcPr>
          <w:p>
            <w:pPr>
              <w:pStyle w:val="164"/>
              <w:rPr>
                <w:rFonts w:ascii="Times New Roman" w:hAnsi="Times New Roman"/>
                <w:color w:val="auto"/>
                <w:lang w:eastAsia="en-US"/>
              </w:rPr>
            </w:pPr>
            <w:r>
              <w:rPr>
                <w:rFonts w:ascii="Times New Roman" w:hAnsi="Times New Roman"/>
                <w:color w:val="auto"/>
                <w:lang w:eastAsia="en-US"/>
              </w:rPr>
              <w:t>3</w:t>
            </w:r>
          </w:p>
        </w:tc>
        <w:tc>
          <w:tcPr>
            <w:tcW w:w="1373" w:type="dxa"/>
            <w:vAlign w:val="center"/>
          </w:tcPr>
          <w:p>
            <w:pPr>
              <w:pStyle w:val="164"/>
              <w:rPr>
                <w:rFonts w:ascii="Times New Roman" w:hAnsi="Times New Roman"/>
                <w:color w:val="auto"/>
                <w:lang w:eastAsia="en-US"/>
              </w:rPr>
            </w:pPr>
            <w:r>
              <w:rPr>
                <w:rFonts w:ascii="Times New Roman" w:hAnsi="Times New Roman"/>
                <w:color w:val="auto"/>
                <w:lang w:eastAsia="en-US"/>
              </w:rPr>
              <w:t>医疗废物</w:t>
            </w:r>
          </w:p>
        </w:tc>
        <w:tc>
          <w:tcPr>
            <w:tcW w:w="1582" w:type="dxa"/>
            <w:vAlign w:val="center"/>
          </w:tcPr>
          <w:p>
            <w:pPr>
              <w:pStyle w:val="164"/>
              <w:rPr>
                <w:rFonts w:ascii="Times New Roman" w:hAnsi="Times New Roman"/>
                <w:color w:val="auto"/>
                <w:lang w:eastAsia="en-US"/>
              </w:rPr>
            </w:pPr>
            <w:r>
              <w:rPr>
                <w:rFonts w:ascii="Times New Roman" w:hAnsi="Times New Roman"/>
                <w:color w:val="auto"/>
                <w:lang w:eastAsia="en-US"/>
              </w:rPr>
              <w:t>10t</w:t>
            </w:r>
          </w:p>
        </w:tc>
        <w:tc>
          <w:tcPr>
            <w:tcW w:w="1277" w:type="dxa"/>
            <w:vAlign w:val="center"/>
          </w:tcPr>
          <w:p>
            <w:pPr>
              <w:pStyle w:val="164"/>
              <w:rPr>
                <w:rFonts w:ascii="Times New Roman" w:hAnsi="Times New Roman"/>
                <w:color w:val="auto"/>
                <w:lang w:eastAsia="en-US"/>
              </w:rPr>
            </w:pPr>
            <w:r>
              <w:rPr>
                <w:rFonts w:ascii="Times New Roman" w:hAnsi="Times New Roman"/>
                <w:color w:val="auto"/>
                <w:lang w:eastAsia="en-US"/>
              </w:rPr>
              <w:t>100t</w:t>
            </w:r>
          </w:p>
        </w:tc>
        <w:tc>
          <w:tcPr>
            <w:tcW w:w="1234" w:type="dxa"/>
            <w:vAlign w:val="center"/>
          </w:tcPr>
          <w:p>
            <w:pPr>
              <w:pStyle w:val="164"/>
              <w:rPr>
                <w:rFonts w:ascii="Times New Roman" w:hAnsi="Times New Roman"/>
                <w:color w:val="auto"/>
                <w:lang w:eastAsia="en-US"/>
              </w:rPr>
            </w:pPr>
            <w:r>
              <w:rPr>
                <w:rFonts w:ascii="Times New Roman" w:hAnsi="Times New Roman"/>
                <w:color w:val="auto"/>
                <w:lang w:eastAsia="en-US"/>
              </w:rPr>
              <w:t>0.1</w:t>
            </w:r>
          </w:p>
        </w:tc>
        <w:tc>
          <w:tcPr>
            <w:tcW w:w="2374" w:type="dxa"/>
            <w:vAlign w:val="center"/>
          </w:tcPr>
          <w:p>
            <w:pPr>
              <w:pStyle w:val="164"/>
              <w:rPr>
                <w:rFonts w:ascii="Times New Roman" w:hAnsi="Times New Roman"/>
                <w:color w:val="auto"/>
                <w:lang w:eastAsia="en-US"/>
              </w:rPr>
            </w:pPr>
            <w:r>
              <w:rPr>
                <w:rFonts w:ascii="Times New Roman" w:hAnsi="Times New Roman"/>
                <w:color w:val="auto"/>
                <w:lang w:eastAsia="en-US"/>
              </w:rPr>
              <w:t>医废暂存间及冷库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5072" w:type="dxa"/>
            <w:gridSpan w:val="4"/>
            <w:vAlign w:val="center"/>
          </w:tcPr>
          <w:p>
            <w:pPr>
              <w:pStyle w:val="164"/>
              <w:rPr>
                <w:rFonts w:ascii="Times New Roman" w:hAnsi="Times New Roman"/>
                <w:color w:val="auto"/>
                <w:lang w:eastAsia="en-US"/>
              </w:rPr>
            </w:pPr>
            <w:r>
              <w:rPr>
                <w:rFonts w:ascii="Times New Roman" w:hAnsi="Times New Roman"/>
                <w:color w:val="auto"/>
                <w:lang w:eastAsia="en-US"/>
              </w:rPr>
              <w:t>合计</w:t>
            </w:r>
          </w:p>
        </w:tc>
        <w:tc>
          <w:tcPr>
            <w:tcW w:w="1234" w:type="dxa"/>
            <w:vAlign w:val="center"/>
          </w:tcPr>
          <w:p>
            <w:pPr>
              <w:pStyle w:val="164"/>
              <w:rPr>
                <w:rFonts w:ascii="Times New Roman" w:hAnsi="Times New Roman"/>
                <w:color w:val="auto"/>
                <w:lang w:eastAsia="en-US"/>
              </w:rPr>
            </w:pPr>
            <w:r>
              <w:rPr>
                <w:rFonts w:ascii="Times New Roman" w:hAnsi="Times New Roman"/>
                <w:color w:val="auto"/>
                <w:lang w:eastAsia="en-US"/>
              </w:rPr>
              <w:t>0.204</w:t>
            </w:r>
          </w:p>
        </w:tc>
        <w:tc>
          <w:tcPr>
            <w:tcW w:w="2374" w:type="dxa"/>
            <w:vAlign w:val="center"/>
          </w:tcPr>
          <w:p>
            <w:pPr>
              <w:pStyle w:val="164"/>
              <w:rPr>
                <w:rFonts w:ascii="Times New Roman" w:hAnsi="Times New Roman"/>
                <w:color w:val="auto"/>
                <w:lang w:eastAsia="en-US"/>
              </w:rPr>
            </w:pPr>
            <w:r>
              <w:rPr>
                <w:rFonts w:ascii="Times New Roman" w:hAnsi="Times New Roman"/>
                <w:color w:val="auto"/>
                <w:lang w:eastAsia="en-US"/>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trPr>
        <w:tc>
          <w:tcPr>
            <w:tcW w:w="8680" w:type="dxa"/>
            <w:gridSpan w:val="6"/>
            <w:vAlign w:val="center"/>
          </w:tcPr>
          <w:p>
            <w:pPr>
              <w:pStyle w:val="164"/>
              <w:jc w:val="both"/>
              <w:rPr>
                <w:rFonts w:ascii="Times New Roman" w:hAnsi="Times New Roman"/>
                <w:color w:val="auto"/>
                <w:lang w:eastAsia="zh-CN"/>
              </w:rPr>
            </w:pPr>
            <w:r>
              <w:rPr>
                <w:rFonts w:ascii="Times New Roman" w:hAnsi="Times New Roman"/>
                <w:color w:val="auto"/>
                <w:lang w:eastAsia="zh-CN"/>
              </w:rPr>
              <w:t>注：</w:t>
            </w:r>
            <w:r>
              <w:rPr>
                <w:rFonts w:ascii="Times New Roman" w:hAnsi="Times New Roman"/>
                <w:color w:val="auto"/>
                <w:lang w:eastAsia="zh-CN" w:bidi="zh-CN"/>
              </w:rPr>
              <w:t>根据《建设项目环境风险评价技术导则》（HJ 169－2018）附录B.2确定氢氧化钠和医疗废物临界量。</w:t>
            </w:r>
          </w:p>
        </w:tc>
      </w:tr>
    </w:tbl>
    <w:p>
      <w:pPr>
        <w:pStyle w:val="130"/>
        <w:spacing w:before="120" w:beforeLines="50"/>
        <w:ind w:firstLine="480"/>
        <w:rPr>
          <w:color w:val="auto"/>
        </w:rPr>
      </w:pPr>
      <w:r>
        <w:rPr>
          <w:color w:val="auto"/>
        </w:rPr>
        <w:t>经计算，Q=0.204＜1，项目环境风险潜势为Ⅰ。</w:t>
      </w:r>
    </w:p>
    <w:p>
      <w:pPr>
        <w:pStyle w:val="5"/>
        <w:numPr>
          <w:ilvl w:val="2"/>
          <w:numId w:val="0"/>
        </w:numPr>
        <w:ind w:left="-720" w:leftChars="-343" w:firstLine="723" w:firstLineChars="300"/>
        <w:rPr>
          <w:color w:val="auto"/>
        </w:rPr>
      </w:pPr>
      <w:bookmarkStart w:id="534" w:name="_Toc109398693"/>
      <w:r>
        <w:rPr>
          <w:color w:val="auto"/>
        </w:rPr>
        <w:t>7.10.4评价等级</w:t>
      </w:r>
      <w:bookmarkEnd w:id="534"/>
    </w:p>
    <w:p>
      <w:pPr>
        <w:pStyle w:val="130"/>
        <w:ind w:firstLine="480"/>
        <w:rPr>
          <w:color w:val="auto"/>
        </w:rPr>
      </w:pPr>
      <w:r>
        <w:rPr>
          <w:color w:val="auto"/>
        </w:rPr>
        <w:t>根据《建设项目环境风险评价技术导则》（HJ 169-2018）4.3 评价工作等级划分可知：环境风险评价工作等级划分为一级、二级、三级。根据建设项目涉及的物质及工艺系统危险性和所在地的环境敏感性确定环境风险潜势，确定评价工作等级。风险潜势为Ⅳ及以上，进行一级评价；风险潜势为Ⅲ，进行二级评价；风险潜势为Ⅱ，进行三级评价；风险潜势为Ⅰ，可开展简单分析，本项目风险潜势为Ⅰ。</w:t>
      </w:r>
    </w:p>
    <w:p>
      <w:pPr>
        <w:pStyle w:val="114"/>
        <w:spacing w:before="0" w:beforeLines="0"/>
        <w:rPr>
          <w:color w:val="auto"/>
        </w:rPr>
      </w:pPr>
      <w:r>
        <w:rPr>
          <w:color w:val="auto"/>
          <w:spacing w:val="-30"/>
        </w:rPr>
        <w:t xml:space="preserve">表 </w:t>
      </w:r>
      <w:r>
        <w:rPr>
          <w:rFonts w:eastAsia="Times New Roman"/>
          <w:color w:val="auto"/>
        </w:rPr>
        <w:t>7.</w:t>
      </w:r>
      <w:r>
        <w:rPr>
          <w:color w:val="auto"/>
        </w:rPr>
        <w:t>10</w:t>
      </w:r>
      <w:r>
        <w:rPr>
          <w:rFonts w:eastAsia="Times New Roman"/>
          <w:color w:val="auto"/>
        </w:rPr>
        <w:t>-6</w:t>
      </w:r>
      <w:r>
        <w:rPr>
          <w:rFonts w:eastAsia="Times New Roman"/>
          <w:color w:val="auto"/>
          <w:spacing w:val="55"/>
        </w:rPr>
        <w:t xml:space="preserve"> </w:t>
      </w:r>
      <w:r>
        <w:rPr>
          <w:color w:val="auto"/>
        </w:rPr>
        <w:t>评价工作等级划分</w:t>
      </w:r>
    </w:p>
    <w:tbl>
      <w:tblPr>
        <w:tblStyle w:val="513"/>
        <w:tblW w:w="8569"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713"/>
        <w:gridCol w:w="1714"/>
        <w:gridCol w:w="1713"/>
        <w:gridCol w:w="1714"/>
        <w:gridCol w:w="171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4" w:hRule="atLeast"/>
          <w:jc w:val="center"/>
        </w:trPr>
        <w:tc>
          <w:tcPr>
            <w:tcW w:w="1713" w:type="dxa"/>
            <w:vAlign w:val="center"/>
          </w:tcPr>
          <w:p>
            <w:pPr>
              <w:pStyle w:val="161"/>
              <w:spacing w:before="21"/>
              <w:ind w:right="206"/>
              <w:jc w:val="center"/>
              <w:rPr>
                <w:rFonts w:ascii="Times New Roman" w:hAnsi="Times New Roman"/>
                <w:color w:val="auto"/>
                <w:lang w:eastAsia="en-US"/>
              </w:rPr>
            </w:pPr>
            <w:r>
              <w:rPr>
                <w:rFonts w:ascii="Times New Roman" w:hAnsi="Times New Roman"/>
                <w:color w:val="auto"/>
                <w:lang w:eastAsia="en-US"/>
              </w:rPr>
              <w:t>环境风险潜势</w:t>
            </w:r>
          </w:p>
        </w:tc>
        <w:tc>
          <w:tcPr>
            <w:tcW w:w="1714" w:type="dxa"/>
            <w:vAlign w:val="center"/>
          </w:tcPr>
          <w:p>
            <w:pPr>
              <w:pStyle w:val="161"/>
              <w:spacing w:before="21"/>
              <w:ind w:left="479" w:right="472"/>
              <w:jc w:val="center"/>
              <w:rPr>
                <w:rFonts w:ascii="Times New Roman" w:hAnsi="Times New Roman"/>
                <w:color w:val="auto"/>
                <w:sz w:val="13"/>
                <w:lang w:eastAsia="en-US"/>
              </w:rPr>
            </w:pPr>
            <w:r>
              <w:rPr>
                <w:rFonts w:ascii="Times New Roman" w:hAnsi="Times New Roman"/>
                <w:color w:val="auto"/>
                <w:lang w:eastAsia="en-US"/>
              </w:rPr>
              <w:t>Ⅳ、Ⅳ</w:t>
            </w:r>
            <w:r>
              <w:rPr>
                <w:rFonts w:ascii="Times New Roman" w:hAnsi="Times New Roman"/>
                <w:color w:val="auto"/>
                <w:position w:val="7"/>
                <w:sz w:val="13"/>
                <w:lang w:eastAsia="en-US"/>
              </w:rPr>
              <w:t>+</w:t>
            </w:r>
          </w:p>
        </w:tc>
        <w:tc>
          <w:tcPr>
            <w:tcW w:w="1713" w:type="dxa"/>
            <w:vAlign w:val="center"/>
          </w:tcPr>
          <w:p>
            <w:pPr>
              <w:pStyle w:val="161"/>
              <w:spacing w:before="21"/>
              <w:ind w:left="7"/>
              <w:jc w:val="center"/>
              <w:rPr>
                <w:rFonts w:ascii="Times New Roman" w:hAnsi="Times New Roman"/>
                <w:color w:val="auto"/>
                <w:lang w:eastAsia="en-US"/>
              </w:rPr>
            </w:pPr>
            <w:r>
              <w:rPr>
                <w:rFonts w:ascii="Times New Roman" w:hAnsi="Times New Roman"/>
                <w:color w:val="auto"/>
                <w:lang w:eastAsia="en-US"/>
              </w:rPr>
              <w:t>Ⅲ</w:t>
            </w:r>
          </w:p>
        </w:tc>
        <w:tc>
          <w:tcPr>
            <w:tcW w:w="1714" w:type="dxa"/>
            <w:vAlign w:val="center"/>
          </w:tcPr>
          <w:p>
            <w:pPr>
              <w:pStyle w:val="161"/>
              <w:spacing w:before="21"/>
              <w:ind w:left="6"/>
              <w:jc w:val="center"/>
              <w:rPr>
                <w:rFonts w:ascii="Times New Roman" w:hAnsi="Times New Roman"/>
                <w:color w:val="auto"/>
                <w:lang w:eastAsia="en-US"/>
              </w:rPr>
            </w:pPr>
            <w:r>
              <w:rPr>
                <w:rFonts w:ascii="Times New Roman" w:hAnsi="Times New Roman"/>
                <w:color w:val="auto"/>
                <w:lang w:eastAsia="en-US"/>
              </w:rPr>
              <w:t>Ⅱ</w:t>
            </w:r>
          </w:p>
        </w:tc>
        <w:tc>
          <w:tcPr>
            <w:tcW w:w="1715" w:type="dxa"/>
            <w:vAlign w:val="center"/>
          </w:tcPr>
          <w:p>
            <w:pPr>
              <w:pStyle w:val="161"/>
              <w:spacing w:before="21"/>
              <w:ind w:left="14"/>
              <w:jc w:val="center"/>
              <w:rPr>
                <w:rFonts w:ascii="Times New Roman" w:hAnsi="Times New Roman"/>
                <w:color w:val="auto"/>
                <w:lang w:eastAsia="en-US"/>
              </w:rPr>
            </w:pPr>
            <w:r>
              <w:rPr>
                <w:rFonts w:ascii="Times New Roman" w:hAnsi="Times New Roman"/>
                <w:color w:val="auto"/>
                <w:lang w:eastAsia="en-US"/>
              </w:rPr>
              <w:t>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4" w:hRule="atLeast"/>
          <w:jc w:val="center"/>
        </w:trPr>
        <w:tc>
          <w:tcPr>
            <w:tcW w:w="1713" w:type="dxa"/>
            <w:vAlign w:val="center"/>
          </w:tcPr>
          <w:p>
            <w:pPr>
              <w:pStyle w:val="161"/>
              <w:spacing w:before="20"/>
              <w:ind w:right="206"/>
              <w:jc w:val="center"/>
              <w:rPr>
                <w:rFonts w:ascii="Times New Roman" w:hAnsi="Times New Roman"/>
                <w:color w:val="auto"/>
                <w:lang w:eastAsia="en-US"/>
              </w:rPr>
            </w:pPr>
            <w:r>
              <w:rPr>
                <w:rFonts w:ascii="Times New Roman" w:hAnsi="Times New Roman"/>
                <w:color w:val="auto"/>
                <w:lang w:eastAsia="en-US"/>
              </w:rPr>
              <w:t>评价工作等级</w:t>
            </w:r>
          </w:p>
        </w:tc>
        <w:tc>
          <w:tcPr>
            <w:tcW w:w="1714" w:type="dxa"/>
            <w:vAlign w:val="center"/>
          </w:tcPr>
          <w:p>
            <w:pPr>
              <w:pStyle w:val="161"/>
              <w:spacing w:before="20"/>
              <w:ind w:left="8"/>
              <w:jc w:val="center"/>
              <w:rPr>
                <w:rFonts w:ascii="Times New Roman" w:hAnsi="Times New Roman"/>
                <w:color w:val="auto"/>
                <w:lang w:eastAsia="en-US"/>
              </w:rPr>
            </w:pPr>
            <w:r>
              <w:rPr>
                <w:rFonts w:ascii="Times New Roman" w:hAnsi="Times New Roman"/>
                <w:color w:val="auto"/>
                <w:lang w:eastAsia="en-US"/>
              </w:rPr>
              <w:t>一</w:t>
            </w:r>
          </w:p>
        </w:tc>
        <w:tc>
          <w:tcPr>
            <w:tcW w:w="1713" w:type="dxa"/>
            <w:vAlign w:val="center"/>
          </w:tcPr>
          <w:p>
            <w:pPr>
              <w:pStyle w:val="161"/>
              <w:spacing w:before="20"/>
              <w:ind w:left="7"/>
              <w:jc w:val="center"/>
              <w:rPr>
                <w:rFonts w:ascii="Times New Roman" w:hAnsi="Times New Roman"/>
                <w:color w:val="auto"/>
                <w:lang w:eastAsia="en-US"/>
              </w:rPr>
            </w:pPr>
            <w:r>
              <w:rPr>
                <w:rFonts w:ascii="Times New Roman" w:hAnsi="Times New Roman"/>
                <w:color w:val="auto"/>
                <w:lang w:eastAsia="en-US"/>
              </w:rPr>
              <w:t>二</w:t>
            </w:r>
          </w:p>
        </w:tc>
        <w:tc>
          <w:tcPr>
            <w:tcW w:w="1714" w:type="dxa"/>
            <w:vAlign w:val="center"/>
          </w:tcPr>
          <w:p>
            <w:pPr>
              <w:pStyle w:val="161"/>
              <w:spacing w:before="20"/>
              <w:ind w:left="6"/>
              <w:jc w:val="center"/>
              <w:rPr>
                <w:rFonts w:ascii="Times New Roman" w:hAnsi="Times New Roman"/>
                <w:color w:val="auto"/>
                <w:lang w:eastAsia="en-US"/>
              </w:rPr>
            </w:pPr>
            <w:r>
              <w:rPr>
                <w:rFonts w:ascii="Times New Roman" w:hAnsi="Times New Roman"/>
                <w:color w:val="auto"/>
                <w:lang w:eastAsia="en-US"/>
              </w:rPr>
              <w:t>三</w:t>
            </w:r>
          </w:p>
        </w:tc>
        <w:tc>
          <w:tcPr>
            <w:tcW w:w="1715" w:type="dxa"/>
            <w:vAlign w:val="center"/>
          </w:tcPr>
          <w:p>
            <w:pPr>
              <w:pStyle w:val="161"/>
              <w:spacing w:before="20"/>
              <w:ind w:left="329" w:right="322"/>
              <w:jc w:val="center"/>
              <w:rPr>
                <w:rFonts w:ascii="Times New Roman" w:hAnsi="Times New Roman"/>
                <w:color w:val="auto"/>
                <w:sz w:val="13"/>
                <w:lang w:eastAsia="en-US"/>
              </w:rPr>
            </w:pPr>
            <w:r>
              <w:rPr>
                <w:rFonts w:ascii="Times New Roman" w:hAnsi="Times New Roman"/>
                <w:color w:val="auto"/>
                <w:lang w:eastAsia="en-US"/>
              </w:rPr>
              <w:t xml:space="preserve">简单分析 </w:t>
            </w:r>
            <w:r>
              <w:rPr>
                <w:rFonts w:ascii="Times New Roman" w:hAnsi="Times New Roman"/>
                <w:color w:val="auto"/>
                <w:position w:val="7"/>
                <w:sz w:val="13"/>
                <w:lang w:eastAsia="en-US"/>
              </w:rPr>
              <w: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655" w:hRule="atLeast"/>
          <w:jc w:val="center"/>
        </w:trPr>
        <w:tc>
          <w:tcPr>
            <w:tcW w:w="8569" w:type="dxa"/>
            <w:gridSpan w:val="5"/>
          </w:tcPr>
          <w:p>
            <w:pPr>
              <w:pStyle w:val="161"/>
              <w:spacing w:before="20"/>
              <w:ind w:left="107"/>
              <w:jc w:val="left"/>
              <w:rPr>
                <w:rFonts w:ascii="Times New Roman" w:hAnsi="Times New Roman"/>
                <w:color w:val="auto"/>
                <w:lang w:eastAsia="zh-CN"/>
              </w:rPr>
            </w:pPr>
            <w:r>
              <w:rPr>
                <w:rFonts w:ascii="Times New Roman" w:hAnsi="Times New Roman"/>
                <w:color w:val="auto"/>
                <w:lang w:eastAsia="zh-CN"/>
              </w:rPr>
              <w:t>a 是相对于详细评价工作内容而言，在描述危险物质、环境影响途径、环境危害后果、风险防范措施等方面给出定性的说明。见附录A。</w:t>
            </w:r>
          </w:p>
        </w:tc>
      </w:tr>
    </w:tbl>
    <w:p>
      <w:pPr>
        <w:pStyle w:val="130"/>
        <w:spacing w:before="120" w:beforeLines="50"/>
        <w:ind w:firstLine="480"/>
        <w:rPr>
          <w:color w:val="auto"/>
        </w:rPr>
      </w:pPr>
      <w:r>
        <w:rPr>
          <w:color w:val="auto"/>
        </w:rPr>
        <w:t>根据上表，本次风险评价工作等级为简单分析。</w:t>
      </w:r>
    </w:p>
    <w:p>
      <w:pPr>
        <w:pStyle w:val="5"/>
        <w:numPr>
          <w:ilvl w:val="2"/>
          <w:numId w:val="0"/>
        </w:numPr>
        <w:ind w:left="-720" w:leftChars="-343" w:firstLine="723" w:firstLineChars="300"/>
        <w:rPr>
          <w:color w:val="auto"/>
        </w:rPr>
      </w:pPr>
      <w:bookmarkStart w:id="535" w:name="_Toc109398694"/>
      <w:r>
        <w:rPr>
          <w:color w:val="auto"/>
        </w:rPr>
        <w:t>7.10.5环境敏感目标</w:t>
      </w:r>
      <w:bookmarkEnd w:id="535"/>
    </w:p>
    <w:p>
      <w:pPr>
        <w:pStyle w:val="130"/>
        <w:ind w:firstLine="480"/>
        <w:rPr>
          <w:color w:val="auto"/>
        </w:rPr>
      </w:pPr>
      <w:r>
        <w:rPr>
          <w:color w:val="auto"/>
        </w:rPr>
        <w:t>详见章节“第一章1.6环境保护目标”内容。</w:t>
      </w:r>
    </w:p>
    <w:p>
      <w:pPr>
        <w:pStyle w:val="5"/>
        <w:numPr>
          <w:ilvl w:val="2"/>
          <w:numId w:val="0"/>
        </w:numPr>
        <w:ind w:left="-720" w:leftChars="-343" w:firstLine="723" w:firstLineChars="300"/>
        <w:rPr>
          <w:color w:val="auto"/>
        </w:rPr>
      </w:pPr>
      <w:bookmarkStart w:id="536" w:name="_Toc11595447"/>
      <w:bookmarkStart w:id="537" w:name="_Toc493853556"/>
      <w:bookmarkStart w:id="538" w:name="_Toc109398695"/>
      <w:r>
        <w:rPr>
          <w:color w:val="auto"/>
        </w:rPr>
        <w:t>7.10.6风险识别</w:t>
      </w:r>
      <w:bookmarkEnd w:id="536"/>
      <w:bookmarkEnd w:id="537"/>
      <w:r>
        <w:rPr>
          <w:color w:val="auto"/>
        </w:rPr>
        <w:t>及风险分析</w:t>
      </w:r>
      <w:bookmarkEnd w:id="538"/>
    </w:p>
    <w:p>
      <w:pPr>
        <w:pStyle w:val="130"/>
        <w:ind w:firstLine="480"/>
        <w:rPr>
          <w:color w:val="auto"/>
        </w:rPr>
      </w:pPr>
      <w:bookmarkStart w:id="539" w:name="_Toc493853557"/>
      <w:r>
        <w:rPr>
          <w:color w:val="auto"/>
        </w:rPr>
        <w:t>根据导则要求，环境风险评价的风险识别主要包括物质危险性识别、生产系统危险性识别以及危险物质可能影响环境的途径。</w:t>
      </w:r>
    </w:p>
    <w:p>
      <w:pPr>
        <w:spacing w:line="360" w:lineRule="auto"/>
        <w:rPr>
          <w:b/>
          <w:bCs/>
          <w:color w:val="auto"/>
          <w:sz w:val="24"/>
          <w:szCs w:val="24"/>
        </w:rPr>
      </w:pPr>
      <w:r>
        <w:rPr>
          <w:b/>
          <w:bCs/>
          <w:color w:val="auto"/>
          <w:sz w:val="24"/>
          <w:szCs w:val="24"/>
        </w:rPr>
        <w:t>（1）医疗废物收集、运输过程</w:t>
      </w:r>
    </w:p>
    <w:p>
      <w:pPr>
        <w:pStyle w:val="130"/>
        <w:ind w:firstLine="480"/>
        <w:rPr>
          <w:color w:val="auto"/>
        </w:rPr>
      </w:pPr>
      <w:r>
        <w:rPr>
          <w:color w:val="auto"/>
        </w:rPr>
        <w:t>医疗废物在收运过程中可能发生散漏事故，对事故区的环境空气、地表水、土壤特别是人群健康造成污染与危害。</w:t>
      </w:r>
    </w:p>
    <w:p>
      <w:pPr>
        <w:spacing w:line="360" w:lineRule="auto"/>
        <w:rPr>
          <w:b/>
          <w:bCs/>
          <w:color w:val="auto"/>
          <w:sz w:val="24"/>
          <w:szCs w:val="24"/>
        </w:rPr>
      </w:pPr>
      <w:bookmarkStart w:id="540" w:name="7.2.2储存过程"/>
      <w:bookmarkEnd w:id="540"/>
      <w:r>
        <w:rPr>
          <w:b/>
          <w:bCs/>
          <w:color w:val="auto"/>
          <w:sz w:val="24"/>
          <w:szCs w:val="24"/>
        </w:rPr>
        <w:t>（2）储存过程</w:t>
      </w:r>
    </w:p>
    <w:p>
      <w:pPr>
        <w:pStyle w:val="130"/>
        <w:ind w:firstLine="480"/>
        <w:rPr>
          <w:color w:val="auto"/>
        </w:rPr>
      </w:pPr>
      <w:r>
        <w:rPr>
          <w:color w:val="auto"/>
        </w:rPr>
        <w:t>医疗废物在进行贮存、冷藏的过程中可能由于密闭性、储存温度变化以及停电等事故造成医疗废物产生的有害气体逸散，从而产生危害环境空气及健康风险。</w:t>
      </w:r>
    </w:p>
    <w:p>
      <w:pPr>
        <w:spacing w:line="360" w:lineRule="auto"/>
        <w:rPr>
          <w:b/>
          <w:bCs/>
          <w:color w:val="auto"/>
          <w:sz w:val="24"/>
          <w:szCs w:val="24"/>
        </w:rPr>
      </w:pPr>
      <w:bookmarkStart w:id="541" w:name="7.2.3蒸汽灭菌过程"/>
      <w:bookmarkEnd w:id="541"/>
      <w:r>
        <w:rPr>
          <w:b/>
          <w:bCs/>
          <w:color w:val="auto"/>
          <w:sz w:val="24"/>
          <w:szCs w:val="24"/>
        </w:rPr>
        <w:t>（3）高温蒸汽灭菌过程</w:t>
      </w:r>
    </w:p>
    <w:p>
      <w:pPr>
        <w:pStyle w:val="130"/>
        <w:ind w:firstLine="480"/>
        <w:rPr>
          <w:color w:val="auto"/>
        </w:rPr>
      </w:pPr>
      <w:r>
        <w:rPr>
          <w:color w:val="auto"/>
        </w:rPr>
        <w:t>本项目采用高温蒸汽灭菌工艺处理医疗垃圾，处理过程中需使用压力容器，压力容器在使用过程中存在潜在危险，一旦发生爆炸可能对人体造成危害、对环境造成污染。当项目使用的压力容器发生爆炸事故时，可能引起两种灾害性后果：一是操作人员有可能因容器的爆炸发生伤、亡（包括烫伤）；二是压力容器中的病源体并未完全杀灭因容器破损，随高压气体喷散到四周，使沾染上病源体的人畜染上疾病，造成疫情。因此必须保证工艺中所使用的压力容器（蒸煮釜）安全运行，防止事故发生。</w:t>
      </w:r>
    </w:p>
    <w:p>
      <w:pPr>
        <w:pStyle w:val="130"/>
        <w:ind w:firstLine="480"/>
        <w:rPr>
          <w:color w:val="auto"/>
        </w:rPr>
      </w:pPr>
      <w:r>
        <w:rPr>
          <w:color w:val="auto"/>
        </w:rPr>
        <w:t>高温蒸汽灭菌过程中由于废气处理装置失效、停电、管路泄露以及操作、设备故障等可能发生冷凝气、贮存废气的泄露，形成有害气体的事故排放，对环境空气造成影响。</w:t>
      </w:r>
    </w:p>
    <w:p>
      <w:pPr>
        <w:spacing w:line="360" w:lineRule="auto"/>
        <w:rPr>
          <w:b/>
          <w:bCs/>
          <w:color w:val="auto"/>
          <w:sz w:val="24"/>
          <w:szCs w:val="24"/>
        </w:rPr>
      </w:pPr>
      <w:bookmarkStart w:id="542" w:name="7.2.4污水处理站"/>
      <w:bookmarkEnd w:id="542"/>
      <w:r>
        <w:rPr>
          <w:b/>
          <w:bCs/>
          <w:color w:val="auto"/>
          <w:sz w:val="24"/>
          <w:szCs w:val="24"/>
        </w:rPr>
        <w:t>（4）污水处理站</w:t>
      </w:r>
    </w:p>
    <w:p>
      <w:pPr>
        <w:pStyle w:val="130"/>
        <w:ind w:firstLine="480"/>
        <w:rPr>
          <w:color w:val="auto"/>
        </w:rPr>
      </w:pPr>
      <w:r>
        <w:rPr>
          <w:color w:val="auto"/>
        </w:rPr>
        <w:t>污水处理站污水管道破裂、废水外泄，对区域地表水、地下水环境造成影响。</w:t>
      </w:r>
    </w:p>
    <w:p>
      <w:pPr>
        <w:spacing w:line="360" w:lineRule="auto"/>
        <w:rPr>
          <w:b/>
          <w:bCs/>
          <w:color w:val="auto"/>
          <w:sz w:val="24"/>
          <w:szCs w:val="24"/>
        </w:rPr>
      </w:pPr>
      <w:bookmarkStart w:id="543" w:name="7.2.5重大疫情情况下的风险"/>
      <w:bookmarkEnd w:id="543"/>
      <w:r>
        <w:rPr>
          <w:b/>
          <w:bCs/>
          <w:color w:val="auto"/>
          <w:sz w:val="24"/>
          <w:szCs w:val="24"/>
        </w:rPr>
        <w:t>（5）重大疫情情况下的风险</w:t>
      </w:r>
    </w:p>
    <w:p>
      <w:pPr>
        <w:pStyle w:val="130"/>
        <w:ind w:firstLine="480"/>
        <w:rPr>
          <w:color w:val="auto"/>
        </w:rPr>
      </w:pPr>
      <w:r>
        <w:rPr>
          <w:color w:val="auto"/>
        </w:rPr>
        <w:t>在发生区域性重大疫情的情况，如果医疗废物处理不及时，可能导致疫情蔓延，影响项目区工作人员乃至周围环境居民健康。</w:t>
      </w:r>
    </w:p>
    <w:bookmarkEnd w:id="539"/>
    <w:p>
      <w:pPr>
        <w:pStyle w:val="5"/>
        <w:numPr>
          <w:ilvl w:val="2"/>
          <w:numId w:val="0"/>
        </w:numPr>
        <w:ind w:left="-720" w:leftChars="-343" w:firstLine="723" w:firstLineChars="300"/>
        <w:rPr>
          <w:color w:val="auto"/>
        </w:rPr>
      </w:pPr>
      <w:bookmarkStart w:id="544" w:name="_Toc109398696"/>
      <w:r>
        <w:rPr>
          <w:color w:val="auto"/>
        </w:rPr>
        <w:t>7.10.7风险防范措施</w:t>
      </w:r>
      <w:bookmarkEnd w:id="544"/>
    </w:p>
    <w:p>
      <w:pPr>
        <w:pStyle w:val="6"/>
        <w:numPr>
          <w:ilvl w:val="3"/>
          <w:numId w:val="0"/>
        </w:numPr>
        <w:ind w:left="-861" w:leftChars="-410" w:firstLine="964" w:firstLineChars="400"/>
        <w:rPr>
          <w:color w:val="auto"/>
        </w:rPr>
      </w:pPr>
      <w:r>
        <w:rPr>
          <w:color w:val="auto"/>
        </w:rPr>
        <w:t>7.10.7.1环境管理</w:t>
      </w:r>
    </w:p>
    <w:p>
      <w:pPr>
        <w:pStyle w:val="130"/>
        <w:ind w:firstLine="480"/>
        <w:rPr>
          <w:color w:val="auto"/>
        </w:rPr>
      </w:pPr>
      <w:r>
        <w:rPr>
          <w:color w:val="auto"/>
        </w:rPr>
        <w:t>本项目需组建安全环保管理机构，配备相应的管理人员，通过技能培训，承担该公运行中的环保安全工作。安全环保机构将根据相关的环境管理要求，结合具体情况，制定公司的各项安全生产管理制度、严格的生产操作规则和完善的事故应急计划及相应的应急处理手段和设施，同时加强安全教育，以提高职工的安全意识和安全防范能力。</w:t>
      </w:r>
    </w:p>
    <w:p>
      <w:pPr>
        <w:pStyle w:val="6"/>
        <w:numPr>
          <w:ilvl w:val="3"/>
          <w:numId w:val="0"/>
        </w:numPr>
        <w:ind w:left="-861" w:leftChars="-410" w:firstLine="964" w:firstLineChars="400"/>
        <w:rPr>
          <w:color w:val="auto"/>
        </w:rPr>
      </w:pPr>
      <w:r>
        <w:rPr>
          <w:color w:val="auto"/>
        </w:rPr>
        <w:t>7.10.7.2收集贮存风险的防治措施</w:t>
      </w:r>
    </w:p>
    <w:p>
      <w:pPr>
        <w:pStyle w:val="130"/>
        <w:ind w:firstLine="480"/>
        <w:rPr>
          <w:color w:val="auto"/>
        </w:rPr>
      </w:pPr>
      <w:r>
        <w:rPr>
          <w:color w:val="auto"/>
        </w:rPr>
        <w:t>本项目主要收集来自中卫市辖区范围内各区县医疗卫生机构产生的感染性及损伤性医疗废物，各医疗机构收集贮存按《危险废物贮存污染控制标准》（GB18597-2001）要求设计，管理由所在的县、区医疗卫生机构负责管理。</w:t>
      </w:r>
    </w:p>
    <w:p>
      <w:pPr>
        <w:pStyle w:val="130"/>
        <w:ind w:firstLine="480"/>
        <w:rPr>
          <w:color w:val="auto"/>
        </w:rPr>
      </w:pPr>
      <w:r>
        <w:rPr>
          <w:color w:val="auto"/>
        </w:rPr>
        <w:t>⑴收集容器：采用专业塑料箱内装废塑料袋，装足医疗废物后能密封。塑料桶也能加盖盖紧密封，塑料袋厚度要求不得被锐器刺破，具有防漏防刺等性能，塑料桶、塑料袋均有“危险器”标志。</w:t>
      </w:r>
    </w:p>
    <w:p>
      <w:pPr>
        <w:pStyle w:val="130"/>
        <w:ind w:firstLine="480"/>
        <w:rPr>
          <w:color w:val="auto"/>
        </w:rPr>
      </w:pPr>
      <w:r>
        <w:rPr>
          <w:color w:val="auto"/>
        </w:rPr>
        <w:t>⑵收集与贮存：采用分类收集的方法。</w:t>
      </w:r>
    </w:p>
    <w:p>
      <w:pPr>
        <w:pStyle w:val="130"/>
        <w:ind w:firstLine="480"/>
        <w:rPr>
          <w:color w:val="auto"/>
        </w:rPr>
      </w:pPr>
      <w:r>
        <w:rPr>
          <w:color w:val="auto"/>
        </w:rPr>
        <w:t>①放射性废弃物单独收集，另行按国家有关规定处置；</w:t>
      </w:r>
    </w:p>
    <w:p>
      <w:pPr>
        <w:pStyle w:val="130"/>
        <w:ind w:firstLine="480"/>
        <w:rPr>
          <w:color w:val="auto"/>
        </w:rPr>
      </w:pPr>
      <w:r>
        <w:rPr>
          <w:color w:val="auto"/>
        </w:rPr>
        <w:t>②锐器：手术室、注射室单独收集后装入塑料袋、塑料桶；</w:t>
      </w:r>
    </w:p>
    <w:p>
      <w:pPr>
        <w:pStyle w:val="130"/>
        <w:ind w:firstLine="480"/>
        <w:rPr>
          <w:color w:val="auto"/>
        </w:rPr>
      </w:pPr>
      <w:r>
        <w:rPr>
          <w:color w:val="auto"/>
        </w:rPr>
        <w:t>③废弃物使用双层塑料袋装满后立即封闭。</w:t>
      </w:r>
    </w:p>
    <w:p>
      <w:pPr>
        <w:pStyle w:val="130"/>
        <w:ind w:firstLine="480"/>
        <w:rPr>
          <w:color w:val="auto"/>
        </w:rPr>
      </w:pPr>
      <w:r>
        <w:rPr>
          <w:color w:val="auto"/>
        </w:rPr>
        <w:t>④医疗废物站点建在不被雨淋、水淹的地区，采用水泥地面，便于排水。采光、通风良好，防止动物进入和啮齿类动物与昆虫侵扰的场所。</w:t>
      </w:r>
    </w:p>
    <w:p>
      <w:pPr>
        <w:pStyle w:val="130"/>
        <w:ind w:firstLine="480"/>
        <w:rPr>
          <w:color w:val="auto"/>
        </w:rPr>
      </w:pPr>
      <w:r>
        <w:rPr>
          <w:color w:val="auto"/>
        </w:rPr>
        <w:t>⑤站点设有冲洗设施和防止泄露的保护设施，有冲洗及消毒设施，清洗的废水经消毒后可排入医院污水处理系统处理。</w:t>
      </w:r>
    </w:p>
    <w:p>
      <w:pPr>
        <w:pStyle w:val="130"/>
        <w:ind w:firstLine="480"/>
        <w:rPr>
          <w:color w:val="auto"/>
        </w:rPr>
      </w:pPr>
      <w:r>
        <w:rPr>
          <w:color w:val="auto"/>
        </w:rPr>
        <w:t>⑥站点设有低温冷冻装置，对需低温冷藏的医疗废物可冷冻贮存。</w:t>
      </w:r>
    </w:p>
    <w:p>
      <w:pPr>
        <w:pStyle w:val="130"/>
        <w:ind w:firstLine="480"/>
        <w:rPr>
          <w:color w:val="auto"/>
        </w:rPr>
      </w:pPr>
      <w:r>
        <w:rPr>
          <w:color w:val="auto"/>
        </w:rPr>
        <w:t>医疗废物收集、贮存方案，避免了在收集贮存环节对地面、对水体、对生态环境二次污染，减缓医疗废物收集贮存过程中的环境风险，应符合《医疗废物高温蒸汽消毒集中处理工程技术规范》（HJ 276-2021）等国家有关规定。</w:t>
      </w:r>
    </w:p>
    <w:p>
      <w:pPr>
        <w:pStyle w:val="6"/>
        <w:numPr>
          <w:ilvl w:val="3"/>
          <w:numId w:val="0"/>
        </w:numPr>
        <w:ind w:left="-861" w:leftChars="-410" w:firstLine="964" w:firstLineChars="400"/>
        <w:rPr>
          <w:color w:val="auto"/>
        </w:rPr>
      </w:pPr>
      <w:r>
        <w:rPr>
          <w:color w:val="auto"/>
        </w:rPr>
        <w:t>7.10.7.3运输事故风险的防治措施</w:t>
      </w:r>
    </w:p>
    <w:p>
      <w:pPr>
        <w:pStyle w:val="130"/>
        <w:ind w:firstLine="480"/>
        <w:rPr>
          <w:color w:val="auto"/>
        </w:rPr>
      </w:pPr>
      <w:r>
        <w:rPr>
          <w:color w:val="auto"/>
        </w:rPr>
        <w:t>从医疗废物的各个产生点到处置中心，将经过一些交通繁忙地段和人口密集的村庄，因此，运营期须采取严格的防治措施，尽量避免敏感点及饮用水源的地方，以避免对环境可能造成的污染。运输车发生交通事故后，周转桶可能发生破裂，医疗废物外溢泄漏，污染环境，医疗废物进入江河后，污染江河水，给下游饮用水村民带来疾病传播的风险。</w:t>
      </w:r>
    </w:p>
    <w:p>
      <w:pPr>
        <w:pStyle w:val="130"/>
        <w:ind w:firstLine="480"/>
        <w:rPr>
          <w:color w:val="auto"/>
        </w:rPr>
      </w:pPr>
      <w:r>
        <w:rPr>
          <w:color w:val="auto"/>
        </w:rPr>
        <w:t>⑴根据现有工程运行多年的实际情况，没有出现运输事故风险，表明企业采取的防范措施可行。其主要的防治措施包括有：</w:t>
      </w:r>
    </w:p>
    <w:p>
      <w:pPr>
        <w:pStyle w:val="130"/>
        <w:ind w:firstLine="480"/>
        <w:rPr>
          <w:color w:val="auto"/>
        </w:rPr>
      </w:pPr>
      <w:r>
        <w:rPr>
          <w:color w:val="auto"/>
        </w:rPr>
        <w:t>①塑料包装袋使用不含氯元素的聚乙烯制成的高密度塑料袋，周转桶箱密闭。采用符合国家标准的专用医疗废物运输车，车内有防止医疗垃圾周转箱翻倒的装置。运输车辆须经过主管单位审查，并持有有关部门签发的许可证，负责运输的司机应通过严格培训，树立起高度的责任感，具备良好的工作技能、态度和作风。</w:t>
      </w:r>
    </w:p>
    <w:p>
      <w:pPr>
        <w:pStyle w:val="130"/>
        <w:ind w:firstLine="480"/>
        <w:rPr>
          <w:color w:val="auto"/>
        </w:rPr>
      </w:pPr>
      <w:r>
        <w:rPr>
          <w:color w:val="auto"/>
        </w:rPr>
        <w:t>②运输车辆设置明显的标志，以引起关注。</w:t>
      </w:r>
    </w:p>
    <w:p>
      <w:pPr>
        <w:pStyle w:val="130"/>
        <w:ind w:firstLine="480"/>
        <w:rPr>
          <w:color w:val="auto"/>
        </w:rPr>
      </w:pPr>
      <w:r>
        <w:rPr>
          <w:color w:val="auto"/>
        </w:rPr>
        <w:t>③运输车辆需持有运输许可证，其上注明废物来源、性质和运往地点。</w:t>
      </w:r>
    </w:p>
    <w:p>
      <w:pPr>
        <w:pStyle w:val="130"/>
        <w:ind w:firstLine="480"/>
        <w:rPr>
          <w:color w:val="auto"/>
        </w:rPr>
      </w:pPr>
      <w:r>
        <w:rPr>
          <w:color w:val="auto"/>
        </w:rPr>
        <w:t>④对运输车辆配备先进的通讯设备和工器具，以便在发生运输意外污染事故的情况下实施紧急补救。</w:t>
      </w:r>
    </w:p>
    <w:p>
      <w:pPr>
        <w:pStyle w:val="130"/>
        <w:ind w:firstLine="480"/>
        <w:rPr>
          <w:color w:val="auto"/>
        </w:rPr>
      </w:pPr>
      <w:r>
        <w:rPr>
          <w:color w:val="auto"/>
        </w:rPr>
        <w:t>⑤雨天进行医疗废物输时应格外小心谨慎，严防医疗废物洒落泄漏，随雨水流失，扩大污染范围。</w:t>
      </w:r>
    </w:p>
    <w:p>
      <w:pPr>
        <w:pStyle w:val="130"/>
        <w:ind w:firstLine="480"/>
        <w:rPr>
          <w:color w:val="auto"/>
        </w:rPr>
      </w:pPr>
      <w:r>
        <w:rPr>
          <w:color w:val="auto"/>
        </w:rPr>
        <w:t>⑵发生交通事故后的防范措施</w:t>
      </w:r>
    </w:p>
    <w:p>
      <w:pPr>
        <w:pStyle w:val="130"/>
        <w:ind w:firstLine="480"/>
        <w:rPr>
          <w:color w:val="auto"/>
        </w:rPr>
      </w:pPr>
      <w:r>
        <w:rPr>
          <w:color w:val="auto"/>
        </w:rPr>
        <w:t>当医疗废物运输车辆发生翻车、撞车、坠落等交通事故后，会导致医疗废物大量溢出，运输人员和建设方应按有关规定及时做到以下救急处理措施：</w:t>
      </w:r>
    </w:p>
    <w:p>
      <w:pPr>
        <w:pStyle w:val="130"/>
        <w:ind w:firstLine="480"/>
        <w:rPr>
          <w:color w:val="auto"/>
        </w:rPr>
      </w:pPr>
      <w:r>
        <w:rPr>
          <w:color w:val="auto"/>
        </w:rPr>
        <w:t>①通过GPS系统或移动通讯工具向中卫市医疗废物处置中心报警；处置中心根据主叫车辆、地点、通话记录来了解突发事件的事态发展等详细情况，并显示事发地点周围的区域电子地图以及车辆的情况；</w:t>
      </w:r>
    </w:p>
    <w:p>
      <w:pPr>
        <w:pStyle w:val="130"/>
        <w:ind w:firstLine="480"/>
        <w:rPr>
          <w:color w:val="auto"/>
        </w:rPr>
      </w:pPr>
      <w:r>
        <w:rPr>
          <w:color w:val="auto"/>
        </w:rPr>
        <w:t>②处置中心应立即通知相关部门（如中卫市政府办公室、公安、环保、消防、水利等），及时调派车辆进行运输，及时起用备用应急运输线路，保证应急预案的顺利进行。</w:t>
      </w:r>
    </w:p>
    <w:p>
      <w:pPr>
        <w:pStyle w:val="130"/>
        <w:ind w:firstLine="480"/>
        <w:rPr>
          <w:color w:val="auto"/>
        </w:rPr>
      </w:pPr>
      <w:r>
        <w:rPr>
          <w:color w:val="auto"/>
        </w:rPr>
        <w:t>除采取以上救急措施外，还应采取如下环境风险防范措施：</w:t>
      </w:r>
    </w:p>
    <w:p>
      <w:pPr>
        <w:pStyle w:val="130"/>
        <w:ind w:firstLine="480"/>
        <w:rPr>
          <w:color w:val="auto"/>
        </w:rPr>
      </w:pPr>
      <w:r>
        <w:rPr>
          <w:color w:val="auto"/>
        </w:rPr>
        <w:t>①立即上报中卫市环境保护管理部门及中卫市疾病预防中心。</w:t>
      </w:r>
    </w:p>
    <w:p>
      <w:pPr>
        <w:pStyle w:val="130"/>
        <w:ind w:firstLine="480"/>
        <w:rPr>
          <w:color w:val="auto"/>
        </w:rPr>
      </w:pPr>
      <w:r>
        <w:rPr>
          <w:color w:val="auto"/>
        </w:rPr>
        <w:t>②立即请求公安交通警察或自己在受污染地区设立隔离区，禁止其他车辆和行人穿过，避免污染物扩散和对行人造成伤害。</w:t>
      </w:r>
    </w:p>
    <w:p>
      <w:pPr>
        <w:pStyle w:val="130"/>
        <w:ind w:firstLine="480"/>
        <w:rPr>
          <w:color w:val="auto"/>
        </w:rPr>
      </w:pPr>
      <w:r>
        <w:rPr>
          <w:color w:val="auto"/>
        </w:rPr>
        <w:t>③立即组织成立清理人员小组，负责安全收集倾倒的全部医疗废物。清理人员在进行清理工作时须穿戴防护服、手套、口罩、靴等防护用品，清理工作结束后，用具和防护用品均须进行消毒处理。如果在操作中，清理人员的身体（皮肤）不慎受到伤害，将及时采取处理措施，并到医院接受救治。</w:t>
      </w:r>
    </w:p>
    <w:p>
      <w:pPr>
        <w:pStyle w:val="130"/>
        <w:ind w:firstLine="480"/>
        <w:rPr>
          <w:color w:val="auto"/>
        </w:rPr>
      </w:pPr>
      <w:r>
        <w:rPr>
          <w:color w:val="auto"/>
        </w:rPr>
        <w:t>④如若医疗废物进入江河，立即告示下游河段区域内的村民住户水质污染状况，发出污染警报；</w:t>
      </w:r>
    </w:p>
    <w:p>
      <w:pPr>
        <w:pStyle w:val="130"/>
        <w:ind w:firstLine="480"/>
        <w:rPr>
          <w:color w:val="auto"/>
        </w:rPr>
      </w:pPr>
      <w:r>
        <w:rPr>
          <w:color w:val="auto"/>
        </w:rPr>
        <w:t>⑤对污染现场、水体及所有被污染的地域进行消毒处理，对于液体溢出物采用吸附材料吸收处理，常有的消毒剂有：漂白粉、漂粉精、二氧化氯、“84”消毒液、环氧乙烷等。</w:t>
      </w:r>
    </w:p>
    <w:p>
      <w:pPr>
        <w:pStyle w:val="130"/>
        <w:ind w:firstLine="480"/>
        <w:rPr>
          <w:color w:val="auto"/>
        </w:rPr>
      </w:pPr>
      <w:r>
        <w:rPr>
          <w:color w:val="auto"/>
        </w:rPr>
        <w:t>⑥申请疾病预防中心，环境监测部门对污染地域进行环境监测化验检查，水质合格后，发出解除污染警报；</w:t>
      </w:r>
    </w:p>
    <w:p>
      <w:pPr>
        <w:pStyle w:val="130"/>
        <w:ind w:firstLine="480"/>
        <w:rPr>
          <w:color w:val="auto"/>
        </w:rPr>
      </w:pPr>
      <w:r>
        <w:rPr>
          <w:color w:val="auto"/>
        </w:rPr>
        <w:t>⑦事故处理完毕后，编写污染事故报告，总结风险防患经验与教训，并上报有关管理部门。报告的内容包括事故发生的时间、地点、原因及其简要经过，泄露、散落危险固废的类型和数量、受污染的原因及危险固废产生单位名称，危险固废泄露、散落已造成的危害和潜在影响，已采取的应急处理措施和处理结果。</w:t>
      </w:r>
    </w:p>
    <w:p>
      <w:pPr>
        <w:pStyle w:val="6"/>
        <w:numPr>
          <w:ilvl w:val="3"/>
          <w:numId w:val="0"/>
        </w:numPr>
        <w:ind w:left="-861" w:leftChars="-410" w:firstLine="964" w:firstLineChars="400"/>
        <w:rPr>
          <w:color w:val="auto"/>
        </w:rPr>
      </w:pPr>
      <w:r>
        <w:rPr>
          <w:color w:val="auto"/>
        </w:rPr>
        <w:t>7.10.7.4储存中的环境风险防范措施</w:t>
      </w:r>
    </w:p>
    <w:p>
      <w:pPr>
        <w:pStyle w:val="130"/>
        <w:ind w:firstLine="480"/>
        <w:rPr>
          <w:color w:val="auto"/>
        </w:rPr>
      </w:pPr>
      <w:r>
        <w:rPr>
          <w:color w:val="auto"/>
        </w:rPr>
        <w:t>针对医疗废物储存过程中的风险，可采取如下措施降低产生风险的可能性：</w:t>
      </w:r>
    </w:p>
    <w:p>
      <w:pPr>
        <w:pStyle w:val="130"/>
        <w:ind w:firstLine="480"/>
        <w:rPr>
          <w:color w:val="auto"/>
        </w:rPr>
      </w:pPr>
      <w:r>
        <w:rPr>
          <w:color w:val="auto"/>
        </w:rPr>
        <w:t>①分类储存，按照可燃和不可燃分车间进行储存。按照液态、半固态和固态进行分车间厂房储存。</w:t>
      </w:r>
    </w:p>
    <w:p>
      <w:pPr>
        <w:pStyle w:val="130"/>
        <w:ind w:firstLine="480"/>
        <w:rPr>
          <w:color w:val="auto"/>
        </w:rPr>
      </w:pPr>
      <w:r>
        <w:rPr>
          <w:color w:val="auto"/>
        </w:rPr>
        <w:t>②储存车间外设置安全标志及信号装置，严禁闲杂人等进入，严禁在车间内吸烟。</w:t>
      </w:r>
    </w:p>
    <w:p>
      <w:pPr>
        <w:pStyle w:val="130"/>
        <w:ind w:firstLine="480"/>
        <w:rPr>
          <w:color w:val="auto"/>
        </w:rPr>
      </w:pPr>
      <w:r>
        <w:rPr>
          <w:color w:val="auto"/>
        </w:rPr>
        <w:t>③储存液态、半固态废物的车间地表进行严格的防渗处理，储存车间内的地平低于室外地平，以防止盛装容器不慎破漏情况下液态废物不会外流进入环境。</w:t>
      </w:r>
    </w:p>
    <w:p>
      <w:pPr>
        <w:pStyle w:val="130"/>
        <w:ind w:firstLine="480"/>
        <w:rPr>
          <w:color w:val="auto"/>
        </w:rPr>
      </w:pPr>
      <w:r>
        <w:rPr>
          <w:color w:val="auto"/>
        </w:rPr>
        <w:t>④盛装医废的容器选取防倾倒泄漏容器，盛装粉末状废物的容器选取防吹散容器。</w:t>
      </w:r>
    </w:p>
    <w:p>
      <w:pPr>
        <w:pStyle w:val="130"/>
        <w:ind w:firstLine="480"/>
        <w:rPr>
          <w:color w:val="auto"/>
        </w:rPr>
      </w:pPr>
      <w:r>
        <w:rPr>
          <w:color w:val="auto"/>
        </w:rPr>
        <w:t>⑤储存车间结构形式为砖混结构和排架结构及钢结构。</w:t>
      </w:r>
    </w:p>
    <w:p>
      <w:pPr>
        <w:pStyle w:val="130"/>
        <w:ind w:firstLine="480"/>
        <w:rPr>
          <w:color w:val="auto"/>
        </w:rPr>
      </w:pPr>
      <w:r>
        <w:rPr>
          <w:color w:val="auto"/>
        </w:rPr>
        <w:t>⑥防火分区应满足《建筑设计防火规范》第3.2.1条规定：砖混结构外墙为240厚页岩砖墙，内墙为240厚页岩砖。屋面、楼面为现浇钢筋混凝土板。排架结构为混凝土柱，钢屋架刷防腐，防火涂料，彩板屋面板。240空心砖外墙。钢结构下部1.200米为240砖墙，上部为夹芯彩板，夹芯彩板屋顶。</w:t>
      </w:r>
    </w:p>
    <w:p>
      <w:pPr>
        <w:pStyle w:val="130"/>
        <w:ind w:firstLine="480"/>
        <w:rPr>
          <w:color w:val="auto"/>
        </w:rPr>
      </w:pPr>
      <w:r>
        <w:rPr>
          <w:color w:val="auto"/>
        </w:rPr>
        <w:t>⑦储存库、中央控制室内安装感温、感烟探测器和声光自动报警消防系统。</w:t>
      </w:r>
    </w:p>
    <w:p>
      <w:pPr>
        <w:pStyle w:val="130"/>
        <w:ind w:firstLine="480"/>
        <w:rPr>
          <w:color w:val="auto"/>
        </w:rPr>
      </w:pPr>
      <w:r>
        <w:rPr>
          <w:color w:val="auto"/>
        </w:rPr>
        <w:t>该装置可通过电缆夹层内装设的感温、感烟探测器自动报警，当烟温浓度超标时，自动消防装置将自动打开各灭火喷头的电磁阀释放消防气体进行灭火。</w:t>
      </w:r>
    </w:p>
    <w:p>
      <w:pPr>
        <w:pStyle w:val="130"/>
        <w:ind w:firstLine="480"/>
        <w:rPr>
          <w:color w:val="auto"/>
        </w:rPr>
      </w:pPr>
      <w:r>
        <w:rPr>
          <w:color w:val="auto"/>
        </w:rPr>
        <w:t>在储存库内设置相应的工业电视监视系统，并设置相应的消防设施。</w:t>
      </w:r>
    </w:p>
    <w:p>
      <w:pPr>
        <w:pStyle w:val="6"/>
        <w:numPr>
          <w:ilvl w:val="3"/>
          <w:numId w:val="0"/>
        </w:numPr>
        <w:ind w:left="-861" w:leftChars="-410" w:firstLine="964" w:firstLineChars="400"/>
        <w:rPr>
          <w:color w:val="auto"/>
        </w:rPr>
      </w:pPr>
      <w:r>
        <w:rPr>
          <w:color w:val="auto"/>
        </w:rPr>
        <w:t>7.10.7.5高温蒸汽灭菌事故排放风险防范措施</w:t>
      </w:r>
    </w:p>
    <w:p>
      <w:pPr>
        <w:pStyle w:val="130"/>
        <w:ind w:firstLine="480"/>
        <w:rPr>
          <w:color w:val="auto"/>
        </w:rPr>
      </w:pPr>
      <w:r>
        <w:rPr>
          <w:color w:val="auto"/>
        </w:rPr>
        <w:t>当系统出现故障时，因立即管理设备，防止废气外排，事故防范措施如下：</w:t>
      </w:r>
    </w:p>
    <w:p>
      <w:pPr>
        <w:pStyle w:val="130"/>
        <w:ind w:firstLine="480"/>
        <w:rPr>
          <w:color w:val="auto"/>
        </w:rPr>
      </w:pPr>
      <w:r>
        <w:rPr>
          <w:color w:val="auto"/>
        </w:rPr>
        <w:t>①高温蒸汽灭菌设备的定期检修和大修是减少事故发生的重要措施。</w:t>
      </w:r>
    </w:p>
    <w:p>
      <w:pPr>
        <w:pStyle w:val="130"/>
        <w:ind w:firstLine="480"/>
        <w:rPr>
          <w:color w:val="auto"/>
        </w:rPr>
      </w:pPr>
      <w:r>
        <w:rPr>
          <w:color w:val="auto"/>
        </w:rPr>
        <w:t>设计上已考虑上贮存间、冷库贮存医疗废物，并且在本项目高温蒸汽灭菌系统（5t/d）设备检修期间，启用现有工程保留的3/d的高温蒸汽灭菌设备。</w:t>
      </w:r>
    </w:p>
    <w:p>
      <w:pPr>
        <w:pStyle w:val="130"/>
        <w:ind w:firstLine="480"/>
        <w:rPr>
          <w:color w:val="auto"/>
        </w:rPr>
      </w:pPr>
      <w:r>
        <w:rPr>
          <w:color w:val="auto"/>
        </w:rPr>
        <w:t>②保护装置：自动控制系统安装有停电保护、过载保护、线路故障报警；要求设备双路供电，以防止停电后烟气外溢，若采用双路电源困难，必须设有安全事故水塔，装可雾化的自来水灭火器；系统中有些设备有备用，防止因设备突然损坏，造成整套系统被迫停机，产生二次污染。</w:t>
      </w:r>
    </w:p>
    <w:p>
      <w:pPr>
        <w:pStyle w:val="130"/>
        <w:ind w:firstLine="480"/>
        <w:rPr>
          <w:color w:val="auto"/>
        </w:rPr>
      </w:pPr>
      <w:r>
        <w:rPr>
          <w:color w:val="auto"/>
        </w:rPr>
        <w:t>③要加强高温蒸汽灭菌设备的管理工作，确保整个系统正常运行。</w:t>
      </w:r>
    </w:p>
    <w:p>
      <w:pPr>
        <w:pStyle w:val="6"/>
        <w:numPr>
          <w:ilvl w:val="3"/>
          <w:numId w:val="0"/>
        </w:numPr>
        <w:ind w:left="-861" w:leftChars="-410" w:firstLine="964" w:firstLineChars="400"/>
        <w:rPr>
          <w:color w:val="auto"/>
        </w:rPr>
      </w:pPr>
      <w:r>
        <w:rPr>
          <w:color w:val="auto"/>
        </w:rPr>
        <w:t>7.10.7.6污水处理系统故障防治措施</w:t>
      </w:r>
    </w:p>
    <w:p>
      <w:pPr>
        <w:pStyle w:val="130"/>
        <w:ind w:firstLine="480"/>
        <w:rPr>
          <w:color w:val="auto"/>
        </w:rPr>
      </w:pPr>
      <w:r>
        <w:rPr>
          <w:color w:val="auto"/>
        </w:rPr>
        <w:t>本项目不新增占地面积，初期雨水产生量保持不变，现有工程已设立初期雨水池进行收集，若污水处理系统发生收集管道破裂、泵站故障、操作不当和系统失灵等事故也可能导致污水的事故性排放，设置容积为30m</w:t>
      </w:r>
      <w:r>
        <w:rPr>
          <w:color w:val="auto"/>
          <w:vertAlign w:val="superscript"/>
        </w:rPr>
        <w:t>3</w:t>
      </w:r>
      <w:r>
        <w:rPr>
          <w:color w:val="auto"/>
        </w:rPr>
        <w:t>事故水池，可容纳3天污水量，但仍要做好这类事故的防范工作，一发生此类事故应及时组织抢修，如果废水已对周围的土壤环境造成污染，应及时将污染的土壤除，切断其污染地下水的途径；如果废水进入了区雨水排水系统，应通过阀门控制等调节系统将废水引入事故水池，尽可能减轻此类事故对环境的影响，以在最快的时间内采取处理处置措施，杜绝废水外排、泄露污染地下水、土壤环境。采取如下防范措施：</w:t>
      </w:r>
    </w:p>
    <w:p>
      <w:pPr>
        <w:pStyle w:val="130"/>
        <w:ind w:firstLine="480"/>
        <w:rPr>
          <w:color w:val="auto"/>
        </w:rPr>
      </w:pPr>
      <w:r>
        <w:rPr>
          <w:color w:val="auto"/>
        </w:rPr>
        <w:t>①管网的维护措施</w:t>
      </w:r>
    </w:p>
    <w:p>
      <w:pPr>
        <w:pStyle w:val="130"/>
        <w:ind w:firstLine="480"/>
        <w:rPr>
          <w:color w:val="auto"/>
        </w:rPr>
      </w:pPr>
      <w:r>
        <w:rPr>
          <w:color w:val="auto"/>
        </w:rPr>
        <w:t>重视维护及管理各股废水处理系统分类收集污水管道和排污管道，管道衔接应防止泄露污染地下水。</w:t>
      </w:r>
    </w:p>
    <w:p>
      <w:pPr>
        <w:pStyle w:val="130"/>
        <w:ind w:firstLine="480"/>
        <w:rPr>
          <w:color w:val="auto"/>
        </w:rPr>
      </w:pPr>
      <w:r>
        <w:rPr>
          <w:color w:val="auto"/>
        </w:rPr>
        <w:t>②严格控制各处理单元的水量、水质、停留时间、负荷强度等，确保各处理系统或处理单元处理效果的稳定性。</w:t>
      </w:r>
    </w:p>
    <w:p>
      <w:pPr>
        <w:pStyle w:val="130"/>
        <w:ind w:firstLine="480"/>
        <w:rPr>
          <w:color w:val="auto"/>
        </w:rPr>
      </w:pPr>
      <w:r>
        <w:rPr>
          <w:color w:val="auto"/>
        </w:rPr>
        <w:t>③定期对各污水处理系统进行巡检、调节、保养和维修，及时更换易坏或破损零部件，避免发生因设备损耗而出现的风险。</w:t>
      </w:r>
    </w:p>
    <w:p>
      <w:pPr>
        <w:pStyle w:val="6"/>
        <w:numPr>
          <w:ilvl w:val="3"/>
          <w:numId w:val="0"/>
        </w:numPr>
        <w:ind w:left="-861" w:leftChars="-410" w:firstLine="964" w:firstLineChars="400"/>
        <w:rPr>
          <w:color w:val="auto"/>
        </w:rPr>
      </w:pPr>
      <w:r>
        <w:rPr>
          <w:color w:val="auto"/>
        </w:rPr>
        <w:t>7.10.7.7火灾风险防范措施</w:t>
      </w:r>
    </w:p>
    <w:p>
      <w:pPr>
        <w:pStyle w:val="130"/>
        <w:ind w:firstLine="480"/>
        <w:rPr>
          <w:color w:val="auto"/>
        </w:rPr>
      </w:pPr>
      <w:r>
        <w:rPr>
          <w:color w:val="auto"/>
        </w:rPr>
        <w:t>①当电缆因故障失火温度超温时，中控室内的火灾自动报警系统将进行声光自动报警。</w:t>
      </w:r>
    </w:p>
    <w:p>
      <w:pPr>
        <w:pStyle w:val="130"/>
        <w:ind w:firstLine="480"/>
        <w:rPr>
          <w:color w:val="auto"/>
        </w:rPr>
      </w:pPr>
      <w:r>
        <w:rPr>
          <w:color w:val="auto"/>
        </w:rPr>
        <w:t>②消防设施配电线路的敷设应采用穿钢管敷设（包括中控室吊顶层），配电线路部分采用电缆桥架敷设时应加防护盖板加以保护，其次在电缆桥架穿墙孔洞及电控柜底部孔洞均应采用防火堵料进行封堵，以防止火灾影响造成电缆线路大面积失火。</w:t>
      </w:r>
    </w:p>
    <w:p>
      <w:pPr>
        <w:pStyle w:val="130"/>
        <w:ind w:firstLine="480"/>
        <w:rPr>
          <w:color w:val="auto"/>
        </w:rPr>
      </w:pPr>
      <w:r>
        <w:rPr>
          <w:color w:val="auto"/>
        </w:rPr>
        <w:t>③在有可燃易爆的场所选用隔爆灯具及隔爆开关，其照明灯具的安装应均不在可燃装修及可燃构件上。</w:t>
      </w:r>
    </w:p>
    <w:p>
      <w:pPr>
        <w:pStyle w:val="130"/>
        <w:ind w:firstLine="480"/>
        <w:rPr>
          <w:color w:val="auto"/>
        </w:rPr>
      </w:pPr>
      <w:r>
        <w:rPr>
          <w:color w:val="auto"/>
        </w:rPr>
        <w:t>④在医疗废物处理车间及冷藏室等疏散走道上均设置疏散指示标志(安全标志灯），疏散走道上每20m之内均设置有疏散指示标志</w:t>
      </w:r>
    </w:p>
    <w:p>
      <w:pPr>
        <w:pStyle w:val="130"/>
        <w:ind w:firstLine="480"/>
        <w:rPr>
          <w:color w:val="auto"/>
        </w:rPr>
      </w:pPr>
      <w:r>
        <w:rPr>
          <w:color w:val="auto"/>
        </w:rPr>
        <w:t>⑤医疗废物处置场高、低压配电室设有建筑灭火器材，当发现火灾事故后由人工进行灭火，同时应及时合上设在室内墙壁上的排烟风机开关进行事故排烟。</w:t>
      </w:r>
    </w:p>
    <w:p>
      <w:pPr>
        <w:pStyle w:val="6"/>
        <w:numPr>
          <w:ilvl w:val="3"/>
          <w:numId w:val="0"/>
        </w:numPr>
        <w:ind w:left="-861" w:leftChars="-410" w:firstLine="964" w:firstLineChars="400"/>
        <w:rPr>
          <w:color w:val="auto"/>
        </w:rPr>
      </w:pPr>
      <w:r>
        <w:rPr>
          <w:color w:val="auto"/>
        </w:rPr>
        <w:t>7.10.7.8重大疫情情况下医疗废物处置应变措施</w:t>
      </w:r>
    </w:p>
    <w:p>
      <w:pPr>
        <w:pStyle w:val="130"/>
        <w:ind w:firstLine="480"/>
        <w:rPr>
          <w:color w:val="auto"/>
        </w:rPr>
      </w:pPr>
      <w:r>
        <w:rPr>
          <w:color w:val="auto"/>
        </w:rPr>
        <w:t>重大传染病疫情期间，处理中心必须启动紧急应急预案，及时和当地政府的应急预案联动，确保医疗废物能得到妥善处置，因此，建设单位必须建立一套完整的重大传染病疫情期间医疗废物处置应急预案：</w:t>
      </w:r>
    </w:p>
    <w:p>
      <w:pPr>
        <w:pStyle w:val="130"/>
        <w:ind w:firstLine="480"/>
        <w:rPr>
          <w:color w:val="auto"/>
        </w:rPr>
      </w:pPr>
      <w:r>
        <w:rPr>
          <w:color w:val="auto"/>
        </w:rPr>
        <w:t>⑴分类收集、暂时贮存：医疗废物要由专人收集、双层包装，包装袋必须特别注明是高度感染性废物：不能与一般医疗废物混放、混装：暂时贮存场所要即使进行消毒处理，每天上下各一次。</w:t>
      </w:r>
    </w:p>
    <w:p>
      <w:pPr>
        <w:pStyle w:val="130"/>
        <w:ind w:firstLine="480"/>
        <w:rPr>
          <w:color w:val="auto"/>
        </w:rPr>
      </w:pPr>
      <w:r>
        <w:rPr>
          <w:color w:val="auto"/>
        </w:rPr>
        <w:t>⑵运送和处置：处置单位在运送医疗废物必须使用固定专用车辆，由专人负责，并且不得与其他医疗废物混装、混运，医疗废物暂存时间不能超过12h；处理中心必须设置隔离区，隔离区必须有明显标志；隔离区要用0.2~0.5%过氧乙酸或1000~2000mg/L含氯消毒剂对墙壁、地面或物体表面进行消毒，每天上下午各一次。</w:t>
      </w:r>
    </w:p>
    <w:p>
      <w:pPr>
        <w:pStyle w:val="130"/>
        <w:ind w:firstLine="480"/>
        <w:rPr>
          <w:color w:val="auto"/>
        </w:rPr>
      </w:pPr>
      <w:r>
        <w:rPr>
          <w:color w:val="auto"/>
        </w:rPr>
        <w:t>⑶人员卫生防护：操作人员的防护要求必须达到卫生部门规定的一级防护要求，即必须穿工作服、隔离衣、防护靴、戴工作帽和防护口罩，近距离处置废物的人员还必须戴护目镜；每次运送或处置操作完毕后立即进行手清洗和消毒。</w:t>
      </w:r>
    </w:p>
    <w:p>
      <w:pPr>
        <w:pStyle w:val="130"/>
        <w:ind w:firstLine="480"/>
        <w:rPr>
          <w:color w:val="auto"/>
        </w:rPr>
      </w:pPr>
      <w:r>
        <w:rPr>
          <w:color w:val="auto"/>
        </w:rPr>
        <w:t>⑷应急处置：当重大疫情时的医疗废物超过处置能力时，启动应急预案：</w:t>
      </w:r>
    </w:p>
    <w:p>
      <w:pPr>
        <w:pStyle w:val="130"/>
        <w:ind w:firstLine="480"/>
        <w:rPr>
          <w:color w:val="auto"/>
        </w:rPr>
      </w:pPr>
      <w:r>
        <w:rPr>
          <w:color w:val="auto"/>
        </w:rPr>
        <w:t>①向环保部门申请，增加设备运行时间和处理能力；</w:t>
      </w:r>
    </w:p>
    <w:p>
      <w:pPr>
        <w:pStyle w:val="130"/>
        <w:ind w:firstLine="480"/>
        <w:rPr>
          <w:color w:val="auto"/>
        </w:rPr>
      </w:pPr>
      <w:r>
        <w:rPr>
          <w:color w:val="auto"/>
        </w:rPr>
        <w:t>②无法当时处理的医疗废物暂存在暂存库中；</w:t>
      </w:r>
    </w:p>
    <w:p>
      <w:pPr>
        <w:pStyle w:val="130"/>
        <w:ind w:firstLine="480"/>
        <w:rPr>
          <w:color w:val="auto"/>
        </w:rPr>
      </w:pPr>
      <w:r>
        <w:rPr>
          <w:color w:val="auto"/>
        </w:rPr>
        <w:t>③及时和当地政府的应急预案联动，争取当地政府的支持。</w:t>
      </w:r>
    </w:p>
    <w:p>
      <w:pPr>
        <w:pStyle w:val="6"/>
        <w:numPr>
          <w:ilvl w:val="3"/>
          <w:numId w:val="0"/>
        </w:numPr>
        <w:ind w:left="-861" w:leftChars="-410" w:firstLine="964" w:firstLineChars="400"/>
        <w:rPr>
          <w:color w:val="auto"/>
        </w:rPr>
      </w:pPr>
      <w:bookmarkStart w:id="545" w:name="_Toc11595492"/>
      <w:r>
        <w:rPr>
          <w:color w:val="auto"/>
        </w:rPr>
        <w:t>7.10.7.9环境风险应急预案</w:t>
      </w:r>
      <w:bookmarkEnd w:id="545"/>
    </w:p>
    <w:p>
      <w:pPr>
        <w:pStyle w:val="130"/>
        <w:ind w:firstLine="482"/>
        <w:rPr>
          <w:b/>
          <w:color w:val="auto"/>
        </w:rPr>
      </w:pPr>
      <w:bookmarkStart w:id="546" w:name="_Toc529281345"/>
      <w:bookmarkStart w:id="547" w:name="_Toc528144772"/>
      <w:r>
        <w:rPr>
          <w:b/>
          <w:color w:val="auto"/>
        </w:rPr>
        <w:t>（一）编制目的</w:t>
      </w:r>
      <w:bookmarkEnd w:id="546"/>
      <w:bookmarkEnd w:id="547"/>
    </w:p>
    <w:p>
      <w:pPr>
        <w:pStyle w:val="130"/>
        <w:ind w:firstLine="480"/>
        <w:rPr>
          <w:color w:val="auto"/>
        </w:rPr>
      </w:pPr>
      <w:r>
        <w:rPr>
          <w:color w:val="auto"/>
        </w:rPr>
        <w:t>本次评价参照《国家突发环境事件应急预案》（国办函〔2014〕119号）、《企业事业单位突发环境事件应急预案备案管理办法（试行）》（环发〔2015〕4号）要求对本项目环境风险应急预案进行纲要性设计，为建设单位在进一步制定应急预案时提供管理及设计依据。建设单位在制定具体预案时，必须结合项目实际建设情况及使用到的原辅材料、中间产品、产品的种类、数量，在本报告设计的预案内容上进行细化、完善，但基本内容不得少于下述内容要求，项目试生产前要将应急预案报当地环境管理部门进行备案。</w:t>
      </w:r>
    </w:p>
    <w:p>
      <w:pPr>
        <w:pStyle w:val="130"/>
        <w:ind w:firstLine="482"/>
        <w:rPr>
          <w:b/>
          <w:color w:val="auto"/>
        </w:rPr>
      </w:pPr>
      <w:bookmarkStart w:id="548" w:name="_Toc529281346"/>
      <w:bookmarkStart w:id="549" w:name="_Toc528144773"/>
      <w:r>
        <w:rPr>
          <w:b/>
          <w:color w:val="auto"/>
        </w:rPr>
        <w:t>（二）工作原则</w:t>
      </w:r>
      <w:bookmarkEnd w:id="548"/>
      <w:bookmarkEnd w:id="549"/>
    </w:p>
    <w:p>
      <w:pPr>
        <w:pStyle w:val="130"/>
        <w:ind w:firstLine="480"/>
        <w:rPr>
          <w:b/>
          <w:color w:val="auto"/>
        </w:rPr>
      </w:pPr>
      <w:r>
        <w:rPr>
          <w:color w:val="auto"/>
        </w:rPr>
        <w:t>应急工作应遵循预防为主、减少危害，统一领导、分级负责，企业自救、属地管理，整合资源、联动处置等原则。</w:t>
      </w:r>
    </w:p>
    <w:p>
      <w:pPr>
        <w:pStyle w:val="130"/>
        <w:ind w:firstLine="482"/>
        <w:rPr>
          <w:b/>
          <w:color w:val="auto"/>
        </w:rPr>
      </w:pPr>
      <w:bookmarkStart w:id="550" w:name="_Toc529281347"/>
      <w:bookmarkStart w:id="551" w:name="_Toc528144774"/>
      <w:r>
        <w:rPr>
          <w:b/>
          <w:color w:val="auto"/>
        </w:rPr>
        <w:t>（三）应急预案体系</w:t>
      </w:r>
      <w:bookmarkEnd w:id="550"/>
      <w:bookmarkEnd w:id="551"/>
    </w:p>
    <w:p>
      <w:pPr>
        <w:pStyle w:val="130"/>
        <w:ind w:firstLine="480"/>
        <w:rPr>
          <w:color w:val="auto"/>
        </w:rPr>
      </w:pPr>
      <w:r>
        <w:rPr>
          <w:color w:val="auto"/>
        </w:rPr>
        <w:t>⑴针对区域布局特点，企业的应急预案应注意与地方政府环境风险应急预案的衔接与联动。需要对周围居民区撤离时，要请求环保、公安、民政等部门协助，妥善安排撤离人员的生活。撤离后要对影响区进行环境监测，当环境恢复到功能区划的要求，并经过环保、安监、卫生等部门的同意，事故得到有效控制的前提下，可以安排撤离人员返回。</w:t>
      </w:r>
    </w:p>
    <w:p>
      <w:pPr>
        <w:pStyle w:val="130"/>
        <w:ind w:firstLine="480"/>
        <w:rPr>
          <w:color w:val="auto"/>
        </w:rPr>
      </w:pPr>
      <w:r>
        <w:rPr>
          <w:color w:val="auto"/>
        </w:rPr>
        <w:t>⑵公司应急预案，是突发事故应急预案的支持性文件，强调在突发事件中公司各职能部门和各单位的应急职能，为公司各单位制定突发事件应急预案的编制提供指导原则及框架。</w:t>
      </w:r>
    </w:p>
    <w:p>
      <w:pPr>
        <w:pStyle w:val="130"/>
        <w:ind w:firstLine="480"/>
        <w:rPr>
          <w:color w:val="auto"/>
        </w:rPr>
      </w:pPr>
      <w:r>
        <w:rPr>
          <w:color w:val="auto"/>
        </w:rPr>
        <w:t>⑶根据公司生产的特点，公司的应急预案以公司管辖的区域内，装置发生火灾、爆炸严重泄漏失控和中毒事故、运输产（成）品的车辆发生颠覆等以及由此而引发的重大（较大）人身伤害、重大（较大）污染、重大（较大）财产损失事件等为预想突发事件的对象，以现场应急处置、抢险、减灾、和应急恢复指挥为主，着重协调应急响应的资源、技术支持、法律、商务及信息。</w:t>
      </w:r>
    </w:p>
    <w:p>
      <w:pPr>
        <w:pStyle w:val="130"/>
        <w:ind w:firstLine="480"/>
        <w:rPr>
          <w:color w:val="auto"/>
        </w:rPr>
      </w:pPr>
      <w:r>
        <w:rPr>
          <w:color w:val="auto"/>
        </w:rPr>
        <w:t>⑷公司各部门的应急预案，是公司突发事件总体应急预案的支持性文件。以现场压力容器、压力管道、大型机组、供电系统、计算机自动控制系统、储运等系统经过风险识别发现存在的重大危险源而编制的应急预案。各部门的应急预案对具体突发事件现场的应急处置和应急行动。</w:t>
      </w:r>
    </w:p>
    <w:p>
      <w:pPr>
        <w:pStyle w:val="130"/>
        <w:ind w:firstLine="480"/>
        <w:rPr>
          <w:color w:val="auto"/>
        </w:rPr>
      </w:pPr>
      <w:r>
        <w:rPr>
          <w:color w:val="auto"/>
        </w:rPr>
        <w:t>⑸应急联动原则</w:t>
      </w:r>
    </w:p>
    <w:p>
      <w:pPr>
        <w:pStyle w:val="130"/>
        <w:ind w:firstLine="480"/>
        <w:rPr>
          <w:color w:val="auto"/>
        </w:rPr>
      </w:pPr>
      <w:r>
        <w:rPr>
          <w:color w:val="auto"/>
        </w:rPr>
        <w:t>项目位于中卫市永康镇，应与中卫市消防队建立区域应急救援协作关系。应急响应的范围（不限于）抢险支持、物资支持、抢险用工、用具支持、专业技术支持、人力支持。应急响应行动是在接到事件源单位请求电话开始，到事态已经控制完成事件源单位现场指挥部下令或同意撤离结束。</w:t>
      </w:r>
    </w:p>
    <w:p>
      <w:pPr>
        <w:pStyle w:val="130"/>
        <w:ind w:firstLine="480"/>
        <w:rPr>
          <w:color w:val="auto"/>
        </w:rPr>
      </w:pPr>
      <w:r>
        <w:rPr>
          <w:color w:val="auto"/>
        </w:rPr>
        <w:t>⑹参与地方政府的应急响应</w:t>
      </w:r>
    </w:p>
    <w:p>
      <w:pPr>
        <w:pStyle w:val="130"/>
        <w:ind w:firstLine="480"/>
        <w:rPr>
          <w:color w:val="auto"/>
        </w:rPr>
      </w:pPr>
      <w:r>
        <w:rPr>
          <w:color w:val="auto"/>
        </w:rPr>
        <w:t>当地政府应急管理办公室向公司下达指令要求公司参与市政府的应急响应行动时，公司应急办公室立即向公司应急领导小组副组长汇报，根据公司当时的生产运行情况及市应急管理办公室要求的响应事项，由公司领导小组副组长决策响应应急措施报公司领导小组组长批准后组织实施。</w:t>
      </w:r>
    </w:p>
    <w:p>
      <w:pPr>
        <w:pStyle w:val="7"/>
        <w:numPr>
          <w:ilvl w:val="4"/>
          <w:numId w:val="0"/>
        </w:numPr>
        <w:rPr>
          <w:color w:val="auto"/>
        </w:rPr>
      </w:pPr>
      <w:bookmarkStart w:id="552" w:name="_Toc529281348"/>
      <w:r>
        <w:rPr>
          <w:color w:val="auto"/>
        </w:rPr>
        <w:t>7.10.7.9.1组织机构和职责</w:t>
      </w:r>
      <w:bookmarkEnd w:id="552"/>
    </w:p>
    <w:p>
      <w:pPr>
        <w:pStyle w:val="130"/>
        <w:ind w:firstLine="480"/>
        <w:rPr>
          <w:color w:val="auto"/>
        </w:rPr>
      </w:pPr>
      <w:bookmarkStart w:id="553" w:name="_Toc528144776"/>
      <w:bookmarkStart w:id="554" w:name="_Toc529281349"/>
      <w:r>
        <w:rPr>
          <w:color w:val="auto"/>
        </w:rPr>
        <w:t>（一）组织机构</w:t>
      </w:r>
      <w:bookmarkEnd w:id="553"/>
      <w:bookmarkEnd w:id="554"/>
    </w:p>
    <w:p>
      <w:pPr>
        <w:pStyle w:val="130"/>
        <w:ind w:firstLine="480"/>
        <w:rPr>
          <w:color w:val="auto"/>
        </w:rPr>
      </w:pPr>
      <w:r>
        <w:rPr>
          <w:color w:val="auto"/>
        </w:rPr>
        <w:t>应急组织机构一般由应急领导小组、应急指挥中心、办事机构和工作机构、应急工作主要部门、应急工作支持部门、信息组、专家组、现场应急指挥部等构成。建设单位应设立有突发环境事件应急救援指挥部，由总经理等人组成，其中总经理担任总指挥，负责统一指挥突发环境事件的应急救援，指挥部其他成员协助总指挥负责应急救援的其它指挥工作。应急救援指挥部下设应急救援指挥中心，由安全环保科、生产机动科、技术质量科、综合科等科室工作人员组成，其中负责人由副总经理担任，负责与应急救援指挥部的联系、沟通应急救援的相关事项，应急救援指挥中心其他人员协助负责人的现场调度工作、收集现场资料等。</w:t>
      </w:r>
    </w:p>
    <w:p>
      <w:pPr>
        <w:pStyle w:val="130"/>
        <w:ind w:firstLine="480"/>
        <w:rPr>
          <w:color w:val="auto"/>
        </w:rPr>
      </w:pPr>
      <w:r>
        <w:rPr>
          <w:color w:val="auto"/>
        </w:rPr>
        <w:t>企业风险事故应急组织系统基本框图见图7.10-1。</w:t>
      </w:r>
    </w:p>
    <w:p>
      <w:pPr>
        <w:kinsoku w:val="0"/>
        <w:topLinePunct/>
        <w:rPr>
          <w:rFonts w:eastAsiaTheme="minorEastAsia"/>
          <w:b/>
          <w:color w:val="auto"/>
          <w:sz w:val="24"/>
        </w:rPr>
      </w:pPr>
      <w:r>
        <w:rPr>
          <w:rFonts w:eastAsiaTheme="minorEastAsia"/>
          <w:b/>
          <w:color w:val="auto"/>
          <w:sz w:val="24"/>
        </w:rPr>
        <w:drawing>
          <wp:inline distT="0" distB="0" distL="0" distR="0">
            <wp:extent cx="5086350" cy="29146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60" cstate="print"/>
                    <a:srcRect/>
                    <a:stretch>
                      <a:fillRect/>
                    </a:stretch>
                  </pic:blipFill>
                  <pic:spPr>
                    <a:xfrm>
                      <a:off x="0" y="0"/>
                      <a:ext cx="5146546" cy="2948891"/>
                    </a:xfrm>
                    <a:prstGeom prst="rect">
                      <a:avLst/>
                    </a:prstGeom>
                    <a:noFill/>
                    <a:ln w="9525">
                      <a:noFill/>
                      <a:miter lim="800000"/>
                      <a:headEnd/>
                      <a:tailEnd/>
                    </a:ln>
                  </pic:spPr>
                </pic:pic>
              </a:graphicData>
            </a:graphic>
          </wp:inline>
        </w:drawing>
      </w:r>
    </w:p>
    <w:p>
      <w:pPr>
        <w:pStyle w:val="114"/>
        <w:spacing w:before="120"/>
        <w:rPr>
          <w:rFonts w:eastAsiaTheme="minorEastAsia"/>
          <w:color w:val="auto"/>
        </w:rPr>
      </w:pPr>
      <w:r>
        <w:rPr>
          <w:rFonts w:eastAsiaTheme="minorEastAsia"/>
          <w:color w:val="auto"/>
        </w:rPr>
        <w:t>图7.10-1    企业风险事故应急组织系统基本框图</w:t>
      </w:r>
    </w:p>
    <w:p>
      <w:pPr>
        <w:pStyle w:val="130"/>
        <w:spacing w:before="120" w:beforeLines="50"/>
        <w:ind w:firstLine="480"/>
        <w:rPr>
          <w:color w:val="auto"/>
        </w:rPr>
      </w:pPr>
      <w:bookmarkStart w:id="555" w:name="_Toc528144777"/>
      <w:bookmarkStart w:id="556" w:name="_Toc529281350"/>
      <w:r>
        <w:rPr>
          <w:color w:val="auto"/>
        </w:rPr>
        <w:t>（二）职责</w:t>
      </w:r>
      <w:bookmarkEnd w:id="555"/>
      <w:bookmarkEnd w:id="556"/>
    </w:p>
    <w:p>
      <w:pPr>
        <w:pStyle w:val="130"/>
        <w:ind w:firstLine="480"/>
        <w:rPr>
          <w:color w:val="auto"/>
        </w:rPr>
      </w:pPr>
      <w:r>
        <w:rPr>
          <w:color w:val="auto"/>
        </w:rPr>
        <w:t>应急救援指挥领导小组的公司领导负责重大事故应急预案的制定、修订：组建应急救援专业队伍，并组织实施和平时的演练；检查督促事故预防措施和应急救援的准备工作。</w:t>
      </w:r>
    </w:p>
    <w:p>
      <w:pPr>
        <w:pStyle w:val="130"/>
        <w:ind w:firstLine="480"/>
        <w:rPr>
          <w:color w:val="auto"/>
        </w:rPr>
      </w:pPr>
      <w:r>
        <w:rPr>
          <w:color w:val="auto"/>
        </w:rPr>
        <w:t>指挥领导小组负责事故时的救援命令的发布、解除；组织应急救援专业队伍实施救援行动；向上级汇报和向社会救援组织通报事故情况，必要时发出救援请求；对事故应及时总结。</w:t>
      </w:r>
    </w:p>
    <w:p>
      <w:pPr>
        <w:pStyle w:val="7"/>
        <w:numPr>
          <w:ilvl w:val="4"/>
          <w:numId w:val="0"/>
        </w:numPr>
        <w:rPr>
          <w:color w:val="auto"/>
        </w:rPr>
      </w:pPr>
      <w:bookmarkStart w:id="557" w:name="_Toc529281351"/>
      <w:r>
        <w:rPr>
          <w:color w:val="auto"/>
        </w:rPr>
        <w:t>7.10.7.9.2预防与预警</w:t>
      </w:r>
      <w:bookmarkEnd w:id="557"/>
    </w:p>
    <w:p>
      <w:pPr>
        <w:pStyle w:val="130"/>
        <w:ind w:firstLine="480"/>
        <w:rPr>
          <w:color w:val="auto"/>
        </w:rPr>
      </w:pPr>
      <w:bookmarkStart w:id="558" w:name="_Toc529281352"/>
      <w:bookmarkStart w:id="559" w:name="_Toc528144779"/>
      <w:r>
        <w:rPr>
          <w:color w:val="auto"/>
        </w:rPr>
        <w:t>（一）危险源监控</w:t>
      </w:r>
      <w:bookmarkEnd w:id="558"/>
      <w:bookmarkEnd w:id="559"/>
    </w:p>
    <w:p>
      <w:pPr>
        <w:pStyle w:val="130"/>
        <w:ind w:firstLine="480"/>
        <w:rPr>
          <w:color w:val="auto"/>
        </w:rPr>
      </w:pPr>
      <w:r>
        <w:rPr>
          <w:color w:val="auto"/>
        </w:rPr>
        <w:t>对建设项目易引发重大突发环境事件的危险源、危险区域进行调查、登记、风险评估，组织进行检查、监控，并采取安全防范措施，对突发环境事件进行预防。应急指挥机构确认可能导致突发环境事件的信息后，要及时研究确定应对方案，通知有关部门、单位采取相应措施预防事件发生。</w:t>
      </w:r>
    </w:p>
    <w:p>
      <w:pPr>
        <w:pStyle w:val="130"/>
        <w:ind w:firstLine="480"/>
        <w:rPr>
          <w:color w:val="auto"/>
        </w:rPr>
      </w:pPr>
      <w:bookmarkStart w:id="560" w:name="_Toc528144780"/>
      <w:bookmarkStart w:id="561" w:name="_Toc529281353"/>
      <w:r>
        <w:rPr>
          <w:color w:val="auto"/>
        </w:rPr>
        <w:t>⑴重大危险源的确定与分布</w:t>
      </w:r>
      <w:bookmarkEnd w:id="560"/>
      <w:bookmarkEnd w:id="561"/>
    </w:p>
    <w:p>
      <w:pPr>
        <w:pStyle w:val="130"/>
        <w:ind w:firstLine="480"/>
        <w:rPr>
          <w:color w:val="auto"/>
        </w:rPr>
      </w:pPr>
      <w:r>
        <w:rPr>
          <w:color w:val="auto"/>
        </w:rPr>
        <w:t>根据本项目生产、使用、贮存化学危险品的数量、危险性质及可能引起重大事故的分析。危险源的分析应包括主要有毒有害、易燃、易爆物质名称、地在、种类、数量、分布、产量、储量、危险度、以往事故发生情况和发尘化学事故的诱发因素等。建议在本项目设计阶段根据较详细的工程资料进行分析，利用厂区布置图标明本项目主要危险源。</w:t>
      </w:r>
    </w:p>
    <w:p>
      <w:pPr>
        <w:pStyle w:val="130"/>
        <w:ind w:firstLine="480"/>
        <w:rPr>
          <w:color w:val="auto"/>
        </w:rPr>
      </w:pPr>
      <w:bookmarkStart w:id="562" w:name="_Toc528144781"/>
      <w:bookmarkStart w:id="563" w:name="_Toc529281354"/>
      <w:r>
        <w:rPr>
          <w:color w:val="auto"/>
        </w:rPr>
        <w:t>⑵危险源的化学危险品性质及危害范围</w:t>
      </w:r>
      <w:bookmarkEnd w:id="562"/>
      <w:bookmarkEnd w:id="563"/>
    </w:p>
    <w:p>
      <w:pPr>
        <w:pStyle w:val="130"/>
        <w:ind w:firstLine="480"/>
        <w:rPr>
          <w:color w:val="auto"/>
        </w:rPr>
      </w:pPr>
      <w:r>
        <w:rPr>
          <w:color w:val="auto"/>
        </w:rPr>
        <w:t>在管理中应根据项目的主要物料性质与事故类型，确定事故救援的方法。</w:t>
      </w:r>
    </w:p>
    <w:p>
      <w:pPr>
        <w:pStyle w:val="130"/>
        <w:ind w:firstLine="480"/>
        <w:rPr>
          <w:color w:val="auto"/>
        </w:rPr>
      </w:pPr>
      <w:bookmarkStart w:id="564" w:name="_Toc529281355"/>
      <w:bookmarkStart w:id="565" w:name="_Toc528144782"/>
      <w:r>
        <w:rPr>
          <w:color w:val="auto"/>
        </w:rPr>
        <w:t>（二）预防与应急准备</w:t>
      </w:r>
      <w:bookmarkEnd w:id="564"/>
      <w:bookmarkEnd w:id="565"/>
    </w:p>
    <w:p>
      <w:pPr>
        <w:pStyle w:val="130"/>
        <w:ind w:firstLine="480"/>
        <w:rPr>
          <w:color w:val="auto"/>
        </w:rPr>
      </w:pPr>
      <w:r>
        <w:rPr>
          <w:color w:val="auto"/>
        </w:rPr>
        <w:t>应急组织机构成员根据自己的职责需开展的预防和应急准备工作，如完善应急预案、应急培训、演练、相关知识培训、应急平台建设、新技术研发等。</w:t>
      </w:r>
    </w:p>
    <w:p>
      <w:pPr>
        <w:pStyle w:val="130"/>
        <w:ind w:firstLine="480"/>
        <w:rPr>
          <w:color w:val="auto"/>
        </w:rPr>
      </w:pPr>
      <w:bookmarkStart w:id="566" w:name="_Toc528144783"/>
      <w:bookmarkStart w:id="567" w:name="_Toc529281356"/>
      <w:r>
        <w:rPr>
          <w:color w:val="auto"/>
        </w:rPr>
        <w:t>（三）监测与预警</w:t>
      </w:r>
      <w:bookmarkEnd w:id="566"/>
      <w:bookmarkEnd w:id="567"/>
    </w:p>
    <w:p>
      <w:pPr>
        <w:pStyle w:val="130"/>
        <w:ind w:firstLine="480"/>
        <w:rPr>
          <w:color w:val="auto"/>
        </w:rPr>
      </w:pPr>
      <w:r>
        <w:rPr>
          <w:color w:val="auto"/>
        </w:rPr>
        <w:t>应按照早发现、早报告、早处置的原则，对重点排污口进行例行监测。根据企业应急能力情况及可能发生的突发环境事件级别，有针对性地开展应急监测工作。</w:t>
      </w:r>
    </w:p>
    <w:p>
      <w:pPr>
        <w:pStyle w:val="130"/>
        <w:ind w:firstLine="480"/>
        <w:rPr>
          <w:color w:val="auto"/>
        </w:rPr>
      </w:pPr>
      <w:r>
        <w:rPr>
          <w:color w:val="auto"/>
        </w:rPr>
        <w:t>针对可能发生的重特大突发事件，开展风险分析，完善预测预警系统，做到早发现、早报告、早处置。</w:t>
      </w:r>
    </w:p>
    <w:p>
      <w:pPr>
        <w:pStyle w:val="130"/>
        <w:ind w:firstLine="480"/>
        <w:rPr>
          <w:color w:val="auto"/>
        </w:rPr>
      </w:pPr>
      <w:bookmarkStart w:id="568" w:name="_Toc529281357"/>
      <w:bookmarkStart w:id="569" w:name="_Toc528144784"/>
      <w:r>
        <w:rPr>
          <w:color w:val="auto"/>
        </w:rPr>
        <w:t>⑴预报和预测</w:t>
      </w:r>
      <w:bookmarkEnd w:id="568"/>
      <w:bookmarkEnd w:id="569"/>
    </w:p>
    <w:p>
      <w:pPr>
        <w:pStyle w:val="130"/>
        <w:ind w:firstLine="480"/>
        <w:rPr>
          <w:color w:val="auto"/>
        </w:rPr>
      </w:pPr>
      <w:r>
        <w:rPr>
          <w:color w:val="auto"/>
        </w:rPr>
        <w:t>①公司应急办公室获取预报信息：</w:t>
      </w:r>
    </w:p>
    <w:p>
      <w:pPr>
        <w:pStyle w:val="130"/>
        <w:ind w:firstLine="480"/>
        <w:rPr>
          <w:color w:val="auto"/>
        </w:rPr>
      </w:pPr>
      <w:r>
        <w:rPr>
          <w:color w:val="auto"/>
        </w:rPr>
        <w:t>②公司应急办公室组织有关部门和专家，根据预报信息分析、判断突发事件的危害程度、紧急程度和发展态势。</w:t>
      </w:r>
    </w:p>
    <w:p>
      <w:pPr>
        <w:pStyle w:val="130"/>
        <w:ind w:firstLine="480"/>
        <w:rPr>
          <w:color w:val="auto"/>
        </w:rPr>
      </w:pPr>
      <w:bookmarkStart w:id="570" w:name="_Toc529281358"/>
      <w:bookmarkStart w:id="571" w:name="_Toc528144785"/>
      <w:r>
        <w:rPr>
          <w:color w:val="auto"/>
        </w:rPr>
        <w:t>⑵预警</w:t>
      </w:r>
      <w:bookmarkEnd w:id="570"/>
      <w:bookmarkEnd w:id="571"/>
    </w:p>
    <w:p>
      <w:pPr>
        <w:pStyle w:val="130"/>
        <w:ind w:firstLine="480"/>
        <w:rPr>
          <w:color w:val="auto"/>
        </w:rPr>
      </w:pPr>
      <w:r>
        <w:rPr>
          <w:color w:val="auto"/>
        </w:rPr>
        <w:t>根据对突发事件的预测结果，以及政府发布的预警等级，公司应急领导小组对应预警的突发事件采取措施：</w:t>
      </w:r>
    </w:p>
    <w:p>
      <w:pPr>
        <w:pStyle w:val="130"/>
        <w:ind w:firstLine="480"/>
        <w:rPr>
          <w:color w:val="auto"/>
        </w:rPr>
      </w:pPr>
      <w:bookmarkStart w:id="572" w:name="_Toc529281359"/>
      <w:bookmarkStart w:id="573" w:name="_Toc528144786"/>
      <w:r>
        <w:rPr>
          <w:color w:val="auto"/>
        </w:rPr>
        <w:t>⑶预警解除</w:t>
      </w:r>
      <w:bookmarkEnd w:id="572"/>
      <w:bookmarkEnd w:id="573"/>
    </w:p>
    <w:p>
      <w:pPr>
        <w:pStyle w:val="130"/>
        <w:ind w:firstLine="480"/>
        <w:rPr>
          <w:color w:val="auto"/>
        </w:rPr>
      </w:pPr>
      <w:r>
        <w:rPr>
          <w:color w:val="auto"/>
        </w:rPr>
        <w:t>根据已预警的突发事件的情况变化，公司现场指挥组组长适时通过公司应急办公室下达预警解除令。</w:t>
      </w:r>
    </w:p>
    <w:p>
      <w:pPr>
        <w:pStyle w:val="130"/>
        <w:ind w:firstLine="480"/>
        <w:rPr>
          <w:color w:val="auto"/>
        </w:rPr>
      </w:pPr>
      <w:bookmarkStart w:id="574" w:name="_Toc529281360"/>
      <w:r>
        <w:rPr>
          <w:color w:val="auto"/>
        </w:rPr>
        <w:t>应急响应与措施</w:t>
      </w:r>
      <w:bookmarkEnd w:id="574"/>
    </w:p>
    <w:p>
      <w:pPr>
        <w:pStyle w:val="130"/>
        <w:ind w:firstLine="480"/>
        <w:rPr>
          <w:color w:val="auto"/>
        </w:rPr>
      </w:pPr>
      <w:bookmarkStart w:id="575" w:name="_Toc529281361"/>
      <w:bookmarkStart w:id="576" w:name="_Toc528144788"/>
      <w:r>
        <w:rPr>
          <w:color w:val="auto"/>
        </w:rPr>
        <w:t>（一）响应流程</w:t>
      </w:r>
      <w:bookmarkEnd w:id="575"/>
      <w:bookmarkEnd w:id="576"/>
    </w:p>
    <w:p>
      <w:pPr>
        <w:pStyle w:val="130"/>
        <w:ind w:firstLine="480"/>
        <w:rPr>
          <w:color w:val="auto"/>
        </w:rPr>
      </w:pPr>
      <w:r>
        <w:rPr>
          <w:color w:val="auto"/>
        </w:rPr>
        <w:t>⑴应急响应的过程</w:t>
      </w:r>
    </w:p>
    <w:p>
      <w:pPr>
        <w:pStyle w:val="130"/>
        <w:ind w:firstLine="480"/>
        <w:rPr>
          <w:color w:val="auto"/>
        </w:rPr>
      </w:pPr>
      <w:r>
        <w:rPr>
          <w:color w:val="auto"/>
        </w:rPr>
        <w:t>公司应急响应的过程分为接警、判断响应级别、应急启动、控制及救援行动、扩大应急、应急终止和后期处置几个步骤。针对应急响应分步制定应急程序，并按事先制定的程序指导各类应急响应。</w:t>
      </w:r>
    </w:p>
    <w:p>
      <w:pPr>
        <w:pStyle w:val="130"/>
        <w:ind w:firstLine="480"/>
        <w:rPr>
          <w:color w:val="auto"/>
        </w:rPr>
      </w:pPr>
      <w:r>
        <w:rPr>
          <w:color w:val="auto"/>
        </w:rPr>
        <w:t>⑵相关应急响应管理程序</w:t>
      </w:r>
    </w:p>
    <w:p>
      <w:pPr>
        <w:pStyle w:val="130"/>
        <w:ind w:firstLine="480"/>
        <w:rPr>
          <w:color w:val="auto"/>
        </w:rPr>
      </w:pPr>
      <w:r>
        <w:rPr>
          <w:color w:val="auto"/>
        </w:rPr>
        <w:t>公司建立以下应对重特大突发事件的应急管理程序：接警、报告和记录管理程序；应急机构启动程序；应急专家联动协调程序；突发事件信息发布、告知管理程序；应急响应后勤保障程序；应急状态终止及后期处置管理程序；主要负责人的应急操作程序。</w:t>
      </w:r>
    </w:p>
    <w:p>
      <w:pPr>
        <w:pStyle w:val="130"/>
        <w:ind w:firstLine="480"/>
        <w:rPr>
          <w:color w:val="auto"/>
        </w:rPr>
      </w:pPr>
      <w:bookmarkStart w:id="577" w:name="_Toc529281362"/>
      <w:bookmarkStart w:id="578" w:name="_Toc528144789"/>
      <w:r>
        <w:rPr>
          <w:color w:val="auto"/>
        </w:rPr>
        <w:t>（二）分级响应及启动条件</w:t>
      </w:r>
      <w:bookmarkEnd w:id="577"/>
      <w:bookmarkEnd w:id="578"/>
    </w:p>
    <w:p>
      <w:pPr>
        <w:pStyle w:val="130"/>
        <w:ind w:firstLine="480"/>
        <w:rPr>
          <w:color w:val="auto"/>
        </w:rPr>
      </w:pPr>
      <w:r>
        <w:rPr>
          <w:color w:val="auto"/>
        </w:rPr>
        <w:t>应急预案应明确分级响应条件和分级救援，一级预案为厂内事故预案，即发生的事故为各重大危险源因管道阀门接头泄漏仅局限在厂区范围内对周边及其他地区没有影响，只要启动此预案即能利用本单位应急救援力量制止事故。二级预案是所发生的事故为各重大危险源储罐破裂或爆炸造成泄漏，但泄漏量估计波及周边范围内居民，为此必须启动此预案，并迅速通知周边社区街道、派出所及地方政府，并启动二级预案，不失时机地进行应急救援。三级预案是所发生的事故为各重大危险源储罐破裂或爆炸造成大量泄漏时需立即启动此预案，可立即拨打110或120，联动政府请求立即派外部支援力量，同时出动消防车沿周边喊话，疏散居民。</w:t>
      </w:r>
    </w:p>
    <w:p>
      <w:pPr>
        <w:pStyle w:val="130"/>
        <w:ind w:firstLine="480"/>
        <w:rPr>
          <w:color w:val="auto"/>
        </w:rPr>
      </w:pPr>
      <w:bookmarkStart w:id="579" w:name="_Toc529281363"/>
      <w:bookmarkStart w:id="580" w:name="_Toc528144790"/>
      <w:r>
        <w:rPr>
          <w:color w:val="auto"/>
        </w:rPr>
        <w:t>（三）信息报告与处置</w:t>
      </w:r>
      <w:bookmarkEnd w:id="579"/>
      <w:bookmarkEnd w:id="580"/>
    </w:p>
    <w:p>
      <w:pPr>
        <w:pStyle w:val="130"/>
        <w:ind w:firstLine="480"/>
        <w:rPr>
          <w:color w:val="auto"/>
        </w:rPr>
      </w:pPr>
      <w:r>
        <w:rPr>
          <w:color w:val="auto"/>
        </w:rPr>
        <w:fldChar w:fldCharType="begin"/>
      </w:r>
      <w:r>
        <w:rPr>
          <w:color w:val="auto"/>
        </w:rPr>
        <w:instrText xml:space="preserve"> = 1 \* GB3 </w:instrText>
      </w:r>
      <w:r>
        <w:rPr>
          <w:color w:val="auto"/>
        </w:rPr>
        <w:fldChar w:fldCharType="separate"/>
      </w:r>
      <w:r>
        <w:rPr>
          <w:color w:val="auto"/>
        </w:rPr>
        <w:t>①</w:t>
      </w:r>
      <w:r>
        <w:rPr>
          <w:color w:val="auto"/>
        </w:rPr>
        <w:fldChar w:fldCharType="end"/>
      </w:r>
      <w:r>
        <w:rPr>
          <w:color w:val="auto"/>
        </w:rPr>
        <w:t>明确24小时应急值守电话、内部信息报告的形式和要求，以及事件信息的通报流程；</w:t>
      </w:r>
    </w:p>
    <w:p>
      <w:pPr>
        <w:pStyle w:val="130"/>
        <w:ind w:firstLine="480"/>
        <w:rPr>
          <w:color w:val="auto"/>
        </w:rPr>
      </w:pPr>
      <w:r>
        <w:rPr>
          <w:color w:val="auto"/>
        </w:rPr>
        <w:fldChar w:fldCharType="begin"/>
      </w:r>
      <w:r>
        <w:rPr>
          <w:color w:val="auto"/>
        </w:rPr>
        <w:instrText xml:space="preserve"> = 2 \* GB3 </w:instrText>
      </w:r>
      <w:r>
        <w:rPr>
          <w:color w:val="auto"/>
        </w:rPr>
        <w:fldChar w:fldCharType="separate"/>
      </w:r>
      <w:r>
        <w:rPr>
          <w:color w:val="auto"/>
        </w:rPr>
        <w:t>②</w:t>
      </w:r>
      <w:r>
        <w:rPr>
          <w:color w:val="auto"/>
        </w:rPr>
        <w:fldChar w:fldCharType="end"/>
      </w:r>
      <w:r>
        <w:rPr>
          <w:color w:val="auto"/>
        </w:rPr>
        <w:t>明确事件信息上报的部门、方式、内容和时限等内容；</w:t>
      </w:r>
    </w:p>
    <w:p>
      <w:pPr>
        <w:pStyle w:val="130"/>
        <w:ind w:firstLine="480"/>
        <w:rPr>
          <w:color w:val="auto"/>
        </w:rPr>
      </w:pPr>
      <w:r>
        <w:rPr>
          <w:color w:val="auto"/>
        </w:rPr>
        <w:fldChar w:fldCharType="begin"/>
      </w:r>
      <w:r>
        <w:rPr>
          <w:color w:val="auto"/>
        </w:rPr>
        <w:instrText xml:space="preserve"> = 3 \* GB3 </w:instrText>
      </w:r>
      <w:r>
        <w:rPr>
          <w:color w:val="auto"/>
        </w:rPr>
        <w:fldChar w:fldCharType="separate"/>
      </w:r>
      <w:r>
        <w:rPr>
          <w:color w:val="auto"/>
        </w:rPr>
        <w:t>③</w:t>
      </w:r>
      <w:r>
        <w:rPr>
          <w:color w:val="auto"/>
        </w:rPr>
        <w:fldChar w:fldCharType="end"/>
      </w:r>
      <w:r>
        <w:rPr>
          <w:color w:val="auto"/>
        </w:rPr>
        <w:t>明确事件发生后向可能遭受事件影响的单位，以及向请求援助单位发出有关信息的方式、方法。</w:t>
      </w:r>
    </w:p>
    <w:p>
      <w:pPr>
        <w:pStyle w:val="130"/>
        <w:ind w:firstLine="480"/>
        <w:rPr>
          <w:color w:val="auto"/>
        </w:rPr>
      </w:pPr>
      <w:bookmarkStart w:id="581" w:name="_Toc529281364"/>
      <w:bookmarkStart w:id="582" w:name="_Toc528144791"/>
      <w:r>
        <w:rPr>
          <w:color w:val="auto"/>
        </w:rPr>
        <w:t>（四）应急准备</w:t>
      </w:r>
      <w:bookmarkEnd w:id="581"/>
      <w:bookmarkEnd w:id="582"/>
    </w:p>
    <w:p>
      <w:pPr>
        <w:pStyle w:val="130"/>
        <w:ind w:firstLine="480"/>
        <w:rPr>
          <w:color w:val="auto"/>
        </w:rPr>
      </w:pPr>
      <w:r>
        <w:rPr>
          <w:color w:val="auto"/>
        </w:rPr>
        <w:t>明确应急行动开展之前的准备工作，包括下达启动预案命令、召开应急会议、各应急组织成员的联系会议等。</w:t>
      </w:r>
    </w:p>
    <w:p>
      <w:pPr>
        <w:pStyle w:val="130"/>
        <w:ind w:firstLine="480"/>
        <w:rPr>
          <w:color w:val="auto"/>
        </w:rPr>
      </w:pPr>
      <w:bookmarkStart w:id="583" w:name="_Toc528144792"/>
      <w:bookmarkStart w:id="584" w:name="_Toc529281365"/>
      <w:r>
        <w:rPr>
          <w:color w:val="auto"/>
        </w:rPr>
        <w:t>（五）应急监测</w:t>
      </w:r>
      <w:bookmarkEnd w:id="583"/>
      <w:bookmarkEnd w:id="584"/>
    </w:p>
    <w:p>
      <w:pPr>
        <w:pStyle w:val="130"/>
        <w:ind w:firstLine="480"/>
        <w:rPr>
          <w:color w:val="auto"/>
        </w:rPr>
      </w:pPr>
      <w:r>
        <w:rPr>
          <w:color w:val="auto"/>
        </w:rPr>
        <w:t>(1)紧急情况下企业应按事发地人民政府环保部门要求，配合开展工作。</w:t>
      </w:r>
    </w:p>
    <w:p>
      <w:pPr>
        <w:pStyle w:val="130"/>
        <w:ind w:firstLine="480"/>
        <w:rPr>
          <w:color w:val="auto"/>
        </w:rPr>
      </w:pPr>
      <w:r>
        <w:rPr>
          <w:color w:val="auto"/>
        </w:rPr>
        <w:t>(2)应急监测方案，包括污染现场、实验室应急监测方法、仪器、药剂。</w:t>
      </w:r>
    </w:p>
    <w:p>
      <w:pPr>
        <w:pStyle w:val="130"/>
        <w:ind w:firstLine="480"/>
        <w:rPr>
          <w:color w:val="auto"/>
        </w:rPr>
      </w:pPr>
      <w:r>
        <w:rPr>
          <w:color w:val="auto"/>
        </w:rPr>
        <w:t>(3)突发环境事件发生时企业环境监测机构要立即开展应急监测，在政府部门到达后，则配合政府部门相关机构进行监测。</w:t>
      </w:r>
    </w:p>
    <w:p>
      <w:pPr>
        <w:pStyle w:val="130"/>
        <w:ind w:firstLine="480"/>
        <w:rPr>
          <w:color w:val="auto"/>
        </w:rPr>
      </w:pPr>
      <w:bookmarkStart w:id="585" w:name="_Toc529281366"/>
      <w:bookmarkStart w:id="586" w:name="_Toc528144793"/>
      <w:r>
        <w:rPr>
          <w:color w:val="auto"/>
        </w:rPr>
        <w:t>（六）应急措施</w:t>
      </w:r>
      <w:bookmarkEnd w:id="585"/>
      <w:bookmarkEnd w:id="586"/>
    </w:p>
    <w:p>
      <w:pPr>
        <w:pStyle w:val="130"/>
        <w:ind w:firstLine="480"/>
        <w:rPr>
          <w:color w:val="auto"/>
        </w:rPr>
      </w:pPr>
      <w:r>
        <w:rPr>
          <w:color w:val="auto"/>
        </w:rPr>
        <w:t>应急措施遵从首先组织救治人员，当事故发生有可能造成人员伤亡时立刻拨打120急救，其次了解事件的情况，包括污染发生时间、地点、事故类型、主要污染物及其产生的影响等，根据不同事故状况采取不同的处理措施。</w:t>
      </w:r>
    </w:p>
    <w:p>
      <w:pPr>
        <w:pStyle w:val="7"/>
        <w:numPr>
          <w:ilvl w:val="4"/>
          <w:numId w:val="0"/>
        </w:numPr>
        <w:rPr>
          <w:color w:val="auto"/>
        </w:rPr>
      </w:pPr>
      <w:bookmarkStart w:id="587" w:name="_Toc529281367"/>
      <w:r>
        <w:rPr>
          <w:color w:val="auto"/>
        </w:rPr>
        <w:t>7.10.7.9.3安全防护</w:t>
      </w:r>
      <w:bookmarkEnd w:id="587"/>
    </w:p>
    <w:p>
      <w:pPr>
        <w:kinsoku w:val="0"/>
        <w:topLinePunct/>
        <w:spacing w:line="360" w:lineRule="auto"/>
        <w:ind w:firstLine="480" w:firstLineChars="200"/>
        <w:rPr>
          <w:rFonts w:eastAsiaTheme="minorEastAsia"/>
          <w:color w:val="auto"/>
          <w:sz w:val="24"/>
        </w:rPr>
      </w:pPr>
      <w:r>
        <w:rPr>
          <w:rFonts w:eastAsiaTheme="minorEastAsia"/>
          <w:color w:val="auto"/>
          <w:sz w:val="24"/>
        </w:rPr>
        <w:t>(1)应急人员的安全防护。明确事件现场的保护措施；</w:t>
      </w:r>
    </w:p>
    <w:p>
      <w:pPr>
        <w:kinsoku w:val="0"/>
        <w:topLinePunct/>
        <w:spacing w:line="360" w:lineRule="auto"/>
        <w:ind w:firstLine="480" w:firstLineChars="200"/>
        <w:rPr>
          <w:rFonts w:eastAsiaTheme="minorEastAsia"/>
          <w:color w:val="auto"/>
          <w:sz w:val="24"/>
        </w:rPr>
      </w:pPr>
      <w:r>
        <w:rPr>
          <w:rFonts w:eastAsiaTheme="minorEastAsia"/>
          <w:color w:val="auto"/>
          <w:sz w:val="24"/>
        </w:rPr>
        <w:t>(2)受灾群众的安全防护。制定群众安全防护措施、疏散措施及患者医疗救护方案等。</w:t>
      </w:r>
    </w:p>
    <w:p>
      <w:pPr>
        <w:pStyle w:val="7"/>
        <w:numPr>
          <w:ilvl w:val="4"/>
          <w:numId w:val="0"/>
        </w:numPr>
        <w:rPr>
          <w:color w:val="auto"/>
        </w:rPr>
      </w:pPr>
      <w:bookmarkStart w:id="588" w:name="_Toc529281368"/>
      <w:r>
        <w:rPr>
          <w:color w:val="auto"/>
        </w:rPr>
        <w:t>7.10.7.9.4次生灾害防范</w:t>
      </w:r>
      <w:bookmarkEnd w:id="588"/>
    </w:p>
    <w:p>
      <w:pPr>
        <w:kinsoku w:val="0"/>
        <w:topLinePunct/>
        <w:spacing w:line="360" w:lineRule="auto"/>
        <w:ind w:firstLine="480" w:firstLineChars="200"/>
        <w:rPr>
          <w:rFonts w:eastAsiaTheme="minorEastAsia"/>
          <w:color w:val="auto"/>
          <w:sz w:val="24"/>
        </w:rPr>
      </w:pPr>
      <w:r>
        <w:rPr>
          <w:rFonts w:eastAsiaTheme="minorEastAsia"/>
          <w:color w:val="auto"/>
          <w:sz w:val="24"/>
        </w:rPr>
        <w:t>制定次生灾害防范措施，现场监测方案，现场人员撤离方案，防止人员中毒或引发次生环境事件。</w:t>
      </w:r>
    </w:p>
    <w:p>
      <w:pPr>
        <w:pStyle w:val="7"/>
        <w:numPr>
          <w:ilvl w:val="4"/>
          <w:numId w:val="0"/>
        </w:numPr>
        <w:rPr>
          <w:color w:val="auto"/>
        </w:rPr>
      </w:pPr>
      <w:bookmarkStart w:id="589" w:name="_Toc529281369"/>
      <w:r>
        <w:rPr>
          <w:color w:val="auto"/>
        </w:rPr>
        <w:t>7.10.7.9.5应急状态解除</w:t>
      </w:r>
      <w:bookmarkEnd w:id="589"/>
    </w:p>
    <w:p>
      <w:pPr>
        <w:kinsoku w:val="0"/>
        <w:topLinePunct/>
        <w:spacing w:line="360" w:lineRule="auto"/>
        <w:ind w:firstLine="480" w:firstLineChars="200"/>
        <w:rPr>
          <w:rFonts w:eastAsiaTheme="minorEastAsia"/>
          <w:color w:val="auto"/>
          <w:sz w:val="24"/>
        </w:rPr>
      </w:pPr>
      <w:r>
        <w:rPr>
          <w:rFonts w:eastAsiaTheme="minorEastAsia"/>
          <w:color w:val="auto"/>
          <w:sz w:val="24"/>
        </w:rPr>
        <w:t>(1)明确应急终止的条件；</w:t>
      </w:r>
    </w:p>
    <w:p>
      <w:pPr>
        <w:kinsoku w:val="0"/>
        <w:topLinePunct/>
        <w:spacing w:line="360" w:lineRule="auto"/>
        <w:ind w:firstLine="480" w:firstLineChars="200"/>
        <w:rPr>
          <w:rFonts w:eastAsiaTheme="minorEastAsia"/>
          <w:color w:val="auto"/>
          <w:sz w:val="24"/>
        </w:rPr>
      </w:pPr>
      <w:r>
        <w:rPr>
          <w:rFonts w:eastAsiaTheme="minorEastAsia"/>
          <w:color w:val="auto"/>
          <w:sz w:val="24"/>
        </w:rPr>
        <w:t>(2)明确应急终止的程序；</w:t>
      </w:r>
    </w:p>
    <w:p>
      <w:pPr>
        <w:kinsoku w:val="0"/>
        <w:topLinePunct/>
        <w:spacing w:line="360" w:lineRule="auto"/>
        <w:ind w:firstLine="480" w:firstLineChars="200"/>
        <w:rPr>
          <w:rFonts w:eastAsiaTheme="minorEastAsia"/>
          <w:color w:val="auto"/>
          <w:sz w:val="24"/>
        </w:rPr>
      </w:pPr>
      <w:r>
        <w:rPr>
          <w:rFonts w:eastAsiaTheme="minorEastAsia"/>
          <w:color w:val="auto"/>
          <w:sz w:val="24"/>
        </w:rPr>
        <w:t>(3)明确应急状态终止后，继续进行跟踪环境监测和评估的方案。</w:t>
      </w:r>
    </w:p>
    <w:p>
      <w:pPr>
        <w:pStyle w:val="7"/>
        <w:numPr>
          <w:ilvl w:val="4"/>
          <w:numId w:val="0"/>
        </w:numPr>
        <w:rPr>
          <w:color w:val="auto"/>
        </w:rPr>
      </w:pPr>
      <w:bookmarkStart w:id="590" w:name="_Toc529281370"/>
      <w:r>
        <w:rPr>
          <w:color w:val="auto"/>
        </w:rPr>
        <w:t>7.10.7.9.6善后处置</w:t>
      </w:r>
      <w:bookmarkEnd w:id="590"/>
    </w:p>
    <w:p>
      <w:pPr>
        <w:topLinePunct/>
        <w:spacing w:line="360" w:lineRule="auto"/>
        <w:ind w:firstLine="480" w:firstLineChars="200"/>
        <w:rPr>
          <w:rFonts w:eastAsiaTheme="minorEastAsia"/>
          <w:color w:val="auto"/>
          <w:sz w:val="24"/>
        </w:rPr>
      </w:pPr>
      <w:r>
        <w:rPr>
          <w:rFonts w:eastAsiaTheme="minorEastAsia"/>
          <w:color w:val="auto"/>
          <w:sz w:val="24"/>
        </w:rPr>
        <w:t>(1)明确受灾人员的安置及损失赔偿方案；事件控制结束后，响应单位用于事态控制的物资损失按照实际损失量及给予赔偿。人工补偿按照企业有关规定标准执行。企业没有标准的或物资没有价格的，由事件源单位与参与响应单位协商解决。</w:t>
      </w:r>
    </w:p>
    <w:p>
      <w:pPr>
        <w:topLinePunct/>
        <w:spacing w:line="360" w:lineRule="auto"/>
        <w:ind w:firstLine="480" w:firstLineChars="200"/>
        <w:rPr>
          <w:rFonts w:eastAsiaTheme="minorEastAsia"/>
          <w:color w:val="auto"/>
          <w:sz w:val="24"/>
        </w:rPr>
      </w:pPr>
      <w:r>
        <w:rPr>
          <w:rFonts w:eastAsiaTheme="minorEastAsia"/>
          <w:color w:val="auto"/>
          <w:sz w:val="24"/>
        </w:rPr>
        <w:t>(2)配合有关部门对环境污染事件中的长期环境影响进行评估；</w:t>
      </w:r>
    </w:p>
    <w:p>
      <w:pPr>
        <w:topLinePunct/>
        <w:spacing w:line="360" w:lineRule="auto"/>
        <w:ind w:firstLine="480" w:firstLineChars="200"/>
        <w:rPr>
          <w:rFonts w:eastAsiaTheme="minorEastAsia"/>
          <w:color w:val="auto"/>
          <w:sz w:val="24"/>
        </w:rPr>
      </w:pPr>
      <w:r>
        <w:rPr>
          <w:rFonts w:eastAsiaTheme="minorEastAsia"/>
          <w:color w:val="auto"/>
          <w:sz w:val="24"/>
        </w:rPr>
        <w:t>(3)明确开展环境恢复与重建工作的内容和程序。</w:t>
      </w:r>
    </w:p>
    <w:p>
      <w:pPr>
        <w:pStyle w:val="7"/>
        <w:numPr>
          <w:ilvl w:val="4"/>
          <w:numId w:val="0"/>
        </w:numPr>
        <w:rPr>
          <w:color w:val="auto"/>
        </w:rPr>
      </w:pPr>
      <w:bookmarkStart w:id="591" w:name="_Toc529281371"/>
      <w:r>
        <w:rPr>
          <w:color w:val="auto"/>
        </w:rPr>
        <w:t>7.10.7.9.7应急保障</w:t>
      </w:r>
      <w:bookmarkEnd w:id="591"/>
    </w:p>
    <w:p>
      <w:pPr>
        <w:kinsoku w:val="0"/>
        <w:topLinePunct/>
        <w:spacing w:line="360" w:lineRule="auto"/>
        <w:ind w:firstLine="480" w:firstLineChars="200"/>
        <w:rPr>
          <w:rFonts w:eastAsiaTheme="minorEastAsia"/>
          <w:color w:val="auto"/>
          <w:sz w:val="24"/>
        </w:rPr>
      </w:pPr>
      <w:r>
        <w:rPr>
          <w:rFonts w:eastAsiaTheme="minorEastAsia"/>
          <w:color w:val="auto"/>
          <w:sz w:val="24"/>
        </w:rPr>
        <w:t>(1)应急保障计划</w:t>
      </w:r>
    </w:p>
    <w:p>
      <w:pPr>
        <w:kinsoku w:val="0"/>
        <w:topLinePunct/>
        <w:spacing w:line="360" w:lineRule="auto"/>
        <w:ind w:firstLine="480" w:firstLineChars="200"/>
        <w:rPr>
          <w:rFonts w:eastAsiaTheme="minorEastAsia"/>
          <w:color w:val="auto"/>
          <w:sz w:val="24"/>
        </w:rPr>
      </w:pPr>
      <w:r>
        <w:rPr>
          <w:rFonts w:eastAsiaTheme="minorEastAsia"/>
          <w:color w:val="auto"/>
          <w:sz w:val="24"/>
        </w:rPr>
        <w:t>(2)制定应急资源建设及储备目标，落实责任主体，明确应急专项经费来源，确定外部依托机构，针对应急能力评估中发现的不足制定措施。</w:t>
      </w:r>
    </w:p>
    <w:p>
      <w:pPr>
        <w:kinsoku w:val="0"/>
        <w:topLinePunct/>
        <w:spacing w:line="360" w:lineRule="auto"/>
        <w:ind w:firstLine="480" w:firstLineChars="200"/>
        <w:rPr>
          <w:rFonts w:eastAsiaTheme="minorEastAsia"/>
          <w:color w:val="auto"/>
          <w:sz w:val="24"/>
        </w:rPr>
      </w:pPr>
      <w:r>
        <w:rPr>
          <w:rFonts w:eastAsiaTheme="minorEastAsia"/>
          <w:color w:val="auto"/>
          <w:sz w:val="24"/>
        </w:rPr>
        <w:t>(3)应急资源</w:t>
      </w:r>
    </w:p>
    <w:p>
      <w:pPr>
        <w:kinsoku w:val="0"/>
        <w:topLinePunct/>
        <w:spacing w:line="360" w:lineRule="auto"/>
        <w:ind w:firstLine="480" w:firstLineChars="200"/>
        <w:rPr>
          <w:rFonts w:eastAsiaTheme="minorEastAsia"/>
          <w:color w:val="auto"/>
          <w:sz w:val="24"/>
        </w:rPr>
      </w:pPr>
      <w:r>
        <w:rPr>
          <w:rFonts w:eastAsiaTheme="minorEastAsia"/>
          <w:color w:val="auto"/>
          <w:sz w:val="24"/>
        </w:rPr>
        <w:t>应急保障责任主体依据既有应急保障计划，落实应急专家、应急队伍、应急资金、应急物资配备、调用标准及措施。</w:t>
      </w:r>
    </w:p>
    <w:p>
      <w:pPr>
        <w:kinsoku w:val="0"/>
        <w:topLinePunct/>
        <w:spacing w:line="360" w:lineRule="auto"/>
        <w:ind w:firstLine="480" w:firstLineChars="200"/>
        <w:rPr>
          <w:rFonts w:eastAsiaTheme="minorEastAsia"/>
          <w:color w:val="auto"/>
          <w:sz w:val="24"/>
        </w:rPr>
      </w:pPr>
      <w:r>
        <w:rPr>
          <w:rFonts w:eastAsiaTheme="minorEastAsia"/>
          <w:color w:val="auto"/>
          <w:sz w:val="24"/>
        </w:rPr>
        <w:t>(4)应急物资和装备保障</w:t>
      </w:r>
    </w:p>
    <w:p>
      <w:pPr>
        <w:kinsoku w:val="0"/>
        <w:topLinePunct/>
        <w:spacing w:line="360" w:lineRule="auto"/>
        <w:ind w:firstLine="480" w:firstLineChars="200"/>
        <w:rPr>
          <w:rFonts w:eastAsiaTheme="minorEastAsia"/>
          <w:color w:val="auto"/>
          <w:sz w:val="24"/>
        </w:rPr>
      </w:pPr>
      <w:r>
        <w:rPr>
          <w:rFonts w:eastAsiaTheme="minorEastAsia"/>
          <w:color w:val="auto"/>
          <w:sz w:val="24"/>
        </w:rPr>
        <w:t>企业依据重特大事件应急处置的需求，建立健全以应急物资储备为主，社会救援物资为辅的物资保障体系，建立应急物资动态管理制度。</w:t>
      </w:r>
    </w:p>
    <w:p>
      <w:pPr>
        <w:kinsoku w:val="0"/>
        <w:topLinePunct/>
        <w:spacing w:line="360" w:lineRule="auto"/>
        <w:ind w:firstLine="480" w:firstLineChars="200"/>
        <w:rPr>
          <w:rFonts w:eastAsiaTheme="minorEastAsia"/>
          <w:color w:val="auto"/>
          <w:sz w:val="24"/>
        </w:rPr>
      </w:pPr>
      <w:r>
        <w:rPr>
          <w:rFonts w:eastAsiaTheme="minorEastAsia"/>
          <w:color w:val="auto"/>
          <w:sz w:val="24"/>
        </w:rPr>
        <w:t>(5)应急通讯</w:t>
      </w:r>
    </w:p>
    <w:p>
      <w:pPr>
        <w:kinsoku w:val="0"/>
        <w:topLinePunct/>
        <w:spacing w:line="360" w:lineRule="auto"/>
        <w:ind w:firstLine="480" w:firstLineChars="200"/>
        <w:rPr>
          <w:rFonts w:eastAsiaTheme="minorEastAsia"/>
          <w:color w:val="auto"/>
          <w:sz w:val="24"/>
        </w:rPr>
      </w:pPr>
      <w:r>
        <w:rPr>
          <w:rFonts w:eastAsiaTheme="minorEastAsia"/>
          <w:color w:val="auto"/>
          <w:sz w:val="24"/>
        </w:rPr>
        <w:t>明确与应急工作相关的单位和人员联系方式及方法，并提供备用方案。建立健全应急通讯系统与配套设施，确保应急状态下信息通畅。</w:t>
      </w:r>
    </w:p>
    <w:p>
      <w:pPr>
        <w:kinsoku w:val="0"/>
        <w:topLinePunct/>
        <w:spacing w:line="360" w:lineRule="auto"/>
        <w:ind w:firstLine="480" w:firstLineChars="200"/>
        <w:rPr>
          <w:rFonts w:eastAsiaTheme="minorEastAsia"/>
          <w:color w:val="auto"/>
          <w:sz w:val="24"/>
        </w:rPr>
      </w:pPr>
      <w:r>
        <w:rPr>
          <w:rFonts w:eastAsiaTheme="minorEastAsia"/>
          <w:color w:val="auto"/>
          <w:sz w:val="24"/>
        </w:rPr>
        <w:t>(6)应急技术</w:t>
      </w:r>
    </w:p>
    <w:p>
      <w:pPr>
        <w:kinsoku w:val="0"/>
        <w:topLinePunct/>
        <w:spacing w:line="360" w:lineRule="auto"/>
        <w:ind w:firstLine="480" w:firstLineChars="200"/>
        <w:rPr>
          <w:rFonts w:eastAsiaTheme="minorEastAsia"/>
          <w:color w:val="auto"/>
          <w:sz w:val="24"/>
        </w:rPr>
      </w:pPr>
      <w:r>
        <w:rPr>
          <w:rFonts w:eastAsiaTheme="minorEastAsia"/>
          <w:color w:val="auto"/>
          <w:sz w:val="24"/>
        </w:rPr>
        <w:t>阐述应急处置技术手段、技术机构等内容。</w:t>
      </w:r>
    </w:p>
    <w:p>
      <w:pPr>
        <w:kinsoku w:val="0"/>
        <w:topLinePunct/>
        <w:spacing w:line="360" w:lineRule="auto"/>
        <w:ind w:firstLine="480" w:firstLineChars="200"/>
        <w:rPr>
          <w:rFonts w:eastAsiaTheme="minorEastAsia"/>
          <w:color w:val="auto"/>
          <w:sz w:val="24"/>
        </w:rPr>
      </w:pPr>
      <w:r>
        <w:rPr>
          <w:rFonts w:eastAsiaTheme="minorEastAsia"/>
          <w:color w:val="auto"/>
          <w:sz w:val="24"/>
        </w:rPr>
        <w:t>(7)其他保障</w:t>
      </w:r>
    </w:p>
    <w:p>
      <w:pPr>
        <w:kinsoku w:val="0"/>
        <w:topLinePunct/>
        <w:spacing w:line="360" w:lineRule="auto"/>
        <w:ind w:firstLine="480" w:firstLineChars="200"/>
        <w:rPr>
          <w:rFonts w:eastAsiaTheme="minorEastAsia"/>
          <w:color w:val="auto"/>
          <w:sz w:val="24"/>
        </w:rPr>
      </w:pPr>
      <w:r>
        <w:rPr>
          <w:rFonts w:eastAsiaTheme="minorEastAsia"/>
          <w:color w:val="auto"/>
          <w:sz w:val="24"/>
        </w:rPr>
        <w:t>根据应急工作需求，确定其他相关保障措施（交通运输、治安、医疗、后勤、体制机制、对外信息发布保障等）。</w:t>
      </w:r>
    </w:p>
    <w:p>
      <w:pPr>
        <w:pStyle w:val="7"/>
        <w:numPr>
          <w:ilvl w:val="4"/>
          <w:numId w:val="0"/>
        </w:numPr>
        <w:rPr>
          <w:color w:val="auto"/>
        </w:rPr>
      </w:pPr>
      <w:bookmarkStart w:id="592" w:name="_Toc529281372"/>
      <w:r>
        <w:rPr>
          <w:color w:val="auto"/>
        </w:rPr>
        <w:t>7.10.7.9.8预案管理</w:t>
      </w:r>
      <w:bookmarkEnd w:id="592"/>
    </w:p>
    <w:p>
      <w:pPr>
        <w:kinsoku w:val="0"/>
        <w:topLinePunct/>
        <w:spacing w:line="360" w:lineRule="auto"/>
        <w:ind w:firstLine="480" w:firstLineChars="200"/>
        <w:rPr>
          <w:rFonts w:eastAsiaTheme="minorEastAsia"/>
          <w:color w:val="auto"/>
          <w:sz w:val="24"/>
        </w:rPr>
      </w:pPr>
      <w:r>
        <w:rPr>
          <w:rFonts w:eastAsiaTheme="minorEastAsia"/>
          <w:color w:val="auto"/>
          <w:sz w:val="24"/>
        </w:rPr>
        <w:t>(1)预案培训</w:t>
      </w:r>
    </w:p>
    <w:p>
      <w:pPr>
        <w:kinsoku w:val="0"/>
        <w:topLinePunct/>
        <w:spacing w:line="360" w:lineRule="auto"/>
        <w:ind w:firstLine="480" w:firstLineChars="200"/>
        <w:rPr>
          <w:rFonts w:eastAsiaTheme="minorEastAsia"/>
          <w:color w:val="auto"/>
          <w:sz w:val="24"/>
        </w:rPr>
      </w:pPr>
      <w:r>
        <w:rPr>
          <w:rFonts w:eastAsiaTheme="minorEastAsia"/>
          <w:color w:val="auto"/>
          <w:sz w:val="24"/>
        </w:rPr>
        <w:t>说明对本企业开展的应急培训计划、方式和要求。如果预案涉及相关方，应明确宣传、告知等工作。</w:t>
      </w:r>
    </w:p>
    <w:p>
      <w:pPr>
        <w:kinsoku w:val="0"/>
        <w:topLinePunct/>
        <w:spacing w:line="360" w:lineRule="auto"/>
        <w:ind w:firstLine="480" w:firstLineChars="200"/>
        <w:rPr>
          <w:rFonts w:eastAsiaTheme="minorEastAsia"/>
          <w:color w:val="auto"/>
          <w:sz w:val="24"/>
        </w:rPr>
      </w:pPr>
      <w:r>
        <w:rPr>
          <w:rFonts w:eastAsiaTheme="minorEastAsia"/>
          <w:color w:val="auto"/>
          <w:sz w:val="24"/>
        </w:rPr>
        <w:t>(2)预案演练</w:t>
      </w:r>
    </w:p>
    <w:p>
      <w:pPr>
        <w:kinsoku w:val="0"/>
        <w:topLinePunct/>
        <w:spacing w:line="360" w:lineRule="auto"/>
        <w:ind w:firstLine="480" w:firstLineChars="200"/>
        <w:rPr>
          <w:rFonts w:eastAsiaTheme="minorEastAsia"/>
          <w:color w:val="auto"/>
          <w:sz w:val="24"/>
        </w:rPr>
      </w:pPr>
      <w:r>
        <w:rPr>
          <w:rFonts w:eastAsiaTheme="minorEastAsia"/>
          <w:color w:val="auto"/>
          <w:sz w:val="24"/>
        </w:rPr>
        <w:t>说明应急演练的方式、频次等内容，制定企业预案演练的具体计划，并组织策划和实施，演练结束后做好总结，适时组织有关企业和专家对部分应急演练进行观摩和交流。</w:t>
      </w:r>
    </w:p>
    <w:p>
      <w:pPr>
        <w:kinsoku w:val="0"/>
        <w:topLinePunct/>
        <w:spacing w:line="360" w:lineRule="auto"/>
        <w:ind w:firstLine="480" w:firstLineChars="200"/>
        <w:rPr>
          <w:rFonts w:eastAsiaTheme="minorEastAsia"/>
          <w:color w:val="auto"/>
          <w:sz w:val="24"/>
        </w:rPr>
      </w:pPr>
      <w:r>
        <w:rPr>
          <w:rFonts w:eastAsiaTheme="minorEastAsia"/>
          <w:color w:val="auto"/>
          <w:sz w:val="24"/>
        </w:rPr>
        <w:t>(3)预案修订</w:t>
      </w:r>
    </w:p>
    <w:p>
      <w:pPr>
        <w:kinsoku w:val="0"/>
        <w:topLinePunct/>
        <w:spacing w:line="360" w:lineRule="auto"/>
        <w:ind w:firstLine="480" w:firstLineChars="200"/>
        <w:rPr>
          <w:rFonts w:eastAsiaTheme="minorEastAsia"/>
          <w:color w:val="auto"/>
          <w:sz w:val="24"/>
        </w:rPr>
      </w:pPr>
      <w:r>
        <w:rPr>
          <w:rFonts w:eastAsiaTheme="minorEastAsia"/>
          <w:color w:val="auto"/>
          <w:sz w:val="24"/>
        </w:rPr>
        <w:t>说明应急预案修订、变更、改进的基本要求及时限，以及采取的方式等，以实现可持续改进。</w:t>
      </w:r>
    </w:p>
    <w:p>
      <w:pPr>
        <w:kinsoku w:val="0"/>
        <w:topLinePunct/>
        <w:spacing w:line="360" w:lineRule="auto"/>
        <w:ind w:firstLine="480" w:firstLineChars="200"/>
        <w:rPr>
          <w:rFonts w:eastAsiaTheme="minorEastAsia"/>
          <w:color w:val="auto"/>
          <w:sz w:val="24"/>
        </w:rPr>
      </w:pPr>
      <w:r>
        <w:rPr>
          <w:rFonts w:eastAsiaTheme="minorEastAsia"/>
          <w:color w:val="auto"/>
          <w:sz w:val="24"/>
        </w:rPr>
        <w:t>(4)预案备案</w:t>
      </w:r>
    </w:p>
    <w:p>
      <w:pPr>
        <w:kinsoku w:val="0"/>
        <w:topLinePunct/>
        <w:spacing w:line="360" w:lineRule="auto"/>
        <w:ind w:firstLine="480" w:firstLineChars="200"/>
        <w:rPr>
          <w:rFonts w:eastAsiaTheme="minorEastAsia"/>
          <w:color w:val="auto"/>
          <w:sz w:val="24"/>
        </w:rPr>
      </w:pPr>
      <w:r>
        <w:rPr>
          <w:rFonts w:eastAsiaTheme="minorEastAsia"/>
          <w:color w:val="auto"/>
          <w:sz w:val="24"/>
        </w:rPr>
        <w:t>说明预案备案的方式、审核要求、报备部门等内容。</w:t>
      </w:r>
    </w:p>
    <w:p>
      <w:pPr>
        <w:pStyle w:val="7"/>
        <w:numPr>
          <w:ilvl w:val="4"/>
          <w:numId w:val="0"/>
        </w:numPr>
        <w:rPr>
          <w:color w:val="auto"/>
        </w:rPr>
      </w:pPr>
      <w:bookmarkStart w:id="593" w:name="_Toc529281375"/>
      <w:r>
        <w:rPr>
          <w:color w:val="auto"/>
        </w:rPr>
        <w:t>7.10.7.9.9预案现场勘察与反复修改</w:t>
      </w:r>
      <w:bookmarkEnd w:id="593"/>
    </w:p>
    <w:p>
      <w:pPr>
        <w:kinsoku w:val="0"/>
        <w:topLinePunct/>
        <w:spacing w:line="360" w:lineRule="auto"/>
        <w:ind w:firstLine="480" w:firstLineChars="200"/>
        <w:rPr>
          <w:rFonts w:eastAsiaTheme="minorEastAsia"/>
          <w:color w:val="auto"/>
          <w:sz w:val="24"/>
        </w:rPr>
      </w:pPr>
      <w:r>
        <w:rPr>
          <w:rFonts w:eastAsiaTheme="minorEastAsia"/>
          <w:color w:val="auto"/>
          <w:sz w:val="24"/>
        </w:rPr>
        <w:t>为使预案切实可行，尤其是重点目标区的具体行动预案，拟定前需要到现场进行实地勘察、加重点目标区的周围地形、环境、指挥所位置、分队行动路线、展开位置人口疏散道路及疏散地域等实地勘察、实地确定。对拟定的应急预案应进行评估和不断地修改，使之更完善，在事故应急时发挥更好的减灾作用。</w:t>
      </w:r>
    </w:p>
    <w:p>
      <w:pPr>
        <w:pStyle w:val="7"/>
        <w:numPr>
          <w:ilvl w:val="4"/>
          <w:numId w:val="0"/>
        </w:numPr>
        <w:rPr>
          <w:color w:val="auto"/>
        </w:rPr>
      </w:pPr>
      <w:bookmarkStart w:id="594" w:name="_Toc529281376"/>
      <w:r>
        <w:rPr>
          <w:color w:val="auto"/>
        </w:rPr>
        <w:t>7.10.7.9.10应急救援预案的演习</w:t>
      </w:r>
      <w:bookmarkEnd w:id="594"/>
    </w:p>
    <w:p>
      <w:pPr>
        <w:kinsoku w:val="0"/>
        <w:topLinePunct/>
        <w:spacing w:line="360" w:lineRule="auto"/>
        <w:ind w:firstLine="480" w:firstLineChars="200"/>
        <w:rPr>
          <w:rFonts w:eastAsiaTheme="minorEastAsia"/>
          <w:color w:val="auto"/>
          <w:sz w:val="24"/>
        </w:rPr>
      </w:pPr>
      <w:r>
        <w:rPr>
          <w:rFonts w:eastAsiaTheme="minorEastAsia"/>
          <w:color w:val="auto"/>
          <w:sz w:val="24"/>
        </w:rPr>
        <w:t>演习的目的在于验证预案的可行性，符合实际情况的程度。</w:t>
      </w:r>
    </w:p>
    <w:p>
      <w:pPr>
        <w:kinsoku w:val="0"/>
        <w:topLinePunct/>
        <w:spacing w:line="360" w:lineRule="auto"/>
        <w:ind w:firstLine="480" w:firstLineChars="200"/>
        <w:rPr>
          <w:rFonts w:eastAsiaTheme="minorEastAsia"/>
          <w:color w:val="auto"/>
          <w:sz w:val="24"/>
        </w:rPr>
      </w:pPr>
      <w:r>
        <w:rPr>
          <w:rFonts w:eastAsiaTheme="minorEastAsia"/>
          <w:color w:val="auto"/>
          <w:sz w:val="24"/>
        </w:rPr>
        <w:t>(1)通过演习可以检查专业队应付可能发生的各种紧急情况的适应性及他们之间想到支援及协调程度。</w:t>
      </w:r>
    </w:p>
    <w:p>
      <w:pPr>
        <w:kinsoku w:val="0"/>
        <w:topLinePunct/>
        <w:spacing w:line="360" w:lineRule="auto"/>
        <w:ind w:firstLine="480" w:firstLineChars="200"/>
        <w:rPr>
          <w:rFonts w:eastAsiaTheme="minorEastAsia"/>
          <w:color w:val="auto"/>
          <w:sz w:val="24"/>
        </w:rPr>
      </w:pPr>
      <w:r>
        <w:rPr>
          <w:rFonts w:eastAsiaTheme="minorEastAsia"/>
          <w:color w:val="auto"/>
          <w:sz w:val="24"/>
        </w:rPr>
        <w:t>(2)检验应急救援指挥部的应急能力。这里包括组织指挥、专业队救援能力和人民群众对应急响应能力。</w:t>
      </w:r>
    </w:p>
    <w:p>
      <w:pPr>
        <w:kinsoku w:val="0"/>
        <w:topLinePunct/>
        <w:spacing w:line="360" w:lineRule="auto"/>
        <w:ind w:firstLine="480" w:firstLineChars="200"/>
        <w:rPr>
          <w:rFonts w:eastAsiaTheme="minorEastAsia"/>
          <w:color w:val="auto"/>
          <w:sz w:val="24"/>
        </w:rPr>
      </w:pPr>
      <w:r>
        <w:rPr>
          <w:rFonts w:eastAsiaTheme="minorEastAsia"/>
          <w:color w:val="auto"/>
          <w:sz w:val="24"/>
        </w:rPr>
        <w:t>(3)通过演习可以证实应急救援是可行的，从而增强承担应急救援任务的信心；通过演习提高救援人员的技术及业务能力。</w:t>
      </w:r>
    </w:p>
    <w:p>
      <w:pPr>
        <w:pStyle w:val="23"/>
        <w:tabs>
          <w:tab w:val="left" w:pos="630"/>
        </w:tabs>
        <w:kinsoku w:val="0"/>
        <w:topLinePunct/>
        <w:spacing w:line="360" w:lineRule="auto"/>
        <w:ind w:firstLineChars="0"/>
        <w:rPr>
          <w:rFonts w:eastAsiaTheme="minorEastAsia"/>
          <w:color w:val="auto"/>
          <w:sz w:val="24"/>
        </w:rPr>
      </w:pPr>
      <w:r>
        <w:rPr>
          <w:rFonts w:eastAsiaTheme="minorEastAsia"/>
          <w:color w:val="auto"/>
          <w:sz w:val="24"/>
        </w:rPr>
        <w:t>(4)通过演习可以发现预案中存在的问题，为修正预案提供实际资料。</w:t>
      </w:r>
    </w:p>
    <w:p>
      <w:pPr>
        <w:pStyle w:val="7"/>
        <w:numPr>
          <w:ilvl w:val="4"/>
          <w:numId w:val="0"/>
        </w:numPr>
        <w:rPr>
          <w:color w:val="auto"/>
        </w:rPr>
      </w:pPr>
      <w:bookmarkStart w:id="595" w:name="_Toc529281377"/>
      <w:r>
        <w:rPr>
          <w:color w:val="auto"/>
        </w:rPr>
        <w:t>7.10.7.9.11应急预案的基本要求</w:t>
      </w:r>
      <w:bookmarkEnd w:id="595"/>
    </w:p>
    <w:p>
      <w:pPr>
        <w:adjustRightInd w:val="0"/>
        <w:spacing w:line="360" w:lineRule="auto"/>
        <w:ind w:firstLine="480"/>
        <w:rPr>
          <w:rFonts w:eastAsiaTheme="minorEastAsia"/>
          <w:color w:val="auto"/>
          <w:sz w:val="24"/>
        </w:rPr>
      </w:pPr>
      <w:r>
        <w:rPr>
          <w:rFonts w:eastAsiaTheme="minorEastAsia"/>
          <w:color w:val="auto"/>
          <w:sz w:val="24"/>
        </w:rPr>
        <w:t>应急预案基本要求内容列于表7.10-7。</w:t>
      </w:r>
    </w:p>
    <w:p>
      <w:pPr>
        <w:pStyle w:val="114"/>
        <w:spacing w:before="0" w:beforeLines="0"/>
        <w:rPr>
          <w:rFonts w:eastAsiaTheme="minorEastAsia"/>
          <w:color w:val="auto"/>
        </w:rPr>
      </w:pPr>
      <w:r>
        <w:rPr>
          <w:rFonts w:eastAsiaTheme="minorEastAsia"/>
          <w:color w:val="auto"/>
        </w:rPr>
        <w:t>表7.10-7    突发事故应急预案表</w:t>
      </w:r>
    </w:p>
    <w:tbl>
      <w:tblPr>
        <w:tblStyle w:val="74"/>
        <w:tblW w:w="909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17"/>
        <w:gridCol w:w="1908"/>
        <w:gridCol w:w="64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0" w:hRule="atLeast"/>
          <w:tblHeader/>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序号</w:t>
            </w:r>
          </w:p>
        </w:tc>
        <w:tc>
          <w:tcPr>
            <w:tcW w:w="1908" w:type="dxa"/>
            <w:vAlign w:val="center"/>
          </w:tcPr>
          <w:p>
            <w:pPr>
              <w:jc w:val="center"/>
              <w:rPr>
                <w:rFonts w:eastAsiaTheme="minorEastAsia"/>
                <w:b/>
                <w:color w:val="auto"/>
                <w:szCs w:val="21"/>
              </w:rPr>
            </w:pPr>
            <w:r>
              <w:rPr>
                <w:rFonts w:eastAsiaTheme="minorEastAsia"/>
                <w:b/>
                <w:color w:val="auto"/>
                <w:kern w:val="0"/>
                <w:szCs w:val="21"/>
              </w:rPr>
              <w:t>项目</w:t>
            </w:r>
          </w:p>
        </w:tc>
        <w:tc>
          <w:tcPr>
            <w:tcW w:w="6473" w:type="dxa"/>
            <w:vAlign w:val="center"/>
          </w:tcPr>
          <w:p>
            <w:pPr>
              <w:jc w:val="center"/>
              <w:rPr>
                <w:rFonts w:eastAsiaTheme="minorEastAsia"/>
                <w:b/>
                <w:color w:val="auto"/>
                <w:szCs w:val="21"/>
              </w:rPr>
            </w:pPr>
            <w:r>
              <w:rPr>
                <w:rFonts w:eastAsiaTheme="minorEastAsia"/>
                <w:b/>
                <w:color w:val="auto"/>
                <w:kern w:val="0"/>
                <w:szCs w:val="21"/>
              </w:rPr>
              <w:t>内容及要求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5"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1</w:t>
            </w:r>
          </w:p>
        </w:tc>
        <w:tc>
          <w:tcPr>
            <w:tcW w:w="1908" w:type="dxa"/>
            <w:vAlign w:val="center"/>
          </w:tcPr>
          <w:p>
            <w:pPr>
              <w:jc w:val="center"/>
              <w:rPr>
                <w:rFonts w:eastAsiaTheme="minorEastAsia"/>
                <w:color w:val="auto"/>
                <w:szCs w:val="21"/>
              </w:rPr>
            </w:pPr>
            <w:r>
              <w:rPr>
                <w:rFonts w:eastAsiaTheme="minorEastAsia"/>
                <w:color w:val="auto"/>
                <w:kern w:val="0"/>
                <w:szCs w:val="21"/>
              </w:rPr>
              <w:t>危险源概况</w:t>
            </w:r>
          </w:p>
        </w:tc>
        <w:tc>
          <w:tcPr>
            <w:tcW w:w="6473" w:type="dxa"/>
            <w:vAlign w:val="center"/>
          </w:tcPr>
          <w:p>
            <w:pPr>
              <w:jc w:val="center"/>
              <w:rPr>
                <w:rFonts w:eastAsiaTheme="minorEastAsia"/>
                <w:color w:val="auto"/>
                <w:szCs w:val="21"/>
              </w:rPr>
            </w:pPr>
            <w:r>
              <w:rPr>
                <w:rFonts w:eastAsiaTheme="minorEastAsia"/>
                <w:color w:val="auto"/>
                <w:kern w:val="0"/>
                <w:szCs w:val="21"/>
              </w:rPr>
              <w:t>详述危险源类型、数量及其分布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5"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2</w:t>
            </w:r>
          </w:p>
        </w:tc>
        <w:tc>
          <w:tcPr>
            <w:tcW w:w="1908" w:type="dxa"/>
            <w:vAlign w:val="center"/>
          </w:tcPr>
          <w:p>
            <w:pPr>
              <w:jc w:val="center"/>
              <w:rPr>
                <w:rFonts w:eastAsiaTheme="minorEastAsia"/>
                <w:color w:val="auto"/>
                <w:szCs w:val="21"/>
              </w:rPr>
            </w:pPr>
            <w:r>
              <w:rPr>
                <w:rFonts w:eastAsiaTheme="minorEastAsia"/>
                <w:color w:val="auto"/>
                <w:kern w:val="0"/>
                <w:szCs w:val="21"/>
              </w:rPr>
              <w:t>应急计划区</w:t>
            </w:r>
          </w:p>
        </w:tc>
        <w:tc>
          <w:tcPr>
            <w:tcW w:w="6473" w:type="dxa"/>
            <w:vAlign w:val="center"/>
          </w:tcPr>
          <w:p>
            <w:pPr>
              <w:jc w:val="center"/>
              <w:rPr>
                <w:rFonts w:eastAsiaTheme="minorEastAsia"/>
                <w:color w:val="auto"/>
                <w:szCs w:val="21"/>
              </w:rPr>
            </w:pPr>
            <w:r>
              <w:rPr>
                <w:rFonts w:eastAsiaTheme="minorEastAsia"/>
                <w:color w:val="auto"/>
                <w:kern w:val="0"/>
                <w:szCs w:val="21"/>
              </w:rPr>
              <w:t>生产装置区、装卸作业区、污水处理区等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136"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3</w:t>
            </w:r>
          </w:p>
        </w:tc>
        <w:tc>
          <w:tcPr>
            <w:tcW w:w="1908" w:type="dxa"/>
            <w:vAlign w:val="center"/>
          </w:tcPr>
          <w:p>
            <w:pPr>
              <w:jc w:val="center"/>
              <w:rPr>
                <w:rFonts w:eastAsiaTheme="minorEastAsia"/>
                <w:color w:val="auto"/>
                <w:szCs w:val="21"/>
              </w:rPr>
            </w:pPr>
            <w:r>
              <w:rPr>
                <w:rFonts w:eastAsiaTheme="minorEastAsia"/>
                <w:color w:val="auto"/>
                <w:kern w:val="0"/>
                <w:szCs w:val="21"/>
              </w:rPr>
              <w:t>应急组织</w:t>
            </w:r>
          </w:p>
        </w:tc>
        <w:tc>
          <w:tcPr>
            <w:tcW w:w="6473" w:type="dxa"/>
            <w:vAlign w:val="center"/>
          </w:tcPr>
          <w:p>
            <w:pPr>
              <w:jc w:val="center"/>
              <w:rPr>
                <w:rFonts w:eastAsiaTheme="minorEastAsia"/>
                <w:color w:val="auto"/>
                <w:kern w:val="0"/>
                <w:szCs w:val="21"/>
              </w:rPr>
            </w:pPr>
            <w:r>
              <w:rPr>
                <w:rFonts w:eastAsiaTheme="minorEastAsia"/>
                <w:color w:val="auto"/>
                <w:kern w:val="0"/>
                <w:szCs w:val="21"/>
              </w:rPr>
              <w:t>工厂：厂指挥部－负责现场全面指挥；专业救援队伍－负责事故控制、救援、善后处理</w:t>
            </w:r>
            <w:r>
              <w:rPr>
                <w:rFonts w:hint="eastAsia" w:eastAsiaTheme="minorEastAsia"/>
                <w:color w:val="auto"/>
                <w:kern w:val="0"/>
                <w:szCs w:val="21"/>
              </w:rPr>
              <w:t>；</w:t>
            </w:r>
          </w:p>
          <w:p>
            <w:pPr>
              <w:jc w:val="center"/>
              <w:rPr>
                <w:rFonts w:eastAsiaTheme="minorEastAsia"/>
                <w:color w:val="auto"/>
                <w:szCs w:val="21"/>
              </w:rPr>
            </w:pPr>
            <w:r>
              <w:rPr>
                <w:rFonts w:eastAsiaTheme="minorEastAsia"/>
                <w:color w:val="auto"/>
                <w:kern w:val="0"/>
                <w:szCs w:val="21"/>
              </w:rPr>
              <w:t>地区：地区指挥部－负责工厂附近地区全面指挥、救援、管制、疏散；专业救援队伍－负责对厂专业救援队伍的支援</w:t>
            </w:r>
            <w:r>
              <w:rPr>
                <w:rFonts w:hint="eastAsia" w:eastAsiaTheme="minorEastAsia"/>
                <w:color w:val="auto"/>
                <w:kern w:val="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5"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4</w:t>
            </w:r>
          </w:p>
        </w:tc>
        <w:tc>
          <w:tcPr>
            <w:tcW w:w="1908" w:type="dxa"/>
            <w:vAlign w:val="center"/>
          </w:tcPr>
          <w:p>
            <w:pPr>
              <w:jc w:val="center"/>
              <w:rPr>
                <w:rFonts w:eastAsiaTheme="minorEastAsia"/>
                <w:color w:val="auto"/>
                <w:spacing w:val="-6"/>
                <w:szCs w:val="21"/>
              </w:rPr>
            </w:pPr>
            <w:r>
              <w:rPr>
                <w:rFonts w:eastAsiaTheme="minorEastAsia"/>
                <w:color w:val="auto"/>
                <w:spacing w:val="-6"/>
                <w:kern w:val="0"/>
                <w:szCs w:val="21"/>
              </w:rPr>
              <w:t>应急状态分类及应急响应程序</w:t>
            </w:r>
          </w:p>
        </w:tc>
        <w:tc>
          <w:tcPr>
            <w:tcW w:w="6473" w:type="dxa"/>
            <w:vAlign w:val="center"/>
          </w:tcPr>
          <w:p>
            <w:pPr>
              <w:jc w:val="center"/>
              <w:rPr>
                <w:rFonts w:eastAsiaTheme="minorEastAsia"/>
                <w:color w:val="auto"/>
                <w:szCs w:val="21"/>
              </w:rPr>
            </w:pPr>
            <w:r>
              <w:rPr>
                <w:rFonts w:eastAsiaTheme="minorEastAsia"/>
                <w:color w:val="auto"/>
                <w:kern w:val="0"/>
                <w:szCs w:val="21"/>
              </w:rPr>
              <w:t>规定事故的级别及相应的应急分类响应程序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56"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5</w:t>
            </w:r>
          </w:p>
        </w:tc>
        <w:tc>
          <w:tcPr>
            <w:tcW w:w="1908" w:type="dxa"/>
            <w:vAlign w:val="center"/>
          </w:tcPr>
          <w:p>
            <w:pPr>
              <w:jc w:val="center"/>
              <w:rPr>
                <w:rFonts w:eastAsiaTheme="minorEastAsia"/>
                <w:color w:val="auto"/>
                <w:szCs w:val="21"/>
              </w:rPr>
            </w:pPr>
            <w:r>
              <w:rPr>
                <w:rFonts w:eastAsiaTheme="minorEastAsia"/>
                <w:color w:val="auto"/>
                <w:kern w:val="0"/>
                <w:szCs w:val="21"/>
              </w:rPr>
              <w:t>应急设施、设备与材料</w:t>
            </w:r>
          </w:p>
        </w:tc>
        <w:tc>
          <w:tcPr>
            <w:tcW w:w="6473" w:type="dxa"/>
            <w:vAlign w:val="center"/>
          </w:tcPr>
          <w:p>
            <w:pPr>
              <w:jc w:val="center"/>
              <w:rPr>
                <w:rFonts w:eastAsiaTheme="minorEastAsia"/>
                <w:color w:val="auto"/>
                <w:szCs w:val="21"/>
              </w:rPr>
            </w:pPr>
            <w:r>
              <w:rPr>
                <w:rFonts w:eastAsiaTheme="minorEastAsia"/>
                <w:color w:val="auto"/>
                <w:kern w:val="0"/>
                <w:szCs w:val="21"/>
              </w:rPr>
              <w:t>生产装置及罐区：防火灾、爆炸事故应急没施、设备与材料，主要为消防器材；防有毒有害物质溢出、扩散，主要是抗溶性泡沫、干粉、二氧化碳、喷淋设备等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5"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6</w:t>
            </w:r>
          </w:p>
        </w:tc>
        <w:tc>
          <w:tcPr>
            <w:tcW w:w="1908" w:type="dxa"/>
            <w:vAlign w:val="center"/>
          </w:tcPr>
          <w:p>
            <w:pPr>
              <w:jc w:val="center"/>
              <w:rPr>
                <w:rFonts w:eastAsiaTheme="minorEastAsia"/>
                <w:color w:val="auto"/>
                <w:szCs w:val="21"/>
              </w:rPr>
            </w:pPr>
            <w:r>
              <w:rPr>
                <w:rFonts w:eastAsiaTheme="minorEastAsia"/>
                <w:color w:val="auto"/>
                <w:kern w:val="0"/>
                <w:szCs w:val="21"/>
              </w:rPr>
              <w:t>应急通讯、通知和交通</w:t>
            </w:r>
          </w:p>
        </w:tc>
        <w:tc>
          <w:tcPr>
            <w:tcW w:w="6473" w:type="dxa"/>
            <w:vAlign w:val="center"/>
          </w:tcPr>
          <w:p>
            <w:pPr>
              <w:jc w:val="center"/>
              <w:rPr>
                <w:rFonts w:eastAsiaTheme="minorEastAsia"/>
                <w:color w:val="auto"/>
                <w:szCs w:val="21"/>
              </w:rPr>
            </w:pPr>
            <w:r>
              <w:rPr>
                <w:rFonts w:eastAsiaTheme="minorEastAsia"/>
                <w:color w:val="auto"/>
                <w:kern w:val="0"/>
                <w:szCs w:val="21"/>
              </w:rPr>
              <w:t>应急状态下的通讯方式、通知方式利交通保障、管制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5"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7</w:t>
            </w:r>
          </w:p>
        </w:tc>
        <w:tc>
          <w:tcPr>
            <w:tcW w:w="1908" w:type="dxa"/>
            <w:vAlign w:val="center"/>
          </w:tcPr>
          <w:p>
            <w:pPr>
              <w:jc w:val="center"/>
              <w:rPr>
                <w:rFonts w:eastAsiaTheme="minorEastAsia"/>
                <w:color w:val="auto"/>
                <w:szCs w:val="21"/>
              </w:rPr>
            </w:pPr>
            <w:r>
              <w:rPr>
                <w:rFonts w:eastAsiaTheme="minorEastAsia"/>
                <w:color w:val="auto"/>
                <w:kern w:val="0"/>
                <w:szCs w:val="21"/>
              </w:rPr>
              <w:t>应急环境监测及事故后评估</w:t>
            </w:r>
          </w:p>
        </w:tc>
        <w:tc>
          <w:tcPr>
            <w:tcW w:w="6473" w:type="dxa"/>
            <w:vAlign w:val="center"/>
          </w:tcPr>
          <w:p>
            <w:pPr>
              <w:jc w:val="center"/>
              <w:rPr>
                <w:rFonts w:eastAsiaTheme="minorEastAsia"/>
                <w:color w:val="auto"/>
                <w:szCs w:val="21"/>
              </w:rPr>
            </w:pPr>
            <w:r>
              <w:rPr>
                <w:rFonts w:eastAsiaTheme="minorEastAsia"/>
                <w:color w:val="auto"/>
                <w:kern w:val="0"/>
                <w:szCs w:val="21"/>
              </w:rPr>
              <w:t>由专业队伍负责对事故现场进行侦察监测，对事故性质、参数与后果进行评估，为指挥部门提供决策依据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56"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8</w:t>
            </w:r>
          </w:p>
        </w:tc>
        <w:tc>
          <w:tcPr>
            <w:tcW w:w="1908" w:type="dxa"/>
            <w:vAlign w:val="center"/>
          </w:tcPr>
          <w:p>
            <w:pPr>
              <w:jc w:val="center"/>
              <w:rPr>
                <w:rFonts w:eastAsiaTheme="minorEastAsia"/>
                <w:color w:val="auto"/>
                <w:szCs w:val="21"/>
              </w:rPr>
            </w:pPr>
            <w:r>
              <w:rPr>
                <w:rFonts w:eastAsiaTheme="minorEastAsia"/>
                <w:color w:val="auto"/>
                <w:kern w:val="0"/>
                <w:szCs w:val="21"/>
              </w:rPr>
              <w:t>应急防范措施、清除泄漏措施方法和器材</w:t>
            </w:r>
          </w:p>
        </w:tc>
        <w:tc>
          <w:tcPr>
            <w:tcW w:w="6473" w:type="dxa"/>
            <w:vAlign w:val="center"/>
          </w:tcPr>
          <w:p>
            <w:pPr>
              <w:jc w:val="center"/>
              <w:rPr>
                <w:rFonts w:eastAsiaTheme="minorEastAsia"/>
                <w:color w:val="auto"/>
                <w:kern w:val="0"/>
                <w:szCs w:val="21"/>
              </w:rPr>
            </w:pPr>
            <w:r>
              <w:rPr>
                <w:rFonts w:eastAsiaTheme="minorEastAsia"/>
                <w:color w:val="auto"/>
                <w:kern w:val="0"/>
                <w:szCs w:val="21"/>
              </w:rPr>
              <w:t>事故现场：控制事故、防止扩大、蔓延和链锁反应；清楚现场泄漏物，降低危害，相应的实施器材配备</w:t>
            </w:r>
            <w:r>
              <w:rPr>
                <w:rFonts w:hint="eastAsia" w:eastAsiaTheme="minorEastAsia"/>
                <w:color w:val="auto"/>
                <w:kern w:val="0"/>
                <w:szCs w:val="21"/>
              </w:rPr>
              <w:t>；</w:t>
            </w:r>
          </w:p>
          <w:p>
            <w:pPr>
              <w:jc w:val="center"/>
              <w:rPr>
                <w:rFonts w:eastAsiaTheme="minorEastAsia"/>
                <w:color w:val="auto"/>
                <w:szCs w:val="21"/>
              </w:rPr>
            </w:pPr>
            <w:r>
              <w:rPr>
                <w:rFonts w:eastAsiaTheme="minorEastAsia"/>
                <w:color w:val="auto"/>
                <w:kern w:val="0"/>
                <w:szCs w:val="21"/>
              </w:rPr>
              <w:t>临近区域：控制和清除污染措施及相应设备配备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136"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9</w:t>
            </w:r>
          </w:p>
        </w:tc>
        <w:tc>
          <w:tcPr>
            <w:tcW w:w="1908" w:type="dxa"/>
            <w:vAlign w:val="center"/>
          </w:tcPr>
          <w:p>
            <w:pPr>
              <w:jc w:val="center"/>
              <w:rPr>
                <w:rFonts w:eastAsiaTheme="minorEastAsia"/>
                <w:color w:val="auto"/>
                <w:szCs w:val="21"/>
              </w:rPr>
            </w:pPr>
            <w:r>
              <w:rPr>
                <w:rFonts w:eastAsiaTheme="minorEastAsia"/>
                <w:color w:val="auto"/>
                <w:kern w:val="0"/>
                <w:szCs w:val="21"/>
              </w:rPr>
              <w:t>应急剂量控制、撤离组织计划、医疗救护与公众健康</w:t>
            </w:r>
          </w:p>
        </w:tc>
        <w:tc>
          <w:tcPr>
            <w:tcW w:w="6473" w:type="dxa"/>
            <w:vAlign w:val="center"/>
          </w:tcPr>
          <w:p>
            <w:pPr>
              <w:jc w:val="center"/>
              <w:rPr>
                <w:rFonts w:eastAsiaTheme="minorEastAsia"/>
                <w:color w:val="auto"/>
                <w:kern w:val="0"/>
                <w:szCs w:val="21"/>
              </w:rPr>
            </w:pPr>
            <w:r>
              <w:rPr>
                <w:rFonts w:eastAsiaTheme="minorEastAsia"/>
                <w:color w:val="auto"/>
                <w:kern w:val="0"/>
                <w:szCs w:val="21"/>
              </w:rPr>
              <w:t>事故现场：事故处理人员对毒物的应急剂量制定、现场及邻近装置人员撤离组织计划及救护</w:t>
            </w:r>
          </w:p>
          <w:p>
            <w:pPr>
              <w:jc w:val="center"/>
              <w:rPr>
                <w:rFonts w:eastAsiaTheme="minorEastAsia"/>
                <w:color w:val="auto"/>
                <w:szCs w:val="21"/>
              </w:rPr>
            </w:pPr>
            <w:r>
              <w:rPr>
                <w:rFonts w:eastAsiaTheme="minorEastAsia"/>
                <w:color w:val="auto"/>
                <w:kern w:val="0"/>
                <w:szCs w:val="21"/>
              </w:rPr>
              <w:t>工厂邻近区：受事故影响的邻近区域人员及公众对毒物应急剂量控制制定、撤离组织计划及救护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5"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10</w:t>
            </w:r>
          </w:p>
        </w:tc>
        <w:tc>
          <w:tcPr>
            <w:tcW w:w="1908" w:type="dxa"/>
            <w:vAlign w:val="center"/>
          </w:tcPr>
          <w:p>
            <w:pPr>
              <w:jc w:val="center"/>
              <w:rPr>
                <w:rFonts w:eastAsiaTheme="minorEastAsia"/>
                <w:color w:val="auto"/>
                <w:szCs w:val="21"/>
              </w:rPr>
            </w:pPr>
            <w:r>
              <w:rPr>
                <w:rFonts w:eastAsiaTheme="minorEastAsia"/>
                <w:color w:val="auto"/>
                <w:kern w:val="0"/>
                <w:szCs w:val="21"/>
              </w:rPr>
              <w:t>应急状态终与恢复措施</w:t>
            </w:r>
          </w:p>
        </w:tc>
        <w:tc>
          <w:tcPr>
            <w:tcW w:w="6473" w:type="dxa"/>
            <w:vAlign w:val="center"/>
          </w:tcPr>
          <w:p>
            <w:pPr>
              <w:jc w:val="center"/>
              <w:rPr>
                <w:rFonts w:eastAsiaTheme="minorEastAsia"/>
                <w:color w:val="auto"/>
                <w:szCs w:val="21"/>
              </w:rPr>
            </w:pPr>
            <w:r>
              <w:rPr>
                <w:rFonts w:eastAsiaTheme="minorEastAsia"/>
                <w:color w:val="auto"/>
                <w:kern w:val="0"/>
                <w:szCs w:val="21"/>
              </w:rPr>
              <w:t>规定应急状态终止程序；事故现场善后处理，恢复措施邻近区域解除事故警戒及善后恢复措施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5"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11</w:t>
            </w:r>
          </w:p>
        </w:tc>
        <w:tc>
          <w:tcPr>
            <w:tcW w:w="1908" w:type="dxa"/>
            <w:vAlign w:val="center"/>
          </w:tcPr>
          <w:p>
            <w:pPr>
              <w:jc w:val="center"/>
              <w:rPr>
                <w:rFonts w:eastAsiaTheme="minorEastAsia"/>
                <w:color w:val="auto"/>
                <w:szCs w:val="21"/>
              </w:rPr>
            </w:pPr>
            <w:r>
              <w:rPr>
                <w:rFonts w:eastAsiaTheme="minorEastAsia"/>
                <w:color w:val="auto"/>
                <w:kern w:val="0"/>
                <w:szCs w:val="21"/>
              </w:rPr>
              <w:t>人员培训与演练</w:t>
            </w:r>
          </w:p>
        </w:tc>
        <w:tc>
          <w:tcPr>
            <w:tcW w:w="6473" w:type="dxa"/>
            <w:vAlign w:val="center"/>
          </w:tcPr>
          <w:p>
            <w:pPr>
              <w:jc w:val="center"/>
              <w:rPr>
                <w:rFonts w:eastAsiaTheme="minorEastAsia"/>
                <w:color w:val="auto"/>
                <w:szCs w:val="21"/>
              </w:rPr>
            </w:pPr>
            <w:r>
              <w:rPr>
                <w:rFonts w:eastAsiaTheme="minorEastAsia"/>
                <w:color w:val="auto"/>
                <w:kern w:val="0"/>
                <w:szCs w:val="21"/>
              </w:rPr>
              <w:t>应急计划制定后，平时安排人员培训与演练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5"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12</w:t>
            </w:r>
          </w:p>
        </w:tc>
        <w:tc>
          <w:tcPr>
            <w:tcW w:w="1908" w:type="dxa"/>
            <w:vAlign w:val="center"/>
          </w:tcPr>
          <w:p>
            <w:pPr>
              <w:jc w:val="center"/>
              <w:rPr>
                <w:rFonts w:eastAsiaTheme="minorEastAsia"/>
                <w:color w:val="auto"/>
                <w:szCs w:val="21"/>
              </w:rPr>
            </w:pPr>
            <w:r>
              <w:rPr>
                <w:rFonts w:eastAsiaTheme="minorEastAsia"/>
                <w:color w:val="auto"/>
                <w:kern w:val="0"/>
                <w:szCs w:val="21"/>
              </w:rPr>
              <w:t>公众教育利信息</w:t>
            </w:r>
          </w:p>
        </w:tc>
        <w:tc>
          <w:tcPr>
            <w:tcW w:w="6473" w:type="dxa"/>
            <w:vAlign w:val="center"/>
          </w:tcPr>
          <w:p>
            <w:pPr>
              <w:jc w:val="center"/>
              <w:rPr>
                <w:rFonts w:eastAsiaTheme="minorEastAsia"/>
                <w:color w:val="auto"/>
                <w:szCs w:val="21"/>
              </w:rPr>
            </w:pPr>
            <w:r>
              <w:rPr>
                <w:rFonts w:eastAsiaTheme="minorEastAsia"/>
                <w:color w:val="auto"/>
                <w:kern w:val="0"/>
                <w:szCs w:val="21"/>
              </w:rPr>
              <w:t>对工厂邻近地区开展公众教育、培训和发布有关信息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5"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13</w:t>
            </w:r>
          </w:p>
        </w:tc>
        <w:tc>
          <w:tcPr>
            <w:tcW w:w="1908" w:type="dxa"/>
            <w:vAlign w:val="center"/>
          </w:tcPr>
          <w:p>
            <w:pPr>
              <w:jc w:val="center"/>
              <w:rPr>
                <w:rFonts w:eastAsiaTheme="minorEastAsia"/>
                <w:color w:val="auto"/>
                <w:szCs w:val="21"/>
              </w:rPr>
            </w:pPr>
            <w:r>
              <w:rPr>
                <w:rFonts w:eastAsiaTheme="minorEastAsia"/>
                <w:color w:val="auto"/>
                <w:kern w:val="0"/>
                <w:szCs w:val="21"/>
              </w:rPr>
              <w:t>记录和报告</w:t>
            </w:r>
          </w:p>
        </w:tc>
        <w:tc>
          <w:tcPr>
            <w:tcW w:w="6473" w:type="dxa"/>
            <w:vAlign w:val="center"/>
          </w:tcPr>
          <w:p>
            <w:pPr>
              <w:jc w:val="center"/>
              <w:rPr>
                <w:rFonts w:eastAsiaTheme="minorEastAsia"/>
                <w:color w:val="auto"/>
                <w:szCs w:val="21"/>
              </w:rPr>
            </w:pPr>
            <w:r>
              <w:rPr>
                <w:rFonts w:eastAsiaTheme="minorEastAsia"/>
                <w:color w:val="auto"/>
                <w:kern w:val="0"/>
                <w:szCs w:val="21"/>
              </w:rPr>
              <w:t>设置应急事故专门记录，建档案和专门报告制度，设专门部门和负责管理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6" w:hRule="atLeast"/>
          <w:jc w:val="center"/>
        </w:trPr>
        <w:tc>
          <w:tcPr>
            <w:tcW w:w="717" w:type="dxa"/>
            <w:vAlign w:val="center"/>
          </w:tcPr>
          <w:p>
            <w:pPr>
              <w:jc w:val="center"/>
              <w:rPr>
                <w:rFonts w:eastAsiaTheme="minorEastAsia"/>
                <w:b/>
                <w:color w:val="auto"/>
                <w:kern w:val="0"/>
                <w:szCs w:val="21"/>
              </w:rPr>
            </w:pPr>
            <w:r>
              <w:rPr>
                <w:rFonts w:eastAsiaTheme="minorEastAsia"/>
                <w:b/>
                <w:color w:val="auto"/>
                <w:kern w:val="0"/>
                <w:szCs w:val="21"/>
              </w:rPr>
              <w:t>14</w:t>
            </w:r>
          </w:p>
        </w:tc>
        <w:tc>
          <w:tcPr>
            <w:tcW w:w="1908" w:type="dxa"/>
            <w:vAlign w:val="center"/>
          </w:tcPr>
          <w:p>
            <w:pPr>
              <w:jc w:val="center"/>
              <w:rPr>
                <w:rFonts w:eastAsiaTheme="minorEastAsia"/>
                <w:color w:val="auto"/>
                <w:szCs w:val="21"/>
              </w:rPr>
            </w:pPr>
            <w:r>
              <w:rPr>
                <w:rFonts w:eastAsiaTheme="minorEastAsia"/>
                <w:color w:val="auto"/>
                <w:kern w:val="0"/>
                <w:szCs w:val="21"/>
              </w:rPr>
              <w:t>附件</w:t>
            </w:r>
          </w:p>
        </w:tc>
        <w:tc>
          <w:tcPr>
            <w:tcW w:w="6473" w:type="dxa"/>
            <w:vAlign w:val="center"/>
          </w:tcPr>
          <w:p>
            <w:pPr>
              <w:jc w:val="center"/>
              <w:rPr>
                <w:rFonts w:eastAsiaTheme="minorEastAsia"/>
                <w:color w:val="auto"/>
                <w:szCs w:val="21"/>
              </w:rPr>
            </w:pPr>
            <w:r>
              <w:rPr>
                <w:rFonts w:eastAsiaTheme="minorEastAsia"/>
                <w:color w:val="auto"/>
                <w:kern w:val="0"/>
                <w:szCs w:val="21"/>
              </w:rPr>
              <w:t>与应急事故有关的多种附件材料的准备和形成</w:t>
            </w:r>
          </w:p>
        </w:tc>
      </w:tr>
    </w:tbl>
    <w:p>
      <w:pPr>
        <w:pStyle w:val="5"/>
        <w:numPr>
          <w:ilvl w:val="2"/>
          <w:numId w:val="0"/>
        </w:numPr>
        <w:spacing w:before="120" w:beforeLines="50"/>
        <w:ind w:left="-720" w:leftChars="-343" w:firstLine="723" w:firstLineChars="300"/>
        <w:rPr>
          <w:color w:val="auto"/>
        </w:rPr>
      </w:pPr>
      <w:bookmarkStart w:id="596" w:name="_Toc457481201"/>
      <w:bookmarkStart w:id="597" w:name="_Toc109398697"/>
      <w:bookmarkStart w:id="598" w:name="_Toc525628828"/>
      <w:bookmarkStart w:id="599" w:name="_Toc491382312"/>
      <w:bookmarkStart w:id="600" w:name="_Toc456455794"/>
      <w:bookmarkStart w:id="601" w:name="_Toc11595513"/>
      <w:bookmarkStart w:id="602" w:name="_Toc509415541"/>
      <w:bookmarkStart w:id="603" w:name="_Toc370884247"/>
      <w:bookmarkStart w:id="604" w:name="_Toc506215156"/>
      <w:r>
        <w:rPr>
          <w:color w:val="auto"/>
        </w:rPr>
        <w:t>7.10.8风险评价结论</w:t>
      </w:r>
      <w:bookmarkEnd w:id="596"/>
      <w:bookmarkEnd w:id="597"/>
      <w:bookmarkEnd w:id="598"/>
      <w:bookmarkEnd w:id="599"/>
      <w:bookmarkEnd w:id="600"/>
      <w:bookmarkEnd w:id="601"/>
      <w:bookmarkEnd w:id="602"/>
      <w:bookmarkEnd w:id="603"/>
      <w:bookmarkEnd w:id="604"/>
    </w:p>
    <w:p>
      <w:pPr>
        <w:pStyle w:val="130"/>
        <w:ind w:firstLine="480"/>
        <w:rPr>
          <w:color w:val="auto"/>
        </w:rPr>
      </w:pPr>
      <w:r>
        <w:rPr>
          <w:color w:val="auto"/>
        </w:rPr>
        <w:t>根据分析，本项目发生环境风险事故的概率较小，一旦发生风险事故，建设单位必须有相应的对风险源采取各项控制的措施，加强对员工的培训和教育，提高其工作责任心，制定各项规章制度和操作规程，避免因操作失误而造成事故发生，加强对各类设备的定期检查、维护和管理，减少事故隐患，加强风险防范，编制应急预案，一旦出现污染事故，立即启动应急预案，将环境风险消除，以降低风险事故对环境的污染及厂内职工、附近企业人员的伤害。</w:t>
      </w:r>
    </w:p>
    <w:p>
      <w:pPr>
        <w:pStyle w:val="130"/>
        <w:ind w:firstLine="480"/>
        <w:rPr>
          <w:color w:val="auto"/>
        </w:rPr>
      </w:pPr>
      <w:r>
        <w:rPr>
          <w:color w:val="auto"/>
        </w:rPr>
        <w:t>综上所述，在企业提高风险管理水平和强化风险防范措施的前提下，项目的</w:t>
      </w:r>
      <w:r>
        <w:rPr>
          <w:rFonts w:hint="eastAsia"/>
          <w:color w:val="auto"/>
        </w:rPr>
        <w:t>环境</w:t>
      </w:r>
      <w:r>
        <w:rPr>
          <w:color w:val="auto"/>
        </w:rPr>
        <w:t>风险</w:t>
      </w:r>
      <w:r>
        <w:rPr>
          <w:rFonts w:hint="eastAsia"/>
          <w:color w:val="auto"/>
        </w:rPr>
        <w:t>可防可控</w:t>
      </w:r>
      <w:r>
        <w:rPr>
          <w:color w:val="auto"/>
        </w:rPr>
        <w:t>。</w:t>
      </w:r>
      <w:bookmarkStart w:id="605" w:name="_Toc11595514"/>
      <w:bookmarkStart w:id="606" w:name="_Toc493853575"/>
      <w:bookmarkStart w:id="607" w:name="_Toc526084206"/>
    </w:p>
    <w:p>
      <w:pPr>
        <w:pStyle w:val="130"/>
        <w:ind w:firstLine="480"/>
        <w:rPr>
          <w:color w:val="auto"/>
        </w:rPr>
      </w:pPr>
      <w:r>
        <w:rPr>
          <w:color w:val="auto"/>
        </w:rPr>
        <w:t>建设项目环境风险简单分析内容详见表</w:t>
      </w:r>
      <w:r>
        <w:rPr>
          <w:rFonts w:hint="eastAsia"/>
          <w:color w:val="auto"/>
        </w:rPr>
        <w:t>7</w:t>
      </w:r>
      <w:r>
        <w:rPr>
          <w:color w:val="auto"/>
        </w:rPr>
        <w:t>.10-8。</w:t>
      </w:r>
    </w:p>
    <w:p>
      <w:pPr>
        <w:pStyle w:val="114"/>
        <w:spacing w:before="0" w:beforeLines="0"/>
        <w:rPr>
          <w:color w:val="auto"/>
        </w:rPr>
      </w:pPr>
      <w:r>
        <w:rPr>
          <w:color w:val="auto"/>
        </w:rPr>
        <w:t xml:space="preserve">表7.10-8    建设项目环境风险简单分析内容表 </w:t>
      </w:r>
    </w:p>
    <w:tbl>
      <w:tblPr>
        <w:tblStyle w:val="74"/>
        <w:tblW w:w="8930"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2236"/>
        <w:gridCol w:w="1329"/>
        <w:gridCol w:w="1113"/>
        <w:gridCol w:w="1552"/>
        <w:gridCol w:w="905"/>
        <w:gridCol w:w="179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62" w:hRule="atLeast"/>
          <w:jc w:val="center"/>
        </w:trPr>
        <w:tc>
          <w:tcPr>
            <w:tcW w:w="2236" w:type="dxa"/>
            <w:vAlign w:val="center"/>
          </w:tcPr>
          <w:p>
            <w:pPr>
              <w:pStyle w:val="164"/>
              <w:rPr>
                <w:color w:val="auto"/>
              </w:rPr>
            </w:pPr>
            <w:r>
              <w:rPr>
                <w:color w:val="auto"/>
              </w:rPr>
              <w:t>建设项目名称</w:t>
            </w:r>
          </w:p>
        </w:tc>
        <w:tc>
          <w:tcPr>
            <w:tcW w:w="6694" w:type="dxa"/>
            <w:gridSpan w:val="5"/>
            <w:vAlign w:val="center"/>
          </w:tcPr>
          <w:p>
            <w:pPr>
              <w:pStyle w:val="164"/>
              <w:rPr>
                <w:color w:val="auto"/>
              </w:rPr>
            </w:pPr>
            <w:r>
              <w:rPr>
                <w:color w:val="auto"/>
              </w:rPr>
              <w:t>中卫医疗废物处置中心改造项目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62" w:hRule="atLeast"/>
          <w:jc w:val="center"/>
        </w:trPr>
        <w:tc>
          <w:tcPr>
            <w:tcW w:w="2236" w:type="dxa"/>
            <w:vAlign w:val="center"/>
          </w:tcPr>
          <w:p>
            <w:pPr>
              <w:pStyle w:val="164"/>
              <w:rPr>
                <w:color w:val="auto"/>
              </w:rPr>
            </w:pPr>
            <w:r>
              <w:rPr>
                <w:color w:val="auto"/>
              </w:rPr>
              <w:t>建设地点</w:t>
            </w:r>
          </w:p>
        </w:tc>
        <w:tc>
          <w:tcPr>
            <w:tcW w:w="1329" w:type="dxa"/>
            <w:vAlign w:val="center"/>
          </w:tcPr>
          <w:p>
            <w:pPr>
              <w:pStyle w:val="164"/>
              <w:rPr>
                <w:color w:val="auto"/>
              </w:rPr>
            </w:pPr>
            <w:r>
              <w:rPr>
                <w:color w:val="auto"/>
              </w:rPr>
              <w:t>（宁夏）省</w:t>
            </w:r>
          </w:p>
        </w:tc>
        <w:tc>
          <w:tcPr>
            <w:tcW w:w="1113" w:type="dxa"/>
            <w:vAlign w:val="center"/>
          </w:tcPr>
          <w:p>
            <w:pPr>
              <w:pStyle w:val="164"/>
              <w:rPr>
                <w:color w:val="auto"/>
              </w:rPr>
            </w:pPr>
            <w:r>
              <w:rPr>
                <w:color w:val="auto"/>
              </w:rPr>
              <w:t>（中卫）市</w:t>
            </w:r>
          </w:p>
        </w:tc>
        <w:tc>
          <w:tcPr>
            <w:tcW w:w="1552" w:type="dxa"/>
            <w:vAlign w:val="center"/>
          </w:tcPr>
          <w:p>
            <w:pPr>
              <w:pStyle w:val="164"/>
              <w:rPr>
                <w:color w:val="auto"/>
              </w:rPr>
            </w:pPr>
            <w:r>
              <w:rPr>
                <w:color w:val="auto"/>
              </w:rPr>
              <w:t>（沙坡头）区</w:t>
            </w:r>
          </w:p>
        </w:tc>
        <w:tc>
          <w:tcPr>
            <w:tcW w:w="905" w:type="dxa"/>
            <w:vAlign w:val="center"/>
          </w:tcPr>
          <w:p>
            <w:pPr>
              <w:pStyle w:val="164"/>
              <w:rPr>
                <w:color w:val="auto"/>
              </w:rPr>
            </w:pPr>
            <w:r>
              <w:rPr>
                <w:color w:val="auto"/>
              </w:rPr>
              <w:t>（/）县</w:t>
            </w:r>
          </w:p>
        </w:tc>
        <w:tc>
          <w:tcPr>
            <w:tcW w:w="1795" w:type="dxa"/>
            <w:vAlign w:val="center"/>
          </w:tcPr>
          <w:p>
            <w:pPr>
              <w:pStyle w:val="164"/>
              <w:rPr>
                <w:color w:val="auto"/>
              </w:rPr>
            </w:pPr>
            <w:r>
              <w:rPr>
                <w:color w:val="auto"/>
              </w:rPr>
              <w:t>永康镇阳沟村</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562" w:hRule="atLeast"/>
          <w:jc w:val="center"/>
        </w:trPr>
        <w:tc>
          <w:tcPr>
            <w:tcW w:w="2236" w:type="dxa"/>
            <w:vAlign w:val="center"/>
          </w:tcPr>
          <w:p>
            <w:pPr>
              <w:pStyle w:val="164"/>
              <w:rPr>
                <w:color w:val="auto"/>
              </w:rPr>
            </w:pPr>
            <w:r>
              <w:rPr>
                <w:color w:val="auto"/>
              </w:rPr>
              <w:t>地理坐标</w:t>
            </w:r>
          </w:p>
        </w:tc>
        <w:tc>
          <w:tcPr>
            <w:tcW w:w="1329" w:type="dxa"/>
            <w:vAlign w:val="center"/>
          </w:tcPr>
          <w:p>
            <w:pPr>
              <w:pStyle w:val="164"/>
              <w:rPr>
                <w:color w:val="auto"/>
              </w:rPr>
            </w:pPr>
            <w:r>
              <w:rPr>
                <w:color w:val="auto"/>
              </w:rPr>
              <w:t>经度</w:t>
            </w:r>
          </w:p>
        </w:tc>
        <w:tc>
          <w:tcPr>
            <w:tcW w:w="2665" w:type="dxa"/>
            <w:gridSpan w:val="2"/>
            <w:vAlign w:val="center"/>
          </w:tcPr>
          <w:p>
            <w:pPr>
              <w:pStyle w:val="164"/>
              <w:rPr>
                <w:color w:val="auto"/>
              </w:rPr>
            </w:pPr>
            <w:r>
              <w:rPr>
                <w:color w:val="auto"/>
              </w:rPr>
              <w:t>105°15'26.87"</w:t>
            </w:r>
          </w:p>
        </w:tc>
        <w:tc>
          <w:tcPr>
            <w:tcW w:w="905" w:type="dxa"/>
            <w:vAlign w:val="center"/>
          </w:tcPr>
          <w:p>
            <w:pPr>
              <w:pStyle w:val="164"/>
              <w:rPr>
                <w:color w:val="auto"/>
              </w:rPr>
            </w:pPr>
            <w:r>
              <w:rPr>
                <w:color w:val="auto"/>
                <w:spacing w:val="11"/>
              </w:rPr>
              <w:t>纬度</w:t>
            </w:r>
          </w:p>
        </w:tc>
        <w:tc>
          <w:tcPr>
            <w:tcW w:w="1795" w:type="dxa"/>
            <w:vAlign w:val="center"/>
          </w:tcPr>
          <w:p>
            <w:pPr>
              <w:pStyle w:val="164"/>
              <w:rPr>
                <w:color w:val="auto"/>
              </w:rPr>
            </w:pPr>
            <w:r>
              <w:rPr>
                <w:color w:val="auto"/>
              </w:rPr>
              <w:t>37°26'32.17"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969" w:hRule="atLeast"/>
          <w:jc w:val="center"/>
        </w:trPr>
        <w:tc>
          <w:tcPr>
            <w:tcW w:w="2236" w:type="dxa"/>
            <w:vAlign w:val="center"/>
          </w:tcPr>
          <w:p>
            <w:pPr>
              <w:pStyle w:val="164"/>
              <w:rPr>
                <w:color w:val="auto"/>
              </w:rPr>
            </w:pPr>
            <w:r>
              <w:rPr>
                <w:color w:val="auto"/>
              </w:rPr>
              <w:t>主要危险物质及分布</w:t>
            </w:r>
          </w:p>
        </w:tc>
        <w:tc>
          <w:tcPr>
            <w:tcW w:w="6694" w:type="dxa"/>
            <w:gridSpan w:val="5"/>
            <w:vAlign w:val="center"/>
          </w:tcPr>
          <w:p>
            <w:pPr>
              <w:pStyle w:val="164"/>
              <w:rPr>
                <w:color w:val="auto"/>
              </w:rPr>
            </w:pPr>
            <w:r>
              <w:rPr>
                <w:color w:val="auto"/>
              </w:rPr>
              <w:t>次氯酸钠最大贮存量0.5t，位于制药间；</w:t>
            </w:r>
          </w:p>
          <w:p>
            <w:pPr>
              <w:pStyle w:val="164"/>
              <w:rPr>
                <w:color w:val="auto"/>
              </w:rPr>
            </w:pPr>
            <w:r>
              <w:rPr>
                <w:color w:val="auto"/>
              </w:rPr>
              <w:t>氢氧化钠最大贮存量0.2t，位于制药间及废气治理设施内；</w:t>
            </w:r>
          </w:p>
          <w:p>
            <w:pPr>
              <w:pStyle w:val="164"/>
              <w:rPr>
                <w:color w:val="auto"/>
              </w:rPr>
            </w:pPr>
            <w:r>
              <w:rPr>
                <w:color w:val="auto"/>
              </w:rPr>
              <w:t>医疗废物最大贮存量为10t，位于医废暂存间及冷库。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2386" w:hRule="atLeast"/>
          <w:jc w:val="center"/>
        </w:trPr>
        <w:tc>
          <w:tcPr>
            <w:tcW w:w="2236" w:type="dxa"/>
            <w:vAlign w:val="center"/>
          </w:tcPr>
          <w:p>
            <w:pPr>
              <w:pStyle w:val="164"/>
              <w:rPr>
                <w:color w:val="auto"/>
              </w:rPr>
            </w:pPr>
            <w:r>
              <w:rPr>
                <w:color w:val="auto"/>
              </w:rPr>
              <w:t>环境影响途径及危害后果（大气、地表水、地下水等）</w:t>
            </w:r>
          </w:p>
        </w:tc>
        <w:tc>
          <w:tcPr>
            <w:tcW w:w="6694" w:type="dxa"/>
            <w:gridSpan w:val="5"/>
            <w:vAlign w:val="center"/>
          </w:tcPr>
          <w:p>
            <w:pPr>
              <w:pStyle w:val="164"/>
              <w:jc w:val="left"/>
              <w:rPr>
                <w:color w:val="auto"/>
              </w:rPr>
            </w:pPr>
            <w:r>
              <w:rPr>
                <w:color w:val="auto"/>
              </w:rPr>
              <w:t>①医疗废物及危险化学品在收运、储存过程中发生散漏事故，对事故区的环境空气、地表水、土壤特别是人群健康造成污染与危害。</w:t>
            </w:r>
          </w:p>
          <w:p>
            <w:pPr>
              <w:pStyle w:val="164"/>
              <w:jc w:val="left"/>
              <w:rPr>
                <w:color w:val="auto"/>
              </w:rPr>
            </w:pPr>
            <w:r>
              <w:rPr>
                <w:color w:val="auto"/>
              </w:rPr>
              <w:t>②废气处理装置失效、停电、管路泄露以及操作、形成有害气体的事故排放，对环境空气造成影响。</w:t>
            </w:r>
          </w:p>
          <w:p>
            <w:pPr>
              <w:pStyle w:val="164"/>
              <w:jc w:val="left"/>
              <w:rPr>
                <w:bCs/>
                <w:color w:val="auto"/>
              </w:rPr>
            </w:pPr>
            <w:r>
              <w:rPr>
                <w:color w:val="auto"/>
              </w:rPr>
              <w:t>③</w:t>
            </w:r>
            <w:r>
              <w:rPr>
                <w:bCs/>
                <w:color w:val="auto"/>
              </w:rPr>
              <w:t>污水处理站污水管道破裂、废水外泄，对区域地表水、地下水环境造成影响。</w:t>
            </w:r>
          </w:p>
          <w:p>
            <w:pPr>
              <w:pStyle w:val="164"/>
              <w:jc w:val="left"/>
              <w:rPr>
                <w:color w:val="auto"/>
              </w:rPr>
            </w:pPr>
            <w:r>
              <w:rPr>
                <w:color w:val="auto"/>
              </w:rPr>
              <w:t>④发生区域性重大疫情，医疗废物处理不及时，影响项目区工作人员乃至周围环境居民健康。</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2175" w:hRule="atLeast"/>
          <w:jc w:val="center"/>
        </w:trPr>
        <w:tc>
          <w:tcPr>
            <w:tcW w:w="2236" w:type="dxa"/>
            <w:vAlign w:val="center"/>
          </w:tcPr>
          <w:p>
            <w:pPr>
              <w:pStyle w:val="164"/>
              <w:rPr>
                <w:color w:val="auto"/>
              </w:rPr>
            </w:pPr>
            <w:r>
              <w:rPr>
                <w:color w:val="auto"/>
              </w:rPr>
              <w:t>风险防范措施要求</w:t>
            </w:r>
          </w:p>
        </w:tc>
        <w:tc>
          <w:tcPr>
            <w:tcW w:w="6694" w:type="dxa"/>
            <w:gridSpan w:val="5"/>
            <w:vAlign w:val="center"/>
          </w:tcPr>
          <w:p>
            <w:pPr>
              <w:pStyle w:val="164"/>
              <w:jc w:val="left"/>
              <w:rPr>
                <w:color w:val="auto"/>
              </w:rPr>
            </w:pPr>
            <w:r>
              <w:rPr>
                <w:color w:val="auto"/>
              </w:rPr>
              <w:t>①严格按照《医疗废物高温蒸汽消毒集中处理工程技术规范》（HJ276-2021）进行医疗废物的收集、运输及处置；</w:t>
            </w:r>
          </w:p>
          <w:p>
            <w:pPr>
              <w:pStyle w:val="164"/>
              <w:jc w:val="left"/>
              <w:rPr>
                <w:color w:val="auto"/>
              </w:rPr>
            </w:pPr>
            <w:r>
              <w:rPr>
                <w:color w:val="auto"/>
              </w:rPr>
              <w:t>②定期对工作人员培训；</w:t>
            </w:r>
          </w:p>
          <w:p>
            <w:pPr>
              <w:pStyle w:val="164"/>
              <w:jc w:val="left"/>
              <w:rPr>
                <w:color w:val="auto"/>
              </w:rPr>
            </w:pPr>
            <w:r>
              <w:rPr>
                <w:color w:val="auto"/>
              </w:rPr>
              <w:t>③定期检查各设施、设备，避免泄漏，发现问题应及时维修；</w:t>
            </w:r>
          </w:p>
          <w:p>
            <w:pPr>
              <w:pStyle w:val="164"/>
              <w:jc w:val="left"/>
              <w:rPr>
                <w:color w:val="auto"/>
              </w:rPr>
            </w:pPr>
            <w:r>
              <w:rPr>
                <w:color w:val="auto"/>
              </w:rPr>
              <w:t>④编制环境风险应急预案，事故发生后，相关部门要制定污染监测计划，对可能污染进行监测，根据现场监测结果，确定被转移、疏散群众返回时间，直至无异常方可停止监测工作。</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764" w:hRule="atLeast"/>
          <w:jc w:val="center"/>
        </w:trPr>
        <w:tc>
          <w:tcPr>
            <w:tcW w:w="8930" w:type="dxa"/>
            <w:gridSpan w:val="6"/>
            <w:vAlign w:val="center"/>
          </w:tcPr>
          <w:p>
            <w:pPr>
              <w:pStyle w:val="164"/>
              <w:jc w:val="left"/>
              <w:rPr>
                <w:color w:val="auto"/>
              </w:rPr>
            </w:pPr>
            <w:r>
              <w:rPr>
                <w:color w:val="auto"/>
              </w:rPr>
              <w:t>填表说明（ 列出项目相关信息及评价说明）：</w:t>
            </w:r>
          </w:p>
          <w:p>
            <w:pPr>
              <w:pStyle w:val="164"/>
              <w:rPr>
                <w:color w:val="auto"/>
              </w:rPr>
            </w:pPr>
            <w:r>
              <w:rPr>
                <w:color w:val="auto"/>
              </w:rPr>
              <w:t>无</w:t>
            </w:r>
          </w:p>
        </w:tc>
      </w:tr>
    </w:tbl>
    <w:p>
      <w:pPr>
        <w:rPr>
          <w:color w:val="auto"/>
        </w:rPr>
        <w:sectPr>
          <w:pgSz w:w="11906" w:h="16838"/>
          <w:pgMar w:top="1701" w:right="1701" w:bottom="1701" w:left="1701" w:header="851" w:footer="851" w:gutter="0"/>
          <w:cols w:space="720" w:num="1"/>
          <w:docGrid w:linePitch="466" w:charSpace="0"/>
        </w:sectPr>
      </w:pPr>
    </w:p>
    <w:p>
      <w:pPr>
        <w:pStyle w:val="3"/>
        <w:numPr>
          <w:ilvl w:val="0"/>
          <w:numId w:val="0"/>
        </w:numPr>
        <w:spacing w:before="120" w:after="120"/>
        <w:jc w:val="center"/>
        <w:rPr>
          <w:rFonts w:ascii="Times New Roman" w:hAnsi="Times New Roman"/>
          <w:color w:val="auto"/>
        </w:rPr>
      </w:pPr>
      <w:bookmarkStart w:id="608" w:name="_Toc109398698"/>
      <w:r>
        <w:rPr>
          <w:rFonts w:ascii="Times New Roman" w:hAnsi="Times New Roman"/>
          <w:color w:val="auto"/>
        </w:rPr>
        <w:t>8环境保护措施及其可行性论证</w:t>
      </w:r>
      <w:bookmarkEnd w:id="605"/>
      <w:bookmarkEnd w:id="606"/>
      <w:bookmarkEnd w:id="607"/>
      <w:bookmarkEnd w:id="608"/>
    </w:p>
    <w:p>
      <w:pPr>
        <w:pStyle w:val="130"/>
        <w:ind w:firstLine="480"/>
        <w:rPr>
          <w:color w:val="auto"/>
        </w:rPr>
      </w:pPr>
      <w:r>
        <w:rPr>
          <w:color w:val="auto"/>
        </w:rPr>
        <w:t>依照“达标排放”、“节能减排”、总量控制、环境功能区划等要求，对本项目采取的环境保护措施，从经济与技术的可行性角度进行论证，并对可能出现的环境问题提出进一步改进建议。</w:t>
      </w:r>
      <w:bookmarkStart w:id="609" w:name="_Toc310149493"/>
      <w:bookmarkEnd w:id="609"/>
      <w:bookmarkStart w:id="610" w:name="_Toc299369006"/>
      <w:bookmarkEnd w:id="610"/>
      <w:bookmarkStart w:id="611" w:name="_Toc173118752"/>
      <w:bookmarkEnd w:id="611"/>
      <w:bookmarkStart w:id="612" w:name="_Toc388620113"/>
      <w:bookmarkEnd w:id="612"/>
      <w:bookmarkStart w:id="613" w:name="_Toc169485291"/>
      <w:bookmarkEnd w:id="613"/>
      <w:bookmarkStart w:id="614" w:name="_Toc335824696"/>
      <w:bookmarkEnd w:id="614"/>
      <w:bookmarkStart w:id="615" w:name="_Toc154886574"/>
      <w:bookmarkEnd w:id="615"/>
      <w:bookmarkStart w:id="616" w:name="_Toc167697549"/>
      <w:bookmarkEnd w:id="616"/>
      <w:bookmarkStart w:id="617" w:name="_Toc387745702"/>
      <w:bookmarkEnd w:id="617"/>
      <w:bookmarkStart w:id="618" w:name="_Toc387745703"/>
      <w:bookmarkEnd w:id="618"/>
      <w:bookmarkStart w:id="619" w:name="_Toc332203359"/>
      <w:bookmarkEnd w:id="619"/>
      <w:bookmarkStart w:id="620" w:name="_Toc198347917"/>
      <w:bookmarkEnd w:id="620"/>
      <w:bookmarkStart w:id="621" w:name="_Toc120125608"/>
      <w:bookmarkEnd w:id="621"/>
      <w:bookmarkStart w:id="622" w:name="_Toc335824697"/>
      <w:bookmarkEnd w:id="622"/>
      <w:bookmarkStart w:id="623" w:name="_Toc299369007"/>
      <w:bookmarkEnd w:id="623"/>
      <w:bookmarkStart w:id="624" w:name="_Toc332203358"/>
      <w:bookmarkEnd w:id="624"/>
      <w:bookmarkStart w:id="625" w:name="_Toc223371233"/>
      <w:bookmarkEnd w:id="625"/>
      <w:bookmarkStart w:id="626" w:name="_Toc134609181"/>
      <w:bookmarkEnd w:id="626"/>
      <w:bookmarkStart w:id="627" w:name="_Toc159030085"/>
      <w:bookmarkEnd w:id="627"/>
      <w:bookmarkStart w:id="628" w:name="_Toc223419171"/>
      <w:bookmarkEnd w:id="628"/>
      <w:bookmarkStart w:id="629" w:name="_Toc223152450"/>
      <w:bookmarkEnd w:id="629"/>
      <w:bookmarkStart w:id="630" w:name="_Toc493853582"/>
      <w:bookmarkStart w:id="631" w:name="_Toc484463535"/>
      <w:bookmarkStart w:id="632" w:name="_Toc31617"/>
      <w:bookmarkStart w:id="633" w:name="_Toc11595522"/>
      <w:bookmarkStart w:id="634" w:name="_Toc225148398"/>
      <w:bookmarkStart w:id="635" w:name="_Toc12813"/>
    </w:p>
    <w:p>
      <w:pPr>
        <w:pStyle w:val="4"/>
        <w:numPr>
          <w:ilvl w:val="1"/>
          <w:numId w:val="0"/>
        </w:numPr>
        <w:spacing w:before="120"/>
        <w:rPr>
          <w:color w:val="auto"/>
        </w:rPr>
      </w:pPr>
      <w:bookmarkStart w:id="636" w:name="_Toc109398699"/>
      <w:r>
        <w:rPr>
          <w:color w:val="auto"/>
        </w:rPr>
        <w:t>8.1施工期污染防治措施及其可行性论证</w:t>
      </w:r>
      <w:bookmarkEnd w:id="636"/>
    </w:p>
    <w:p>
      <w:pPr>
        <w:pStyle w:val="130"/>
        <w:ind w:firstLine="480"/>
        <w:rPr>
          <w:color w:val="auto"/>
        </w:rPr>
      </w:pPr>
      <w:r>
        <w:rPr>
          <w:color w:val="auto"/>
        </w:rPr>
        <w:t>本项目主体工程已建设完成，不再进行施工期污染防治措施分析。</w:t>
      </w:r>
    </w:p>
    <w:p>
      <w:pPr>
        <w:pStyle w:val="4"/>
        <w:numPr>
          <w:ilvl w:val="1"/>
          <w:numId w:val="0"/>
        </w:numPr>
        <w:spacing w:before="120"/>
        <w:rPr>
          <w:color w:val="auto"/>
        </w:rPr>
      </w:pPr>
      <w:bookmarkStart w:id="637" w:name="_Toc109398700"/>
      <w:r>
        <w:rPr>
          <w:color w:val="auto"/>
        </w:rPr>
        <w:t>8.2医疗废物收集、运输及贮存过程污染防治措施</w:t>
      </w:r>
      <w:bookmarkEnd w:id="637"/>
    </w:p>
    <w:p>
      <w:pPr>
        <w:pStyle w:val="5"/>
        <w:numPr>
          <w:ilvl w:val="2"/>
          <w:numId w:val="0"/>
        </w:numPr>
        <w:ind w:left="-720" w:leftChars="-343" w:firstLine="723" w:firstLineChars="300"/>
        <w:rPr>
          <w:color w:val="auto"/>
        </w:rPr>
      </w:pPr>
      <w:bookmarkStart w:id="638" w:name="_Toc109398701"/>
      <w:r>
        <w:rPr>
          <w:color w:val="auto"/>
        </w:rPr>
        <w:t>8.2.1医疗废物的收集</w:t>
      </w:r>
      <w:bookmarkEnd w:id="638"/>
    </w:p>
    <w:p>
      <w:pPr>
        <w:pStyle w:val="130"/>
        <w:ind w:firstLine="480"/>
        <w:rPr>
          <w:color w:val="auto"/>
        </w:rPr>
      </w:pPr>
      <w:r>
        <w:rPr>
          <w:color w:val="auto"/>
        </w:rPr>
        <w:t>本项目主要收集来自中卫市辖区范围内各区县医疗卫生机构产生的感染性及损伤性医疗废物，各医疗机构收集贮存按《医疗废物专用包装袋、容器和警示标志标准》（HJ 421-2008）、《危险废物贮存污染控制标准》（GB18597-2001）中相关要求执行，管理由所在的县、区医疗卫生机构负责管理。</w:t>
      </w:r>
    </w:p>
    <w:p>
      <w:pPr>
        <w:pStyle w:val="130"/>
        <w:ind w:firstLine="480"/>
        <w:rPr>
          <w:color w:val="auto"/>
        </w:rPr>
      </w:pPr>
      <w:r>
        <w:rPr>
          <w:color w:val="auto"/>
        </w:rPr>
        <w:t>⑴收集容器：采用专业塑料箱内装废塑料袋，装足医疗废物后能密封。塑料桶也能加盖盖紧密封，塑料袋厚度要求不得被锐器刺破，具有防漏防刺等性能，塑料桶、塑料袋均有“危险器”标志。</w:t>
      </w:r>
    </w:p>
    <w:p>
      <w:pPr>
        <w:pStyle w:val="130"/>
        <w:ind w:firstLine="480"/>
        <w:rPr>
          <w:color w:val="auto"/>
        </w:rPr>
      </w:pPr>
      <w:r>
        <w:rPr>
          <w:color w:val="auto"/>
        </w:rPr>
        <w:t>⑵收集与贮存：采用分类收集的方法</w:t>
      </w:r>
      <w:r>
        <w:rPr>
          <w:rFonts w:hint="eastAsia"/>
          <w:color w:val="auto"/>
        </w:rPr>
        <w:t>。</w:t>
      </w:r>
    </w:p>
    <w:p>
      <w:pPr>
        <w:pStyle w:val="130"/>
        <w:ind w:firstLine="480"/>
        <w:rPr>
          <w:color w:val="auto"/>
        </w:rPr>
      </w:pPr>
      <w:r>
        <w:rPr>
          <w:color w:val="auto"/>
        </w:rPr>
        <w:t>①放射性废弃物单独收集，另行按国家有关规定处置；</w:t>
      </w:r>
    </w:p>
    <w:p>
      <w:pPr>
        <w:pStyle w:val="130"/>
        <w:ind w:firstLine="480"/>
        <w:rPr>
          <w:color w:val="auto"/>
        </w:rPr>
      </w:pPr>
      <w:r>
        <w:rPr>
          <w:color w:val="auto"/>
        </w:rPr>
        <w:t>②锐器如：手术室、注射室单独收集后装入塑料袋、塑料桶；</w:t>
      </w:r>
    </w:p>
    <w:p>
      <w:pPr>
        <w:pStyle w:val="130"/>
        <w:ind w:firstLine="480"/>
        <w:rPr>
          <w:color w:val="auto"/>
        </w:rPr>
      </w:pPr>
      <w:r>
        <w:rPr>
          <w:color w:val="auto"/>
        </w:rPr>
        <w:t>③废弃物使用双层塑料袋装满后立即封闭。</w:t>
      </w:r>
    </w:p>
    <w:p>
      <w:pPr>
        <w:pStyle w:val="130"/>
        <w:ind w:firstLine="480"/>
        <w:rPr>
          <w:color w:val="auto"/>
        </w:rPr>
      </w:pPr>
      <w:r>
        <w:rPr>
          <w:color w:val="auto"/>
        </w:rPr>
        <w:t>④医疗废物站点建在不被雨淋、水淹的地区，采用水泥地面，便于排水。采光、通风良好，防止动物进入和啮齿类动物与昆虫侵扰的场所。</w:t>
      </w:r>
    </w:p>
    <w:p>
      <w:pPr>
        <w:pStyle w:val="130"/>
        <w:ind w:firstLine="480"/>
        <w:rPr>
          <w:color w:val="auto"/>
        </w:rPr>
      </w:pPr>
      <w:r>
        <w:rPr>
          <w:color w:val="auto"/>
        </w:rPr>
        <w:t>⑤站点设有冲洗设施和防止泄露的保护设施，有冲洗及消毒设施，清洗的废水经消毒后可排入医院污水处理系统处理。</w:t>
      </w:r>
    </w:p>
    <w:p>
      <w:pPr>
        <w:pStyle w:val="130"/>
        <w:ind w:firstLine="480"/>
        <w:rPr>
          <w:color w:val="auto"/>
        </w:rPr>
      </w:pPr>
      <w:r>
        <w:rPr>
          <w:color w:val="auto"/>
        </w:rPr>
        <w:t>⑥站点设有低温冷冻装置，对需低温冷藏的医疗废物可冷冻贮存。</w:t>
      </w:r>
    </w:p>
    <w:p>
      <w:pPr>
        <w:pStyle w:val="130"/>
        <w:ind w:firstLine="480"/>
        <w:rPr>
          <w:color w:val="auto"/>
        </w:rPr>
      </w:pPr>
      <w:r>
        <w:rPr>
          <w:color w:val="auto"/>
        </w:rPr>
        <w:t>医疗废物收集、贮存方案，避免了在收集贮存环节对地面、对水体、对生态环境二次污染，减缓医疗废物收集贮存过程中的环境风险，应符合《医疗废物处理处置污染控制标准》（GB39707-2020）等国家有关规定。</w:t>
      </w:r>
    </w:p>
    <w:p>
      <w:pPr>
        <w:pStyle w:val="130"/>
        <w:ind w:firstLine="480"/>
        <w:rPr>
          <w:color w:val="auto"/>
          <w:lang w:bidi="zh-CN"/>
        </w:rPr>
      </w:pPr>
      <w:r>
        <w:rPr>
          <w:color w:val="auto"/>
          <w:lang w:bidi="zh-CN"/>
        </w:rPr>
        <w:t>医疗废物运送人员在接收医疗废物时，应检视包装物或者容器的标识、标签及封口是否符合要求以及是否对应相关转移联单制度，对包装破损、包装外表污染或未盛装于周转箱内的医疗废物，医疗废物运送人员应当要求医疗卫生机构重新包装、标识，并盛装于周转箱内。拒不按规定对医疗废物进行包装的，运送人员有权拒绝运送，并向当地环保部门报告。医疗废物的转移应按照《危险废物转移管理办法》（部令第23号，2022年1月1日起施行）产生单位和本项目建设单位的日常医疗废物交接可采用简化的（医疗废物专用）。《危险废物转移联单》（医疗废物专用）一式两份，每月一张，由处置单位医疗废物运送人员和医疗卫生机构医疗废物管理人员交接时共同填写，医疗卫生机构和处置单位分别保存，保存时间为5年。医疗废物处置中心应当填报医疗废物处置月报表，报当地环保主管部门。</w:t>
      </w:r>
    </w:p>
    <w:p>
      <w:pPr>
        <w:pStyle w:val="5"/>
        <w:numPr>
          <w:ilvl w:val="2"/>
          <w:numId w:val="0"/>
        </w:numPr>
        <w:ind w:left="-720" w:leftChars="-343" w:firstLine="723" w:firstLineChars="300"/>
        <w:rPr>
          <w:color w:val="auto"/>
        </w:rPr>
      </w:pPr>
      <w:bookmarkStart w:id="639" w:name="_Toc109398702"/>
      <w:r>
        <w:rPr>
          <w:color w:val="auto"/>
        </w:rPr>
        <w:t>8.2.2医疗废物的运输</w:t>
      </w:r>
      <w:bookmarkEnd w:id="639"/>
    </w:p>
    <w:p>
      <w:pPr>
        <w:pStyle w:val="130"/>
        <w:ind w:firstLine="480"/>
        <w:rPr>
          <w:color w:val="auto"/>
        </w:rPr>
      </w:pPr>
      <w:r>
        <w:rPr>
          <w:color w:val="auto"/>
        </w:rPr>
        <w:t>医疗废物的运输严格执行《危险废物收集贮存运输技术规范》（HJ2025-2012）和</w:t>
      </w:r>
      <w:r>
        <w:rPr>
          <w:color w:val="auto"/>
          <w:lang w:bidi="zh-CN"/>
        </w:rPr>
        <w:t>《危险废物转移管理办法》（部令第23号，2022年1月1日起施行）</w:t>
      </w:r>
      <w:r>
        <w:rPr>
          <w:color w:val="auto"/>
        </w:rPr>
        <w:t>中相关规定。医疗废物运输应严格执行负责运输的司机要通过培训，持有证明文件，运送路线的设置尽量避开人口密集区域和交通拥堵道路，应在场外运输过程中运输时间错开上下班高峰期，经过沿线村庄应减速慢行，禁止鸣笛，同时尽可能减少经过河流水系的次数，尽可能不上高速公路。根据医疗废物产生单位量及地区分布、各地区交通路线及路况，执行《道路危险货物运输管理规定》（2019年修订）、《危险货物道路运输规则》（JT/T 617-2018）以及《汽车运输、装卸危险货物作业规程》（JT618-2004）相关规定制定出医疗废物运输路线。根据废物产生单位地址以及道路交通情况，医疗废物的运输采取公路运输的方式，选用专用转运车，按时到各危险废物存放点收集、转运危险废物，并选用路线短、对沿路影响小的运输路线，避免在装、运途中产生二次污染，制定周密的运输路线、行驶路线以及废物泄露情况下的应急措施。</w:t>
      </w:r>
    </w:p>
    <w:p>
      <w:pPr>
        <w:pStyle w:val="130"/>
        <w:ind w:firstLine="480"/>
        <w:rPr>
          <w:color w:val="auto"/>
        </w:rPr>
      </w:pPr>
      <w:r>
        <w:rPr>
          <w:color w:val="auto"/>
        </w:rPr>
        <w:t>医疗废物运输车辆安装有卫星定位，能实时定位转运车的空间三维坐标、运动方向和速度等；以便于合理调配车辆的行驶路线。装载医疗废物的车辆必须有明显的标志或适当的危险符号；在运输过程中需持有运输许可证，其上注明废物来源、性质和运往地点。在驾驶室两侧喷涂处置中心的名称和运送车辆的编号。</w:t>
      </w:r>
    </w:p>
    <w:p>
      <w:pPr>
        <w:pStyle w:val="130"/>
        <w:ind w:firstLine="480"/>
        <w:rPr>
          <w:color w:val="auto"/>
        </w:rPr>
      </w:pPr>
      <w:r>
        <w:rPr>
          <w:color w:val="auto"/>
        </w:rPr>
        <w:t>在运输过程中遵守国家有关危险货物运输管理的规定，不得沿途丢弃、遗撒固体废物，运输路线尽量避开居民集中区。上述医疗废物运输措施满足《危险废物收集</w:t>
      </w:r>
      <w:r>
        <w:rPr>
          <w:color w:val="auto"/>
        </w:rPr>
        <w:tab/>
      </w:r>
      <w:r>
        <w:rPr>
          <w:color w:val="auto"/>
        </w:rPr>
        <w:t>贮存</w:t>
      </w:r>
      <w:r>
        <w:rPr>
          <w:color w:val="auto"/>
        </w:rPr>
        <w:tab/>
      </w:r>
      <w:r>
        <w:rPr>
          <w:color w:val="auto"/>
        </w:rPr>
        <w:t>运输技术规范》（HJ2025-2012）、</w:t>
      </w:r>
      <w:r>
        <w:rPr>
          <w:color w:val="auto"/>
          <w:lang w:bidi="zh-CN"/>
        </w:rPr>
        <w:t>《危险废物转移管理办法》（部令第23号，2022年1月1日起施行）</w:t>
      </w:r>
      <w:r>
        <w:rPr>
          <w:color w:val="auto"/>
        </w:rPr>
        <w:t>等相关要求。</w:t>
      </w:r>
    </w:p>
    <w:p>
      <w:pPr>
        <w:pStyle w:val="5"/>
        <w:numPr>
          <w:ilvl w:val="2"/>
          <w:numId w:val="0"/>
        </w:numPr>
        <w:ind w:left="-720" w:leftChars="-343" w:firstLine="723" w:firstLineChars="300"/>
        <w:rPr>
          <w:color w:val="auto"/>
        </w:rPr>
      </w:pPr>
      <w:bookmarkStart w:id="640" w:name="_Toc109398703"/>
      <w:r>
        <w:rPr>
          <w:color w:val="auto"/>
        </w:rPr>
        <w:t>8.2.3医疗废物临时贮存与场内运输</w:t>
      </w:r>
      <w:bookmarkEnd w:id="640"/>
    </w:p>
    <w:p>
      <w:pPr>
        <w:pStyle w:val="130"/>
        <w:ind w:firstLine="480"/>
        <w:rPr>
          <w:color w:val="auto"/>
          <w:lang w:bidi="zh-CN"/>
        </w:rPr>
      </w:pPr>
      <w:r>
        <w:rPr>
          <w:color w:val="auto"/>
          <w:lang w:bidi="zh-CN"/>
        </w:rPr>
        <w:t>医疗废物贮存采用严密的封闭措施，设专人管理，避免非工作人员进出，以及防鼠、防蚊蝇、防蟑螂、防盗以及预防儿童接触等安全措施；医疗废物冷藏室应按照以下要求设计及管理：</w:t>
      </w:r>
    </w:p>
    <w:p>
      <w:pPr>
        <w:pStyle w:val="130"/>
        <w:ind w:firstLine="480"/>
        <w:rPr>
          <w:color w:val="auto"/>
          <w:lang w:bidi="zh-CN"/>
        </w:rPr>
      </w:pPr>
      <w:r>
        <w:rPr>
          <w:color w:val="auto"/>
          <w:lang w:bidi="zh-CN"/>
        </w:rPr>
        <w:t>①冷藏室采用全封闭、微负压设计，并应设置气体净化装置和事故排气系统， 气体净化后方可排放。</w:t>
      </w:r>
    </w:p>
    <w:p>
      <w:pPr>
        <w:pStyle w:val="130"/>
        <w:ind w:firstLine="480"/>
        <w:rPr>
          <w:color w:val="auto"/>
          <w:lang w:bidi="zh-CN"/>
        </w:rPr>
      </w:pPr>
      <w:r>
        <w:rPr>
          <w:color w:val="auto"/>
          <w:lang w:bidi="zh-CN"/>
        </w:rPr>
        <w:t>②冷藏室贮存能力，综合应考虑医疗废物量、贮存时限、危险废物处理设备检修期间及处理设备处理效果待验证期间废物存放等因素。</w:t>
      </w:r>
    </w:p>
    <w:p>
      <w:pPr>
        <w:pStyle w:val="130"/>
        <w:ind w:firstLine="480"/>
        <w:rPr>
          <w:color w:val="auto"/>
          <w:lang w:bidi="zh-CN"/>
        </w:rPr>
      </w:pPr>
      <w:r>
        <w:rPr>
          <w:color w:val="auto"/>
          <w:lang w:bidi="zh-CN"/>
        </w:rPr>
        <w:t>③1.0m高的墙裙须进行防渗处理，地面有良好的排水性能，易于清洁和消毒， 产生的废水应采用管道直接排入医疗卫生机构内的医疗废水消毒、处理系统，禁止将产生的废水直接排入外环境。</w:t>
      </w:r>
    </w:p>
    <w:p>
      <w:pPr>
        <w:pStyle w:val="130"/>
        <w:ind w:firstLine="480"/>
        <w:rPr>
          <w:color w:val="auto"/>
          <w:lang w:bidi="zh-CN"/>
        </w:rPr>
      </w:pPr>
      <w:r>
        <w:rPr>
          <w:color w:val="auto"/>
          <w:lang w:bidi="zh-CN"/>
        </w:rPr>
        <w:t>④医疗废物厂内输送应使用防渗漏、防遗撒、无锐利边角、易于装卸和清洁的专用运送工具。每天运送工作结束后，应对运送工具及时进行清洁和消毒。</w:t>
      </w:r>
    </w:p>
    <w:p>
      <w:pPr>
        <w:pStyle w:val="130"/>
        <w:ind w:firstLine="480"/>
        <w:rPr>
          <w:color w:val="auto"/>
          <w:lang w:bidi="zh-CN"/>
        </w:rPr>
      </w:pPr>
      <w:r>
        <w:rPr>
          <w:color w:val="auto"/>
          <w:lang w:bidi="zh-CN"/>
        </w:rPr>
        <w:t>以上提出的措施满足</w:t>
      </w:r>
      <w:r>
        <w:rPr>
          <w:color w:val="auto"/>
        </w:rPr>
        <w:t>《危险废物收集</w:t>
      </w:r>
      <w:r>
        <w:rPr>
          <w:color w:val="auto"/>
        </w:rPr>
        <w:tab/>
      </w:r>
      <w:r>
        <w:rPr>
          <w:color w:val="auto"/>
        </w:rPr>
        <w:t>贮存</w:t>
      </w:r>
      <w:r>
        <w:rPr>
          <w:color w:val="auto"/>
        </w:rPr>
        <w:tab/>
      </w:r>
      <w:r>
        <w:rPr>
          <w:color w:val="auto"/>
        </w:rPr>
        <w:t>运输技术规范》（HJ2025-2012）</w:t>
      </w:r>
      <w:r>
        <w:rPr>
          <w:color w:val="auto"/>
          <w:lang w:bidi="zh-CN"/>
        </w:rPr>
        <w:t>、</w:t>
      </w:r>
      <w:r>
        <w:rPr>
          <w:color w:val="auto"/>
        </w:rPr>
        <w:t>《医疗废物处理处置污染控制标准》（GB39707-2020）和《医疗废物高温蒸汽消毒集中处理工程技术规范》（HJ 276-2021）</w:t>
      </w:r>
      <w:r>
        <w:rPr>
          <w:color w:val="auto"/>
          <w:lang w:bidi="zh-CN"/>
        </w:rPr>
        <w:t>等规范的相关要求。</w:t>
      </w:r>
    </w:p>
    <w:p>
      <w:pPr>
        <w:pStyle w:val="4"/>
        <w:numPr>
          <w:ilvl w:val="1"/>
          <w:numId w:val="0"/>
        </w:numPr>
        <w:spacing w:before="120"/>
        <w:rPr>
          <w:color w:val="auto"/>
        </w:rPr>
      </w:pPr>
      <w:bookmarkStart w:id="641" w:name="_Toc109398704"/>
      <w:r>
        <w:rPr>
          <w:color w:val="auto"/>
        </w:rPr>
        <w:t>8.3运营期大气污染防治措施及其可行性分析</w:t>
      </w:r>
      <w:bookmarkEnd w:id="641"/>
    </w:p>
    <w:p>
      <w:pPr>
        <w:pStyle w:val="130"/>
        <w:ind w:firstLine="480"/>
        <w:rPr>
          <w:b/>
          <w:color w:val="auto"/>
        </w:rPr>
      </w:pPr>
      <w:r>
        <w:rPr>
          <w:color w:val="auto"/>
        </w:rPr>
        <w:t>根据工程分析，本项目</w:t>
      </w:r>
      <w:r>
        <w:rPr>
          <w:rFonts w:hint="eastAsia"/>
          <w:color w:val="auto"/>
        </w:rPr>
        <w:t>建成后全厂</w:t>
      </w:r>
      <w:r>
        <w:rPr>
          <w:color w:val="auto"/>
        </w:rPr>
        <w:t>废气主要为医疗废物贮存废气，主要污染因子为NH</w:t>
      </w:r>
      <w:r>
        <w:rPr>
          <w:color w:val="auto"/>
          <w:vertAlign w:val="subscript"/>
        </w:rPr>
        <w:t>3</w:t>
      </w:r>
      <w:r>
        <w:rPr>
          <w:color w:val="auto"/>
        </w:rPr>
        <w:t>、H</w:t>
      </w:r>
      <w:r>
        <w:rPr>
          <w:color w:val="auto"/>
          <w:vertAlign w:val="subscript"/>
        </w:rPr>
        <w:t>2</w:t>
      </w:r>
      <w:r>
        <w:rPr>
          <w:color w:val="auto"/>
        </w:rPr>
        <w:t>S、VOCs、臭气浓度（无量纲）；高温蒸汽灭菌系统废气，主要污染因子为颗粒物、NH</w:t>
      </w:r>
      <w:r>
        <w:rPr>
          <w:color w:val="auto"/>
          <w:vertAlign w:val="subscript"/>
        </w:rPr>
        <w:t>3</w:t>
      </w:r>
      <w:r>
        <w:rPr>
          <w:color w:val="auto"/>
        </w:rPr>
        <w:t>、H</w:t>
      </w:r>
      <w:r>
        <w:rPr>
          <w:color w:val="auto"/>
          <w:vertAlign w:val="subscript"/>
        </w:rPr>
        <w:t>2</w:t>
      </w:r>
      <w:r>
        <w:rPr>
          <w:color w:val="auto"/>
        </w:rPr>
        <w:t>S、VOCs、臭气浓度（无量纲）；卸料、进出料、暂存废气，主要污染因子为NH</w:t>
      </w:r>
      <w:r>
        <w:rPr>
          <w:color w:val="auto"/>
          <w:vertAlign w:val="subscript"/>
        </w:rPr>
        <w:t>3</w:t>
      </w:r>
      <w:r>
        <w:rPr>
          <w:color w:val="auto"/>
        </w:rPr>
        <w:t>、H</w:t>
      </w:r>
      <w:r>
        <w:rPr>
          <w:color w:val="auto"/>
          <w:vertAlign w:val="subscript"/>
        </w:rPr>
        <w:t>2</w:t>
      </w:r>
      <w:r>
        <w:rPr>
          <w:color w:val="auto"/>
        </w:rPr>
        <w:t>S、VOCs；污水处理站恶臭，主要污染因子为NH</w:t>
      </w:r>
      <w:r>
        <w:rPr>
          <w:color w:val="auto"/>
          <w:vertAlign w:val="subscript"/>
        </w:rPr>
        <w:t>3</w:t>
      </w:r>
      <w:r>
        <w:rPr>
          <w:color w:val="auto"/>
        </w:rPr>
        <w:t>、H</w:t>
      </w:r>
      <w:r>
        <w:rPr>
          <w:color w:val="auto"/>
          <w:vertAlign w:val="subscript"/>
        </w:rPr>
        <w:t>2</w:t>
      </w:r>
      <w:r>
        <w:rPr>
          <w:color w:val="auto"/>
        </w:rPr>
        <w:t>S。</w:t>
      </w:r>
      <w:r>
        <w:rPr>
          <w:rFonts w:hint="eastAsia"/>
          <w:color w:val="auto"/>
        </w:rPr>
        <w:t>2套</w:t>
      </w:r>
      <w:r>
        <w:rPr>
          <w:color w:val="auto"/>
        </w:rPr>
        <w:t>高温蒸汽灭菌</w:t>
      </w:r>
      <w:r>
        <w:rPr>
          <w:rFonts w:hint="eastAsia"/>
          <w:color w:val="auto"/>
        </w:rPr>
        <w:t>系统</w:t>
      </w:r>
      <w:r>
        <w:rPr>
          <w:color w:val="auto"/>
        </w:rPr>
        <w:t>废气先通过</w:t>
      </w:r>
      <w:r>
        <w:rPr>
          <w:rFonts w:hint="eastAsia"/>
          <w:color w:val="auto"/>
        </w:rPr>
        <w:t>各自</w:t>
      </w:r>
      <w:r>
        <w:rPr>
          <w:color w:val="auto"/>
        </w:rPr>
        <w:t>设备自带的”生物过滤+活性炭吸附”进行预处理后，汇同医疗废物贮存废气一起通过“碱洗喷淋+等离子+活性炭”工艺处理，最终通过15m高排气筒排放。有组织非甲烷总烃排放满足《医疗废物处理处置污染控制标准》（GB39707-2020）中表3消毒处理设施排放废气污染物浓度限值的要求，厂界处非甲烷总烃满足《大气污染物综合排放标准》（GB16297-1996）表2周界外无组织排放监控浓度限值；颗粒物满足《大气污染物综合排放标准》（GB16297-1996）表2的二级标准；氨、硫化氢、臭气浓度（无量纲）排放满足《恶臭污染物排放标准》（GB14554-93）二级标准的相关要求。</w:t>
      </w:r>
    </w:p>
    <w:p>
      <w:pPr>
        <w:pStyle w:val="5"/>
        <w:numPr>
          <w:ilvl w:val="2"/>
          <w:numId w:val="0"/>
        </w:numPr>
        <w:ind w:left="-720" w:leftChars="-343" w:firstLine="723" w:firstLineChars="300"/>
        <w:rPr>
          <w:color w:val="auto"/>
        </w:rPr>
      </w:pPr>
      <w:bookmarkStart w:id="642" w:name="_Toc109398705"/>
      <w:r>
        <w:rPr>
          <w:color w:val="auto"/>
        </w:rPr>
        <w:t>8.3.1废气处理工艺原理</w:t>
      </w:r>
      <w:bookmarkEnd w:id="642"/>
    </w:p>
    <w:p>
      <w:pPr>
        <w:pStyle w:val="130"/>
        <w:ind w:firstLine="480"/>
        <w:rPr>
          <w:color w:val="auto"/>
        </w:rPr>
      </w:pPr>
      <w:r>
        <w:rPr>
          <w:color w:val="auto"/>
        </w:rPr>
        <w:t>⑴高效过滤膜</w:t>
      </w:r>
    </w:p>
    <w:p>
      <w:pPr>
        <w:pStyle w:val="130"/>
        <w:ind w:firstLine="480"/>
        <w:rPr>
          <w:color w:val="auto"/>
        </w:rPr>
      </w:pPr>
      <w:r>
        <w:rPr>
          <w:color w:val="auto"/>
        </w:rPr>
        <w:t>采用国际上通用的过滤除菌方式，即0.2μm的高效生物过滤膜进行过滤，0.2μm的过滤除菌手段为国际的通用医疗废物高温蒸汽处理工艺及P3实验室进行空气净化的过滤除菌方式，可以有效的截留细菌，截留效率能够达到99.9%。</w:t>
      </w:r>
    </w:p>
    <w:p>
      <w:pPr>
        <w:pStyle w:val="130"/>
        <w:ind w:firstLine="480"/>
        <w:rPr>
          <w:color w:val="auto"/>
        </w:rPr>
      </w:pPr>
      <w:r>
        <w:rPr>
          <w:color w:val="auto"/>
        </w:rPr>
        <w:t>⑵活性炭吸附</w:t>
      </w:r>
    </w:p>
    <w:p>
      <w:pPr>
        <w:pStyle w:val="130"/>
        <w:ind w:firstLine="480"/>
        <w:rPr>
          <w:rFonts w:eastAsiaTheme="minorEastAsia"/>
          <w:color w:val="auto"/>
        </w:rPr>
      </w:pPr>
      <w:r>
        <w:rPr>
          <w:rFonts w:eastAsiaTheme="minorEastAsia"/>
          <w:color w:val="auto"/>
        </w:rPr>
        <w:t>吸附法是利用固体表面的吸附能力，使废气与大表面的多孔性固体物质相接触，废气中的污染物被吸附在固体表面上，使其与气体混合物分离，从而达到净化的目的。根据气体分子与固体表面分子作用力的不同，吸附可分为物理吸附和化学吸附，前者是分子间作用力的结果，后者是分子间形成化学键的结果，活性炭吸附就是采用物理吸附。</w:t>
      </w:r>
    </w:p>
    <w:p>
      <w:pPr>
        <w:pStyle w:val="130"/>
        <w:ind w:firstLine="480"/>
        <w:rPr>
          <w:rFonts w:eastAsiaTheme="minorEastAsia"/>
          <w:color w:val="auto"/>
        </w:rPr>
      </w:pPr>
      <w:r>
        <w:rPr>
          <w:rFonts w:eastAsiaTheme="minorEastAsia"/>
          <w:color w:val="auto"/>
        </w:rPr>
        <w:t>传统可作为净化有机废气的吸附材料有活性炭、活性炭纤维、硅胶、分子筛等，其中活性炭、活性炭纤维应用最广泛，效果也最好。其原因在于其他吸附剂（如硅胶、金属氧化物等）具有极性，在水蒸气共存条件下，水分子和吸附剂材料性分子进行结合，从而降低了吸附材料的吸附性能，而活性炭分子不易与极性分子相结合，从而提高了吸附有机废气的能力。</w:t>
      </w:r>
    </w:p>
    <w:p>
      <w:pPr>
        <w:pStyle w:val="130"/>
        <w:ind w:firstLine="480"/>
        <w:rPr>
          <w:rFonts w:eastAsiaTheme="minorEastAsia"/>
          <w:color w:val="auto"/>
          <w:kern w:val="2"/>
        </w:rPr>
      </w:pPr>
      <w:r>
        <w:rPr>
          <w:rFonts w:eastAsiaTheme="minorEastAsia"/>
          <w:color w:val="auto"/>
        </w:rPr>
        <w:t>活性炭是一种很细小的炭粒，有很大的表面积，而且炭粒中还有更细小的孔----毛细管。这种毛细管具有很强的吸附能力，由于炭粒的表面积很大，所以能与气体(杂质)充分接触，当这些气体(杂质)碰到毛细管就被吸附，起净化作用。</w:t>
      </w:r>
      <w:r>
        <w:rPr>
          <w:rFonts w:eastAsiaTheme="minorEastAsia"/>
          <w:color w:val="auto"/>
          <w:kern w:val="2"/>
        </w:rPr>
        <w:t>活性炭吸附装置对有机废气的处理效率可达80%。</w:t>
      </w:r>
    </w:p>
    <w:p>
      <w:pPr>
        <w:pStyle w:val="130"/>
        <w:ind w:firstLine="480"/>
        <w:rPr>
          <w:rFonts w:eastAsiaTheme="minorEastAsia"/>
          <w:color w:val="auto"/>
        </w:rPr>
      </w:pPr>
      <w:r>
        <w:rPr>
          <w:rFonts w:eastAsiaTheme="minorEastAsia"/>
          <w:color w:val="auto"/>
        </w:rPr>
        <w:t>通过活性炭吸附废气，当吸附饱和后，吸附容量明显下降，则需要更换活性炭。</w:t>
      </w:r>
    </w:p>
    <w:p>
      <w:pPr>
        <w:pStyle w:val="130"/>
        <w:ind w:firstLine="480"/>
        <w:rPr>
          <w:rFonts w:eastAsiaTheme="minorEastAsia"/>
          <w:color w:val="auto"/>
        </w:rPr>
      </w:pPr>
      <w:r>
        <w:rPr>
          <w:rFonts w:eastAsiaTheme="minorEastAsia"/>
          <w:color w:val="auto"/>
        </w:rPr>
        <w:t>本项目废气处理装置采用的活性炭为蜂窝活性炭，蜂窝活性炭炭颗粒的孔径分布不均匀，90%以上的小孔、中孔主要用于吸附回收的有机成分，大孔用于对抗大分子物质。该处理工艺的优点有：</w:t>
      </w:r>
    </w:p>
    <w:p>
      <w:pPr>
        <w:pStyle w:val="130"/>
        <w:ind w:firstLine="480"/>
        <w:rPr>
          <w:rFonts w:eastAsiaTheme="minorEastAsia"/>
          <w:color w:val="auto"/>
        </w:rPr>
      </w:pPr>
      <w:r>
        <w:rPr>
          <w:color w:val="auto"/>
        </w:rPr>
        <w:t>①</w:t>
      </w:r>
      <w:r>
        <w:rPr>
          <w:rFonts w:eastAsiaTheme="minorEastAsia"/>
          <w:color w:val="auto"/>
        </w:rPr>
        <w:t>颗粒活性炭的比表面积大；</w:t>
      </w:r>
    </w:p>
    <w:p>
      <w:pPr>
        <w:pStyle w:val="130"/>
        <w:ind w:firstLine="480"/>
        <w:rPr>
          <w:rFonts w:eastAsiaTheme="minorEastAsia"/>
          <w:color w:val="auto"/>
        </w:rPr>
      </w:pPr>
      <w:r>
        <w:rPr>
          <w:color w:val="auto"/>
        </w:rPr>
        <w:t>②</w:t>
      </w:r>
      <w:r>
        <w:rPr>
          <w:rFonts w:eastAsiaTheme="minorEastAsia"/>
          <w:color w:val="auto"/>
        </w:rPr>
        <w:t>强度高、不脱粉、寿命长、不会造成二次污染；</w:t>
      </w:r>
    </w:p>
    <w:p>
      <w:pPr>
        <w:pStyle w:val="130"/>
        <w:ind w:firstLine="480"/>
        <w:rPr>
          <w:rFonts w:eastAsiaTheme="minorEastAsia"/>
          <w:color w:val="auto"/>
        </w:rPr>
      </w:pPr>
      <w:r>
        <w:rPr>
          <w:color w:val="auto"/>
        </w:rPr>
        <w:t>③</w:t>
      </w:r>
      <w:r>
        <w:rPr>
          <w:rFonts w:eastAsiaTheme="minorEastAsia"/>
          <w:color w:val="auto"/>
        </w:rPr>
        <w:t>安全性高。</w:t>
      </w:r>
    </w:p>
    <w:p>
      <w:pPr>
        <w:spacing w:line="360" w:lineRule="auto"/>
        <w:ind w:firstLine="420" w:firstLineChars="200"/>
        <w:jc w:val="center"/>
        <w:rPr>
          <w:rFonts w:eastAsiaTheme="minorEastAsia"/>
          <w:color w:val="auto"/>
          <w:szCs w:val="21"/>
        </w:rPr>
      </w:pPr>
      <w:r>
        <w:rPr>
          <w:rFonts w:eastAsiaTheme="minorEastAsia"/>
          <w:color w:val="auto"/>
          <w:szCs w:val="21"/>
        </w:rPr>
        <w:drawing>
          <wp:inline distT="0" distB="0" distL="114300" distR="114300">
            <wp:extent cx="4219575" cy="2667000"/>
            <wp:effectExtent l="0" t="0" r="9525" b="0"/>
            <wp:docPr id="38" name="图片 10" descr="说明: 0T56[R7$5LQ%S8$B0_[~}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descr="说明: 0T56[R7$5LQ%S8$B0_[~}2E"/>
                    <pic:cNvPicPr>
                      <a:picLocks noChangeAspect="1"/>
                    </pic:cNvPicPr>
                  </pic:nvPicPr>
                  <pic:blipFill>
                    <a:blip r:embed="rId61" cstate="print"/>
                    <a:stretch>
                      <a:fillRect/>
                    </a:stretch>
                  </pic:blipFill>
                  <pic:spPr>
                    <a:xfrm>
                      <a:off x="0" y="0"/>
                      <a:ext cx="4219575" cy="2667000"/>
                    </a:xfrm>
                    <a:prstGeom prst="rect">
                      <a:avLst/>
                    </a:prstGeom>
                    <a:noFill/>
                    <a:ln w="9525">
                      <a:noFill/>
                    </a:ln>
                  </pic:spPr>
                </pic:pic>
              </a:graphicData>
            </a:graphic>
          </wp:inline>
        </w:drawing>
      </w:r>
    </w:p>
    <w:p>
      <w:pPr>
        <w:pStyle w:val="114"/>
        <w:spacing w:before="120" w:line="360" w:lineRule="auto"/>
        <w:rPr>
          <w:rFonts w:eastAsiaTheme="minorEastAsia"/>
          <w:bCs/>
          <w:color w:val="auto"/>
        </w:rPr>
      </w:pPr>
      <w:r>
        <w:rPr>
          <w:rFonts w:eastAsiaTheme="minorEastAsia"/>
          <w:color w:val="auto"/>
        </w:rPr>
        <w:t>图8.3-1    活性炭孔隙结构微观截图（1、3为小孔，2为大孔）</w:t>
      </w:r>
    </w:p>
    <w:p>
      <w:pPr>
        <w:pStyle w:val="130"/>
        <w:spacing w:before="120" w:beforeLines="50"/>
        <w:ind w:firstLine="480"/>
        <w:rPr>
          <w:color w:val="auto"/>
        </w:rPr>
      </w:pPr>
      <w:r>
        <w:rPr>
          <w:color w:val="auto"/>
        </w:rPr>
        <w:t>⑶碱洗喷淋</w:t>
      </w:r>
    </w:p>
    <w:p>
      <w:pPr>
        <w:pStyle w:val="130"/>
        <w:ind w:firstLine="480"/>
        <w:rPr>
          <w:color w:val="auto"/>
        </w:rPr>
      </w:pPr>
      <w:r>
        <w:rPr>
          <w:color w:val="auto"/>
        </w:rPr>
        <w:t>采用NaOH水溶液作为吸收液处理酸性气体H</w:t>
      </w:r>
      <w:r>
        <w:rPr>
          <w:color w:val="auto"/>
          <w:vertAlign w:val="subscript"/>
        </w:rPr>
        <w:t>2</w:t>
      </w:r>
      <w:r>
        <w:rPr>
          <w:color w:val="auto"/>
        </w:rPr>
        <w:t>S，H</w:t>
      </w:r>
      <w:r>
        <w:rPr>
          <w:color w:val="auto"/>
          <w:vertAlign w:val="subscript"/>
        </w:rPr>
        <w:t>2</w:t>
      </w:r>
      <w:r>
        <w:rPr>
          <w:color w:val="auto"/>
        </w:rPr>
        <w:t>S与水吸收液进行气液两相充分接触吸收反应，有机废气经过净化后，由风机排出。吸收液在塔底经水泵增压后在塔顶喷淋而下，最后回流至塔底循环使用。</w:t>
      </w:r>
    </w:p>
    <w:p>
      <w:pPr>
        <w:pStyle w:val="130"/>
        <w:ind w:firstLine="480"/>
        <w:rPr>
          <w:color w:val="auto"/>
        </w:rPr>
      </w:pPr>
      <w:r>
        <w:rPr>
          <w:color w:val="auto"/>
        </w:rPr>
        <w:t>喷淋塔结构：喷淋塔内填料层作为气液两相间接触构件的传质设备。填料塔底部装有填料支承板，填料以乱堆方式放置在支承板上。填料的上方安装填料压板，以防被上升气流吹动。喷淋塔喷淋液从塔顶经液体分布器喷淋到填料上，并沿填料表面流下。气体从塔底送入，经气体分布装置分布后，与液体呈逆流连续通过填料层的空隙，在填料表面上，气液两相密切接触进行传质。当液体沿填料层向下流动时，有时会出现壁流现象，壁流效应造成气液两相在填料层中分布不均，从而使传质效率下降。因此，喷淋塔内的填料层分为两段，中间设置再分布装置，经重新分布后喷淋到下层填料上，对H</w:t>
      </w:r>
      <w:r>
        <w:rPr>
          <w:color w:val="auto"/>
          <w:vertAlign w:val="subscript"/>
        </w:rPr>
        <w:t>2</w:t>
      </w:r>
      <w:r>
        <w:rPr>
          <w:color w:val="auto"/>
        </w:rPr>
        <w:t>S的处理效率可达80%。</w:t>
      </w:r>
    </w:p>
    <w:p>
      <w:pPr>
        <w:adjustRightInd w:val="0"/>
        <w:snapToGrid w:val="0"/>
        <w:spacing w:line="360" w:lineRule="auto"/>
        <w:ind w:firstLine="480" w:firstLineChars="200"/>
        <w:jc w:val="left"/>
        <w:rPr>
          <w:rFonts w:eastAsiaTheme="minorEastAsia"/>
          <w:bCs/>
          <w:color w:val="auto"/>
          <w:sz w:val="24"/>
          <w:szCs w:val="24"/>
        </w:rPr>
      </w:pPr>
      <w:r>
        <w:rPr>
          <w:rFonts w:eastAsiaTheme="minorEastAsia"/>
          <w:color w:val="auto"/>
          <w:sz w:val="24"/>
          <w:szCs w:val="24"/>
        </w:rPr>
        <w:drawing>
          <wp:inline distT="0" distB="0" distL="114300" distR="114300">
            <wp:extent cx="4648835" cy="4601210"/>
            <wp:effectExtent l="0" t="0" r="18415" b="8890"/>
            <wp:docPr id="39" name="图片 38" descr="C:\Users\ADMINI~1\AppData\Local\Temp\1536918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descr="C:\Users\ADMINI~1\AppData\Local\Temp\1536918033(1).jpg"/>
                    <pic:cNvPicPr>
                      <a:picLocks noChangeAspect="1"/>
                    </pic:cNvPicPr>
                  </pic:nvPicPr>
                  <pic:blipFill>
                    <a:blip r:embed="rId62" cstate="print"/>
                    <a:stretch>
                      <a:fillRect/>
                    </a:stretch>
                  </pic:blipFill>
                  <pic:spPr>
                    <a:xfrm>
                      <a:off x="0" y="0"/>
                      <a:ext cx="4648835" cy="4601210"/>
                    </a:xfrm>
                    <a:prstGeom prst="rect">
                      <a:avLst/>
                    </a:prstGeom>
                    <a:noFill/>
                    <a:ln w="9525">
                      <a:noFill/>
                    </a:ln>
                  </pic:spPr>
                </pic:pic>
              </a:graphicData>
            </a:graphic>
          </wp:inline>
        </w:drawing>
      </w:r>
    </w:p>
    <w:p>
      <w:pPr>
        <w:pStyle w:val="114"/>
        <w:spacing w:before="120" w:line="360" w:lineRule="auto"/>
        <w:rPr>
          <w:rFonts w:eastAsiaTheme="minorEastAsia"/>
          <w:color w:val="auto"/>
        </w:rPr>
      </w:pPr>
      <w:r>
        <w:rPr>
          <w:rFonts w:eastAsiaTheme="minorEastAsia"/>
          <w:color w:val="auto"/>
        </w:rPr>
        <w:t>图8.3-2    本项目碱洗喷淋处理工艺流程图</w:t>
      </w:r>
    </w:p>
    <w:p>
      <w:pPr>
        <w:pStyle w:val="130"/>
        <w:ind w:firstLine="480"/>
        <w:rPr>
          <w:color w:val="auto"/>
        </w:rPr>
      </w:pPr>
      <w:r>
        <w:rPr>
          <w:color w:val="auto"/>
        </w:rPr>
        <w:t>⑷等离子除臭</w:t>
      </w:r>
    </w:p>
    <w:p>
      <w:pPr>
        <w:pStyle w:val="130"/>
        <w:ind w:firstLine="480"/>
        <w:rPr>
          <w:color w:val="auto"/>
        </w:rPr>
      </w:pPr>
      <w:r>
        <w:rPr>
          <w:color w:val="auto"/>
        </w:rPr>
        <w:t>等离子除臭是利用紫外线等发出的高强窄波射线，在几何倍增器作用下形成大量高能光量子，其对空气中的氧与水分子团产生强力轰击作用形成羟基自由基。在羟基自由基的强氧化作用下，待净化气体中的H</w:t>
      </w:r>
      <w:r>
        <w:rPr>
          <w:color w:val="auto"/>
          <w:vertAlign w:val="subscript"/>
        </w:rPr>
        <w:t>2</w:t>
      </w:r>
      <w:r>
        <w:rPr>
          <w:color w:val="auto"/>
        </w:rPr>
        <w:t>S、NH</w:t>
      </w:r>
      <w:r>
        <w:rPr>
          <w:color w:val="auto"/>
          <w:vertAlign w:val="subscript"/>
        </w:rPr>
        <w:t>3</w:t>
      </w:r>
      <w:r>
        <w:rPr>
          <w:color w:val="auto"/>
        </w:rPr>
        <w:t>等异味源得以被氧化降解，同时起到灭菌的作用。对H</w:t>
      </w:r>
      <w:r>
        <w:rPr>
          <w:color w:val="auto"/>
          <w:vertAlign w:val="subscript"/>
        </w:rPr>
        <w:t>2</w:t>
      </w:r>
      <w:r>
        <w:rPr>
          <w:color w:val="auto"/>
        </w:rPr>
        <w:t>S、NH</w:t>
      </w:r>
      <w:r>
        <w:rPr>
          <w:color w:val="auto"/>
          <w:vertAlign w:val="subscript"/>
        </w:rPr>
        <w:t>3</w:t>
      </w:r>
      <w:r>
        <w:rPr>
          <w:color w:val="auto"/>
        </w:rPr>
        <w:t>的处理效率可到80%。</w:t>
      </w:r>
    </w:p>
    <w:p>
      <w:pPr>
        <w:pStyle w:val="5"/>
        <w:numPr>
          <w:ilvl w:val="2"/>
          <w:numId w:val="0"/>
        </w:numPr>
        <w:ind w:left="-720" w:leftChars="-343" w:firstLine="723" w:firstLineChars="300"/>
        <w:rPr>
          <w:color w:val="auto"/>
        </w:rPr>
      </w:pPr>
      <w:bookmarkStart w:id="643" w:name="_Toc109398706"/>
      <w:r>
        <w:rPr>
          <w:color w:val="auto"/>
        </w:rPr>
        <w:t>8.3.2无组织废气防治措施</w:t>
      </w:r>
      <w:bookmarkEnd w:id="643"/>
    </w:p>
    <w:p>
      <w:pPr>
        <w:pStyle w:val="130"/>
        <w:ind w:firstLine="480"/>
        <w:rPr>
          <w:color w:val="auto"/>
          <w:lang w:bidi="zh-CN"/>
        </w:rPr>
      </w:pPr>
      <w:r>
        <w:rPr>
          <w:color w:val="auto"/>
          <w:lang w:bidi="zh-CN"/>
        </w:rPr>
        <w:t>本项目</w:t>
      </w:r>
      <w:r>
        <w:rPr>
          <w:rFonts w:hint="eastAsia"/>
          <w:color w:val="auto"/>
          <w:lang w:bidi="zh-CN"/>
        </w:rPr>
        <w:t>建成后全厂</w:t>
      </w:r>
      <w:r>
        <w:rPr>
          <w:color w:val="auto"/>
          <w:lang w:bidi="zh-CN"/>
        </w:rPr>
        <w:t>无组织废气主要为医疗废物处置、暂存过程中未收集的废气和污水处理站散逸的恶臭气体。</w:t>
      </w:r>
    </w:p>
    <w:p>
      <w:pPr>
        <w:pStyle w:val="130"/>
        <w:ind w:firstLine="480"/>
        <w:rPr>
          <w:color w:val="auto"/>
          <w:lang w:bidi="zh-CN"/>
        </w:rPr>
      </w:pPr>
      <w:r>
        <w:rPr>
          <w:color w:val="auto"/>
          <w:lang w:bidi="zh-CN"/>
        </w:rPr>
        <w:t>医废卸料、贮存采用的防治措施为：采用全封闭、微负压设计，并设置事故通风排气风机，安装空气过滤器（过滤尺度小于0.2μm），滤除其中可能存在的细菌（细菌去除率可达到99. 9%）以及异味，废气经净化后外排。为保证医疗废物处置车间内部空气洁净，在高温蒸汽灭菌车间设置通风排气风机，车间无组织废气从顶部排风机排出。污水处理站通过加强管理，加盖密闭，</w:t>
      </w:r>
      <w:r>
        <w:rPr>
          <w:rFonts w:hint="eastAsia"/>
          <w:color w:val="auto"/>
          <w:lang w:bidi="zh-CN"/>
        </w:rPr>
        <w:t>并喷洒除臭剂</w:t>
      </w:r>
      <w:r>
        <w:rPr>
          <w:color w:val="auto"/>
          <w:lang w:bidi="zh-CN"/>
        </w:rPr>
        <w:t>进行除臭，及时清除污水处理站的剩余污泥等措施减少废气的产生。</w:t>
      </w:r>
    </w:p>
    <w:p>
      <w:pPr>
        <w:pStyle w:val="130"/>
        <w:ind w:firstLine="480"/>
        <w:rPr>
          <w:color w:val="auto"/>
          <w:lang w:bidi="zh-CN"/>
        </w:rPr>
      </w:pPr>
      <w:r>
        <w:rPr>
          <w:color w:val="auto"/>
          <w:lang w:bidi="zh-CN"/>
        </w:rPr>
        <w:t>经采取以上措施后，硫化氢、氨满足《恶臭污染物排放标准》（GB14554-93）</w:t>
      </w:r>
      <w:r>
        <w:rPr>
          <w:rFonts w:hint="eastAsia"/>
          <w:color w:val="auto"/>
          <w:lang w:bidi="zh-CN"/>
        </w:rPr>
        <w:t>的相关</w:t>
      </w:r>
      <w:r>
        <w:rPr>
          <w:color w:val="auto"/>
          <w:lang w:bidi="zh-CN"/>
        </w:rPr>
        <w:t>要求。</w:t>
      </w:r>
    </w:p>
    <w:p>
      <w:pPr>
        <w:pStyle w:val="5"/>
        <w:numPr>
          <w:ilvl w:val="2"/>
          <w:numId w:val="0"/>
        </w:numPr>
        <w:ind w:left="-720" w:leftChars="-343" w:firstLine="723" w:firstLineChars="300"/>
        <w:rPr>
          <w:color w:val="auto"/>
        </w:rPr>
      </w:pPr>
      <w:bookmarkStart w:id="644" w:name="_Toc109398707"/>
      <w:r>
        <w:rPr>
          <w:color w:val="auto"/>
        </w:rPr>
        <w:t>8.3.3非正常工况防治措施</w:t>
      </w:r>
      <w:bookmarkEnd w:id="644"/>
    </w:p>
    <w:p>
      <w:pPr>
        <w:pStyle w:val="130"/>
        <w:ind w:firstLine="480"/>
        <w:rPr>
          <w:color w:val="auto"/>
        </w:rPr>
      </w:pPr>
      <w:r>
        <w:rPr>
          <w:color w:val="auto"/>
        </w:rPr>
        <w:t>根据工程分析内容可知，高温蒸汽灭菌装置遇开、停车、检修、故障等非正常排放时，</w:t>
      </w:r>
      <w:r>
        <w:rPr>
          <w:rFonts w:hint="eastAsia"/>
          <w:color w:val="auto"/>
        </w:rPr>
        <w:t>废气</w:t>
      </w:r>
      <w:r>
        <w:rPr>
          <w:color w:val="auto"/>
        </w:rPr>
        <w:t>短时间内未经净化处理直接排出。此外，废气处理设施出现故障，不能有效处理医疗废物处理过程中排出的废气，废气中污染物不能得到有效及时治理。建设单位应通过加强环境管理，定期对废气处理设施巡检，保持废气处理设备正常运行，若引风机、废气处理设施出现故障导致处理效率降低，应及时进行修理，保证在短时间内处理设备恢复正常运行，可以有效控制非正常工况废气污染物的排放。</w:t>
      </w:r>
    </w:p>
    <w:p>
      <w:pPr>
        <w:pStyle w:val="5"/>
        <w:numPr>
          <w:ilvl w:val="2"/>
          <w:numId w:val="0"/>
        </w:numPr>
        <w:ind w:left="-720" w:leftChars="-343" w:firstLine="723" w:firstLineChars="300"/>
        <w:rPr>
          <w:color w:val="auto"/>
        </w:rPr>
      </w:pPr>
      <w:bookmarkStart w:id="645" w:name="_Toc109398708"/>
      <w:r>
        <w:rPr>
          <w:color w:val="auto"/>
        </w:rPr>
        <w:t>8.3.4废气治理措施可行性及治理效果分析</w:t>
      </w:r>
      <w:bookmarkEnd w:id="645"/>
    </w:p>
    <w:p>
      <w:pPr>
        <w:pStyle w:val="130"/>
        <w:ind w:firstLine="480"/>
        <w:rPr>
          <w:color w:val="auto"/>
        </w:rPr>
      </w:pPr>
      <w:r>
        <w:rPr>
          <w:color w:val="auto"/>
        </w:rPr>
        <w:t>（1）废气治理措施可行性分析</w:t>
      </w:r>
    </w:p>
    <w:p>
      <w:pPr>
        <w:pStyle w:val="130"/>
        <w:ind w:firstLine="480"/>
        <w:rPr>
          <w:color w:val="auto"/>
        </w:rPr>
      </w:pPr>
      <w:r>
        <w:rPr>
          <w:color w:val="auto"/>
        </w:rPr>
        <w:t>参照《医疗废物处理处置污染防治最佳可行技术指南（试行）》（HJ-BAT-8）中医疗废物处理处置过程中的污染防治技术的相关要求“3.3.1.8高效过滤+活性炭吸附技术，高效过滤+活性炭吸附技术是利用过滤、吸附原理处理废气，通常选用高效空气过滤器和活性炭吸附等装置。该技术适用于非焚烧工艺中挥发性有机物、恶臭治理。”</w:t>
      </w:r>
    </w:p>
    <w:p>
      <w:pPr>
        <w:pStyle w:val="130"/>
        <w:ind w:firstLine="480"/>
        <w:rPr>
          <w:color w:val="auto"/>
        </w:rPr>
      </w:pPr>
      <w:r>
        <w:rPr>
          <w:color w:val="auto"/>
        </w:rPr>
        <w:t>参照《医疗废物高温蒸汽消毒集中处理工程技术规范》（HJ 276-2021）中废气处理单元的相关要求“6.3.9.3废气净化装置可选择活性炭吸附、生物净化等技术，并根据废气特征及排放要求单独或组合设置。”</w:t>
      </w:r>
    </w:p>
    <w:p>
      <w:pPr>
        <w:pStyle w:val="130"/>
        <w:ind w:firstLine="480"/>
        <w:rPr>
          <w:color w:val="auto"/>
        </w:rPr>
      </w:pPr>
      <w:r>
        <w:rPr>
          <w:color w:val="auto"/>
        </w:rPr>
        <w:t>同时参照《排污许可证申请与核发技术规范</w:t>
      </w:r>
      <w:r>
        <w:rPr>
          <w:rFonts w:hint="eastAsia"/>
          <w:color w:val="auto"/>
        </w:rPr>
        <w:t xml:space="preserve"> </w:t>
      </w:r>
      <w:r>
        <w:rPr>
          <w:color w:val="auto"/>
        </w:rPr>
        <w:t>工业固体废物和危险废物治理》（HJ1033-2019）中医疗废物高温蒸汽处理单元和公用单元推荐的可行技术—生物过滤、活性炭吸附，本项目同时增加了碱喷淋、等离子处理等措施。</w:t>
      </w:r>
    </w:p>
    <w:p>
      <w:pPr>
        <w:pStyle w:val="130"/>
        <w:ind w:firstLine="480"/>
        <w:rPr>
          <w:color w:val="auto"/>
        </w:rPr>
      </w:pPr>
      <w:r>
        <w:rPr>
          <w:color w:val="auto"/>
        </w:rPr>
        <w:t>综上</w:t>
      </w:r>
      <w:r>
        <w:rPr>
          <w:rFonts w:hint="eastAsia"/>
          <w:color w:val="auto"/>
        </w:rPr>
        <w:t>所述</w:t>
      </w:r>
      <w:r>
        <w:rPr>
          <w:color w:val="auto"/>
        </w:rPr>
        <w:t>，本项目</w:t>
      </w:r>
      <w:r>
        <w:rPr>
          <w:rFonts w:hint="eastAsia"/>
          <w:color w:val="auto"/>
        </w:rPr>
        <w:t>废气治理</w:t>
      </w:r>
      <w:r>
        <w:rPr>
          <w:color w:val="auto"/>
        </w:rPr>
        <w:t>采取的措施属于《医疗废物处理处置污染防治最佳可行技术指南（试行）》（HJ-BAT-8）、《医疗废物高温蒸汽消毒集中处理工程技术规范》（HJ 276-2021）和《排污许可证申请与核发技术规范</w:t>
      </w:r>
      <w:r>
        <w:rPr>
          <w:rFonts w:hint="eastAsia"/>
          <w:color w:val="auto"/>
        </w:rPr>
        <w:t xml:space="preserve"> </w:t>
      </w:r>
      <w:r>
        <w:rPr>
          <w:color w:val="auto"/>
        </w:rPr>
        <w:t>工业固体废物和危险废物治理》（HJ1033-2019）中推荐的可行技术。</w:t>
      </w:r>
    </w:p>
    <w:p>
      <w:pPr>
        <w:pStyle w:val="130"/>
        <w:ind w:firstLine="480"/>
        <w:rPr>
          <w:color w:val="auto"/>
        </w:rPr>
      </w:pPr>
      <w:r>
        <w:rPr>
          <w:color w:val="auto"/>
        </w:rPr>
        <w:t>（2）治理效果分析</w:t>
      </w:r>
    </w:p>
    <w:p>
      <w:pPr>
        <w:pStyle w:val="130"/>
        <w:ind w:firstLine="480"/>
        <w:rPr>
          <w:color w:val="auto"/>
        </w:rPr>
      </w:pPr>
      <w:r>
        <w:rPr>
          <w:color w:val="auto"/>
        </w:rPr>
        <w:t>根据宁夏中科精科检测技术有限公司于2021年12月21日~22日对本项目有组织废气、厂界无组织废气进行的现场监测数据，本项目高温蒸煮系统有组织废气排放浓度及速率分别为颗粒物（1.4~3.7mg/m</w:t>
      </w:r>
      <w:r>
        <w:rPr>
          <w:color w:val="auto"/>
          <w:vertAlign w:val="superscript"/>
        </w:rPr>
        <w:t>3</w:t>
      </w:r>
      <w:r>
        <w:rPr>
          <w:color w:val="auto"/>
        </w:rPr>
        <w:t>、0.00511~0.0135kg/h）、非甲烷总烃（0.53~0.71mg/m</w:t>
      </w:r>
      <w:r>
        <w:rPr>
          <w:color w:val="auto"/>
          <w:vertAlign w:val="superscript"/>
        </w:rPr>
        <w:t>3</w:t>
      </w:r>
      <w:r>
        <w:rPr>
          <w:color w:val="auto"/>
        </w:rPr>
        <w:t>、0.00194~0.00259kg/h）、氨（2.63~5.07mg/m</w:t>
      </w:r>
      <w:r>
        <w:rPr>
          <w:color w:val="auto"/>
          <w:vertAlign w:val="superscript"/>
        </w:rPr>
        <w:t>3</w:t>
      </w:r>
      <w:r>
        <w:rPr>
          <w:color w:val="auto"/>
        </w:rPr>
        <w:t>、0.00963~0.0185kg/h）、硫化氢（0.017~0.03mg/m</w:t>
      </w:r>
      <w:r>
        <w:rPr>
          <w:color w:val="auto"/>
          <w:vertAlign w:val="superscript"/>
        </w:rPr>
        <w:t>3</w:t>
      </w:r>
      <w:r>
        <w:rPr>
          <w:color w:val="auto"/>
        </w:rPr>
        <w:t>、0.000062~0.00011kg/h）、臭气浓度412~739（无量纲）；厂界无组织排放浓度分别为非甲烷总烃0.45~0.74mg/m</w:t>
      </w:r>
      <w:r>
        <w:rPr>
          <w:color w:val="auto"/>
          <w:vertAlign w:val="superscript"/>
        </w:rPr>
        <w:t>3</w:t>
      </w:r>
      <w:r>
        <w:rPr>
          <w:color w:val="auto"/>
        </w:rPr>
        <w:t>、氨0.06~0.18mg/m</w:t>
      </w:r>
      <w:r>
        <w:rPr>
          <w:color w:val="auto"/>
          <w:vertAlign w:val="superscript"/>
        </w:rPr>
        <w:t>3</w:t>
      </w:r>
      <w:r>
        <w:rPr>
          <w:color w:val="auto"/>
        </w:rPr>
        <w:t>、硫化氢0.002~0.009mg/m</w:t>
      </w:r>
      <w:r>
        <w:rPr>
          <w:color w:val="auto"/>
          <w:vertAlign w:val="superscript"/>
        </w:rPr>
        <w:t>3</w:t>
      </w:r>
      <w:r>
        <w:rPr>
          <w:color w:val="auto"/>
        </w:rPr>
        <w:t>，臭气浓度12~15（无量纲）。</w:t>
      </w:r>
    </w:p>
    <w:p>
      <w:pPr>
        <w:pStyle w:val="130"/>
        <w:ind w:firstLine="480"/>
        <w:rPr>
          <w:color w:val="auto"/>
        </w:rPr>
      </w:pPr>
      <w:r>
        <w:rPr>
          <w:color w:val="auto"/>
        </w:rPr>
        <w:t>根据本项目对废气的现场监测数据，本项目有组织非甲烷总烃排放满足《医疗废物处理处置污染控制标准》（GB39707-2020）中表3消毒处理设施排放废气污染物浓度限值的要求，厂界处非甲烷总烃满足《大气污染物综合排放标准》（GB16297-1996）表2周界外无组织排放监控浓度限值；颗粒物满足《大气污染物综合排放标准》（GB16297-1996）表2的二级标准；氨、硫化氢、臭气浓度（无量纲）排放满足《恶臭污染物排放标准》（GB14554-93）二级标准的相关要求。废气均可实现达标排放。</w:t>
      </w:r>
    </w:p>
    <w:p>
      <w:pPr>
        <w:pStyle w:val="4"/>
        <w:numPr>
          <w:ilvl w:val="1"/>
          <w:numId w:val="0"/>
        </w:numPr>
        <w:spacing w:before="120"/>
        <w:rPr>
          <w:color w:val="auto"/>
        </w:rPr>
      </w:pPr>
      <w:bookmarkStart w:id="646" w:name="_Toc109398709"/>
      <w:r>
        <w:rPr>
          <w:color w:val="auto"/>
        </w:rPr>
        <w:t>8.4地表水污染防治措施及其可行性分析</w:t>
      </w:r>
      <w:bookmarkEnd w:id="646"/>
    </w:p>
    <w:p>
      <w:pPr>
        <w:pStyle w:val="130"/>
        <w:ind w:firstLine="480"/>
        <w:rPr>
          <w:color w:val="auto"/>
        </w:rPr>
      </w:pPr>
      <w:r>
        <w:rPr>
          <w:color w:val="auto"/>
        </w:rPr>
        <w:t>本项目</w:t>
      </w:r>
      <w:r>
        <w:rPr>
          <w:rFonts w:hint="eastAsia"/>
          <w:color w:val="auto"/>
        </w:rPr>
        <w:t>建成后全厂</w:t>
      </w:r>
      <w:r>
        <w:rPr>
          <w:color w:val="auto"/>
        </w:rPr>
        <w:t>废水主要为高温蒸煮冷凝废水及渗滤液、冷却循环系统废水、场地冲洗废水、车辆冲洗废水、周转箱冲洗废水、蒸汽发生器及电锅炉软水制备废水、碱洗喷淋水箱废水和生活污水。生产废水主要高温蒸煮冷凝废水及渗滤液、软水制备废水、场地冲洗废水、车辆冲洗废水、周转箱冲洗废水、蒸汽发生器及电锅炉软水制备废水、碱洗喷淋水箱废水，产生量为冬季8.</w:t>
      </w:r>
      <w:r>
        <w:rPr>
          <w:rFonts w:hint="eastAsia"/>
          <w:color w:val="auto"/>
        </w:rPr>
        <w:t>9</w:t>
      </w:r>
      <w:r>
        <w:rPr>
          <w:color w:val="auto"/>
        </w:rPr>
        <w:t>2m</w:t>
      </w:r>
      <w:r>
        <w:rPr>
          <w:color w:val="auto"/>
          <w:vertAlign w:val="superscript"/>
        </w:rPr>
        <w:t>3</w:t>
      </w:r>
      <w:r>
        <w:rPr>
          <w:color w:val="auto"/>
        </w:rPr>
        <w:t>/d、其他季节8.6m</w:t>
      </w:r>
      <w:r>
        <w:rPr>
          <w:color w:val="auto"/>
          <w:vertAlign w:val="superscript"/>
        </w:rPr>
        <w:t>3</w:t>
      </w:r>
      <w:r>
        <w:rPr>
          <w:color w:val="auto"/>
        </w:rPr>
        <w:t>/d、2882.16m</w:t>
      </w:r>
      <w:r>
        <w:rPr>
          <w:color w:val="auto"/>
          <w:vertAlign w:val="superscript"/>
        </w:rPr>
        <w:t>3</w:t>
      </w:r>
      <w:r>
        <w:rPr>
          <w:color w:val="auto"/>
        </w:rPr>
        <w:t>/a，生产废水经厂区新建10m</w:t>
      </w:r>
      <w:r>
        <w:rPr>
          <w:color w:val="auto"/>
          <w:vertAlign w:val="superscript"/>
        </w:rPr>
        <w:t>3</w:t>
      </w:r>
      <w:r>
        <w:rPr>
          <w:color w:val="auto"/>
        </w:rPr>
        <w:t>/d污水处理站（A</w:t>
      </w:r>
      <w:r>
        <w:rPr>
          <w:color w:val="auto"/>
          <w:vertAlign w:val="superscript"/>
        </w:rPr>
        <w:t>2</w:t>
      </w:r>
      <w:r>
        <w:rPr>
          <w:color w:val="auto"/>
        </w:rPr>
        <w:t>O+MBR+消毒）处理后达到《医疗机构水污染物排放标准》（GB18466-2005）综合医疗机构和其他医疗机构水污染物排放限值及</w:t>
      </w:r>
      <w:r>
        <w:rPr>
          <w:color w:val="auto"/>
          <w:lang w:bidi="en-GB"/>
        </w:rPr>
        <w:t>《城市污水再生利用 城市杂用水水质》（GB/T18920-2020）中城市绿化、道路清扫、消防、建筑施工用水要求，处理后废水全部回用于中卫市生活垃圾填埋场道路抑尘，不外排</w:t>
      </w:r>
      <w:r>
        <w:rPr>
          <w:color w:val="auto"/>
        </w:rPr>
        <w:t>。生活污水产生量为1.94m</w:t>
      </w:r>
      <w:r>
        <w:rPr>
          <w:color w:val="auto"/>
          <w:vertAlign w:val="superscript"/>
        </w:rPr>
        <w:t>3</w:t>
      </w:r>
      <w:r>
        <w:rPr>
          <w:color w:val="auto"/>
        </w:rPr>
        <w:t>/d，638.88m</w:t>
      </w:r>
      <w:r>
        <w:rPr>
          <w:color w:val="auto"/>
          <w:vertAlign w:val="superscript"/>
        </w:rPr>
        <w:t>3</w:t>
      </w:r>
      <w:r>
        <w:rPr>
          <w:color w:val="auto"/>
        </w:rPr>
        <w:t>/a，依托现有化粪池处理，化粪池满后用吸污车运送至中卫市生活垃圾填埋场的渗滤液调蓄池。</w:t>
      </w:r>
    </w:p>
    <w:p>
      <w:pPr>
        <w:pStyle w:val="5"/>
        <w:numPr>
          <w:ilvl w:val="2"/>
          <w:numId w:val="0"/>
        </w:numPr>
        <w:ind w:left="-720" w:leftChars="-343" w:firstLine="723" w:firstLineChars="300"/>
        <w:rPr>
          <w:color w:val="auto"/>
        </w:rPr>
      </w:pPr>
      <w:bookmarkStart w:id="647" w:name="_Toc109398710"/>
      <w:r>
        <w:rPr>
          <w:color w:val="auto"/>
        </w:rPr>
        <w:t>8.4.1生产废水污水处理工艺及设计规模</w:t>
      </w:r>
      <w:bookmarkEnd w:id="647"/>
    </w:p>
    <w:p>
      <w:pPr>
        <w:pStyle w:val="130"/>
        <w:ind w:firstLine="452"/>
        <w:rPr>
          <w:color w:val="auto"/>
          <w:spacing w:val="-7"/>
        </w:rPr>
      </w:pPr>
      <w:r>
        <w:rPr>
          <w:color w:val="auto"/>
          <w:spacing w:val="-7"/>
        </w:rPr>
        <w:t>（1）处理工艺</w:t>
      </w:r>
    </w:p>
    <w:p>
      <w:pPr>
        <w:pStyle w:val="130"/>
        <w:ind w:firstLine="480"/>
        <w:rPr>
          <w:bCs w:val="0"/>
          <w:color w:val="auto"/>
        </w:rPr>
      </w:pPr>
      <w:r>
        <w:rPr>
          <w:rStyle w:val="131"/>
          <w:bCs w:val="0"/>
          <w:color w:val="auto"/>
        </w:rPr>
        <w:t>针对本项目</w:t>
      </w:r>
      <w:r>
        <w:rPr>
          <w:rStyle w:val="131"/>
          <w:rFonts w:hint="eastAsia"/>
          <w:bCs w:val="0"/>
          <w:color w:val="auto"/>
        </w:rPr>
        <w:t>建成后全厂</w:t>
      </w:r>
      <w:r>
        <w:rPr>
          <w:rStyle w:val="131"/>
          <w:bCs w:val="0"/>
          <w:color w:val="auto"/>
        </w:rPr>
        <w:t>废水特点，项目新建一座污水处理站，位于1号车库内东侧，采用“</w:t>
      </w:r>
      <w:r>
        <w:rPr>
          <w:bCs w:val="0"/>
          <w:color w:val="auto"/>
        </w:rPr>
        <w:t>A²O+MBR+消毒</w:t>
      </w:r>
      <w:r>
        <w:rPr>
          <w:rStyle w:val="131"/>
          <w:bCs w:val="0"/>
          <w:color w:val="auto"/>
        </w:rPr>
        <w:t>”</w:t>
      </w:r>
      <w:r>
        <w:rPr>
          <w:bCs w:val="0"/>
          <w:color w:val="auto"/>
        </w:rPr>
        <w:t>工艺，</w:t>
      </w:r>
      <w:r>
        <w:rPr>
          <w:rFonts w:hint="eastAsia"/>
          <w:bCs w:val="0"/>
          <w:color w:val="auto"/>
        </w:rPr>
        <w:t>属于</w:t>
      </w:r>
      <w:r>
        <w:rPr>
          <w:bCs w:val="0"/>
          <w:color w:val="auto"/>
        </w:rPr>
        <w:t>《排污许可证申请与核发技术规范</w:t>
      </w:r>
      <w:r>
        <w:rPr>
          <w:rFonts w:hint="eastAsia"/>
          <w:bCs w:val="0"/>
          <w:color w:val="auto"/>
        </w:rPr>
        <w:t xml:space="preserve"> </w:t>
      </w:r>
      <w:r>
        <w:rPr>
          <w:bCs w:val="0"/>
          <w:color w:val="auto"/>
        </w:rPr>
        <w:t>工业固体废物和危险废物治理》（HJ1033-2019）中推荐的处理措施（生化处理+深度处理+消毒工艺）。</w:t>
      </w:r>
    </w:p>
    <w:p>
      <w:pPr>
        <w:pStyle w:val="130"/>
        <w:ind w:firstLine="480"/>
        <w:rPr>
          <w:color w:val="auto"/>
        </w:rPr>
      </w:pPr>
      <w:r>
        <w:rPr>
          <w:color w:val="auto"/>
        </w:rPr>
        <w:t>工艺流程说明：本项目</w:t>
      </w:r>
      <w:r>
        <w:rPr>
          <w:rFonts w:hint="eastAsia"/>
          <w:color w:val="auto"/>
        </w:rPr>
        <w:t>运营期全厂</w:t>
      </w:r>
      <w:r>
        <w:rPr>
          <w:color w:val="auto"/>
        </w:rPr>
        <w:t>生产废水一起进入曝气调节池进行水质水量的均化，调节池内废水混合均匀，并将pH控制在7-8之间。调节池出水由提升泵提升至A</w:t>
      </w:r>
      <w:r>
        <w:rPr>
          <w:color w:val="auto"/>
          <w:vertAlign w:val="superscript"/>
        </w:rPr>
        <w:t>2</w:t>
      </w:r>
      <w:r>
        <w:rPr>
          <w:color w:val="auto"/>
        </w:rPr>
        <w:t>O处理工序，依次进入到厌氧池、缺氧池、好氧池，通过生化处理，用于废水脱氮除磷以及进一步去除水中有机物。A</w:t>
      </w:r>
      <w:r>
        <w:rPr>
          <w:color w:val="auto"/>
          <w:vertAlign w:val="superscript"/>
        </w:rPr>
        <w:t>2</w:t>
      </w:r>
      <w:r>
        <w:rPr>
          <w:color w:val="auto"/>
        </w:rPr>
        <w:t>O处理工艺采用厌氧缺氧好氧活性污泥法，延长曝气时间，它将厌氧缺氧反硝化反应置于该工艺之首，可使出水完全硝化，同时还有一个系列采用除氮工艺，增加内回流，回流量达400%，提高了出水的除氮效果，扩大处理水的再利用。生物脱氮的基本原理是在传统的二级处理中将有机氮转化成为氨氮的基础上，通过硝化和反硝化菌的作用，将氨氮转化成亚硝态氮、硝态氮、在通过反硝化作用将硝态氮转化成氮气，从而达到污水脱氮目的，该法具有较高的处理效率。A</w:t>
      </w:r>
      <w:r>
        <w:rPr>
          <w:color w:val="auto"/>
          <w:vertAlign w:val="superscript"/>
        </w:rPr>
        <w:t>2</w:t>
      </w:r>
      <w:r>
        <w:rPr>
          <w:color w:val="auto"/>
        </w:rPr>
        <w:t>O处理后的废水再流入MBR膜池，对废水进行更进一步处理，同时废水中的活性污泥进行有效拦截；MBR膜池处理后废水利用消毒剂进行消毒，处理后废水即可达到《医疗机构水污染物排放标准》（GB18466-2005）综合医疗机构和其他医疗机构水污染物排放限值及</w:t>
      </w:r>
      <w:r>
        <w:rPr>
          <w:color w:val="auto"/>
          <w:lang w:bidi="en-GB"/>
        </w:rPr>
        <w:t>《城市污水再生利用 城市杂用水水质》（GB/T18920-2020）中城市绿化、道路清扫、消防、建筑施工用水要求，处理后废水全部回用于中卫市生活垃圾填埋场道路抑尘，不外排</w:t>
      </w:r>
      <w:r>
        <w:rPr>
          <w:color w:val="auto"/>
        </w:rPr>
        <w:t>。</w:t>
      </w:r>
    </w:p>
    <w:p>
      <w:pPr>
        <w:pStyle w:val="17"/>
        <w:rPr>
          <w:color w:val="auto"/>
          <w:sz w:val="20"/>
        </w:rPr>
      </w:pPr>
      <w:r>
        <w:rPr>
          <w:color w:val="auto"/>
        </w:rPr>
        <w:drawing>
          <wp:inline distT="0" distB="0" distL="0" distR="0">
            <wp:extent cx="5469890" cy="5429885"/>
            <wp:effectExtent l="0" t="0" r="127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3"/>
                    <a:stretch>
                      <a:fillRect/>
                    </a:stretch>
                  </pic:blipFill>
                  <pic:spPr>
                    <a:xfrm>
                      <a:off x="0" y="0"/>
                      <a:ext cx="5469890" cy="5429885"/>
                    </a:xfrm>
                    <a:prstGeom prst="rect">
                      <a:avLst/>
                    </a:prstGeom>
                  </pic:spPr>
                </pic:pic>
              </a:graphicData>
            </a:graphic>
          </wp:inline>
        </w:drawing>
      </w:r>
    </w:p>
    <w:p>
      <w:pPr>
        <w:pStyle w:val="114"/>
        <w:spacing w:before="120"/>
        <w:rPr>
          <w:color w:val="auto"/>
        </w:rPr>
      </w:pPr>
      <w:r>
        <w:rPr>
          <w:color w:val="auto"/>
        </w:rPr>
        <w:t>图</w:t>
      </w:r>
      <w:r>
        <w:rPr>
          <w:rFonts w:eastAsia="Times New Roman"/>
          <w:color w:val="auto"/>
        </w:rPr>
        <w:t xml:space="preserve">8.4-1 </w:t>
      </w:r>
      <w:r>
        <w:rPr>
          <w:color w:val="auto"/>
        </w:rPr>
        <w:t>本项目废水处理站处理工艺流程图</w:t>
      </w:r>
    </w:p>
    <w:p>
      <w:pPr>
        <w:pStyle w:val="130"/>
        <w:spacing w:before="120" w:beforeLines="50"/>
        <w:ind w:firstLine="480"/>
        <w:rPr>
          <w:color w:val="auto"/>
        </w:rPr>
      </w:pPr>
      <w:r>
        <w:rPr>
          <w:color w:val="auto"/>
        </w:rPr>
        <w:t>（2）处理规模</w:t>
      </w:r>
    </w:p>
    <w:p>
      <w:pPr>
        <w:pStyle w:val="130"/>
        <w:ind w:firstLine="480"/>
        <w:rPr>
          <w:color w:val="auto"/>
        </w:rPr>
      </w:pPr>
      <w:r>
        <w:rPr>
          <w:color w:val="auto"/>
        </w:rPr>
        <w:t>本项目厂区最大</w:t>
      </w:r>
      <w:r>
        <w:rPr>
          <w:rFonts w:hint="eastAsia"/>
          <w:color w:val="auto"/>
        </w:rPr>
        <w:t>生产</w:t>
      </w:r>
      <w:r>
        <w:rPr>
          <w:color w:val="auto"/>
        </w:rPr>
        <w:t>废水量为8.92m</w:t>
      </w:r>
      <w:r>
        <w:rPr>
          <w:color w:val="auto"/>
          <w:vertAlign w:val="superscript"/>
        </w:rPr>
        <w:t>3</w:t>
      </w:r>
      <w:r>
        <w:rPr>
          <w:color w:val="auto"/>
        </w:rPr>
        <w:t>/d，考虑废水处理需留有一定的余量，综合考虑，本项目建设的废水处理装置处理能力为10m</w:t>
      </w:r>
      <w:r>
        <w:rPr>
          <w:color w:val="auto"/>
          <w:vertAlign w:val="superscript"/>
        </w:rPr>
        <w:t>3</w:t>
      </w:r>
      <w:r>
        <w:rPr>
          <w:color w:val="auto"/>
        </w:rPr>
        <w:t>/d，满足处理规模要求。</w:t>
      </w:r>
    </w:p>
    <w:p>
      <w:pPr>
        <w:pStyle w:val="130"/>
        <w:ind w:firstLine="480"/>
        <w:rPr>
          <w:color w:val="auto"/>
        </w:rPr>
      </w:pPr>
      <w:r>
        <w:rPr>
          <w:rStyle w:val="131"/>
          <w:bCs w:val="0"/>
          <w:color w:val="auto"/>
        </w:rPr>
        <w:t>（3）处理</w:t>
      </w:r>
      <w:r>
        <w:rPr>
          <w:color w:val="auto"/>
        </w:rPr>
        <w:t>措施可行性分析</w:t>
      </w:r>
    </w:p>
    <w:p>
      <w:pPr>
        <w:pStyle w:val="130"/>
        <w:ind w:firstLine="480"/>
        <w:rPr>
          <w:rFonts w:eastAsiaTheme="minorEastAsia"/>
          <w:color w:val="auto"/>
        </w:rPr>
      </w:pPr>
      <w:r>
        <w:rPr>
          <w:color w:val="auto"/>
        </w:rPr>
        <w:t>本项目污水处理站各污染物进口、出口浓度由宁夏中科精科检测技术有限公司于2022年5月6日~7日进行了现场取样实际监测，根据本项目对污水处理站综合废水进出口的浓度监测数据</w:t>
      </w:r>
      <w:r>
        <w:rPr>
          <w:color w:val="auto"/>
          <w:lang w:val="zh-CN"/>
        </w:rPr>
        <w:t>，</w:t>
      </w:r>
      <w:r>
        <w:rPr>
          <w:color w:val="auto"/>
        </w:rPr>
        <w:t>本项目综合废水经污水站</w:t>
      </w:r>
      <w:r>
        <w:rPr>
          <w:color w:val="auto"/>
          <w:lang w:val="zh-CN"/>
        </w:rPr>
        <w:t>处理后</w:t>
      </w:r>
      <w:r>
        <w:rPr>
          <w:color w:val="auto"/>
        </w:rPr>
        <w:t>pH6.3~6.5、氨氮0.461</w:t>
      </w:r>
      <w:r>
        <w:rPr>
          <w:color w:val="auto"/>
          <w:lang w:val="zh-CN"/>
        </w:rPr>
        <w:t>mg/L、</w:t>
      </w:r>
      <w:r>
        <w:rPr>
          <w:color w:val="auto"/>
        </w:rPr>
        <w:t>总余氯0.44</w:t>
      </w:r>
      <w:r>
        <w:rPr>
          <w:color w:val="auto"/>
          <w:lang w:val="zh-CN"/>
        </w:rPr>
        <w:t>mg/L、</w:t>
      </w:r>
      <w:r>
        <w:rPr>
          <w:color w:val="auto"/>
        </w:rPr>
        <w:t>化学需氧量33</w:t>
      </w:r>
      <w:r>
        <w:rPr>
          <w:color w:val="auto"/>
          <w:lang w:val="zh-CN"/>
        </w:rPr>
        <w:t>mg/L、</w:t>
      </w:r>
      <w:r>
        <w:rPr>
          <w:color w:val="auto"/>
        </w:rPr>
        <w:t>五日生化需氧量10</w:t>
      </w:r>
      <w:r>
        <w:rPr>
          <w:color w:val="auto"/>
          <w:lang w:val="zh-CN"/>
        </w:rPr>
        <w:t>mg/L、</w:t>
      </w:r>
      <w:r>
        <w:rPr>
          <w:color w:val="auto"/>
        </w:rPr>
        <w:t>悬浮物8</w:t>
      </w:r>
      <w:r>
        <w:rPr>
          <w:color w:val="auto"/>
          <w:lang w:val="zh-CN"/>
        </w:rPr>
        <w:t>mg/L、粪大肠</w:t>
      </w:r>
      <w:r>
        <w:rPr>
          <w:color w:val="auto"/>
        </w:rPr>
        <w:t>菌群未检出</w:t>
      </w:r>
      <w:r>
        <w:rPr>
          <w:color w:val="auto"/>
          <w:lang w:val="zh-CN"/>
        </w:rPr>
        <w:t>，</w:t>
      </w:r>
      <w:r>
        <w:rPr>
          <w:rFonts w:eastAsiaTheme="minorEastAsia"/>
          <w:color w:val="auto"/>
        </w:rPr>
        <w:t>出水水质中各污染因子排放浓度均能够达到</w:t>
      </w:r>
      <w:r>
        <w:rPr>
          <w:color w:val="auto"/>
        </w:rPr>
        <w:t>《医疗机构水污染物排放标准》（GB18466-2005）综合医疗机构和其他医疗机构水污染物排放限值及《城市污水再生利用 城市杂用水水质》（GB/T18920-2020）中城市绿化、道路清扫、消防、建筑施工用水要求，处理后废水全部回用于中卫市生活垃圾填埋场道路抑尘，不外排</w:t>
      </w:r>
      <w:r>
        <w:rPr>
          <w:rFonts w:eastAsiaTheme="minorEastAsia"/>
          <w:color w:val="auto"/>
        </w:rPr>
        <w:t>。</w:t>
      </w:r>
    </w:p>
    <w:p>
      <w:pPr>
        <w:pStyle w:val="130"/>
        <w:ind w:firstLine="480"/>
        <w:rPr>
          <w:rFonts w:eastAsiaTheme="minorEastAsia"/>
          <w:color w:val="auto"/>
        </w:rPr>
      </w:pPr>
      <w:r>
        <w:rPr>
          <w:rFonts w:eastAsiaTheme="minorEastAsia"/>
          <w:color w:val="auto"/>
        </w:rPr>
        <w:t>综上，本项目污水处理站采取的处理规模和工艺可行。</w:t>
      </w:r>
    </w:p>
    <w:p>
      <w:pPr>
        <w:pStyle w:val="130"/>
        <w:ind w:firstLine="480"/>
        <w:rPr>
          <w:rStyle w:val="131"/>
          <w:bCs/>
          <w:color w:val="auto"/>
        </w:rPr>
      </w:pPr>
      <w:r>
        <w:rPr>
          <w:rStyle w:val="131"/>
          <w:bCs/>
          <w:color w:val="auto"/>
        </w:rPr>
        <w:t>（4）</w:t>
      </w:r>
      <w:r>
        <w:rPr>
          <w:rStyle w:val="131"/>
          <w:rFonts w:hint="eastAsia"/>
          <w:bCs/>
          <w:color w:val="auto"/>
        </w:rPr>
        <w:t>生产</w:t>
      </w:r>
      <w:r>
        <w:rPr>
          <w:rStyle w:val="131"/>
          <w:bCs/>
          <w:color w:val="auto"/>
        </w:rPr>
        <w:t>废水用于中卫市生活垃圾填埋场道路抑尘的可行性分析</w:t>
      </w:r>
    </w:p>
    <w:p>
      <w:pPr>
        <w:pStyle w:val="130"/>
        <w:ind w:firstLine="480"/>
        <w:rPr>
          <w:color w:val="auto"/>
        </w:rPr>
      </w:pPr>
      <w:r>
        <w:rPr>
          <w:color w:val="auto"/>
        </w:rPr>
        <w:t>中卫市生活垃圾填埋场场区道路面积约5000m</w:t>
      </w:r>
      <w:r>
        <w:rPr>
          <w:color w:val="auto"/>
          <w:vertAlign w:val="superscript"/>
        </w:rPr>
        <w:t>2</w:t>
      </w:r>
      <w:r>
        <w:rPr>
          <w:color w:val="auto"/>
        </w:rPr>
        <w:t>，位于本项目东侧约500m处，路面主要为砂石路，为了降低道路扬尘，每天需要对厂区道路进行洒水抑尘，参考《自治区人民政府办公厅关于印发宁夏回族自治区有关行业用水定额（修订）的通知》（宁政办规发﹝2020﹞20号》，环境卫生管理行业公共设施服务用水中场地、道路喷洒用水定额2L/（m</w:t>
      </w:r>
      <w:r>
        <w:rPr>
          <w:color w:val="auto"/>
          <w:vertAlign w:val="superscript"/>
        </w:rPr>
        <w:t>2</w:t>
      </w:r>
      <w:r>
        <w:rPr>
          <w:color w:val="auto"/>
        </w:rPr>
        <w:t>·d），则中卫市生活垃圾填埋场道路抑尘用水量约10m</w:t>
      </w:r>
      <w:r>
        <w:rPr>
          <w:color w:val="auto"/>
          <w:vertAlign w:val="superscript"/>
        </w:rPr>
        <w:t>3</w:t>
      </w:r>
      <w:r>
        <w:rPr>
          <w:color w:val="auto"/>
        </w:rPr>
        <w:t>/d。本项目</w:t>
      </w:r>
      <w:r>
        <w:rPr>
          <w:rFonts w:hint="eastAsia"/>
          <w:color w:val="auto"/>
        </w:rPr>
        <w:t>建成后全厂生成</w:t>
      </w:r>
      <w:r>
        <w:rPr>
          <w:color w:val="auto"/>
        </w:rPr>
        <w:t>废水产生量为冬季8.92m</w:t>
      </w:r>
      <w:r>
        <w:rPr>
          <w:color w:val="auto"/>
          <w:vertAlign w:val="superscript"/>
        </w:rPr>
        <w:t>3</w:t>
      </w:r>
      <w:r>
        <w:rPr>
          <w:color w:val="auto"/>
        </w:rPr>
        <w:t>/d，其他季节8.6m</w:t>
      </w:r>
      <w:r>
        <w:rPr>
          <w:color w:val="auto"/>
          <w:vertAlign w:val="superscript"/>
        </w:rPr>
        <w:t>3</w:t>
      </w:r>
      <w:r>
        <w:rPr>
          <w:color w:val="auto"/>
        </w:rPr>
        <w:t>/d，故本项目</w:t>
      </w:r>
      <w:r>
        <w:rPr>
          <w:rFonts w:hint="eastAsia"/>
          <w:color w:val="auto"/>
        </w:rPr>
        <w:t>运营期全厂生产</w:t>
      </w:r>
      <w:r>
        <w:rPr>
          <w:color w:val="auto"/>
        </w:rPr>
        <w:t>废水经处理后用于中卫市生活垃圾填埋场道路抑尘可行。</w:t>
      </w:r>
    </w:p>
    <w:p>
      <w:pPr>
        <w:pStyle w:val="5"/>
        <w:numPr>
          <w:ilvl w:val="2"/>
          <w:numId w:val="0"/>
        </w:numPr>
        <w:ind w:left="-720" w:leftChars="-343" w:firstLine="723" w:firstLineChars="300"/>
        <w:rPr>
          <w:color w:val="auto"/>
        </w:rPr>
      </w:pPr>
      <w:bookmarkStart w:id="648" w:name="_Toc109398711"/>
      <w:r>
        <w:rPr>
          <w:color w:val="auto"/>
        </w:rPr>
        <w:t>8.4.2生活污水依托可行性分析</w:t>
      </w:r>
      <w:bookmarkEnd w:id="648"/>
    </w:p>
    <w:p>
      <w:pPr>
        <w:pStyle w:val="130"/>
        <w:ind w:firstLine="480"/>
        <w:rPr>
          <w:color w:val="auto"/>
        </w:rPr>
      </w:pPr>
      <w:r>
        <w:rPr>
          <w:color w:val="auto"/>
        </w:rPr>
        <w:t>生活污水依托现有化粪池处理，化粪池满后用吸污车运送至中卫市生活垃圾填埋场的渗滤液调蓄池，根据宁夏城市供水水质监测网中卫监测站对中卫市垃圾填埋场渗滤液处理车间出口水质的检验监测报告可知，出口水质满足《生活垃圾填埋场污染控制标准》（GB16889-2008）中的相关要求，依托可行。</w:t>
      </w:r>
    </w:p>
    <w:p>
      <w:pPr>
        <w:pStyle w:val="5"/>
        <w:numPr>
          <w:ilvl w:val="2"/>
          <w:numId w:val="0"/>
        </w:numPr>
        <w:ind w:left="-720" w:leftChars="-343" w:firstLine="723" w:firstLineChars="300"/>
        <w:rPr>
          <w:color w:val="auto"/>
        </w:rPr>
      </w:pPr>
      <w:bookmarkStart w:id="649" w:name="_Toc109398712"/>
      <w:r>
        <w:rPr>
          <w:color w:val="auto"/>
        </w:rPr>
        <w:t>8.4.3事故废水收集处置措施</w:t>
      </w:r>
      <w:bookmarkEnd w:id="649"/>
    </w:p>
    <w:p>
      <w:pPr>
        <w:pStyle w:val="130"/>
        <w:ind w:firstLine="480"/>
        <w:rPr>
          <w:color w:val="auto"/>
        </w:rPr>
      </w:pPr>
      <w:r>
        <w:rPr>
          <w:color w:val="auto"/>
        </w:rPr>
        <w:t>为防止污水处理站事故状态下生产废水外溢造成对项目所在区域的地下水和土壤的污染，建设单位建设1座容积为30m</w:t>
      </w:r>
      <w:r>
        <w:rPr>
          <w:color w:val="auto"/>
          <w:vertAlign w:val="superscript"/>
        </w:rPr>
        <w:t>3</w:t>
      </w:r>
      <w:r>
        <w:rPr>
          <w:color w:val="auto"/>
        </w:rPr>
        <w:t>的事故废水收集池，当发生事故时，将生产废水立即引入事故应急处理池中，进行紧急抢修，以免因发生事故对地下水环境、土壤以及地表水环境产生不良影响。事故水池能够容纳保障项目正常生产三天的废水量，待事故排除后废水分批排入污水处理站处理。若污水处理站事故在三天内不能有效处理，建设单位应立即停止生产，待污水处理站事故废水处理后方可再次投入生产，确保本项目事故状态下不向外环境排放废水。</w:t>
      </w:r>
    </w:p>
    <w:p>
      <w:pPr>
        <w:pStyle w:val="130"/>
        <w:ind w:firstLine="480"/>
        <w:rPr>
          <w:color w:val="auto"/>
        </w:rPr>
      </w:pPr>
      <w:r>
        <w:rPr>
          <w:color w:val="auto"/>
        </w:rPr>
        <w:t>综上所述，本项目采取的废水污染防治措施可行。</w:t>
      </w:r>
    </w:p>
    <w:p>
      <w:pPr>
        <w:pStyle w:val="4"/>
        <w:numPr>
          <w:ilvl w:val="1"/>
          <w:numId w:val="0"/>
        </w:numPr>
        <w:spacing w:before="120"/>
        <w:rPr>
          <w:color w:val="auto"/>
        </w:rPr>
      </w:pPr>
      <w:bookmarkStart w:id="650" w:name="_Toc109398713"/>
      <w:r>
        <w:rPr>
          <w:color w:val="auto"/>
        </w:rPr>
        <w:t>8.5噪声污染防治措施</w:t>
      </w:r>
      <w:bookmarkEnd w:id="650"/>
    </w:p>
    <w:p>
      <w:pPr>
        <w:pStyle w:val="130"/>
        <w:ind w:firstLine="480"/>
        <w:rPr>
          <w:color w:val="auto"/>
        </w:rPr>
      </w:pPr>
      <w:r>
        <w:rPr>
          <w:color w:val="auto"/>
        </w:rPr>
        <w:t>本项目</w:t>
      </w:r>
      <w:r>
        <w:rPr>
          <w:rFonts w:hint="eastAsia"/>
          <w:color w:val="auto"/>
        </w:rPr>
        <w:t>运营期全厂</w:t>
      </w:r>
      <w:r>
        <w:rPr>
          <w:color w:val="auto"/>
        </w:rPr>
        <w:t>产生的噪声主要为机械动力噪声及车辆运输噪声，噪声值一般在75~90dB(A)，采取减振、隔声等措施，各类水泵及风机等高噪设备置于封闭的厂房内运行，厂房有一定的隔声作用，可减少噪声对环境的影响。根据宁夏中科精科检测技术有限公司于2021年12月21日~22日对项目四周厂界和声环境敏感目标阳沟村希望小学的监测结果，监测期间本项目所有生产设备均正常运行，四周厂界噪声可达到《工业企业厂界环境噪声排放标准》（GB12348-2008）2类标准要求，声环境敏感目标阳沟村希望小学满足《声环境质量标准》（GB3096-2008）1类标准要求。</w:t>
      </w:r>
    </w:p>
    <w:p>
      <w:pPr>
        <w:pStyle w:val="130"/>
        <w:ind w:firstLine="480"/>
        <w:rPr>
          <w:color w:val="auto"/>
        </w:rPr>
      </w:pPr>
      <w:r>
        <w:rPr>
          <w:color w:val="auto"/>
        </w:rPr>
        <w:t>为减少本项目运营期噪声对周围环境产生影响，建设单位采取有效的噪声防护措施，具体如下：</w:t>
      </w:r>
    </w:p>
    <w:p>
      <w:pPr>
        <w:pStyle w:val="130"/>
        <w:ind w:firstLine="480"/>
        <w:rPr>
          <w:color w:val="auto"/>
        </w:rPr>
      </w:pPr>
      <w:r>
        <w:rPr>
          <w:color w:val="auto"/>
        </w:rPr>
        <w:t>①选用低噪声设备，减低噪声源强；</w:t>
      </w:r>
    </w:p>
    <w:p>
      <w:pPr>
        <w:pStyle w:val="130"/>
        <w:ind w:firstLine="480"/>
        <w:rPr>
          <w:color w:val="auto"/>
        </w:rPr>
      </w:pPr>
      <w:r>
        <w:rPr>
          <w:color w:val="auto"/>
        </w:rPr>
        <w:t>②合理布局厂区和车间的生产设备；</w:t>
      </w:r>
    </w:p>
    <w:p>
      <w:pPr>
        <w:pStyle w:val="130"/>
        <w:ind w:firstLine="480"/>
        <w:rPr>
          <w:color w:val="auto"/>
        </w:rPr>
      </w:pPr>
      <w:r>
        <w:rPr>
          <w:color w:val="auto"/>
        </w:rPr>
        <w:t>③通过厂房墙体的阻隔和距离的自然衰减降低噪声影响；</w:t>
      </w:r>
    </w:p>
    <w:p>
      <w:pPr>
        <w:pStyle w:val="130"/>
        <w:ind w:firstLine="480"/>
        <w:rPr>
          <w:color w:val="auto"/>
        </w:rPr>
      </w:pPr>
      <w:r>
        <w:rPr>
          <w:color w:val="auto"/>
        </w:rPr>
        <w:t>④对各种因振动而产生噪声的引风机、泵等，均采取相应减振措施。</w:t>
      </w:r>
    </w:p>
    <w:p>
      <w:pPr>
        <w:pStyle w:val="130"/>
        <w:ind w:firstLine="480"/>
        <w:rPr>
          <w:color w:val="auto"/>
        </w:rPr>
      </w:pPr>
      <w:r>
        <w:rPr>
          <w:color w:val="auto"/>
        </w:rPr>
        <w:t>⑤管路系统噪声控制：合理设计和布置管线，管道选用较大管径以降低流速，减少管道拐弯、交叉和变径，弯头的曲率半径至少5倍于管径，管线支承架设要牢固，靠近振源的管线处设置波纹膨胀节或其它软接头，隔绝固体卢传播，在管线穿过墙体时采用弹性连接在管道外壁敷设阻尼隔声层。</w:t>
      </w:r>
    </w:p>
    <w:p>
      <w:pPr>
        <w:pStyle w:val="130"/>
        <w:ind w:firstLine="480"/>
        <w:rPr>
          <w:color w:val="auto"/>
        </w:rPr>
      </w:pPr>
      <w:r>
        <w:rPr>
          <w:color w:val="auto"/>
        </w:rPr>
        <w:t>以上采取的各种降噪措施，技术成熟，可操作性强，而且在国内各类型生产企业中已成功应用。根据本项目运行期间噪声实际监测结果，经采取有效的减振、降噪等措施后，厂界噪声值均可以满足《工业企业厂界环境噪声排放标准》</w:t>
      </w:r>
      <w:r>
        <w:rPr>
          <w:rFonts w:eastAsia="TimesNewRomanPSMT"/>
          <w:color w:val="auto"/>
        </w:rPr>
        <w:t xml:space="preserve">2 </w:t>
      </w:r>
      <w:r>
        <w:rPr>
          <w:color w:val="auto"/>
        </w:rPr>
        <w:t>类标准要求，声环境敏感目标阳沟村希望小学满足《声环境质量标准》（GB3096-2008）1类标准要求。因此，本项目噪声污染防治措施可行，对周围声环境影响较小。</w:t>
      </w:r>
    </w:p>
    <w:p>
      <w:pPr>
        <w:pStyle w:val="4"/>
        <w:numPr>
          <w:ilvl w:val="1"/>
          <w:numId w:val="0"/>
        </w:numPr>
        <w:spacing w:before="120"/>
        <w:rPr>
          <w:color w:val="auto"/>
        </w:rPr>
      </w:pPr>
      <w:bookmarkStart w:id="651" w:name="_Toc109398714"/>
      <w:r>
        <w:rPr>
          <w:color w:val="auto"/>
        </w:rPr>
        <w:t>8.6固体废物污染防治措施</w:t>
      </w:r>
      <w:bookmarkEnd w:id="651"/>
    </w:p>
    <w:p>
      <w:pPr>
        <w:pStyle w:val="5"/>
        <w:numPr>
          <w:ilvl w:val="2"/>
          <w:numId w:val="0"/>
        </w:numPr>
        <w:ind w:left="-720" w:leftChars="-343" w:firstLine="723" w:firstLineChars="300"/>
        <w:rPr>
          <w:snapToGrid w:val="0"/>
          <w:color w:val="auto"/>
        </w:rPr>
      </w:pPr>
      <w:bookmarkStart w:id="652" w:name="_Toc109398715"/>
      <w:r>
        <w:rPr>
          <w:snapToGrid w:val="0"/>
          <w:color w:val="auto"/>
        </w:rPr>
        <w:t>8.6.1固体废物处置原则</w:t>
      </w:r>
      <w:bookmarkEnd w:id="652"/>
    </w:p>
    <w:p>
      <w:pPr>
        <w:pStyle w:val="130"/>
        <w:ind w:firstLine="480"/>
        <w:rPr>
          <w:color w:val="auto"/>
        </w:rPr>
      </w:pPr>
      <w:r>
        <w:rPr>
          <w:color w:val="auto"/>
        </w:rPr>
        <w:t>对于</w:t>
      </w:r>
      <w:r>
        <w:rPr>
          <w:rFonts w:hint="eastAsia"/>
          <w:color w:val="auto"/>
        </w:rPr>
        <w:t>本项目</w:t>
      </w:r>
      <w:r>
        <w:rPr>
          <w:color w:val="auto"/>
        </w:rPr>
        <w:t>固体废物处置，按“资源化、减量化、无害化”考虑，首先研究其综合利用的可能性，实现循环经济，对于不能再综合利用的，考虑减量化，委托有资质的单位进行处理，最后进行无害化处置，按照国家规定进行安全填埋或卫生填埋。</w:t>
      </w:r>
    </w:p>
    <w:p>
      <w:pPr>
        <w:pStyle w:val="5"/>
        <w:numPr>
          <w:ilvl w:val="2"/>
          <w:numId w:val="0"/>
        </w:numPr>
        <w:ind w:left="-720" w:leftChars="-343" w:firstLine="723" w:firstLineChars="300"/>
        <w:rPr>
          <w:snapToGrid w:val="0"/>
          <w:color w:val="auto"/>
        </w:rPr>
      </w:pPr>
      <w:bookmarkStart w:id="653" w:name="_Toc109398716"/>
      <w:r>
        <w:rPr>
          <w:snapToGrid w:val="0"/>
          <w:color w:val="auto"/>
        </w:rPr>
        <w:t>8.6.2固体废物处置情况</w:t>
      </w:r>
      <w:bookmarkEnd w:id="653"/>
    </w:p>
    <w:p>
      <w:pPr>
        <w:pStyle w:val="130"/>
        <w:ind w:firstLine="456"/>
        <w:rPr>
          <w:color w:val="auto"/>
        </w:rPr>
      </w:pPr>
      <w:r>
        <w:rPr>
          <w:color w:val="auto"/>
          <w:spacing w:val="-6"/>
        </w:rPr>
        <w:t>本项目</w:t>
      </w:r>
      <w:r>
        <w:rPr>
          <w:rFonts w:hint="eastAsia"/>
          <w:color w:val="auto"/>
          <w:spacing w:val="-6"/>
        </w:rPr>
        <w:t>建成后全厂</w:t>
      </w:r>
      <w:r>
        <w:rPr>
          <w:color w:val="auto"/>
          <w:spacing w:val="-6"/>
        </w:rPr>
        <w:t>产生的主要固体废物包括生活垃圾、报废周转箱、灭菌处理后的医疗废物、废活性炭、废滤芯、污水处理站污泥和废树脂。</w:t>
      </w:r>
    </w:p>
    <w:p>
      <w:pPr>
        <w:pStyle w:val="130"/>
        <w:ind w:firstLine="480" w:firstLineChars="0"/>
        <w:rPr>
          <w:color w:val="auto"/>
        </w:rPr>
      </w:pPr>
      <w:r>
        <w:rPr>
          <w:bCs w:val="0"/>
          <w:color w:val="auto"/>
        </w:rPr>
        <w:t>⑴一</w:t>
      </w:r>
      <w:r>
        <w:rPr>
          <w:color w:val="auto"/>
        </w:rPr>
        <w:t>般工业固体废物</w:t>
      </w:r>
    </w:p>
    <w:p>
      <w:pPr>
        <w:pStyle w:val="130"/>
        <w:ind w:firstLine="480"/>
        <w:rPr>
          <w:color w:val="auto"/>
        </w:rPr>
      </w:pPr>
      <w:r>
        <w:rPr>
          <w:color w:val="auto"/>
        </w:rPr>
        <w:t>主要为生活垃圾、报废周转箱和废树脂，产生总量为6.695t/a。其中生活垃圾产生量为6.6t/a，报废周转箱产生量为0.015t/a，废树脂产生量为0.08t/a，收集后清运至中卫市第二生活垃圾填埋场卫生填埋。</w:t>
      </w:r>
    </w:p>
    <w:p>
      <w:pPr>
        <w:pStyle w:val="130"/>
        <w:ind w:firstLine="480"/>
        <w:rPr>
          <w:color w:val="auto"/>
        </w:rPr>
      </w:pPr>
      <w:r>
        <w:rPr>
          <w:color w:val="auto"/>
        </w:rPr>
        <w:t>⑵危险废物</w:t>
      </w:r>
    </w:p>
    <w:p>
      <w:pPr>
        <w:pStyle w:val="130"/>
        <w:ind w:firstLine="480"/>
        <w:rPr>
          <w:color w:val="auto"/>
        </w:rPr>
      </w:pPr>
      <w:r>
        <w:rPr>
          <w:color w:val="auto"/>
        </w:rPr>
        <w:t>主要包括灭菌处理后的医疗废物、废活性炭、废滤芯和污水处理站污泥，产生总量为2434.078t/a。其中灭菌处理后的医疗废物产生量为2433.14t/a，根据《国家危险废物名录（2021）》，按照《医疗废物高温蒸汽消毒集中处理工程技术规范》（HJ 276-2021）进行处理后属于豁免类，其运输过程和处置过程不按危险废物管理，收集后清运至中卫市第二生活垃圾填埋场填埋。废活性炭产生量为0.05t/a、废滤芯产生量为0.088t/a、污水处理站污泥产生量为0.8t/a，全部要求建设单位照危险废物管理要求在危废暂存间内分类暂存、转移，收集后委托宁夏德坤环保科技实业集团有限公司处置。</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t>危险废物管理要求如下：</w:t>
      </w:r>
    </w:p>
    <w:p>
      <w:pPr>
        <w:widowControl/>
        <w:spacing w:line="360" w:lineRule="auto"/>
        <w:ind w:firstLine="480" w:firstLineChars="200"/>
        <w:rPr>
          <w:rFonts w:eastAsiaTheme="minorEastAsia"/>
          <w:bCs/>
          <w:snapToGrid w:val="0"/>
          <w:color w:val="auto"/>
          <w:kern w:val="0"/>
          <w:sz w:val="24"/>
          <w:szCs w:val="24"/>
        </w:rPr>
      </w:pPr>
      <w:r>
        <w:rPr>
          <w:bCs/>
          <w:snapToGrid w:val="0"/>
          <w:color w:val="auto"/>
          <w:kern w:val="0"/>
          <w:sz w:val="24"/>
          <w:szCs w:val="24"/>
        </w:rPr>
        <w:t>⑴</w:t>
      </w:r>
      <w:r>
        <w:rPr>
          <w:rFonts w:eastAsiaTheme="minorEastAsia"/>
          <w:bCs/>
          <w:snapToGrid w:val="0"/>
          <w:color w:val="auto"/>
          <w:kern w:val="0"/>
          <w:sz w:val="24"/>
          <w:szCs w:val="24"/>
        </w:rPr>
        <w:t>危险废物收集污染防治措施分析</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t>危险废物包括处理前的医疗废物、废活性炭、废滤芯和污水处理站污泥，收集、运输、贮存、管理以及转运应严格按照《危险废物污染防治技术政策》</w:t>
      </w:r>
      <w:r>
        <w:rPr>
          <w:rFonts w:hint="eastAsia" w:eastAsiaTheme="minorEastAsia"/>
          <w:bCs/>
          <w:snapToGrid w:val="0"/>
          <w:color w:val="auto"/>
          <w:kern w:val="0"/>
          <w:sz w:val="24"/>
          <w:szCs w:val="24"/>
        </w:rPr>
        <w:t>（</w:t>
      </w:r>
      <w:r>
        <w:rPr>
          <w:rFonts w:eastAsiaTheme="minorEastAsia"/>
          <w:bCs/>
          <w:snapToGrid w:val="0"/>
          <w:color w:val="auto"/>
          <w:kern w:val="0"/>
          <w:sz w:val="24"/>
          <w:szCs w:val="24"/>
        </w:rPr>
        <w:t>环发[2001]199号</w:t>
      </w:r>
      <w:r>
        <w:rPr>
          <w:rFonts w:hint="eastAsia" w:eastAsiaTheme="minorEastAsia"/>
          <w:bCs/>
          <w:snapToGrid w:val="0"/>
          <w:color w:val="auto"/>
          <w:kern w:val="0"/>
          <w:sz w:val="24"/>
          <w:szCs w:val="24"/>
        </w:rPr>
        <w:t>）</w:t>
      </w:r>
      <w:r>
        <w:rPr>
          <w:rFonts w:eastAsiaTheme="minorEastAsia"/>
          <w:bCs/>
          <w:snapToGrid w:val="0"/>
          <w:color w:val="auto"/>
          <w:kern w:val="0"/>
          <w:sz w:val="24"/>
          <w:szCs w:val="24"/>
        </w:rPr>
        <w:t>、《危险废物转移管理办法》（生态环境部、公安部、交通运输部令第23号）和《危险废物贮存污染控制标准》</w:t>
      </w:r>
      <w:r>
        <w:rPr>
          <w:rFonts w:hint="eastAsia" w:eastAsiaTheme="minorEastAsia"/>
          <w:bCs/>
          <w:snapToGrid w:val="0"/>
          <w:color w:val="auto"/>
          <w:kern w:val="0"/>
          <w:sz w:val="24"/>
          <w:szCs w:val="24"/>
        </w:rPr>
        <w:t>（</w:t>
      </w:r>
      <w:r>
        <w:rPr>
          <w:rFonts w:eastAsiaTheme="minorEastAsia"/>
          <w:bCs/>
          <w:snapToGrid w:val="0"/>
          <w:color w:val="auto"/>
          <w:kern w:val="0"/>
          <w:sz w:val="24"/>
          <w:szCs w:val="24"/>
        </w:rPr>
        <w:t>GB18597-2001及2013修改单</w:t>
      </w:r>
      <w:r>
        <w:rPr>
          <w:rFonts w:hint="eastAsia" w:eastAsiaTheme="minorEastAsia"/>
          <w:bCs/>
          <w:snapToGrid w:val="0"/>
          <w:color w:val="auto"/>
          <w:kern w:val="0"/>
          <w:sz w:val="24"/>
          <w:szCs w:val="24"/>
        </w:rPr>
        <w:t>）</w:t>
      </w:r>
      <w:r>
        <w:rPr>
          <w:rFonts w:eastAsiaTheme="minorEastAsia"/>
          <w:bCs/>
          <w:snapToGrid w:val="0"/>
          <w:color w:val="auto"/>
          <w:kern w:val="0"/>
          <w:sz w:val="24"/>
          <w:szCs w:val="24"/>
        </w:rPr>
        <w:t>实行。危险废物在收集时，应清楚废物的类别及主要成份，以方便委托处理单位处理，根据危险废物的性质和形态，可采用不同大小和不同材质的容器进行包装，所有包装容器应足够安全，并经过周密检查，严防在装载、搬移或运输途中出现渗漏、溢出、抛洒或挥发等情况。</w:t>
      </w:r>
    </w:p>
    <w:p>
      <w:pPr>
        <w:widowControl/>
        <w:spacing w:line="360" w:lineRule="auto"/>
        <w:ind w:firstLine="480" w:firstLineChars="200"/>
        <w:rPr>
          <w:rFonts w:eastAsiaTheme="minorEastAsia"/>
          <w:bCs/>
          <w:snapToGrid w:val="0"/>
          <w:color w:val="auto"/>
          <w:kern w:val="0"/>
          <w:sz w:val="24"/>
          <w:szCs w:val="24"/>
        </w:rPr>
      </w:pPr>
      <w:r>
        <w:rPr>
          <w:bCs/>
          <w:snapToGrid w:val="0"/>
          <w:color w:val="auto"/>
          <w:kern w:val="0"/>
          <w:sz w:val="24"/>
          <w:szCs w:val="24"/>
        </w:rPr>
        <w:t>⑵</w:t>
      </w:r>
      <w:r>
        <w:rPr>
          <w:rFonts w:eastAsiaTheme="minorEastAsia"/>
          <w:bCs/>
          <w:snapToGrid w:val="0"/>
          <w:color w:val="auto"/>
          <w:kern w:val="0"/>
          <w:sz w:val="24"/>
          <w:szCs w:val="24"/>
        </w:rPr>
        <w:t>危险废物暂存污染防治措施分析</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t>危险废物应尽快送往委托处置单位处理，不宜存放过长时间，医废冷藏车间、医废暂存库属于危险废物贮存场所，做到以下几点：</w:t>
      </w:r>
    </w:p>
    <w:p>
      <w:pPr>
        <w:widowControl/>
        <w:spacing w:line="360" w:lineRule="auto"/>
        <w:ind w:firstLine="480" w:firstLineChars="200"/>
        <w:rPr>
          <w:rFonts w:eastAsiaTheme="minorEastAsia"/>
          <w:bCs/>
          <w:snapToGrid w:val="0"/>
          <w:color w:val="auto"/>
          <w:kern w:val="0"/>
          <w:sz w:val="24"/>
          <w:szCs w:val="24"/>
        </w:rPr>
      </w:pPr>
      <w:r>
        <w:rPr>
          <w:bCs/>
          <w:snapToGrid w:val="0"/>
          <w:color w:val="auto"/>
          <w:kern w:val="0"/>
          <w:sz w:val="24"/>
          <w:szCs w:val="24"/>
        </w:rPr>
        <w:t>①</w:t>
      </w:r>
      <w:r>
        <w:rPr>
          <w:rFonts w:eastAsiaTheme="minorEastAsia"/>
          <w:bCs/>
          <w:snapToGrid w:val="0"/>
          <w:color w:val="auto"/>
          <w:kern w:val="0"/>
          <w:sz w:val="24"/>
          <w:szCs w:val="24"/>
        </w:rPr>
        <w:t>建设单位按《危险废物贮存污染控制标准》（GB18597-2001）的相关要求设专用的危险废物暂存间，并采取相应的的防渗、防流失措施；</w:t>
      </w:r>
    </w:p>
    <w:p>
      <w:pPr>
        <w:widowControl/>
        <w:spacing w:line="360" w:lineRule="auto"/>
        <w:ind w:firstLine="480" w:firstLineChars="200"/>
        <w:rPr>
          <w:rFonts w:eastAsiaTheme="minorEastAsia"/>
          <w:bCs/>
          <w:snapToGrid w:val="0"/>
          <w:color w:val="auto"/>
          <w:kern w:val="0"/>
          <w:sz w:val="24"/>
          <w:szCs w:val="24"/>
        </w:rPr>
      </w:pPr>
      <w:r>
        <w:rPr>
          <w:bCs/>
          <w:snapToGrid w:val="0"/>
          <w:color w:val="auto"/>
          <w:kern w:val="0"/>
          <w:sz w:val="24"/>
          <w:szCs w:val="24"/>
        </w:rPr>
        <w:t>②</w:t>
      </w:r>
      <w:r>
        <w:rPr>
          <w:rFonts w:eastAsiaTheme="minorEastAsia"/>
          <w:bCs/>
          <w:snapToGrid w:val="0"/>
          <w:color w:val="auto"/>
          <w:kern w:val="0"/>
          <w:sz w:val="24"/>
          <w:szCs w:val="24"/>
        </w:rPr>
        <w:t>贮存场所应符合《危险废物贮存污染控制标准》（GB18597-2001）规定的贮存控制标准，有符合要求的专用标志；</w:t>
      </w:r>
    </w:p>
    <w:p>
      <w:pPr>
        <w:widowControl/>
        <w:spacing w:line="360" w:lineRule="auto"/>
        <w:ind w:firstLine="480" w:firstLineChars="200"/>
        <w:rPr>
          <w:rFonts w:eastAsiaTheme="minorEastAsia"/>
          <w:bCs/>
          <w:snapToGrid w:val="0"/>
          <w:color w:val="auto"/>
          <w:kern w:val="0"/>
          <w:sz w:val="24"/>
          <w:szCs w:val="24"/>
        </w:rPr>
      </w:pPr>
      <w:r>
        <w:rPr>
          <w:bCs/>
          <w:snapToGrid w:val="0"/>
          <w:color w:val="auto"/>
          <w:kern w:val="0"/>
          <w:sz w:val="24"/>
          <w:szCs w:val="24"/>
        </w:rPr>
        <w:t>③</w:t>
      </w:r>
      <w:r>
        <w:rPr>
          <w:rFonts w:eastAsiaTheme="minorEastAsia"/>
          <w:bCs/>
          <w:snapToGrid w:val="0"/>
          <w:color w:val="auto"/>
          <w:kern w:val="0"/>
          <w:sz w:val="24"/>
          <w:szCs w:val="24"/>
        </w:rPr>
        <w:t>在常温常压下不水解、不挥发的固体危险废物可在贮存设施内分别堆放，除此之外其他危险废物必须装在容器内。禁止将不相容（相互反应）的危险废物在同一容器内混装。装载液体、半固体危险废物的容器内须留足够空间，容器顶部与液体表面之间保留100mm以上的空间。蒸馏釜残贮存容器必须有明显标志，具有耐腐蚀、耐压、密封和不与所贮存的废物发生发应等特性；</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fldChar w:fldCharType="begin"/>
      </w:r>
      <w:r>
        <w:rPr>
          <w:rFonts w:eastAsiaTheme="minorEastAsia"/>
          <w:bCs/>
          <w:snapToGrid w:val="0"/>
          <w:color w:val="auto"/>
          <w:kern w:val="0"/>
          <w:sz w:val="24"/>
          <w:szCs w:val="24"/>
        </w:rPr>
        <w:instrText xml:space="preserve">= 4 \* GB3</w:instrText>
      </w:r>
      <w:r>
        <w:rPr>
          <w:rFonts w:eastAsiaTheme="minorEastAsia"/>
          <w:bCs/>
          <w:snapToGrid w:val="0"/>
          <w:color w:val="auto"/>
          <w:kern w:val="0"/>
          <w:sz w:val="24"/>
          <w:szCs w:val="24"/>
        </w:rPr>
        <w:fldChar w:fldCharType="separate"/>
      </w:r>
      <w:r>
        <w:rPr>
          <w:bCs/>
          <w:snapToGrid w:val="0"/>
          <w:color w:val="auto"/>
          <w:kern w:val="0"/>
          <w:sz w:val="24"/>
          <w:szCs w:val="24"/>
        </w:rPr>
        <w:t>④</w:t>
      </w:r>
      <w:r>
        <w:rPr>
          <w:rFonts w:eastAsiaTheme="minorEastAsia"/>
          <w:bCs/>
          <w:snapToGrid w:val="0"/>
          <w:color w:val="auto"/>
          <w:kern w:val="0"/>
          <w:sz w:val="24"/>
          <w:szCs w:val="24"/>
        </w:rPr>
        <w:fldChar w:fldCharType="end"/>
      </w:r>
      <w:r>
        <w:rPr>
          <w:rFonts w:eastAsiaTheme="minorEastAsia"/>
          <w:bCs/>
          <w:snapToGrid w:val="0"/>
          <w:color w:val="auto"/>
          <w:kern w:val="0"/>
          <w:sz w:val="24"/>
          <w:szCs w:val="24"/>
        </w:rPr>
        <w:t>危废暂存间门地面与裙脚要用坚固、防渗的材料建造，建筑材料必须与危险废物相容；</w:t>
      </w:r>
    </w:p>
    <w:p>
      <w:pPr>
        <w:widowControl/>
        <w:overflowPunct w:val="0"/>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fldChar w:fldCharType="begin"/>
      </w:r>
      <w:r>
        <w:rPr>
          <w:rFonts w:eastAsiaTheme="minorEastAsia"/>
          <w:bCs/>
          <w:snapToGrid w:val="0"/>
          <w:color w:val="auto"/>
          <w:kern w:val="0"/>
          <w:sz w:val="24"/>
          <w:szCs w:val="24"/>
        </w:rPr>
        <w:instrText xml:space="preserve">= 5 \* GB3</w:instrText>
      </w:r>
      <w:r>
        <w:rPr>
          <w:rFonts w:eastAsiaTheme="minorEastAsia"/>
          <w:bCs/>
          <w:snapToGrid w:val="0"/>
          <w:color w:val="auto"/>
          <w:kern w:val="0"/>
          <w:sz w:val="24"/>
          <w:szCs w:val="24"/>
        </w:rPr>
        <w:fldChar w:fldCharType="separate"/>
      </w:r>
      <w:r>
        <w:rPr>
          <w:bCs/>
          <w:snapToGrid w:val="0"/>
          <w:color w:val="auto"/>
          <w:kern w:val="0"/>
          <w:sz w:val="24"/>
          <w:szCs w:val="24"/>
        </w:rPr>
        <w:t>⑤</w:t>
      </w:r>
      <w:r>
        <w:rPr>
          <w:rFonts w:eastAsiaTheme="minorEastAsia"/>
          <w:bCs/>
          <w:snapToGrid w:val="0"/>
          <w:color w:val="auto"/>
          <w:kern w:val="0"/>
          <w:sz w:val="24"/>
          <w:szCs w:val="24"/>
        </w:rPr>
        <w:fldChar w:fldCharType="end"/>
      </w:r>
      <w:r>
        <w:rPr>
          <w:rFonts w:eastAsiaTheme="minorEastAsia"/>
          <w:bCs/>
          <w:snapToGrid w:val="0"/>
          <w:color w:val="auto"/>
          <w:kern w:val="0"/>
          <w:sz w:val="24"/>
          <w:szCs w:val="24"/>
        </w:rPr>
        <w:t>危废暂存设施基础必须防渗，防渗层为至少1m厚粘土层（渗透系数＜10</w:t>
      </w:r>
      <w:r>
        <w:rPr>
          <w:rFonts w:eastAsiaTheme="minorEastAsia"/>
          <w:bCs/>
          <w:snapToGrid w:val="0"/>
          <w:color w:val="auto"/>
          <w:kern w:val="0"/>
          <w:sz w:val="24"/>
          <w:szCs w:val="24"/>
          <w:vertAlign w:val="superscript"/>
        </w:rPr>
        <w:t>-7</w:t>
      </w:r>
      <w:r>
        <w:rPr>
          <w:rFonts w:eastAsiaTheme="minorEastAsia"/>
          <w:bCs/>
          <w:snapToGrid w:val="0"/>
          <w:color w:val="auto"/>
          <w:kern w:val="0"/>
          <w:sz w:val="24"/>
          <w:szCs w:val="24"/>
        </w:rPr>
        <w:t>cm/s），或2mm厚高密度聚乙烯，或至少2mm厚的其他人工材料，渗透系数</w:t>
      </w:r>
      <w:r>
        <w:rPr>
          <w:bCs/>
          <w:snapToGrid w:val="0"/>
          <w:color w:val="auto"/>
          <w:kern w:val="0"/>
          <w:sz w:val="24"/>
          <w:szCs w:val="24"/>
        </w:rPr>
        <w:t>≦</w:t>
      </w:r>
      <w:r>
        <w:rPr>
          <w:rFonts w:eastAsiaTheme="minorEastAsia"/>
          <w:bCs/>
          <w:snapToGrid w:val="0"/>
          <w:color w:val="auto"/>
          <w:kern w:val="0"/>
          <w:sz w:val="24"/>
          <w:szCs w:val="24"/>
        </w:rPr>
        <w:t>10</w:t>
      </w:r>
      <w:r>
        <w:rPr>
          <w:rFonts w:eastAsiaTheme="minorEastAsia"/>
          <w:bCs/>
          <w:snapToGrid w:val="0"/>
          <w:color w:val="auto"/>
          <w:kern w:val="0"/>
          <w:sz w:val="24"/>
          <w:szCs w:val="24"/>
          <w:vertAlign w:val="superscript"/>
        </w:rPr>
        <w:t>-10</w:t>
      </w:r>
      <w:r>
        <w:rPr>
          <w:rFonts w:eastAsiaTheme="minorEastAsia"/>
          <w:bCs/>
          <w:snapToGrid w:val="0"/>
          <w:color w:val="auto"/>
          <w:kern w:val="0"/>
          <w:sz w:val="24"/>
          <w:szCs w:val="24"/>
        </w:rPr>
        <w:t>cm/s；</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fldChar w:fldCharType="begin"/>
      </w:r>
      <w:r>
        <w:rPr>
          <w:rFonts w:eastAsiaTheme="minorEastAsia"/>
          <w:bCs/>
          <w:snapToGrid w:val="0"/>
          <w:color w:val="auto"/>
          <w:kern w:val="0"/>
          <w:sz w:val="24"/>
          <w:szCs w:val="24"/>
        </w:rPr>
        <w:instrText xml:space="preserve">= 6 \* GB3</w:instrText>
      </w:r>
      <w:r>
        <w:rPr>
          <w:rFonts w:eastAsiaTheme="minorEastAsia"/>
          <w:bCs/>
          <w:snapToGrid w:val="0"/>
          <w:color w:val="auto"/>
          <w:kern w:val="0"/>
          <w:sz w:val="24"/>
          <w:szCs w:val="24"/>
        </w:rPr>
        <w:fldChar w:fldCharType="separate"/>
      </w:r>
      <w:r>
        <w:rPr>
          <w:bCs/>
          <w:snapToGrid w:val="0"/>
          <w:color w:val="auto"/>
          <w:kern w:val="0"/>
          <w:sz w:val="24"/>
          <w:szCs w:val="24"/>
        </w:rPr>
        <w:t>⑥</w:t>
      </w:r>
      <w:r>
        <w:rPr>
          <w:rFonts w:eastAsiaTheme="minorEastAsia"/>
          <w:bCs/>
          <w:snapToGrid w:val="0"/>
          <w:color w:val="auto"/>
          <w:kern w:val="0"/>
          <w:sz w:val="24"/>
          <w:szCs w:val="24"/>
        </w:rPr>
        <w:fldChar w:fldCharType="end"/>
      </w:r>
      <w:r>
        <w:rPr>
          <w:rFonts w:eastAsiaTheme="minorEastAsia"/>
          <w:bCs/>
          <w:snapToGrid w:val="0"/>
          <w:color w:val="auto"/>
          <w:kern w:val="0"/>
          <w:sz w:val="24"/>
          <w:szCs w:val="24"/>
        </w:rPr>
        <w:t>危险废物贮存设施周围应设置围墙或其他防护栅栏；</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fldChar w:fldCharType="begin"/>
      </w:r>
      <w:r>
        <w:rPr>
          <w:rFonts w:eastAsiaTheme="minorEastAsia"/>
          <w:bCs/>
          <w:snapToGrid w:val="0"/>
          <w:color w:val="auto"/>
          <w:kern w:val="0"/>
          <w:sz w:val="24"/>
          <w:szCs w:val="24"/>
        </w:rPr>
        <w:instrText xml:space="preserve">= 7 \* GB3</w:instrText>
      </w:r>
      <w:r>
        <w:rPr>
          <w:rFonts w:eastAsiaTheme="minorEastAsia"/>
          <w:bCs/>
          <w:snapToGrid w:val="0"/>
          <w:color w:val="auto"/>
          <w:kern w:val="0"/>
          <w:sz w:val="24"/>
          <w:szCs w:val="24"/>
        </w:rPr>
        <w:fldChar w:fldCharType="separate"/>
      </w:r>
      <w:r>
        <w:rPr>
          <w:bCs/>
          <w:snapToGrid w:val="0"/>
          <w:color w:val="auto"/>
          <w:kern w:val="0"/>
          <w:sz w:val="24"/>
          <w:szCs w:val="24"/>
        </w:rPr>
        <w:t>⑦</w:t>
      </w:r>
      <w:r>
        <w:rPr>
          <w:rFonts w:eastAsiaTheme="minorEastAsia"/>
          <w:bCs/>
          <w:snapToGrid w:val="0"/>
          <w:color w:val="auto"/>
          <w:kern w:val="0"/>
          <w:sz w:val="24"/>
          <w:szCs w:val="24"/>
        </w:rPr>
        <w:fldChar w:fldCharType="end"/>
      </w:r>
      <w:r>
        <w:rPr>
          <w:rFonts w:eastAsiaTheme="minorEastAsia"/>
          <w:bCs/>
          <w:snapToGrid w:val="0"/>
          <w:color w:val="auto"/>
          <w:kern w:val="0"/>
          <w:sz w:val="24"/>
          <w:szCs w:val="24"/>
        </w:rPr>
        <w:t>危险废物贮存设施应配备通讯设备、照明设施、安全防护服装及工具，并设有应急防护设施；</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fldChar w:fldCharType="begin"/>
      </w:r>
      <w:r>
        <w:rPr>
          <w:rFonts w:eastAsiaTheme="minorEastAsia"/>
          <w:bCs/>
          <w:snapToGrid w:val="0"/>
          <w:color w:val="auto"/>
          <w:kern w:val="0"/>
          <w:sz w:val="24"/>
          <w:szCs w:val="24"/>
        </w:rPr>
        <w:instrText xml:space="preserve">= 8 \* GB3</w:instrText>
      </w:r>
      <w:r>
        <w:rPr>
          <w:rFonts w:eastAsiaTheme="minorEastAsia"/>
          <w:bCs/>
          <w:snapToGrid w:val="0"/>
          <w:color w:val="auto"/>
          <w:kern w:val="0"/>
          <w:sz w:val="24"/>
          <w:szCs w:val="24"/>
        </w:rPr>
        <w:fldChar w:fldCharType="separate"/>
      </w:r>
      <w:r>
        <w:rPr>
          <w:bCs/>
          <w:snapToGrid w:val="0"/>
          <w:color w:val="auto"/>
          <w:kern w:val="0"/>
          <w:sz w:val="24"/>
          <w:szCs w:val="24"/>
        </w:rPr>
        <w:t>⑧</w:t>
      </w:r>
      <w:r>
        <w:rPr>
          <w:rFonts w:eastAsiaTheme="minorEastAsia"/>
          <w:bCs/>
          <w:snapToGrid w:val="0"/>
          <w:color w:val="auto"/>
          <w:kern w:val="0"/>
          <w:sz w:val="24"/>
          <w:szCs w:val="24"/>
        </w:rPr>
        <w:fldChar w:fldCharType="end"/>
      </w:r>
      <w:r>
        <w:rPr>
          <w:rFonts w:eastAsiaTheme="minorEastAsia"/>
          <w:bCs/>
          <w:snapToGrid w:val="0"/>
          <w:color w:val="auto"/>
          <w:kern w:val="0"/>
          <w:sz w:val="24"/>
          <w:szCs w:val="24"/>
        </w:rPr>
        <w:t>危险废物贮存设施内清理出来的泄漏物，一律按危废处理；</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fldChar w:fldCharType="begin"/>
      </w:r>
      <w:r>
        <w:rPr>
          <w:rFonts w:eastAsiaTheme="minorEastAsia"/>
          <w:bCs/>
          <w:snapToGrid w:val="0"/>
          <w:color w:val="auto"/>
          <w:kern w:val="0"/>
          <w:sz w:val="24"/>
          <w:szCs w:val="24"/>
        </w:rPr>
        <w:instrText xml:space="preserve">= 9 \* GB3</w:instrText>
      </w:r>
      <w:r>
        <w:rPr>
          <w:rFonts w:eastAsiaTheme="minorEastAsia"/>
          <w:bCs/>
          <w:snapToGrid w:val="0"/>
          <w:color w:val="auto"/>
          <w:kern w:val="0"/>
          <w:sz w:val="24"/>
          <w:szCs w:val="24"/>
        </w:rPr>
        <w:fldChar w:fldCharType="separate"/>
      </w:r>
      <w:r>
        <w:rPr>
          <w:bCs/>
          <w:snapToGrid w:val="0"/>
          <w:color w:val="auto"/>
          <w:kern w:val="0"/>
          <w:sz w:val="24"/>
          <w:szCs w:val="24"/>
        </w:rPr>
        <w:t>⑨</w:t>
      </w:r>
      <w:r>
        <w:rPr>
          <w:rFonts w:eastAsiaTheme="minorEastAsia"/>
          <w:bCs/>
          <w:snapToGrid w:val="0"/>
          <w:color w:val="auto"/>
          <w:kern w:val="0"/>
          <w:sz w:val="24"/>
          <w:szCs w:val="24"/>
        </w:rPr>
        <w:fldChar w:fldCharType="end"/>
      </w:r>
      <w:r>
        <w:rPr>
          <w:rFonts w:eastAsiaTheme="minorEastAsia"/>
          <w:bCs/>
          <w:snapToGrid w:val="0"/>
          <w:color w:val="auto"/>
          <w:kern w:val="0"/>
          <w:sz w:val="24"/>
          <w:szCs w:val="24"/>
        </w:rPr>
        <w:t>按国家污染源管理要求对危险废物贮存设施进行监测。</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t>(3)危险废物转移污染控制措施</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t>建设单位应制定定期外运制度，并对危险废物的流向和最终处置进行跟踪，流转时必须符合国家关于《危险废物转移管理办法》（生态环境部、公安部、交通运输部令第23号）的有关要求执行，即：</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fldChar w:fldCharType="begin"/>
      </w:r>
      <w:r>
        <w:rPr>
          <w:rFonts w:eastAsiaTheme="minorEastAsia"/>
          <w:bCs/>
          <w:snapToGrid w:val="0"/>
          <w:color w:val="auto"/>
          <w:kern w:val="0"/>
          <w:sz w:val="24"/>
          <w:szCs w:val="24"/>
        </w:rPr>
        <w:instrText xml:space="preserve">= 1 \* GB3</w:instrText>
      </w:r>
      <w:r>
        <w:rPr>
          <w:rFonts w:eastAsiaTheme="minorEastAsia"/>
          <w:bCs/>
          <w:snapToGrid w:val="0"/>
          <w:color w:val="auto"/>
          <w:kern w:val="0"/>
          <w:sz w:val="24"/>
          <w:szCs w:val="24"/>
        </w:rPr>
        <w:fldChar w:fldCharType="separate"/>
      </w:r>
      <w:r>
        <w:rPr>
          <w:bCs/>
          <w:snapToGrid w:val="0"/>
          <w:color w:val="auto"/>
          <w:kern w:val="0"/>
          <w:sz w:val="24"/>
          <w:szCs w:val="24"/>
        </w:rPr>
        <w:t>①</w:t>
      </w:r>
      <w:r>
        <w:rPr>
          <w:rFonts w:eastAsiaTheme="minorEastAsia"/>
          <w:bCs/>
          <w:snapToGrid w:val="0"/>
          <w:color w:val="auto"/>
          <w:kern w:val="0"/>
          <w:sz w:val="24"/>
          <w:szCs w:val="24"/>
        </w:rPr>
        <w:fldChar w:fldCharType="end"/>
      </w:r>
      <w:r>
        <w:rPr>
          <w:rFonts w:eastAsiaTheme="minorEastAsia"/>
          <w:bCs/>
          <w:snapToGrid w:val="0"/>
          <w:color w:val="auto"/>
          <w:kern w:val="0"/>
          <w:sz w:val="24"/>
          <w:szCs w:val="24"/>
        </w:rPr>
        <w:t>危险废物移出人、危险废物承运人、危险废物接受人在危险废物转移过程中应当采取防扬散、防流失、防渗漏或者其他防止污染环境的措施，不得擅自倾倒、堆放、丢弃、遗撒危险废物。</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fldChar w:fldCharType="begin"/>
      </w:r>
      <w:r>
        <w:rPr>
          <w:rFonts w:eastAsiaTheme="minorEastAsia"/>
          <w:bCs/>
          <w:snapToGrid w:val="0"/>
          <w:color w:val="auto"/>
          <w:kern w:val="0"/>
          <w:sz w:val="24"/>
          <w:szCs w:val="24"/>
        </w:rPr>
        <w:instrText xml:space="preserve">= 2 \* GB3</w:instrText>
      </w:r>
      <w:r>
        <w:rPr>
          <w:rFonts w:eastAsiaTheme="minorEastAsia"/>
          <w:bCs/>
          <w:snapToGrid w:val="0"/>
          <w:color w:val="auto"/>
          <w:kern w:val="0"/>
          <w:sz w:val="24"/>
          <w:szCs w:val="24"/>
        </w:rPr>
        <w:fldChar w:fldCharType="separate"/>
      </w:r>
      <w:r>
        <w:rPr>
          <w:bCs/>
          <w:snapToGrid w:val="0"/>
          <w:color w:val="auto"/>
          <w:kern w:val="0"/>
          <w:sz w:val="24"/>
          <w:szCs w:val="24"/>
        </w:rPr>
        <w:t>②</w:t>
      </w:r>
      <w:r>
        <w:rPr>
          <w:rFonts w:eastAsiaTheme="minorEastAsia"/>
          <w:bCs/>
          <w:snapToGrid w:val="0"/>
          <w:color w:val="auto"/>
          <w:kern w:val="0"/>
          <w:sz w:val="24"/>
          <w:szCs w:val="24"/>
        </w:rPr>
        <w:fldChar w:fldCharType="end"/>
      </w:r>
      <w:r>
        <w:rPr>
          <w:rFonts w:eastAsiaTheme="minorEastAsia"/>
          <w:bCs/>
          <w:snapToGrid w:val="0"/>
          <w:color w:val="auto"/>
          <w:kern w:val="0"/>
          <w:sz w:val="24"/>
          <w:szCs w:val="24"/>
        </w:rPr>
        <w:t>危险废物托运人应当按照国家危险货物相关标准确定危险废物对应危险货物的类别、项别、编号等，并委托具备相应危险货物运输资质的单位承运危险废物，依法签订运输合同。采用包装方式运输危险废物的，应当妥善包装，并按照国家有关标准在外包装上设置相应的识别标志。装载危险废物时，托运人应当核实承运人、运输工具及收运人员是否具有相应经营范围的有效危险货物运输许可证件，以及待转移的危险废物识别标志中的相关信息与危险废物转移联单是否相符；不相符的，应当不予装载。装载采用包装方式运输的危险废物的，应当确保将包装完好的危险废物交付承运人。</w:t>
      </w:r>
    </w:p>
    <w:p>
      <w:pPr>
        <w:widowControl/>
        <w:spacing w:line="360" w:lineRule="auto"/>
        <w:ind w:firstLine="480" w:firstLineChars="200"/>
        <w:rPr>
          <w:rFonts w:eastAsiaTheme="minorEastAsia"/>
          <w:bCs/>
          <w:snapToGrid w:val="0"/>
          <w:color w:val="auto"/>
          <w:kern w:val="0"/>
          <w:sz w:val="24"/>
          <w:szCs w:val="24"/>
        </w:rPr>
      </w:pPr>
      <w:r>
        <w:rPr>
          <w:rFonts w:eastAsiaTheme="minorEastAsia"/>
          <w:bCs/>
          <w:snapToGrid w:val="0"/>
          <w:color w:val="auto"/>
          <w:kern w:val="0"/>
          <w:sz w:val="24"/>
          <w:szCs w:val="24"/>
        </w:rPr>
        <w:fldChar w:fldCharType="begin"/>
      </w:r>
      <w:r>
        <w:rPr>
          <w:rFonts w:eastAsiaTheme="minorEastAsia"/>
          <w:bCs/>
          <w:snapToGrid w:val="0"/>
          <w:color w:val="auto"/>
          <w:kern w:val="0"/>
          <w:sz w:val="24"/>
          <w:szCs w:val="24"/>
        </w:rPr>
        <w:instrText xml:space="preserve">= 3 \* GB3</w:instrText>
      </w:r>
      <w:r>
        <w:rPr>
          <w:rFonts w:eastAsiaTheme="minorEastAsia"/>
          <w:bCs/>
          <w:snapToGrid w:val="0"/>
          <w:color w:val="auto"/>
          <w:kern w:val="0"/>
          <w:sz w:val="24"/>
          <w:szCs w:val="24"/>
        </w:rPr>
        <w:fldChar w:fldCharType="separate"/>
      </w:r>
      <w:r>
        <w:rPr>
          <w:bCs/>
          <w:snapToGrid w:val="0"/>
          <w:color w:val="auto"/>
          <w:kern w:val="0"/>
          <w:sz w:val="24"/>
          <w:szCs w:val="24"/>
        </w:rPr>
        <w:t>③</w:t>
      </w:r>
      <w:r>
        <w:rPr>
          <w:rFonts w:eastAsiaTheme="minorEastAsia"/>
          <w:bCs/>
          <w:snapToGrid w:val="0"/>
          <w:color w:val="auto"/>
          <w:kern w:val="0"/>
          <w:sz w:val="24"/>
          <w:szCs w:val="24"/>
        </w:rPr>
        <w:fldChar w:fldCharType="end"/>
      </w:r>
      <w:r>
        <w:rPr>
          <w:rFonts w:eastAsiaTheme="minorEastAsia"/>
          <w:bCs/>
          <w:snapToGrid w:val="0"/>
          <w:color w:val="auto"/>
          <w:kern w:val="0"/>
          <w:sz w:val="24"/>
          <w:szCs w:val="24"/>
        </w:rPr>
        <w:t>危险废物转移联单应当根据危险废物管理计划中填报的危险废物转移等备案信息填写、运行。危险废物电子转移联单数据应当在信息系统中至少保存十年。</w:t>
      </w:r>
    </w:p>
    <w:p>
      <w:pPr>
        <w:spacing w:line="360" w:lineRule="auto"/>
        <w:ind w:firstLine="480"/>
        <w:rPr>
          <w:rFonts w:eastAsiaTheme="minorEastAsia"/>
          <w:bCs/>
          <w:color w:val="auto"/>
          <w:sz w:val="24"/>
          <w:szCs w:val="24"/>
        </w:rPr>
      </w:pPr>
      <w:r>
        <w:rPr>
          <w:rFonts w:eastAsiaTheme="minorEastAsia"/>
          <w:bCs/>
          <w:color w:val="auto"/>
          <w:sz w:val="24"/>
          <w:szCs w:val="24"/>
        </w:rPr>
        <w:t>综上分析，</w:t>
      </w:r>
      <w:r>
        <w:rPr>
          <w:rFonts w:eastAsiaTheme="minorEastAsia"/>
          <w:bCs/>
          <w:iCs/>
          <w:color w:val="auto"/>
          <w:sz w:val="24"/>
          <w:szCs w:val="24"/>
        </w:rPr>
        <w:t>本项目</w:t>
      </w:r>
      <w:r>
        <w:rPr>
          <w:rFonts w:hint="eastAsia" w:eastAsiaTheme="minorEastAsia"/>
          <w:bCs/>
          <w:iCs/>
          <w:color w:val="auto"/>
          <w:sz w:val="24"/>
          <w:szCs w:val="24"/>
        </w:rPr>
        <w:t>建成后全厂</w:t>
      </w:r>
      <w:r>
        <w:rPr>
          <w:rFonts w:eastAsiaTheme="minorEastAsia"/>
          <w:bCs/>
          <w:iCs/>
          <w:color w:val="auto"/>
          <w:sz w:val="24"/>
          <w:szCs w:val="24"/>
        </w:rPr>
        <w:t>产生的各类固体废物遵循“减量化、资源化、无害化”的处置原则，均采取切实有效的处置措施，且</w:t>
      </w:r>
      <w:r>
        <w:rPr>
          <w:rFonts w:eastAsiaTheme="minorEastAsia"/>
          <w:bCs/>
          <w:color w:val="auto"/>
          <w:sz w:val="24"/>
          <w:szCs w:val="24"/>
        </w:rPr>
        <w:t>处置措施技术可行、经济合理，可</w:t>
      </w:r>
      <w:r>
        <w:rPr>
          <w:rFonts w:eastAsiaTheme="minorEastAsia"/>
          <w:bCs/>
          <w:iCs/>
          <w:color w:val="auto"/>
          <w:sz w:val="24"/>
          <w:szCs w:val="24"/>
        </w:rPr>
        <w:t>确保项目各</w:t>
      </w:r>
      <w:r>
        <w:rPr>
          <w:rFonts w:eastAsiaTheme="minorEastAsia"/>
          <w:bCs/>
          <w:color w:val="auto"/>
          <w:sz w:val="24"/>
          <w:szCs w:val="24"/>
        </w:rPr>
        <w:t>类固体废物得到妥善、安全处置，故采取的上述处理处置措施可行。</w:t>
      </w:r>
    </w:p>
    <w:p>
      <w:pPr>
        <w:pStyle w:val="4"/>
        <w:numPr>
          <w:ilvl w:val="1"/>
          <w:numId w:val="0"/>
        </w:numPr>
        <w:spacing w:before="120"/>
        <w:rPr>
          <w:color w:val="auto"/>
        </w:rPr>
      </w:pPr>
      <w:bookmarkStart w:id="654" w:name="_Toc109398717"/>
      <w:r>
        <w:rPr>
          <w:color w:val="auto"/>
        </w:rPr>
        <w:t>8.7地下水污染防治措施</w:t>
      </w:r>
      <w:bookmarkEnd w:id="654"/>
    </w:p>
    <w:p>
      <w:pPr>
        <w:pStyle w:val="5"/>
        <w:numPr>
          <w:ilvl w:val="2"/>
          <w:numId w:val="0"/>
        </w:numPr>
        <w:ind w:left="-720" w:leftChars="-343" w:firstLine="723" w:firstLineChars="300"/>
        <w:rPr>
          <w:color w:val="auto"/>
        </w:rPr>
      </w:pPr>
      <w:bookmarkStart w:id="655" w:name="_Toc109398718"/>
      <w:r>
        <w:rPr>
          <w:color w:val="auto"/>
        </w:rPr>
        <w:t>8.7.1防污原则</w:t>
      </w:r>
      <w:bookmarkEnd w:id="655"/>
    </w:p>
    <w:p>
      <w:pPr>
        <w:pStyle w:val="130"/>
        <w:ind w:firstLine="480"/>
        <w:rPr>
          <w:color w:val="auto"/>
        </w:rPr>
      </w:pPr>
      <w:r>
        <w:rPr>
          <w:color w:val="auto"/>
        </w:rPr>
        <w:t>依据《环境影响评价技术导则 地下水环境》（HJ610-2016）相关要求，对本项目建设内容提出防渗要求。为防止项目完成后运营期间产生的污染物以及含污介质的下渗对厂区地下水造成污染，应从物料的储存、装卸、运输、污染处理措施等各个环节和过程进行有效控制，避免污染物泄漏，同时对可能会泄漏到地表的区域采取一定的防渗措施，从而从源头到末端全方位采取有效控制措施。</w:t>
      </w:r>
    </w:p>
    <w:p>
      <w:pPr>
        <w:pStyle w:val="5"/>
        <w:numPr>
          <w:ilvl w:val="2"/>
          <w:numId w:val="0"/>
        </w:numPr>
        <w:ind w:left="-720" w:leftChars="-343" w:firstLine="723" w:firstLineChars="300"/>
        <w:rPr>
          <w:color w:val="auto"/>
        </w:rPr>
      </w:pPr>
      <w:bookmarkStart w:id="656" w:name="_Toc109398719"/>
      <w:r>
        <w:rPr>
          <w:color w:val="auto"/>
        </w:rPr>
        <w:t>8.7.2污染源控制措施</w:t>
      </w:r>
      <w:bookmarkEnd w:id="656"/>
    </w:p>
    <w:p>
      <w:pPr>
        <w:pStyle w:val="130"/>
        <w:ind w:firstLine="480"/>
        <w:rPr>
          <w:color w:val="auto"/>
        </w:rPr>
      </w:pPr>
      <w:r>
        <w:rPr>
          <w:color w:val="auto"/>
        </w:rPr>
        <w:t>为防控区域地下水受到本项目运行的影响，评价立足企业自身从以下几个方面提出源头控制措施：</w:t>
      </w:r>
    </w:p>
    <w:p>
      <w:pPr>
        <w:pStyle w:val="130"/>
        <w:ind w:firstLine="480"/>
        <w:rPr>
          <w:color w:val="auto"/>
        </w:rPr>
      </w:pPr>
      <w:r>
        <w:rPr>
          <w:color w:val="auto"/>
        </w:rPr>
        <w:t>⑴废水污染源排查，从全厂角度识别地下水污染源存在环节，从废水收集、暂存、处理全过程制定污染途径隔离措施，杜绝地下水污染源头。</w:t>
      </w:r>
    </w:p>
    <w:p>
      <w:pPr>
        <w:pStyle w:val="130"/>
        <w:ind w:firstLine="480"/>
        <w:rPr>
          <w:color w:val="auto"/>
        </w:rPr>
      </w:pPr>
      <w:r>
        <w:rPr>
          <w:color w:val="auto"/>
        </w:rPr>
        <w:t>⑵全厂分区防控措施制定，根据全厂功能单元分区情况，制定合理、科学的分区防控措施，做好功能分区的基础防渗，从严要求分区防渗等级。</w:t>
      </w:r>
    </w:p>
    <w:p>
      <w:pPr>
        <w:pStyle w:val="130"/>
        <w:ind w:firstLine="480"/>
        <w:rPr>
          <w:color w:val="auto"/>
        </w:rPr>
      </w:pPr>
      <w:r>
        <w:rPr>
          <w:color w:val="auto"/>
        </w:rPr>
        <w:t>⑶做好废水从产生-总排口环节出厂废水的输送管道设计，从严把控全厂污水管网的设计与施工，最大程度降低污水输送环节的下渗量。</w:t>
      </w:r>
    </w:p>
    <w:p>
      <w:pPr>
        <w:pStyle w:val="130"/>
        <w:ind w:firstLine="480"/>
        <w:rPr>
          <w:color w:val="auto"/>
        </w:rPr>
      </w:pPr>
      <w:r>
        <w:rPr>
          <w:color w:val="auto"/>
        </w:rPr>
        <w:t>⑷管网应采取雨污分流措施，定期排查污水处理构筑物防渗情况，发现渗漏应立即采取措施，防止污水对地下水的污染。</w:t>
      </w:r>
    </w:p>
    <w:p>
      <w:pPr>
        <w:pStyle w:val="5"/>
        <w:numPr>
          <w:ilvl w:val="2"/>
          <w:numId w:val="0"/>
        </w:numPr>
        <w:ind w:left="-720" w:leftChars="-343" w:firstLine="723" w:firstLineChars="300"/>
        <w:rPr>
          <w:color w:val="auto"/>
        </w:rPr>
      </w:pPr>
      <w:bookmarkStart w:id="657" w:name="_Toc109398720"/>
      <w:r>
        <w:rPr>
          <w:color w:val="auto"/>
        </w:rPr>
        <w:t>8.7.3地下水污染防治分区</w:t>
      </w:r>
      <w:bookmarkEnd w:id="657"/>
    </w:p>
    <w:p>
      <w:pPr>
        <w:pStyle w:val="130"/>
        <w:ind w:firstLine="480"/>
        <w:rPr>
          <w:color w:val="auto"/>
        </w:rPr>
      </w:pPr>
      <w:r>
        <w:rPr>
          <w:color w:val="auto"/>
        </w:rPr>
        <w:t>按照《环境影响评价技术导则 地下水环境》（HJ610-2016）第 11.2.2 小节分区防控措施要求，评价根据场地包气带特征及防污性能按照表7内容提出建设区域的防渗技术要求，防渗技术要求严格按照 HJ610-2016 中表7要求执行，详见下表：</w:t>
      </w:r>
    </w:p>
    <w:p>
      <w:pPr>
        <w:pStyle w:val="114"/>
        <w:spacing w:before="0" w:beforeLines="0"/>
        <w:rPr>
          <w:b w:val="0"/>
          <w:color w:val="auto"/>
          <w:sz w:val="15"/>
        </w:rPr>
      </w:pPr>
      <w:r>
        <w:rPr>
          <w:color w:val="auto"/>
          <w:spacing w:val="-30"/>
        </w:rPr>
        <w:t xml:space="preserve">表 </w:t>
      </w:r>
      <w:r>
        <w:rPr>
          <w:rFonts w:eastAsia="Times New Roman"/>
          <w:color w:val="auto"/>
        </w:rPr>
        <w:t>8.7-1</w:t>
      </w:r>
      <w:r>
        <w:rPr>
          <w:rFonts w:eastAsia="Times New Roman"/>
          <w:color w:val="auto"/>
          <w:spacing w:val="55"/>
        </w:rPr>
        <w:t xml:space="preserve">  </w:t>
      </w:r>
      <w:r>
        <w:rPr>
          <w:color w:val="auto"/>
        </w:rPr>
        <w:t>分区防控防渗技术要求</w:t>
      </w:r>
    </w:p>
    <w:tbl>
      <w:tblPr>
        <w:tblStyle w:val="513"/>
        <w:tblW w:w="8518"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51"/>
        <w:gridCol w:w="1417"/>
        <w:gridCol w:w="655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84" w:hRule="atLeast"/>
          <w:jc w:val="center"/>
        </w:trPr>
        <w:tc>
          <w:tcPr>
            <w:tcW w:w="551" w:type="dxa"/>
            <w:vAlign w:val="center"/>
          </w:tcPr>
          <w:p>
            <w:pPr>
              <w:pStyle w:val="164"/>
              <w:rPr>
                <w:rFonts w:ascii="Times New Roman" w:hAnsi="Times New Roman"/>
                <w:color w:val="auto"/>
                <w:lang w:eastAsia="en-US"/>
              </w:rPr>
            </w:pPr>
            <w:r>
              <w:rPr>
                <w:rFonts w:ascii="Times New Roman" w:hAnsi="Times New Roman"/>
                <w:color w:val="auto"/>
                <w:lang w:eastAsia="en-US"/>
              </w:rPr>
              <w:t>序号</w:t>
            </w:r>
          </w:p>
        </w:tc>
        <w:tc>
          <w:tcPr>
            <w:tcW w:w="1417" w:type="dxa"/>
            <w:vAlign w:val="center"/>
          </w:tcPr>
          <w:p>
            <w:pPr>
              <w:pStyle w:val="164"/>
              <w:rPr>
                <w:rFonts w:ascii="Times New Roman" w:hAnsi="Times New Roman"/>
                <w:color w:val="auto"/>
                <w:lang w:eastAsia="en-US"/>
              </w:rPr>
            </w:pPr>
            <w:r>
              <w:rPr>
                <w:rFonts w:ascii="Times New Roman" w:hAnsi="Times New Roman"/>
                <w:color w:val="auto"/>
                <w:lang w:eastAsia="en-US"/>
              </w:rPr>
              <w:t>防渗分区</w:t>
            </w:r>
          </w:p>
        </w:tc>
        <w:tc>
          <w:tcPr>
            <w:tcW w:w="6550" w:type="dxa"/>
            <w:vAlign w:val="center"/>
          </w:tcPr>
          <w:p>
            <w:pPr>
              <w:pStyle w:val="164"/>
              <w:rPr>
                <w:rFonts w:ascii="Times New Roman" w:hAnsi="Times New Roman"/>
                <w:color w:val="auto"/>
                <w:lang w:eastAsia="en-US"/>
              </w:rPr>
            </w:pPr>
            <w:r>
              <w:rPr>
                <w:rFonts w:ascii="Times New Roman" w:hAnsi="Times New Roman"/>
                <w:color w:val="auto"/>
                <w:lang w:eastAsia="en-US"/>
              </w:rPr>
              <w:t>防渗技术要求</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84" w:hRule="atLeast"/>
          <w:jc w:val="center"/>
        </w:trPr>
        <w:tc>
          <w:tcPr>
            <w:tcW w:w="551" w:type="dxa"/>
            <w:vAlign w:val="center"/>
          </w:tcPr>
          <w:p>
            <w:pPr>
              <w:pStyle w:val="164"/>
              <w:rPr>
                <w:rFonts w:ascii="Times New Roman" w:hAnsi="Times New Roman"/>
                <w:color w:val="auto"/>
                <w:lang w:eastAsia="en-US"/>
              </w:rPr>
            </w:pPr>
            <w:r>
              <w:rPr>
                <w:rFonts w:ascii="Times New Roman" w:hAnsi="Times New Roman"/>
                <w:color w:val="auto"/>
                <w:lang w:eastAsia="en-US"/>
              </w:rPr>
              <w:t>1</w:t>
            </w:r>
          </w:p>
        </w:tc>
        <w:tc>
          <w:tcPr>
            <w:tcW w:w="1417" w:type="dxa"/>
            <w:vAlign w:val="center"/>
          </w:tcPr>
          <w:p>
            <w:pPr>
              <w:pStyle w:val="164"/>
              <w:rPr>
                <w:rFonts w:ascii="Times New Roman" w:hAnsi="Times New Roman"/>
                <w:color w:val="auto"/>
                <w:lang w:eastAsia="en-US"/>
              </w:rPr>
            </w:pPr>
            <w:r>
              <w:rPr>
                <w:rFonts w:ascii="Times New Roman" w:hAnsi="Times New Roman"/>
                <w:color w:val="auto"/>
                <w:lang w:eastAsia="en-US"/>
              </w:rPr>
              <w:t>重点防渗区</w:t>
            </w:r>
          </w:p>
        </w:tc>
        <w:tc>
          <w:tcPr>
            <w:tcW w:w="6550" w:type="dxa"/>
            <w:vAlign w:val="center"/>
          </w:tcPr>
          <w:p>
            <w:pPr>
              <w:pStyle w:val="164"/>
              <w:rPr>
                <w:rFonts w:ascii="Times New Roman" w:hAnsi="Times New Roman"/>
                <w:color w:val="auto"/>
                <w:lang w:eastAsia="zh-CN"/>
              </w:rPr>
            </w:pPr>
            <w:r>
              <w:rPr>
                <w:rFonts w:ascii="Times New Roman" w:hAnsi="Times New Roman"/>
                <w:color w:val="auto"/>
                <w:lang w:eastAsia="zh-CN"/>
              </w:rPr>
              <w:t>等效粘土防渗层 Mb≥6.0m，K≤1.0×10</w:t>
            </w:r>
            <w:r>
              <w:rPr>
                <w:rFonts w:ascii="Times New Roman" w:hAnsi="Times New Roman"/>
                <w:color w:val="auto"/>
                <w:position w:val="7"/>
                <w:sz w:val="13"/>
                <w:lang w:eastAsia="zh-CN"/>
              </w:rPr>
              <w:t xml:space="preserve">-7 </w:t>
            </w:r>
            <w:r>
              <w:rPr>
                <w:rFonts w:ascii="Times New Roman" w:hAnsi="Times New Roman"/>
                <w:color w:val="auto"/>
                <w:lang w:eastAsia="zh-CN"/>
              </w:rPr>
              <w:t>cm/s；或参照GB18598执行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84" w:hRule="atLeast"/>
          <w:jc w:val="center"/>
        </w:trPr>
        <w:tc>
          <w:tcPr>
            <w:tcW w:w="551" w:type="dxa"/>
            <w:vAlign w:val="center"/>
          </w:tcPr>
          <w:p>
            <w:pPr>
              <w:pStyle w:val="164"/>
              <w:rPr>
                <w:rFonts w:ascii="Times New Roman" w:hAnsi="Times New Roman"/>
                <w:color w:val="auto"/>
                <w:lang w:eastAsia="en-US"/>
              </w:rPr>
            </w:pPr>
            <w:r>
              <w:rPr>
                <w:rFonts w:ascii="Times New Roman" w:hAnsi="Times New Roman"/>
                <w:color w:val="auto"/>
                <w:lang w:eastAsia="en-US"/>
              </w:rPr>
              <w:t>2</w:t>
            </w:r>
          </w:p>
        </w:tc>
        <w:tc>
          <w:tcPr>
            <w:tcW w:w="1417" w:type="dxa"/>
            <w:vAlign w:val="center"/>
          </w:tcPr>
          <w:p>
            <w:pPr>
              <w:pStyle w:val="164"/>
              <w:rPr>
                <w:rFonts w:ascii="Times New Roman" w:hAnsi="Times New Roman"/>
                <w:color w:val="auto"/>
                <w:lang w:eastAsia="en-US"/>
              </w:rPr>
            </w:pPr>
            <w:r>
              <w:rPr>
                <w:rFonts w:ascii="Times New Roman" w:hAnsi="Times New Roman"/>
                <w:color w:val="auto"/>
                <w:lang w:eastAsia="en-US"/>
              </w:rPr>
              <w:t>一般防渗区</w:t>
            </w:r>
          </w:p>
        </w:tc>
        <w:tc>
          <w:tcPr>
            <w:tcW w:w="6550" w:type="dxa"/>
            <w:vAlign w:val="center"/>
          </w:tcPr>
          <w:p>
            <w:pPr>
              <w:pStyle w:val="164"/>
              <w:rPr>
                <w:rFonts w:ascii="Times New Roman" w:hAnsi="Times New Roman"/>
                <w:color w:val="auto"/>
                <w:lang w:eastAsia="zh-CN"/>
              </w:rPr>
            </w:pPr>
            <w:r>
              <w:rPr>
                <w:rFonts w:ascii="Times New Roman" w:hAnsi="Times New Roman"/>
                <w:color w:val="auto"/>
                <w:lang w:eastAsia="zh-CN"/>
              </w:rPr>
              <w:t>等效粘土防渗层 Mb≥1.5m，K≤1.0×10</w:t>
            </w:r>
            <w:r>
              <w:rPr>
                <w:rFonts w:ascii="Times New Roman" w:hAnsi="Times New Roman"/>
                <w:color w:val="auto"/>
                <w:position w:val="7"/>
                <w:sz w:val="13"/>
                <w:lang w:eastAsia="zh-CN"/>
              </w:rPr>
              <w:t>-7</w:t>
            </w:r>
            <w:r>
              <w:rPr>
                <w:rFonts w:ascii="Times New Roman" w:hAnsi="Times New Roman"/>
                <w:color w:val="auto"/>
                <w:lang w:eastAsia="zh-CN"/>
              </w:rPr>
              <w:t>cm/s；或参照GB18598执行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84" w:hRule="atLeast"/>
          <w:jc w:val="center"/>
        </w:trPr>
        <w:tc>
          <w:tcPr>
            <w:tcW w:w="551" w:type="dxa"/>
            <w:vAlign w:val="center"/>
          </w:tcPr>
          <w:p>
            <w:pPr>
              <w:pStyle w:val="164"/>
              <w:rPr>
                <w:rFonts w:ascii="Times New Roman" w:hAnsi="Times New Roman"/>
                <w:color w:val="auto"/>
                <w:lang w:eastAsia="en-US"/>
              </w:rPr>
            </w:pPr>
            <w:r>
              <w:rPr>
                <w:rFonts w:ascii="Times New Roman" w:hAnsi="Times New Roman"/>
                <w:color w:val="auto"/>
                <w:lang w:eastAsia="en-US"/>
              </w:rPr>
              <w:t>3</w:t>
            </w:r>
          </w:p>
        </w:tc>
        <w:tc>
          <w:tcPr>
            <w:tcW w:w="1417" w:type="dxa"/>
            <w:vAlign w:val="center"/>
          </w:tcPr>
          <w:p>
            <w:pPr>
              <w:pStyle w:val="164"/>
              <w:rPr>
                <w:rFonts w:ascii="Times New Roman" w:hAnsi="Times New Roman"/>
                <w:color w:val="auto"/>
                <w:lang w:eastAsia="en-US"/>
              </w:rPr>
            </w:pPr>
            <w:r>
              <w:rPr>
                <w:rFonts w:ascii="Times New Roman" w:hAnsi="Times New Roman"/>
                <w:color w:val="auto"/>
                <w:lang w:eastAsia="en-US"/>
              </w:rPr>
              <w:t>简单防渗区</w:t>
            </w:r>
          </w:p>
        </w:tc>
        <w:tc>
          <w:tcPr>
            <w:tcW w:w="6550" w:type="dxa"/>
            <w:vAlign w:val="center"/>
          </w:tcPr>
          <w:p>
            <w:pPr>
              <w:pStyle w:val="164"/>
              <w:rPr>
                <w:rFonts w:ascii="Times New Roman" w:hAnsi="Times New Roman"/>
                <w:color w:val="auto"/>
                <w:lang w:eastAsia="en-US"/>
              </w:rPr>
            </w:pPr>
            <w:r>
              <w:rPr>
                <w:rFonts w:ascii="Times New Roman" w:hAnsi="Times New Roman"/>
                <w:color w:val="auto"/>
                <w:lang w:eastAsia="en-US"/>
              </w:rPr>
              <w:t>一般地面硬化</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Ex>
        <w:trPr>
          <w:trHeight w:val="384" w:hRule="atLeast"/>
          <w:jc w:val="center"/>
        </w:trPr>
        <w:tc>
          <w:tcPr>
            <w:tcW w:w="8518" w:type="dxa"/>
            <w:gridSpan w:val="3"/>
            <w:vAlign w:val="center"/>
          </w:tcPr>
          <w:p>
            <w:pPr>
              <w:pStyle w:val="164"/>
              <w:rPr>
                <w:rFonts w:ascii="Times New Roman" w:hAnsi="Times New Roman"/>
                <w:color w:val="auto"/>
                <w:lang w:eastAsia="zh-CN"/>
              </w:rPr>
            </w:pPr>
            <w:r>
              <w:rPr>
                <w:rFonts w:ascii="Times New Roman" w:hAnsi="Times New Roman"/>
                <w:color w:val="auto"/>
                <w:lang w:eastAsia="zh-CN"/>
              </w:rPr>
              <w:t>注：参照《危险废物填埋污染控制标准》（GB18598-2019）中相关防渗要求</w:t>
            </w:r>
          </w:p>
        </w:tc>
      </w:tr>
    </w:tbl>
    <w:p>
      <w:pPr>
        <w:pStyle w:val="5"/>
        <w:numPr>
          <w:ilvl w:val="2"/>
          <w:numId w:val="0"/>
        </w:numPr>
        <w:spacing w:before="120" w:beforeLines="50"/>
        <w:ind w:left="-720" w:leftChars="-343" w:firstLine="723" w:firstLineChars="300"/>
        <w:rPr>
          <w:color w:val="auto"/>
        </w:rPr>
      </w:pPr>
      <w:bookmarkStart w:id="658" w:name="_Toc109398721"/>
      <w:r>
        <w:rPr>
          <w:color w:val="auto"/>
        </w:rPr>
        <w:t>8.7.4分区防渗措施</w:t>
      </w:r>
      <w:bookmarkEnd w:id="658"/>
    </w:p>
    <w:p>
      <w:pPr>
        <w:pStyle w:val="130"/>
        <w:ind w:firstLine="480"/>
        <w:rPr>
          <w:color w:val="auto"/>
        </w:rPr>
      </w:pPr>
      <w:r>
        <w:rPr>
          <w:color w:val="auto"/>
        </w:rPr>
        <w:t>⑴防渗等级</w:t>
      </w:r>
    </w:p>
    <w:p>
      <w:pPr>
        <w:pStyle w:val="130"/>
        <w:ind w:firstLine="480"/>
        <w:rPr>
          <w:color w:val="auto"/>
        </w:rPr>
      </w:pPr>
      <w:r>
        <w:rPr>
          <w:color w:val="auto"/>
        </w:rPr>
        <w:t>涉及项目施工过程中重点防渗区、一般防渗区及简单防渗区防渗技术要求见下表：</w:t>
      </w:r>
    </w:p>
    <w:p>
      <w:pPr>
        <w:pStyle w:val="114"/>
        <w:spacing w:before="0" w:beforeLines="0"/>
        <w:rPr>
          <w:color w:val="auto"/>
        </w:rPr>
      </w:pPr>
      <w:r>
        <w:rPr>
          <w:color w:val="auto"/>
        </w:rPr>
        <w:t>表</w:t>
      </w:r>
      <w:r>
        <w:rPr>
          <w:rFonts w:eastAsia="Times New Roman"/>
          <w:color w:val="auto"/>
        </w:rPr>
        <w:t xml:space="preserve">8.7-2   </w:t>
      </w:r>
      <w:r>
        <w:rPr>
          <w:color w:val="auto"/>
        </w:rPr>
        <w:t>地下水污染防治分区表</w:t>
      </w:r>
    </w:p>
    <w:tbl>
      <w:tblPr>
        <w:tblStyle w:val="513"/>
        <w:tblW w:w="8563"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785"/>
        <w:gridCol w:w="3928"/>
        <w:gridCol w:w="2292"/>
        <w:gridCol w:w="155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785"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序号</w:t>
            </w:r>
          </w:p>
        </w:tc>
        <w:tc>
          <w:tcPr>
            <w:tcW w:w="3928"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设备装置名称</w:t>
            </w:r>
          </w:p>
        </w:tc>
        <w:tc>
          <w:tcPr>
            <w:tcW w:w="2292"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防渗区域</w:t>
            </w:r>
          </w:p>
        </w:tc>
        <w:tc>
          <w:tcPr>
            <w:tcW w:w="1558"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防治区分区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785"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1</w:t>
            </w:r>
          </w:p>
        </w:tc>
        <w:tc>
          <w:tcPr>
            <w:tcW w:w="3928" w:type="dxa"/>
            <w:vAlign w:val="center"/>
          </w:tcPr>
          <w:p>
            <w:pPr>
              <w:pStyle w:val="161"/>
              <w:jc w:val="center"/>
              <w:rPr>
                <w:rFonts w:ascii="Times New Roman" w:hAnsi="Times New Roman"/>
                <w:color w:val="auto"/>
                <w:lang w:eastAsia="zh-CN"/>
              </w:rPr>
            </w:pPr>
            <w:r>
              <w:rPr>
                <w:rFonts w:ascii="Times New Roman" w:hAnsi="Times New Roman"/>
                <w:color w:val="auto"/>
                <w:lang w:eastAsia="zh-CN"/>
              </w:rPr>
              <w:t>污水处理站及污水管网</w:t>
            </w:r>
          </w:p>
        </w:tc>
        <w:tc>
          <w:tcPr>
            <w:tcW w:w="2292" w:type="dxa"/>
            <w:vMerge w:val="restart"/>
            <w:vAlign w:val="center"/>
          </w:tcPr>
          <w:p>
            <w:pPr>
              <w:pStyle w:val="161"/>
              <w:jc w:val="center"/>
              <w:rPr>
                <w:rFonts w:ascii="Times New Roman" w:hAnsi="Times New Roman"/>
                <w:color w:val="auto"/>
                <w:lang w:eastAsia="zh-CN"/>
              </w:rPr>
            </w:pPr>
            <w:r>
              <w:rPr>
                <w:rFonts w:ascii="Times New Roman" w:hAnsi="Times New Roman"/>
                <w:color w:val="auto"/>
                <w:lang w:eastAsia="zh-CN"/>
              </w:rPr>
              <w:t>场所四壁、地面及基础</w:t>
            </w:r>
          </w:p>
        </w:tc>
        <w:tc>
          <w:tcPr>
            <w:tcW w:w="1558" w:type="dxa"/>
            <w:vMerge w:val="restart"/>
            <w:vAlign w:val="center"/>
          </w:tcPr>
          <w:p>
            <w:pPr>
              <w:pStyle w:val="161"/>
              <w:jc w:val="center"/>
              <w:rPr>
                <w:rFonts w:ascii="Times New Roman" w:hAnsi="Times New Roman"/>
                <w:color w:val="auto"/>
                <w:lang w:eastAsia="en-US"/>
              </w:rPr>
            </w:pPr>
            <w:r>
              <w:rPr>
                <w:rFonts w:ascii="Times New Roman" w:hAnsi="Times New Roman"/>
                <w:color w:val="auto"/>
                <w:lang w:eastAsia="en-US"/>
              </w:rPr>
              <w:t>重点防渗区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785"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2</w:t>
            </w:r>
          </w:p>
        </w:tc>
        <w:tc>
          <w:tcPr>
            <w:tcW w:w="3928"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高温蒸煮厂房</w:t>
            </w:r>
          </w:p>
        </w:tc>
        <w:tc>
          <w:tcPr>
            <w:tcW w:w="2292" w:type="dxa"/>
            <w:vMerge w:val="continue"/>
            <w:vAlign w:val="center"/>
          </w:tcPr>
          <w:p>
            <w:pPr>
              <w:pStyle w:val="161"/>
              <w:jc w:val="center"/>
              <w:rPr>
                <w:rFonts w:ascii="Times New Roman" w:hAnsi="Times New Roman"/>
                <w:color w:val="auto"/>
                <w:lang w:eastAsia="en-US"/>
              </w:rPr>
            </w:pPr>
          </w:p>
        </w:tc>
        <w:tc>
          <w:tcPr>
            <w:tcW w:w="1558" w:type="dxa"/>
            <w:vMerge w:val="continue"/>
            <w:vAlign w:val="center"/>
          </w:tcPr>
          <w:p>
            <w:pPr>
              <w:pStyle w:val="161"/>
              <w:jc w:val="center"/>
              <w:rPr>
                <w:rFonts w:ascii="Times New Roman" w:hAnsi="Times New Roman"/>
                <w:color w:val="auto"/>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785"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3</w:t>
            </w:r>
          </w:p>
        </w:tc>
        <w:tc>
          <w:tcPr>
            <w:tcW w:w="3928" w:type="dxa"/>
            <w:vAlign w:val="center"/>
          </w:tcPr>
          <w:p>
            <w:pPr>
              <w:pStyle w:val="161"/>
              <w:jc w:val="center"/>
              <w:rPr>
                <w:rFonts w:ascii="Times New Roman" w:hAnsi="Times New Roman"/>
                <w:color w:val="auto"/>
                <w:lang w:eastAsia="zh-CN"/>
              </w:rPr>
            </w:pPr>
            <w:r>
              <w:rPr>
                <w:rFonts w:ascii="Times New Roman" w:hAnsi="Times New Roman"/>
                <w:color w:val="auto"/>
                <w:lang w:eastAsia="zh-CN"/>
              </w:rPr>
              <w:t>医疗废物卸料间、冷库（包含危废暂存间）</w:t>
            </w:r>
          </w:p>
        </w:tc>
        <w:tc>
          <w:tcPr>
            <w:tcW w:w="2292" w:type="dxa"/>
            <w:vMerge w:val="continue"/>
            <w:vAlign w:val="center"/>
          </w:tcPr>
          <w:p>
            <w:pPr>
              <w:jc w:val="center"/>
              <w:rPr>
                <w:rFonts w:ascii="Times New Roman" w:hAnsi="Times New Roman"/>
                <w:color w:val="auto"/>
                <w:sz w:val="2"/>
                <w:szCs w:val="2"/>
                <w:lang w:eastAsia="zh-CN"/>
              </w:rPr>
            </w:pPr>
          </w:p>
        </w:tc>
        <w:tc>
          <w:tcPr>
            <w:tcW w:w="1558" w:type="dxa"/>
            <w:vMerge w:val="continue"/>
            <w:vAlign w:val="center"/>
          </w:tcPr>
          <w:p>
            <w:pPr>
              <w:jc w:val="center"/>
              <w:rPr>
                <w:rFonts w:ascii="Times New Roman" w:hAnsi="Times New Roman"/>
                <w:color w:val="auto"/>
                <w:sz w:val="2"/>
                <w:szCs w:val="2"/>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785"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4</w:t>
            </w:r>
          </w:p>
        </w:tc>
        <w:tc>
          <w:tcPr>
            <w:tcW w:w="3928"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事故水池</w:t>
            </w:r>
          </w:p>
        </w:tc>
        <w:tc>
          <w:tcPr>
            <w:tcW w:w="2292" w:type="dxa"/>
            <w:vMerge w:val="continue"/>
            <w:vAlign w:val="center"/>
          </w:tcPr>
          <w:p>
            <w:pPr>
              <w:jc w:val="center"/>
              <w:rPr>
                <w:rFonts w:ascii="Times New Roman" w:hAnsi="Times New Roman"/>
                <w:color w:val="auto"/>
                <w:sz w:val="2"/>
                <w:szCs w:val="2"/>
                <w:lang w:eastAsia="en-US"/>
              </w:rPr>
            </w:pPr>
          </w:p>
        </w:tc>
        <w:tc>
          <w:tcPr>
            <w:tcW w:w="1558" w:type="dxa"/>
            <w:vMerge w:val="continue"/>
            <w:vAlign w:val="center"/>
          </w:tcPr>
          <w:p>
            <w:pPr>
              <w:jc w:val="center"/>
              <w:rPr>
                <w:rFonts w:ascii="Times New Roman" w:hAnsi="Times New Roman"/>
                <w:color w:val="auto"/>
                <w:sz w:val="2"/>
                <w:szCs w:val="2"/>
                <w:lang w:eastAsia="en-US"/>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785"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5</w:t>
            </w:r>
          </w:p>
        </w:tc>
        <w:tc>
          <w:tcPr>
            <w:tcW w:w="3928"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雨水收集池、车库</w:t>
            </w:r>
          </w:p>
        </w:tc>
        <w:tc>
          <w:tcPr>
            <w:tcW w:w="2292"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地面</w:t>
            </w:r>
          </w:p>
        </w:tc>
        <w:tc>
          <w:tcPr>
            <w:tcW w:w="1558"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一般防渗区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785"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6</w:t>
            </w:r>
          </w:p>
        </w:tc>
        <w:tc>
          <w:tcPr>
            <w:tcW w:w="3928"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厂区道路、生活区域</w:t>
            </w:r>
          </w:p>
        </w:tc>
        <w:tc>
          <w:tcPr>
            <w:tcW w:w="2292"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地面</w:t>
            </w:r>
          </w:p>
        </w:tc>
        <w:tc>
          <w:tcPr>
            <w:tcW w:w="1558" w:type="dxa"/>
            <w:vAlign w:val="center"/>
          </w:tcPr>
          <w:p>
            <w:pPr>
              <w:pStyle w:val="161"/>
              <w:jc w:val="center"/>
              <w:rPr>
                <w:rFonts w:ascii="Times New Roman" w:hAnsi="Times New Roman"/>
                <w:color w:val="auto"/>
                <w:lang w:eastAsia="en-US"/>
              </w:rPr>
            </w:pPr>
            <w:r>
              <w:rPr>
                <w:rFonts w:ascii="Times New Roman" w:hAnsi="Times New Roman"/>
                <w:color w:val="auto"/>
                <w:lang w:eastAsia="en-US"/>
              </w:rPr>
              <w:t>简单防渗区</w:t>
            </w:r>
          </w:p>
        </w:tc>
      </w:tr>
    </w:tbl>
    <w:p>
      <w:pPr>
        <w:pStyle w:val="130"/>
        <w:spacing w:before="120" w:beforeLines="50"/>
        <w:ind w:firstLine="480"/>
        <w:rPr>
          <w:color w:val="auto"/>
        </w:rPr>
      </w:pPr>
      <w:r>
        <w:rPr>
          <w:color w:val="auto"/>
        </w:rPr>
        <w:t>⑵防渗材料</w:t>
      </w:r>
    </w:p>
    <w:p>
      <w:pPr>
        <w:pStyle w:val="130"/>
        <w:ind w:firstLine="480"/>
        <w:rPr>
          <w:color w:val="auto"/>
        </w:rPr>
      </w:pPr>
      <w:r>
        <w:rPr>
          <w:color w:val="auto"/>
        </w:rPr>
        <w:t>对于设计要求地面渗透系数 K≤1.0×10</w:t>
      </w:r>
      <w:r>
        <w:rPr>
          <w:color w:val="auto"/>
          <w:vertAlign w:val="superscript"/>
        </w:rPr>
        <w:t>-7</w:t>
      </w:r>
      <w:r>
        <w:rPr>
          <w:color w:val="auto"/>
        </w:rPr>
        <w:t>cm/s 污染区域，防渗材料根据不同的工况条件可选用水泥基渗透结晶型防水涂料或人工合成材料高密度聚乙烯HDPE 土工膜。为响应国家环保要求，保证防渗工程质量，避免污染地下水，防渗材料须选用品质优良的材料，高密度聚乙烯HDPE土工膜，优先考虑选用平面挤出工艺生产的HDPE土工膜。水泥基渗透结晶型防水涂料必须符合《水泥基渗透结晶型防水涂料》（GB18445-2001）标准。</w:t>
      </w:r>
    </w:p>
    <w:p>
      <w:pPr>
        <w:pStyle w:val="130"/>
        <w:ind w:firstLine="480"/>
        <w:rPr>
          <w:color w:val="auto"/>
        </w:rPr>
      </w:pPr>
      <w:r>
        <w:rPr>
          <w:color w:val="auto"/>
        </w:rPr>
        <w:t>⑶防渗措施</w:t>
      </w:r>
    </w:p>
    <w:p>
      <w:pPr>
        <w:pStyle w:val="130"/>
        <w:ind w:firstLine="480"/>
        <w:rPr>
          <w:color w:val="auto"/>
        </w:rPr>
      </w:pPr>
      <w:r>
        <w:rPr>
          <w:color w:val="auto"/>
        </w:rPr>
        <w:t>按照污染防治分区划分，本项目对污水处理站、应急池、固体废物存放场所地面等采用掺入水泥基渗透结晶型防水剂抗渗混凝土的方法进行处理。</w:t>
      </w:r>
    </w:p>
    <w:p>
      <w:pPr>
        <w:pStyle w:val="130"/>
        <w:ind w:firstLine="480"/>
        <w:rPr>
          <w:color w:val="auto"/>
        </w:rPr>
      </w:pPr>
      <w:r>
        <w:rPr>
          <w:color w:val="auto"/>
        </w:rPr>
        <w:t>A、重点防渗区</w:t>
      </w:r>
    </w:p>
    <w:p>
      <w:pPr>
        <w:pStyle w:val="130"/>
        <w:ind w:firstLine="480"/>
        <w:rPr>
          <w:color w:val="auto"/>
        </w:rPr>
      </w:pPr>
      <w:r>
        <w:rPr>
          <w:color w:val="auto"/>
        </w:rPr>
        <w:t>重点防渗区防渗层的防渗性能等效于6.0m厚渗透系数为1.0×10</w:t>
      </w:r>
      <w:r>
        <w:rPr>
          <w:color w:val="auto"/>
          <w:vertAlign w:val="superscript"/>
        </w:rPr>
        <w:t>-7</w:t>
      </w:r>
      <w:r>
        <w:rPr>
          <w:color w:val="auto"/>
        </w:rPr>
        <w:t>cm/s的黏土层的防渗性能。本项目重点防渗区采取的防渗措施如下：</w:t>
      </w:r>
    </w:p>
    <w:p>
      <w:pPr>
        <w:pStyle w:val="130"/>
        <w:ind w:firstLine="480"/>
        <w:rPr>
          <w:color w:val="auto"/>
        </w:rPr>
      </w:pPr>
      <w:r>
        <w:rPr>
          <w:color w:val="auto"/>
        </w:rPr>
        <w:t>抗渗混凝土掺加水泥基渗透结晶型防水剂，掺加量为混凝土中胶凝材料的</w:t>
      </w:r>
      <w:r>
        <w:rPr>
          <w:rFonts w:eastAsia="Times New Roman"/>
          <w:color w:val="auto"/>
        </w:rPr>
        <w:t>1%</w:t>
      </w:r>
      <w:r>
        <w:rPr>
          <w:color w:val="auto"/>
        </w:rPr>
        <w:t>～</w:t>
      </w:r>
      <w:r>
        <w:rPr>
          <w:rFonts w:eastAsia="Times New Roman"/>
          <w:color w:val="auto"/>
        </w:rPr>
        <w:t>10%</w:t>
      </w:r>
      <w:r>
        <w:rPr>
          <w:color w:val="auto"/>
        </w:rPr>
        <w:t>（重量比），抗渗等级不低</w:t>
      </w:r>
      <w:r>
        <w:rPr>
          <w:rFonts w:eastAsia="Times New Roman"/>
          <w:color w:val="auto"/>
        </w:rPr>
        <w:t>P10</w:t>
      </w:r>
      <w:r>
        <w:rPr>
          <w:color w:val="auto"/>
        </w:rPr>
        <w:t>，强度等级不小于</w:t>
      </w:r>
      <w:r>
        <w:rPr>
          <w:rFonts w:eastAsia="Times New Roman"/>
          <w:color w:val="auto"/>
        </w:rPr>
        <w:t>C30</w:t>
      </w:r>
      <w:r>
        <w:rPr>
          <w:color w:val="auto"/>
        </w:rPr>
        <w:t>，水灰比不大于</w:t>
      </w:r>
      <w:r>
        <w:rPr>
          <w:rFonts w:eastAsia="Times New Roman"/>
          <w:color w:val="auto"/>
        </w:rPr>
        <w:t>0.50</w:t>
      </w:r>
      <w:r>
        <w:rPr>
          <w:color w:val="auto"/>
        </w:rPr>
        <w:t>，其厚度不小于</w:t>
      </w:r>
      <w:r>
        <w:rPr>
          <w:rFonts w:eastAsia="Times New Roman"/>
          <w:color w:val="auto"/>
        </w:rPr>
        <w:t>200mm</w:t>
      </w:r>
      <w:r>
        <w:rPr>
          <w:color w:val="auto"/>
        </w:rPr>
        <w:t>，具体见图</w:t>
      </w:r>
      <w:r>
        <w:rPr>
          <w:rFonts w:eastAsia="Times New Roman"/>
          <w:color w:val="auto"/>
        </w:rPr>
        <w:t>8.</w:t>
      </w:r>
      <w:r>
        <w:rPr>
          <w:color w:val="auto"/>
        </w:rPr>
        <w:t>7</w:t>
      </w:r>
      <w:r>
        <w:rPr>
          <w:rFonts w:eastAsia="Times New Roman"/>
          <w:color w:val="auto"/>
        </w:rPr>
        <w:t>-1</w:t>
      </w:r>
      <w:r>
        <w:rPr>
          <w:color w:val="auto"/>
        </w:rPr>
        <w:t>。</w:t>
      </w:r>
    </w:p>
    <w:p>
      <w:pPr>
        <w:jc w:val="center"/>
        <w:rPr>
          <w:color w:val="auto"/>
        </w:rPr>
      </w:pPr>
      <w:r>
        <w:rPr>
          <w:color w:val="auto"/>
        </w:rPr>
        <w:drawing>
          <wp:inline distT="0" distB="0" distL="114300" distR="114300">
            <wp:extent cx="5135880" cy="3709035"/>
            <wp:effectExtent l="0" t="0" r="7620" b="5715"/>
            <wp:docPr id="20" name="图片 2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1"/>
                    <pic:cNvPicPr>
                      <a:picLocks noChangeAspect="1"/>
                    </pic:cNvPicPr>
                  </pic:nvPicPr>
                  <pic:blipFill>
                    <a:blip r:embed="rId64"/>
                    <a:stretch>
                      <a:fillRect/>
                    </a:stretch>
                  </pic:blipFill>
                  <pic:spPr>
                    <a:xfrm>
                      <a:off x="0" y="0"/>
                      <a:ext cx="5143173" cy="3714581"/>
                    </a:xfrm>
                    <a:prstGeom prst="rect">
                      <a:avLst/>
                    </a:prstGeom>
                  </pic:spPr>
                </pic:pic>
              </a:graphicData>
            </a:graphic>
          </wp:inline>
        </w:drawing>
      </w:r>
    </w:p>
    <w:p>
      <w:pPr>
        <w:pStyle w:val="114"/>
        <w:spacing w:before="120" w:line="360" w:lineRule="auto"/>
        <w:rPr>
          <w:color w:val="auto"/>
        </w:rPr>
      </w:pPr>
      <w:r>
        <w:rPr>
          <w:color w:val="auto"/>
        </w:rPr>
        <w:t>图8.7-1 本项目重点防渗区防渗结构示意图</w:t>
      </w:r>
    </w:p>
    <w:p>
      <w:pPr>
        <w:pStyle w:val="130"/>
        <w:ind w:firstLine="0" w:firstLineChars="0"/>
        <w:rPr>
          <w:color w:val="auto"/>
        </w:rPr>
      </w:pPr>
      <w:r>
        <w:rPr>
          <w:rFonts w:eastAsia="Times New Roman"/>
          <w:color w:val="auto"/>
        </w:rPr>
        <w:t>HDPE</w:t>
      </w:r>
      <w:r>
        <w:rPr>
          <w:color w:val="auto"/>
        </w:rPr>
        <w:t>土工膜防渗层满足以下规定：</w:t>
      </w:r>
    </w:p>
    <w:p>
      <w:pPr>
        <w:pStyle w:val="130"/>
        <w:ind w:firstLine="480"/>
        <w:rPr>
          <w:color w:val="auto"/>
        </w:rPr>
      </w:pPr>
      <w:r>
        <w:rPr>
          <w:color w:val="auto"/>
        </w:rPr>
        <w:t>①厚度不小于</w:t>
      </w:r>
      <w:r>
        <w:rPr>
          <w:rFonts w:eastAsia="Times New Roman"/>
          <w:color w:val="auto"/>
        </w:rPr>
        <w:t>1.50mm</w:t>
      </w:r>
      <w:r>
        <w:rPr>
          <w:color w:val="auto"/>
        </w:rPr>
        <w:t>，埋深不小于</w:t>
      </w:r>
      <w:r>
        <w:rPr>
          <w:rFonts w:eastAsia="Times New Roman"/>
          <w:color w:val="auto"/>
        </w:rPr>
        <w:t>300mm</w:t>
      </w:r>
      <w:r>
        <w:rPr>
          <w:color w:val="auto"/>
        </w:rPr>
        <w:t>。</w:t>
      </w:r>
    </w:p>
    <w:p>
      <w:pPr>
        <w:pStyle w:val="130"/>
        <w:ind w:firstLine="452"/>
        <w:rPr>
          <w:color w:val="auto"/>
        </w:rPr>
      </w:pPr>
      <w:r>
        <w:rPr>
          <w:color w:val="auto"/>
          <w:spacing w:val="-7"/>
        </w:rPr>
        <w:t>②膜上膜下应设置保护层，保护层可采用长丝无纺土工布，膜下保护层也可</w:t>
      </w:r>
      <w:r>
        <w:rPr>
          <w:color w:val="auto"/>
          <w:spacing w:val="-4"/>
        </w:rPr>
        <w:t>采用不含尖锐颗粒的砂层，厚度不小于</w:t>
      </w:r>
      <w:r>
        <w:rPr>
          <w:rFonts w:eastAsia="Times New Roman"/>
          <w:color w:val="auto"/>
        </w:rPr>
        <w:t>100mm</w:t>
      </w:r>
      <w:r>
        <w:rPr>
          <w:color w:val="auto"/>
        </w:rPr>
        <w:t>。</w:t>
      </w:r>
    </w:p>
    <w:p>
      <w:pPr>
        <w:pStyle w:val="130"/>
        <w:ind w:firstLine="480"/>
        <w:rPr>
          <w:color w:val="auto"/>
        </w:rPr>
      </w:pPr>
      <w:r>
        <w:rPr>
          <w:color w:val="auto"/>
        </w:rPr>
        <w:t>③膜下保护层以上应设置砂石层，厚度不小于</w:t>
      </w:r>
      <w:r>
        <w:rPr>
          <w:rFonts w:eastAsia="Times New Roman"/>
          <w:color w:val="auto"/>
        </w:rPr>
        <w:t>200mm</w:t>
      </w:r>
      <w:r>
        <w:rPr>
          <w:color w:val="auto"/>
        </w:rPr>
        <w:t>。</w:t>
      </w:r>
    </w:p>
    <w:p>
      <w:pPr>
        <w:pStyle w:val="130"/>
        <w:ind w:firstLine="480"/>
        <w:rPr>
          <w:color w:val="auto"/>
        </w:rPr>
      </w:pPr>
      <w:r>
        <w:rPr>
          <w:color w:val="auto"/>
        </w:rPr>
        <w:t>④</w:t>
      </w:r>
      <w:r>
        <w:rPr>
          <w:rFonts w:eastAsia="Times New Roman"/>
          <w:color w:val="auto"/>
        </w:rPr>
        <w:t>HDPE</w:t>
      </w:r>
      <w:r>
        <w:rPr>
          <w:color w:val="auto"/>
        </w:rPr>
        <w:t>土工膜应坡向排水沟。</w:t>
      </w:r>
    </w:p>
    <w:p>
      <w:pPr>
        <w:pStyle w:val="130"/>
        <w:ind w:firstLine="0" w:firstLineChars="0"/>
        <w:rPr>
          <w:color w:val="auto"/>
        </w:rPr>
      </w:pPr>
      <w:r>
        <w:rPr>
          <w:color w:val="auto"/>
          <w:spacing w:val="-4"/>
        </w:rPr>
        <w:t>本项目排水防渗采用</w:t>
      </w:r>
      <w:r>
        <w:rPr>
          <w:rFonts w:eastAsia="Times New Roman"/>
          <w:color w:val="auto"/>
        </w:rPr>
        <w:t>HDPE</w:t>
      </w:r>
      <w:r>
        <w:rPr>
          <w:color w:val="auto"/>
          <w:spacing w:val="-4"/>
        </w:rPr>
        <w:t>膜防渗层，</w:t>
      </w:r>
      <w:r>
        <w:rPr>
          <w:color w:val="auto"/>
          <w:spacing w:val="-18"/>
        </w:rPr>
        <w:t>具体如下</w:t>
      </w:r>
      <w:r>
        <w:rPr>
          <w:color w:val="auto"/>
        </w:rPr>
        <w:t>：</w:t>
      </w:r>
    </w:p>
    <w:p>
      <w:pPr>
        <w:pStyle w:val="130"/>
        <w:ind w:firstLine="480"/>
        <w:rPr>
          <w:color w:val="auto"/>
        </w:rPr>
      </w:pPr>
      <w:r>
        <w:rPr>
          <w:color w:val="auto"/>
        </w:rPr>
        <w:t>①膜上保护层，宜采用长丝无纺土工布，规格不小于</w:t>
      </w:r>
      <w:r>
        <w:rPr>
          <w:rFonts w:eastAsia="Times New Roman"/>
          <w:color w:val="auto"/>
        </w:rPr>
        <w:t>600g/m</w:t>
      </w:r>
      <w:r>
        <w:rPr>
          <w:rFonts w:eastAsia="Times New Roman"/>
          <w:color w:val="auto"/>
          <w:position w:val="8"/>
          <w:sz w:val="15"/>
        </w:rPr>
        <w:t>2</w:t>
      </w:r>
      <w:r>
        <w:rPr>
          <w:color w:val="auto"/>
        </w:rPr>
        <w:t>；</w:t>
      </w:r>
    </w:p>
    <w:p>
      <w:pPr>
        <w:pStyle w:val="130"/>
        <w:ind w:firstLine="480"/>
        <w:rPr>
          <w:color w:val="auto"/>
        </w:rPr>
      </w:pPr>
      <w:r>
        <w:rPr>
          <w:color w:val="auto"/>
        </w:rPr>
        <w:t>②</w:t>
      </w:r>
      <w:r>
        <w:rPr>
          <w:rFonts w:eastAsia="Times New Roman"/>
          <w:color w:val="auto"/>
        </w:rPr>
        <w:t>HDPE</w:t>
      </w:r>
      <w:r>
        <w:rPr>
          <w:color w:val="auto"/>
        </w:rPr>
        <w:t>膜，厚度约</w:t>
      </w:r>
      <w:r>
        <w:rPr>
          <w:rFonts w:eastAsia="Times New Roman"/>
          <w:color w:val="auto"/>
        </w:rPr>
        <w:t>2.0mm</w:t>
      </w:r>
      <w:r>
        <w:rPr>
          <w:color w:val="auto"/>
        </w:rPr>
        <w:t>；</w:t>
      </w:r>
    </w:p>
    <w:p>
      <w:pPr>
        <w:pStyle w:val="130"/>
        <w:ind w:firstLine="480"/>
        <w:rPr>
          <w:color w:val="auto"/>
        </w:rPr>
      </w:pPr>
      <w:r>
        <w:rPr>
          <w:color w:val="auto"/>
        </w:rPr>
        <w:drawing>
          <wp:anchor distT="0" distB="0" distL="0" distR="0" simplePos="0" relativeHeight="251663360" behindDoc="0" locked="0" layoutInCell="1" allowOverlap="1">
            <wp:simplePos x="0" y="0"/>
            <wp:positionH relativeFrom="page">
              <wp:posOffset>1175385</wp:posOffset>
            </wp:positionH>
            <wp:positionV relativeFrom="paragraph">
              <wp:posOffset>325755</wp:posOffset>
            </wp:positionV>
            <wp:extent cx="5191125" cy="4613910"/>
            <wp:effectExtent l="0" t="0" r="9525" b="0"/>
            <wp:wrapTopAndBottom/>
            <wp:docPr id="4622"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 name="image184.jpeg"/>
                    <pic:cNvPicPr>
                      <a:picLocks noChangeAspect="1"/>
                    </pic:cNvPicPr>
                  </pic:nvPicPr>
                  <pic:blipFill>
                    <a:blip r:embed="rId65" cstate="print"/>
                    <a:stretch>
                      <a:fillRect/>
                    </a:stretch>
                  </pic:blipFill>
                  <pic:spPr>
                    <a:xfrm>
                      <a:off x="0" y="0"/>
                      <a:ext cx="5191125" cy="4613910"/>
                    </a:xfrm>
                    <a:prstGeom prst="rect">
                      <a:avLst/>
                    </a:prstGeom>
                  </pic:spPr>
                </pic:pic>
              </a:graphicData>
            </a:graphic>
          </wp:anchor>
        </w:drawing>
      </w:r>
      <w:r>
        <w:rPr>
          <w:color w:val="auto"/>
        </w:rPr>
        <w:t>③膜下保护层，宜采用长丝无纺土工布，规格不小于</w:t>
      </w:r>
      <w:r>
        <w:rPr>
          <w:rFonts w:eastAsia="Times New Roman"/>
          <w:color w:val="auto"/>
        </w:rPr>
        <w:t>600g/m</w:t>
      </w:r>
      <w:r>
        <w:rPr>
          <w:rFonts w:eastAsia="Times New Roman"/>
          <w:color w:val="auto"/>
          <w:position w:val="8"/>
          <w:sz w:val="15"/>
        </w:rPr>
        <w:t>2</w:t>
      </w:r>
      <w:r>
        <w:rPr>
          <w:color w:val="auto"/>
        </w:rPr>
        <w:t>。</w:t>
      </w:r>
    </w:p>
    <w:p>
      <w:pPr>
        <w:pStyle w:val="114"/>
        <w:spacing w:before="120"/>
        <w:rPr>
          <w:color w:val="auto"/>
        </w:rPr>
      </w:pPr>
      <w:r>
        <w:rPr>
          <w:color w:val="auto"/>
          <w:spacing w:val="-30"/>
        </w:rPr>
        <w:t xml:space="preserve">图 </w:t>
      </w:r>
      <w:r>
        <w:rPr>
          <w:rFonts w:eastAsia="Times New Roman"/>
          <w:color w:val="auto"/>
        </w:rPr>
        <w:t>8.7-2</w:t>
      </w:r>
      <w:r>
        <w:rPr>
          <w:rFonts w:eastAsia="Times New Roman"/>
          <w:color w:val="auto"/>
          <w:spacing w:val="55"/>
        </w:rPr>
        <w:t xml:space="preserve"> </w:t>
      </w:r>
      <w:r>
        <w:rPr>
          <w:color w:val="auto"/>
        </w:rPr>
        <w:t>本项目污水管道防渗结构示意图</w:t>
      </w:r>
    </w:p>
    <w:p>
      <w:pPr>
        <w:pStyle w:val="130"/>
        <w:ind w:firstLine="480"/>
        <w:rPr>
          <w:rFonts w:eastAsia="Times New Roman"/>
          <w:color w:val="auto"/>
        </w:rPr>
      </w:pPr>
    </w:p>
    <w:p>
      <w:pPr>
        <w:pStyle w:val="130"/>
        <w:ind w:firstLine="480"/>
        <w:rPr>
          <w:rFonts w:eastAsia="Times New Roman"/>
          <w:color w:val="auto"/>
        </w:rPr>
      </w:pPr>
    </w:p>
    <w:p>
      <w:pPr>
        <w:pStyle w:val="130"/>
        <w:ind w:firstLine="480"/>
        <w:rPr>
          <w:color w:val="auto"/>
        </w:rPr>
      </w:pPr>
      <w:r>
        <w:rPr>
          <w:rFonts w:eastAsia="Times New Roman"/>
          <w:color w:val="auto"/>
        </w:rPr>
        <w:t>B</w:t>
      </w:r>
      <w:r>
        <w:rPr>
          <w:color w:val="auto"/>
        </w:rPr>
        <w:t>、一般防渗区</w:t>
      </w:r>
    </w:p>
    <w:p>
      <w:pPr>
        <w:pStyle w:val="130"/>
        <w:ind w:firstLine="480"/>
        <w:rPr>
          <w:color w:val="auto"/>
          <w:sz w:val="21"/>
        </w:rPr>
      </w:pPr>
      <w:r>
        <w:rPr>
          <w:color w:val="auto"/>
        </w:rPr>
        <w:t>一般防渗区防渗层的防渗性能等效于</w:t>
      </w:r>
      <w:r>
        <w:rPr>
          <w:rFonts w:eastAsia="Times New Roman"/>
          <w:color w:val="auto"/>
        </w:rPr>
        <w:t>1.5m</w:t>
      </w:r>
      <w:r>
        <w:rPr>
          <w:color w:val="auto"/>
        </w:rPr>
        <w:t>厚渗透系数为</w:t>
      </w:r>
      <w:r>
        <w:rPr>
          <w:rFonts w:eastAsia="Times New Roman"/>
          <w:color w:val="auto"/>
        </w:rPr>
        <w:t>1.0×10</w:t>
      </w:r>
      <w:r>
        <w:rPr>
          <w:rFonts w:eastAsia="Times New Roman"/>
          <w:color w:val="auto"/>
          <w:position w:val="8"/>
          <w:sz w:val="15"/>
        </w:rPr>
        <w:t>-7</w:t>
      </w:r>
      <w:r>
        <w:rPr>
          <w:rFonts w:eastAsia="Times New Roman"/>
          <w:color w:val="auto"/>
        </w:rPr>
        <w:t>cm/s</w:t>
      </w:r>
      <w:r>
        <w:rPr>
          <w:color w:val="auto"/>
        </w:rPr>
        <w:t>的黏土层的防渗性能。</w:t>
      </w:r>
    </w:p>
    <w:p>
      <w:pPr>
        <w:pStyle w:val="130"/>
        <w:ind w:firstLine="464"/>
        <w:rPr>
          <w:color w:val="auto"/>
        </w:rPr>
      </w:pPr>
      <w:r>
        <w:rPr>
          <w:color w:val="auto"/>
          <w:spacing w:val="-4"/>
        </w:rPr>
        <w:t>本项目一般防渗区抗渗混凝土厚度不小于</w:t>
      </w:r>
      <w:r>
        <w:rPr>
          <w:rFonts w:eastAsia="Times New Roman"/>
          <w:color w:val="auto"/>
          <w:spacing w:val="-6"/>
        </w:rPr>
        <w:t>100mm</w:t>
      </w:r>
      <w:r>
        <w:rPr>
          <w:color w:val="auto"/>
          <w:spacing w:val="-2"/>
        </w:rPr>
        <w:t>，抗渗等级不低于</w:t>
      </w:r>
      <w:r>
        <w:rPr>
          <w:rFonts w:eastAsia="Times New Roman"/>
          <w:color w:val="auto"/>
          <w:spacing w:val="-10"/>
        </w:rPr>
        <w:t>P6</w:t>
      </w:r>
      <w:r>
        <w:rPr>
          <w:color w:val="auto"/>
          <w:spacing w:val="-13"/>
        </w:rPr>
        <w:t>，强</w:t>
      </w:r>
      <w:r>
        <w:rPr>
          <w:color w:val="auto"/>
          <w:spacing w:val="-1"/>
        </w:rPr>
        <w:t>度等级不低于</w:t>
      </w:r>
      <w:r>
        <w:rPr>
          <w:rFonts w:eastAsia="Times New Roman"/>
          <w:color w:val="auto"/>
        </w:rPr>
        <w:t>C25</w:t>
      </w:r>
      <w:r>
        <w:rPr>
          <w:color w:val="auto"/>
        </w:rPr>
        <w:t>，水灰比不大于</w:t>
      </w:r>
      <w:r>
        <w:rPr>
          <w:rFonts w:eastAsia="Times New Roman"/>
          <w:color w:val="auto"/>
        </w:rPr>
        <w:t>0.50</w:t>
      </w:r>
      <w:r>
        <w:rPr>
          <w:color w:val="auto"/>
          <w:spacing w:val="-7"/>
        </w:rPr>
        <w:t>，一般防渗区防渗结构示意图见</w:t>
      </w:r>
      <w:r>
        <w:rPr>
          <w:rFonts w:eastAsia="Times New Roman"/>
          <w:color w:val="auto"/>
        </w:rPr>
        <w:t>8.</w:t>
      </w:r>
      <w:r>
        <w:rPr>
          <w:color w:val="auto"/>
        </w:rPr>
        <w:t>7</w:t>
      </w:r>
      <w:r>
        <w:rPr>
          <w:rFonts w:eastAsia="Times New Roman"/>
          <w:color w:val="auto"/>
        </w:rPr>
        <w:t>-3</w:t>
      </w:r>
      <w:r>
        <w:rPr>
          <w:color w:val="auto"/>
        </w:rPr>
        <w:t>：</w:t>
      </w:r>
    </w:p>
    <w:p>
      <w:pPr>
        <w:pStyle w:val="17"/>
        <w:spacing w:before="9"/>
        <w:rPr>
          <w:color w:val="auto"/>
          <w:sz w:val="9"/>
        </w:rPr>
      </w:pPr>
      <w:r>
        <w:rPr>
          <w:color w:val="auto"/>
        </w:rPr>
        <w:drawing>
          <wp:anchor distT="0" distB="0" distL="0" distR="0" simplePos="0" relativeHeight="251664384" behindDoc="0" locked="0" layoutInCell="1" allowOverlap="1">
            <wp:simplePos x="0" y="0"/>
            <wp:positionH relativeFrom="page">
              <wp:posOffset>1066800</wp:posOffset>
            </wp:positionH>
            <wp:positionV relativeFrom="paragraph">
              <wp:posOffset>164465</wp:posOffset>
            </wp:positionV>
            <wp:extent cx="5227320" cy="3206115"/>
            <wp:effectExtent l="0" t="0" r="0" b="0"/>
            <wp:wrapTopAndBottom/>
            <wp:docPr id="4623"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 name="image185.jpeg"/>
                    <pic:cNvPicPr>
                      <a:picLocks noChangeAspect="1"/>
                    </pic:cNvPicPr>
                  </pic:nvPicPr>
                  <pic:blipFill>
                    <a:blip r:embed="rId66" cstate="print"/>
                    <a:stretch>
                      <a:fillRect/>
                    </a:stretch>
                  </pic:blipFill>
                  <pic:spPr>
                    <a:xfrm>
                      <a:off x="0" y="0"/>
                      <a:ext cx="5227320" cy="3206115"/>
                    </a:xfrm>
                    <a:prstGeom prst="rect">
                      <a:avLst/>
                    </a:prstGeom>
                  </pic:spPr>
                </pic:pic>
              </a:graphicData>
            </a:graphic>
          </wp:anchor>
        </w:drawing>
      </w:r>
    </w:p>
    <w:p>
      <w:pPr>
        <w:pStyle w:val="114"/>
        <w:spacing w:before="120"/>
        <w:rPr>
          <w:color w:val="auto"/>
        </w:rPr>
      </w:pPr>
      <w:r>
        <w:rPr>
          <w:color w:val="auto"/>
          <w:spacing w:val="-35"/>
        </w:rPr>
        <w:t xml:space="preserve">图 </w:t>
      </w:r>
      <w:r>
        <w:rPr>
          <w:rFonts w:eastAsia="Times New Roman"/>
          <w:color w:val="auto"/>
        </w:rPr>
        <w:t xml:space="preserve">8.7-3 </w:t>
      </w:r>
      <w:r>
        <w:rPr>
          <w:color w:val="auto"/>
        </w:rPr>
        <w:t>一般防渗区防渗结构示意图</w:t>
      </w:r>
    </w:p>
    <w:p>
      <w:pPr>
        <w:pStyle w:val="130"/>
        <w:spacing w:before="120" w:beforeLines="50"/>
        <w:ind w:firstLine="480"/>
        <w:rPr>
          <w:color w:val="auto"/>
        </w:rPr>
      </w:pPr>
      <w:r>
        <w:rPr>
          <w:rFonts w:eastAsia="Times New Roman"/>
          <w:color w:val="auto"/>
        </w:rPr>
        <w:t>C</w:t>
      </w:r>
      <w:r>
        <w:rPr>
          <w:color w:val="auto"/>
        </w:rPr>
        <w:t>、简单防渗区</w:t>
      </w:r>
    </w:p>
    <w:p>
      <w:pPr>
        <w:pStyle w:val="130"/>
        <w:ind w:firstLine="460"/>
        <w:rPr>
          <w:color w:val="auto"/>
        </w:rPr>
      </w:pPr>
      <w:r>
        <w:rPr>
          <w:color w:val="auto"/>
          <w:spacing w:val="-5"/>
        </w:rPr>
        <w:t>本项目简单防渗区采取原土夯实，地面进行硬化</w:t>
      </w:r>
      <w:r>
        <w:rPr>
          <w:color w:val="auto"/>
        </w:rPr>
        <w:t>。</w:t>
      </w:r>
    </w:p>
    <w:p>
      <w:pPr>
        <w:pStyle w:val="5"/>
        <w:numPr>
          <w:ilvl w:val="2"/>
          <w:numId w:val="0"/>
        </w:numPr>
        <w:ind w:left="-720" w:leftChars="-343" w:firstLine="723" w:firstLineChars="300"/>
        <w:rPr>
          <w:color w:val="auto"/>
        </w:rPr>
      </w:pPr>
      <w:bookmarkStart w:id="659" w:name="_Toc109398722"/>
      <w:r>
        <w:rPr>
          <w:color w:val="auto"/>
        </w:rPr>
        <w:t>8.7.5地下水监测及控制要求</w:t>
      </w:r>
      <w:bookmarkEnd w:id="659"/>
    </w:p>
    <w:p>
      <w:pPr>
        <w:pStyle w:val="130"/>
        <w:ind w:firstLine="480"/>
        <w:rPr>
          <w:color w:val="auto"/>
        </w:rPr>
      </w:pPr>
      <w:r>
        <w:rPr>
          <w:color w:val="auto"/>
        </w:rPr>
        <w:t>为了及时准确地掌握厂址区地下水环境质量状况，项目应根据当地地下水流向、污染源分布情况及污染物在地下水中的扩散形式，在厂区及其周边区域布设一定数量的地下水污染监控井，建立地下水污染监控、预警体系，是非常有必要的。因此环评要求项目建立地下水长期监控系统，包括科学、合理地设置地下水污染监控井，建立完善的监测制度，配备先进的检测仪器和设备，以便及时发现，及时控制。</w:t>
      </w:r>
    </w:p>
    <w:p>
      <w:pPr>
        <w:pStyle w:val="130"/>
        <w:ind w:firstLine="480"/>
        <w:rPr>
          <w:color w:val="auto"/>
        </w:rPr>
      </w:pPr>
      <w:r>
        <w:rPr>
          <w:color w:val="auto"/>
        </w:rPr>
        <w:t>本项目</w:t>
      </w:r>
      <w:r>
        <w:rPr>
          <w:rFonts w:hint="eastAsia"/>
          <w:color w:val="auto"/>
        </w:rPr>
        <w:t>建成后全厂</w:t>
      </w:r>
      <w:r>
        <w:rPr>
          <w:color w:val="auto"/>
        </w:rPr>
        <w:t>地下水环境监测主要参考《环境影响评价技术导则地下水环境（HJ610-2016）》、《地下水环境监测技术规范》（HJ164-2020）和《工业企业土壤和地下水自行监测 技术指南（试行）》（HJ 1209-2021）中的相关要求，并结合研究区含水层系统和地下水径流系统特征，考虑潜在污染源、环境保护目标等因素，布置地下水监测点。依据地下水监测原则，结合厂址区水文地质条件及前期水文地质勘查工作，本项目地下水环境跟踪监测拟布置水质监测井3 个（厂址1个，厂址上游1个以及厂址下游1个），均为潜水水井，背景值监测井（厂址上游）每年采样1次；污染控制监测井（厂址及下游）每半年采样一次。监测项目确定为pH、总硬度、氨氮、溶解性总固体、耗氧量、挥发性酚类、氯化物、氰化物、硫酸盐、硝酸盐、亚硝酸盐、氟化物、六价铬、砷、汞、铅、隔、锰、总大肠菌群。</w:t>
      </w:r>
    </w:p>
    <w:p>
      <w:pPr>
        <w:pStyle w:val="4"/>
        <w:numPr>
          <w:ilvl w:val="1"/>
          <w:numId w:val="0"/>
        </w:numPr>
        <w:spacing w:before="120"/>
        <w:rPr>
          <w:color w:val="auto"/>
        </w:rPr>
      </w:pPr>
      <w:bookmarkStart w:id="660" w:name="_Toc109398723"/>
      <w:r>
        <w:rPr>
          <w:color w:val="auto"/>
        </w:rPr>
        <w:t>8.8土壤污染防治措施</w:t>
      </w:r>
      <w:bookmarkEnd w:id="660"/>
    </w:p>
    <w:p>
      <w:pPr>
        <w:pStyle w:val="130"/>
        <w:ind w:firstLine="480"/>
        <w:rPr>
          <w:color w:val="auto"/>
        </w:rPr>
      </w:pPr>
      <w:r>
        <w:rPr>
          <w:color w:val="auto"/>
        </w:rPr>
        <w:t>针对本项目</w:t>
      </w:r>
      <w:r>
        <w:rPr>
          <w:rFonts w:hint="eastAsia"/>
          <w:color w:val="auto"/>
        </w:rPr>
        <w:t>建成后全厂</w:t>
      </w:r>
      <w:r>
        <w:rPr>
          <w:color w:val="auto"/>
        </w:rPr>
        <w:t>可能发生的土壤污染途径，土壤污染防治措施按照“源头控制、过程防控、跟踪监测”相结合的原则，从污染物的产生、运移、扩散、应急响应全阶段进行控制。</w:t>
      </w:r>
    </w:p>
    <w:p>
      <w:pPr>
        <w:pStyle w:val="5"/>
        <w:numPr>
          <w:ilvl w:val="2"/>
          <w:numId w:val="0"/>
        </w:numPr>
        <w:ind w:left="-720" w:leftChars="-343" w:firstLine="723" w:firstLineChars="300"/>
        <w:rPr>
          <w:color w:val="auto"/>
        </w:rPr>
      </w:pPr>
      <w:bookmarkStart w:id="661" w:name="_Toc109398724"/>
      <w:r>
        <w:rPr>
          <w:color w:val="auto"/>
        </w:rPr>
        <w:t>8.8.1源头控制</w:t>
      </w:r>
      <w:bookmarkEnd w:id="661"/>
    </w:p>
    <w:p>
      <w:pPr>
        <w:pStyle w:val="130"/>
        <w:ind w:firstLine="480"/>
        <w:rPr>
          <w:color w:val="auto"/>
        </w:rPr>
      </w:pPr>
      <w:r>
        <w:rPr>
          <w:color w:val="auto"/>
        </w:rPr>
        <w:t>本项目将选择先进、成熟、可靠的工艺技术，并且对产生的废物进行合理的回用和治理，尽可能从源头上减少污染物排放；严格按照国家相关规范要求，对工艺、设备、储存区等采取相应的措施，以防止和降低污染物的跑、冒、滴、漏，将环境风险事故降低到最低。提出以下污染防控措施：</w:t>
      </w:r>
    </w:p>
    <w:p>
      <w:pPr>
        <w:pStyle w:val="130"/>
        <w:ind w:firstLine="480"/>
        <w:rPr>
          <w:color w:val="auto"/>
        </w:rPr>
      </w:pPr>
      <w:r>
        <w:rPr>
          <w:color w:val="auto"/>
        </w:rPr>
        <w:t>⑴危险废物需要按照危废管理要求建设危废贮存库，禁止露天堆放，且危废贮存库地面需进行重点防渗；厂区各类固废应严格按要求进行处理处置，严禁随意倾倒、丢弃；企业应分类收集废物，各类废物暂存设施应满足《危险废物贮存污染控制标准》（GB18597-2001）及其2013修改单和《一般工业固体废物贮存和填埋污染控制标准》（GB18559-2020）的要求。</w:t>
      </w:r>
    </w:p>
    <w:p>
      <w:pPr>
        <w:pStyle w:val="130"/>
        <w:ind w:firstLine="480"/>
        <w:rPr>
          <w:color w:val="auto"/>
        </w:rPr>
      </w:pPr>
      <w:r>
        <w:rPr>
          <w:color w:val="auto"/>
        </w:rPr>
        <w:t>⑵综合废水通过管道汇入污水处理站处理，所有涉及的管道、污水池体全部需进行重点防渗。</w:t>
      </w:r>
    </w:p>
    <w:p>
      <w:pPr>
        <w:pStyle w:val="130"/>
        <w:ind w:firstLine="480"/>
        <w:rPr>
          <w:color w:val="auto"/>
        </w:rPr>
      </w:pPr>
      <w:r>
        <w:rPr>
          <w:color w:val="auto"/>
        </w:rPr>
        <w:t>⑶为了防止本项目对当地的土壤产生不利影响，厂区生产区严格按照规范要求进行设计施工，采取防渗措施，防渗防渗层材料满足渗透系数≤10</w:t>
      </w:r>
      <w:r>
        <w:rPr>
          <w:color w:val="auto"/>
          <w:vertAlign w:val="superscript"/>
        </w:rPr>
        <w:t>-7</w:t>
      </w:r>
      <w:r>
        <w:rPr>
          <w:color w:val="auto"/>
        </w:rPr>
        <w:t xml:space="preserve"> m/s的要求，防止发生“跑、冒、滴、漏”现象时污染地下水环境。</w:t>
      </w:r>
    </w:p>
    <w:p>
      <w:pPr>
        <w:pStyle w:val="5"/>
        <w:numPr>
          <w:ilvl w:val="2"/>
          <w:numId w:val="0"/>
        </w:numPr>
        <w:ind w:left="-720" w:leftChars="-343" w:firstLine="723" w:firstLineChars="300"/>
        <w:rPr>
          <w:color w:val="auto"/>
        </w:rPr>
      </w:pPr>
      <w:bookmarkStart w:id="662" w:name="_Toc109398725"/>
      <w:r>
        <w:rPr>
          <w:color w:val="auto"/>
        </w:rPr>
        <w:t>8.8.2过程控制</w:t>
      </w:r>
      <w:bookmarkEnd w:id="662"/>
    </w:p>
    <w:p>
      <w:pPr>
        <w:pStyle w:val="130"/>
        <w:ind w:firstLine="480"/>
        <w:rPr>
          <w:color w:val="auto"/>
        </w:rPr>
      </w:pPr>
      <w:r>
        <w:rPr>
          <w:color w:val="auto"/>
        </w:rPr>
        <w:t>⑴为防止本项目对建设用地及周边用地的影响，建设单位对本项目主要生产区、污水处理设施构筑物、管线等均做防渗处理，日常活动中加强管理，防止跑冒滴漏，防止污水下渗对土壤造成影响，加强对运营期构筑物的监控、管理，防止出现垂直入渗、地表漫流等事故排放，造成对土壤的污染。</w:t>
      </w:r>
    </w:p>
    <w:p>
      <w:pPr>
        <w:pStyle w:val="130"/>
        <w:ind w:firstLine="480"/>
        <w:rPr>
          <w:color w:val="auto"/>
        </w:rPr>
      </w:pPr>
      <w:r>
        <w:rPr>
          <w:color w:val="auto"/>
        </w:rPr>
        <w:t>⑵在运营过程中做好对设备的维护、检修，切实杜绝“跑、冒、滴、漏”现象发生，同时，应加强关键部位关键设备的安全防护、报警措施，设置应急电力方案，对关键设备设置备用措施，避免项目事故排放。</w:t>
      </w:r>
    </w:p>
    <w:p>
      <w:pPr>
        <w:pStyle w:val="130"/>
        <w:ind w:firstLine="480"/>
        <w:rPr>
          <w:color w:val="auto"/>
        </w:rPr>
      </w:pPr>
      <w:r>
        <w:rPr>
          <w:color w:val="auto"/>
        </w:rPr>
        <w:t>⑶控制本项目“三废”的排放，大力推广闭路循环、清洁工艺，以减少污染物质；控制污染物排放的数量和浓度，使之符合排放标准和总量要求。</w:t>
      </w:r>
    </w:p>
    <w:p>
      <w:pPr>
        <w:pStyle w:val="5"/>
        <w:numPr>
          <w:ilvl w:val="2"/>
          <w:numId w:val="0"/>
        </w:numPr>
        <w:ind w:left="-720" w:leftChars="-343" w:firstLine="723" w:firstLineChars="300"/>
        <w:rPr>
          <w:color w:val="auto"/>
        </w:rPr>
      </w:pPr>
      <w:bookmarkStart w:id="663" w:name="_Toc109398726"/>
      <w:r>
        <w:rPr>
          <w:color w:val="auto"/>
        </w:rPr>
        <w:t>8.8.3跟踪监测</w:t>
      </w:r>
      <w:bookmarkEnd w:id="663"/>
    </w:p>
    <w:p>
      <w:pPr>
        <w:pStyle w:val="130"/>
        <w:ind w:firstLine="480"/>
        <w:rPr>
          <w:color w:val="auto"/>
        </w:rPr>
      </w:pPr>
      <w:r>
        <w:rPr>
          <w:color w:val="auto"/>
        </w:rPr>
        <w:t>为了掌握项目厂区土壤环境质量状况和土壤中污染物的动态变化，评价要求建设单位设置土壤跟踪监测系统，包括科学、合理地设置土壤监测点位，建立完善的跟踪监测制度，配备必要的取样设备，以便及时发现并有效控制。</w:t>
      </w:r>
    </w:p>
    <w:p>
      <w:pPr>
        <w:pStyle w:val="130"/>
        <w:ind w:firstLine="480"/>
        <w:rPr>
          <w:color w:val="auto"/>
        </w:rPr>
      </w:pPr>
      <w:r>
        <w:rPr>
          <w:color w:val="auto"/>
        </w:rPr>
        <w:t>根据《环境影响评价技术导则 土壤环境》（HJ964-2018）中“9.3跟踪监测：评价工作等级为一级的每3年内开展1次”，同时参考《工业企业土壤和地下水自行监测 技术指南（试行）》（HJ 1209-2021）的相关要求。本项目土壤评价等级为一级，在污水处理站周边设置1个土壤跟踪监测点，应3年内开展1次跟踪监测，监测因子为《土壤环境质量 建设用地土壤污染风险管控标准（试行）》（GB36600-2018）表1中45项基本项目。</w:t>
      </w:r>
    </w:p>
    <w:p>
      <w:pPr>
        <w:pStyle w:val="130"/>
        <w:ind w:firstLine="480"/>
        <w:rPr>
          <w:color w:val="auto"/>
        </w:rPr>
      </w:pPr>
      <w:r>
        <w:rPr>
          <w:color w:val="auto"/>
        </w:rPr>
        <w:t>监测结果应形成跟踪监报告，明确跟踪监测报告编制的责任主体。监测结果应按项目有关规定及时建立档案，并定期向当地生态环境部门汇报，所有监测因子监测数据应进行公开，满足法律中关于知情权的要求。发现污染和土壤恶化时，要及时进行处理，开展系统调查，并上报有关部门。</w:t>
      </w:r>
    </w:p>
    <w:p>
      <w:pPr>
        <w:pStyle w:val="130"/>
        <w:ind w:firstLine="480"/>
        <w:rPr>
          <w:color w:val="auto"/>
        </w:rPr>
      </w:pPr>
      <w:r>
        <w:rPr>
          <w:color w:val="auto"/>
        </w:rPr>
        <w:t>综上所述，项目厂区内全部采用水泥混凝土地面，生产过程的医疗废物处置区及物料存储区、污水处理设施区域均采取严格的硬化和防渗措施，冷藏室为全封闭结构，满足防风、防雨、防渗漏要求，生产过程中各物料及污染物均与天然土壤隔离，不通过裸露区深入土壤中，同时为了掌握项目厂区土壤环境质量状况和土壤中污染物的动态变化，采取跟踪监测计划。通过采取以上措施，可有效防止对土壤环境造成明显影响，土壤污染防治措施可行</w:t>
      </w:r>
      <w:bookmarkEnd w:id="630"/>
      <w:bookmarkEnd w:id="631"/>
      <w:bookmarkEnd w:id="632"/>
      <w:bookmarkEnd w:id="633"/>
      <w:bookmarkEnd w:id="634"/>
      <w:bookmarkEnd w:id="635"/>
      <w:r>
        <w:rPr>
          <w:color w:val="auto"/>
        </w:rPr>
        <w:t>。</w:t>
      </w:r>
    </w:p>
    <w:p>
      <w:pPr>
        <w:pStyle w:val="4"/>
        <w:numPr>
          <w:ilvl w:val="1"/>
          <w:numId w:val="0"/>
        </w:numPr>
        <w:spacing w:before="120"/>
        <w:rPr>
          <w:color w:val="auto"/>
        </w:rPr>
      </w:pPr>
      <w:bookmarkStart w:id="664" w:name="_Toc109398727"/>
      <w:r>
        <w:rPr>
          <w:color w:val="auto"/>
        </w:rPr>
        <w:t>8.9绿化措施</w:t>
      </w:r>
      <w:bookmarkEnd w:id="664"/>
    </w:p>
    <w:p>
      <w:pPr>
        <w:pStyle w:val="130"/>
        <w:ind w:firstLine="480"/>
        <w:rPr>
          <w:color w:val="auto"/>
        </w:rPr>
      </w:pPr>
      <w:r>
        <w:rPr>
          <w:color w:val="auto"/>
        </w:rPr>
        <w:t>绿化有利于防止污染，保护环境。在厂区各空旷地带遍植树木花草，提高绿化水平，能净化空气，调节气温，减弱噪声，美化环境，提高环境的自净能力，这也是保护环境的根本性措施之一。绿化也是企业环境保护的重要内容，是建立文明工厂的重要组成。</w:t>
      </w:r>
    </w:p>
    <w:p>
      <w:pPr>
        <w:pStyle w:val="130"/>
        <w:ind w:firstLine="480"/>
        <w:rPr>
          <w:color w:val="auto"/>
        </w:rPr>
      </w:pPr>
      <w:r>
        <w:rPr>
          <w:color w:val="auto"/>
        </w:rPr>
        <w:t>根据项目厂区的具体条件及污染特点，综合考虑排放的污染物性质和地区气候条件，选植适宜的绿化植物。并考虑绿化植物与建构筑物及地下管网的安全防护要求，根据美学观点，与全厂统筹考虑绿化设计。本项目厂区设置有绿化，使整个厂区内绿化布局形成合理的绿化层次和空间结构。</w:t>
      </w:r>
    </w:p>
    <w:p>
      <w:pPr>
        <w:pStyle w:val="130"/>
        <w:ind w:firstLine="480"/>
        <w:rPr>
          <w:color w:val="auto"/>
        </w:rPr>
      </w:pPr>
      <w:r>
        <w:rPr>
          <w:color w:val="auto"/>
        </w:rPr>
        <w:t>具体绿化措施如下：</w:t>
      </w:r>
    </w:p>
    <w:p>
      <w:pPr>
        <w:pStyle w:val="130"/>
        <w:ind w:firstLine="480"/>
        <w:rPr>
          <w:color w:val="auto"/>
        </w:rPr>
      </w:pPr>
      <w:r>
        <w:rPr>
          <w:color w:val="auto"/>
        </w:rPr>
        <w:t>厂前区：企业的厂前区是企业的门面，形象的代表，所以至关重要。应本着绿化和美化相结合，布置花坛、水池、灌丛与草坪、花草等。</w:t>
      </w:r>
    </w:p>
    <w:p>
      <w:pPr>
        <w:pStyle w:val="130"/>
        <w:ind w:firstLine="480"/>
        <w:rPr>
          <w:color w:val="auto"/>
        </w:rPr>
      </w:pPr>
      <w:r>
        <w:rPr>
          <w:color w:val="auto"/>
        </w:rPr>
        <w:t>生产区：结合工厂的管理，检修和消防等各种情况进行绿化规划。生产车间附近可种植抗污性强的落叶乔木和绿篱，用以降噪，并起到净化空气的作用。</w:t>
      </w:r>
    </w:p>
    <w:p>
      <w:pPr>
        <w:pStyle w:val="130"/>
        <w:ind w:firstLine="480"/>
        <w:rPr>
          <w:color w:val="auto"/>
        </w:rPr>
      </w:pPr>
      <w:r>
        <w:rPr>
          <w:color w:val="auto"/>
        </w:rPr>
        <w:t>道路两侧绿化：应种植枝干通直、枝叶茂盛的大乔木为主的行道树，并对称布置，同时在两乔之间种植绿篱形成绿色墙带。</w:t>
      </w:r>
    </w:p>
    <w:p>
      <w:pPr>
        <w:pStyle w:val="130"/>
        <w:ind w:firstLine="480"/>
        <w:rPr>
          <w:color w:val="auto"/>
        </w:rPr>
      </w:pPr>
      <w:r>
        <w:rPr>
          <w:color w:val="auto"/>
        </w:rPr>
        <w:t>厂区周围绿化：在总图布置时应留出一定宽度的绿化带约2～3m；形成乔木和灌木相结合的护林带。</w:t>
      </w:r>
    </w:p>
    <w:p>
      <w:pPr>
        <w:rPr>
          <w:color w:val="auto"/>
        </w:rPr>
        <w:sectPr>
          <w:pgSz w:w="11906" w:h="16838"/>
          <w:pgMar w:top="1701" w:right="1701" w:bottom="1701" w:left="1701" w:header="851" w:footer="851" w:gutter="0"/>
          <w:cols w:space="720" w:num="1"/>
          <w:docGrid w:linePitch="466" w:charSpace="0"/>
        </w:sectPr>
      </w:pPr>
    </w:p>
    <w:p>
      <w:pPr>
        <w:pStyle w:val="3"/>
        <w:numPr>
          <w:ilvl w:val="0"/>
          <w:numId w:val="0"/>
        </w:numPr>
        <w:spacing w:before="120" w:after="120"/>
        <w:jc w:val="center"/>
        <w:rPr>
          <w:rFonts w:ascii="Times New Roman" w:hAnsi="Times New Roman"/>
          <w:color w:val="auto"/>
        </w:rPr>
      </w:pPr>
      <w:bookmarkStart w:id="665" w:name="_Toc493853597"/>
      <w:bookmarkStart w:id="666" w:name="_Toc109398728"/>
      <w:bookmarkStart w:id="667" w:name="_Toc11595543"/>
      <w:r>
        <w:rPr>
          <w:rFonts w:ascii="Times New Roman" w:hAnsi="Times New Roman"/>
          <w:color w:val="auto"/>
        </w:rPr>
        <w:t>9环境影响经济损益分析</w:t>
      </w:r>
      <w:bookmarkEnd w:id="665"/>
      <w:bookmarkEnd w:id="666"/>
      <w:bookmarkEnd w:id="667"/>
    </w:p>
    <w:p>
      <w:pPr>
        <w:pStyle w:val="130"/>
        <w:ind w:firstLine="480"/>
        <w:rPr>
          <w:color w:val="auto"/>
        </w:rPr>
      </w:pPr>
      <w:bookmarkStart w:id="668" w:name="_Toc244950355"/>
      <w:bookmarkStart w:id="669" w:name="_Toc242712820"/>
      <w:bookmarkStart w:id="670" w:name="_Toc242713701"/>
      <w:bookmarkStart w:id="671" w:name="_Toc242713010"/>
      <w:bookmarkStart w:id="672" w:name="_Toc335824740"/>
      <w:bookmarkStart w:id="673" w:name="_Toc332203415"/>
      <w:bookmarkStart w:id="674" w:name="_Toc299369067"/>
      <w:bookmarkStart w:id="675" w:name="_Toc288723702"/>
      <w:bookmarkStart w:id="676" w:name="_Toc387745755"/>
      <w:r>
        <w:rPr>
          <w:color w:val="auto"/>
        </w:rPr>
        <w:t>环境经济损益分析主要是评价建设项目实施后，对环境造成的损失费用和采取各种环保治理措施所能收到的环保效果及其带来的经济和社会效益，衡量建设项目的环保投资在经济上的合理水平。一个项目的开发建设，除对国民经济的发展起着促进作用外，同时，也在一定程度上影响着项目建设地区环境的变化。社会影响、经济影响、环境影响是一个系统的三要素，最终以提高人类的生活质量为目的。它们之间既是互相促进，又互相制约，必须通过全面规划、综合平衡、正确地把全局利益和局部利益、长远利益和近期利益结合起来，对环境保护和经济发展进行协调，实现社会效益、经济效益、环境效益的三统一。通过对建设项目的经济、社会和环境效益分析，为项目决策者更好地考虑环境、经济和社会效益的统一提供依据。</w:t>
      </w:r>
    </w:p>
    <w:bookmarkEnd w:id="668"/>
    <w:bookmarkEnd w:id="669"/>
    <w:bookmarkEnd w:id="670"/>
    <w:bookmarkEnd w:id="671"/>
    <w:bookmarkEnd w:id="672"/>
    <w:bookmarkEnd w:id="673"/>
    <w:bookmarkEnd w:id="674"/>
    <w:bookmarkEnd w:id="675"/>
    <w:bookmarkEnd w:id="676"/>
    <w:p>
      <w:pPr>
        <w:pStyle w:val="4"/>
        <w:numPr>
          <w:ilvl w:val="1"/>
          <w:numId w:val="0"/>
        </w:numPr>
        <w:spacing w:before="120"/>
        <w:rPr>
          <w:color w:val="auto"/>
        </w:rPr>
      </w:pPr>
      <w:bookmarkStart w:id="677" w:name="_Toc109398729"/>
      <w:r>
        <w:rPr>
          <w:color w:val="auto"/>
        </w:rPr>
        <w:t>9.1环保投资分析</w:t>
      </w:r>
      <w:bookmarkEnd w:id="677"/>
    </w:p>
    <w:p>
      <w:pPr>
        <w:pStyle w:val="130"/>
        <w:ind w:firstLine="480"/>
        <w:rPr>
          <w:color w:val="auto"/>
        </w:rPr>
      </w:pPr>
      <w:r>
        <w:rPr>
          <w:color w:val="auto"/>
        </w:rPr>
        <w:t>针对本项目的环境问题和影响，本项目采取相应的环境保护措施加以控制，并保证相应环保投资的投入，以使本项目</w:t>
      </w:r>
      <w:r>
        <w:rPr>
          <w:rFonts w:hint="eastAsia"/>
          <w:color w:val="auto"/>
        </w:rPr>
        <w:t>运营期全厂</w:t>
      </w:r>
      <w:r>
        <w:rPr>
          <w:color w:val="auto"/>
        </w:rPr>
        <w:t>生产过程中产生的各类污染物对周围环境的影响降低到最小程度。本项目总投资为1479.15万元，主要环保投资为废气治理、废水处理，其他环境治理措施主要依靠原有环保工程，本项目</w:t>
      </w:r>
      <w:r>
        <w:rPr>
          <w:rFonts w:hint="eastAsia"/>
          <w:color w:val="auto"/>
        </w:rPr>
        <w:t>建成后全厂</w:t>
      </w:r>
      <w:r>
        <w:rPr>
          <w:color w:val="auto"/>
        </w:rPr>
        <w:t>环保投资为</w:t>
      </w:r>
      <w:r>
        <w:rPr>
          <w:rFonts w:eastAsia="Times New Roman"/>
          <w:color w:val="auto"/>
        </w:rPr>
        <w:t>115</w:t>
      </w:r>
      <w:r>
        <w:rPr>
          <w:color w:val="auto"/>
        </w:rPr>
        <w:t>万元，占工程总投资的</w:t>
      </w:r>
      <w:r>
        <w:rPr>
          <w:rFonts w:eastAsia="Times New Roman"/>
          <w:color w:val="auto"/>
        </w:rPr>
        <w:t>7.8%</w:t>
      </w:r>
      <w:r>
        <w:rPr>
          <w:color w:val="auto"/>
        </w:rPr>
        <w:t>。</w:t>
      </w:r>
    </w:p>
    <w:p>
      <w:pPr>
        <w:pStyle w:val="114"/>
        <w:spacing w:before="0" w:beforeLines="0"/>
        <w:rPr>
          <w:color w:val="auto"/>
        </w:rPr>
      </w:pPr>
      <w:r>
        <w:rPr>
          <w:color w:val="auto"/>
          <w:spacing w:val="-30"/>
        </w:rPr>
        <w:t xml:space="preserve">表 </w:t>
      </w:r>
      <w:r>
        <w:rPr>
          <w:rFonts w:eastAsia="Times New Roman"/>
          <w:color w:val="auto"/>
        </w:rPr>
        <w:t>9.1-1</w:t>
      </w:r>
      <w:r>
        <w:rPr>
          <w:rFonts w:eastAsia="Times New Roman"/>
          <w:color w:val="auto"/>
          <w:spacing w:val="55"/>
        </w:rPr>
        <w:t xml:space="preserve"> </w:t>
      </w:r>
      <w:r>
        <w:rPr>
          <w:rFonts w:hint="eastAsia"/>
          <w:color w:val="auto"/>
        </w:rPr>
        <w:t>本</w:t>
      </w:r>
      <w:r>
        <w:rPr>
          <w:color w:val="auto"/>
        </w:rPr>
        <w:t>项目</w:t>
      </w:r>
      <w:r>
        <w:rPr>
          <w:rFonts w:hint="eastAsia"/>
          <w:color w:val="auto"/>
        </w:rPr>
        <w:t>建成后全厂</w:t>
      </w:r>
      <w:r>
        <w:rPr>
          <w:color w:val="auto"/>
        </w:rPr>
        <w:t>环保投资一览表（单位：万元）</w:t>
      </w:r>
    </w:p>
    <w:tbl>
      <w:tblPr>
        <w:tblStyle w:val="513"/>
        <w:tblW w:w="8621"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065"/>
        <w:gridCol w:w="1425"/>
        <w:gridCol w:w="4882"/>
        <w:gridCol w:w="124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53" w:hRule="atLeast"/>
          <w:jc w:val="center"/>
        </w:trPr>
        <w:tc>
          <w:tcPr>
            <w:tcW w:w="2490" w:type="dxa"/>
            <w:gridSpan w:val="2"/>
            <w:vAlign w:val="center"/>
          </w:tcPr>
          <w:p>
            <w:pPr>
              <w:pStyle w:val="164"/>
              <w:rPr>
                <w:rFonts w:ascii="Times New Roman" w:hAnsi="Times New Roman"/>
                <w:color w:val="auto"/>
                <w:lang w:eastAsia="en-US"/>
              </w:rPr>
            </w:pPr>
            <w:r>
              <w:rPr>
                <w:rFonts w:ascii="Times New Roman" w:hAnsi="Times New Roman"/>
                <w:color w:val="auto"/>
                <w:lang w:eastAsia="en-US"/>
              </w:rPr>
              <w:t>项目</w:t>
            </w:r>
          </w:p>
        </w:tc>
        <w:tc>
          <w:tcPr>
            <w:tcW w:w="4882" w:type="dxa"/>
            <w:vAlign w:val="center"/>
          </w:tcPr>
          <w:p>
            <w:pPr>
              <w:pStyle w:val="164"/>
              <w:rPr>
                <w:rFonts w:ascii="Times New Roman" w:hAnsi="Times New Roman"/>
                <w:color w:val="auto"/>
                <w:lang w:eastAsia="en-US"/>
              </w:rPr>
            </w:pPr>
            <w:r>
              <w:rPr>
                <w:rFonts w:ascii="Times New Roman" w:hAnsi="Times New Roman"/>
                <w:color w:val="auto"/>
                <w:lang w:eastAsia="en-US"/>
              </w:rPr>
              <w:t>防治措施</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投资额</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065" w:type="dxa"/>
            <w:vMerge w:val="restart"/>
            <w:vAlign w:val="center"/>
          </w:tcPr>
          <w:p>
            <w:pPr>
              <w:pStyle w:val="164"/>
              <w:rPr>
                <w:rFonts w:ascii="Times New Roman" w:hAnsi="Times New Roman"/>
                <w:color w:val="auto"/>
                <w:lang w:eastAsia="en-US"/>
              </w:rPr>
            </w:pPr>
            <w:r>
              <w:rPr>
                <w:rFonts w:ascii="Times New Roman" w:hAnsi="Times New Roman"/>
                <w:color w:val="auto"/>
                <w:lang w:eastAsia="en-US"/>
              </w:rPr>
              <w:t>废气防治</w:t>
            </w:r>
          </w:p>
        </w:tc>
        <w:tc>
          <w:tcPr>
            <w:tcW w:w="1425" w:type="dxa"/>
            <w:vAlign w:val="center"/>
          </w:tcPr>
          <w:p>
            <w:pPr>
              <w:pStyle w:val="164"/>
              <w:rPr>
                <w:rFonts w:ascii="Times New Roman" w:hAnsi="Times New Roman"/>
                <w:color w:val="auto"/>
                <w:lang w:eastAsia="zh-CN"/>
              </w:rPr>
            </w:pPr>
            <w:r>
              <w:rPr>
                <w:rFonts w:ascii="Times New Roman" w:hAnsi="Times New Roman"/>
                <w:color w:val="auto"/>
                <w:lang w:eastAsia="zh-CN"/>
              </w:rPr>
              <w:t>高温蒸汽灭菌废气及医疗废物贮存废气</w:t>
            </w:r>
          </w:p>
        </w:tc>
        <w:tc>
          <w:tcPr>
            <w:tcW w:w="4882" w:type="dxa"/>
            <w:vAlign w:val="center"/>
          </w:tcPr>
          <w:p>
            <w:pPr>
              <w:pStyle w:val="164"/>
              <w:rPr>
                <w:rFonts w:ascii="Times New Roman" w:hAnsi="Times New Roman"/>
                <w:color w:val="auto"/>
                <w:lang w:eastAsia="zh-CN"/>
              </w:rPr>
            </w:pPr>
            <w:r>
              <w:rPr>
                <w:rFonts w:hint="eastAsia" w:ascii="Times New Roman" w:hAnsi="Times New Roman"/>
                <w:color w:val="auto"/>
                <w:lang w:eastAsia="zh-CN"/>
              </w:rPr>
              <w:t>2套</w:t>
            </w:r>
            <w:r>
              <w:rPr>
                <w:rFonts w:ascii="Times New Roman" w:hAnsi="Times New Roman"/>
                <w:color w:val="auto"/>
                <w:lang w:eastAsia="zh-CN"/>
              </w:rPr>
              <w:t>高温蒸汽灭菌</w:t>
            </w:r>
            <w:r>
              <w:rPr>
                <w:rFonts w:hint="eastAsia" w:ascii="Times New Roman" w:hAnsi="Times New Roman"/>
                <w:color w:val="auto"/>
                <w:lang w:eastAsia="zh-CN"/>
              </w:rPr>
              <w:t>系统</w:t>
            </w:r>
            <w:r>
              <w:rPr>
                <w:rFonts w:ascii="Times New Roman" w:hAnsi="Times New Roman"/>
                <w:color w:val="auto"/>
                <w:lang w:eastAsia="zh-CN"/>
              </w:rPr>
              <w:t>废气先通过</w:t>
            </w:r>
            <w:r>
              <w:rPr>
                <w:rFonts w:hint="eastAsia" w:ascii="Times New Roman" w:hAnsi="Times New Roman"/>
                <w:color w:val="auto"/>
                <w:lang w:eastAsia="zh-CN"/>
              </w:rPr>
              <w:t>各自</w:t>
            </w:r>
            <w:r>
              <w:rPr>
                <w:rFonts w:ascii="Times New Roman" w:hAnsi="Times New Roman"/>
                <w:color w:val="auto"/>
                <w:lang w:eastAsia="zh-CN"/>
              </w:rPr>
              <w:t>设备自带的生物过滤+活性炭吸附进行预处理后，汇同医疗废物贮存废气一起通过“碱洗喷淋+等离子+活性炭”工艺处理，最终通过15m高排气筒排放</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35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1065" w:type="dxa"/>
            <w:vMerge w:val="continue"/>
            <w:vAlign w:val="center"/>
          </w:tcPr>
          <w:p>
            <w:pPr>
              <w:pStyle w:val="164"/>
              <w:rPr>
                <w:rFonts w:ascii="Times New Roman" w:hAnsi="Times New Roman"/>
                <w:color w:val="auto"/>
                <w:lang w:eastAsia="en-US"/>
              </w:rPr>
            </w:pPr>
          </w:p>
        </w:tc>
        <w:tc>
          <w:tcPr>
            <w:tcW w:w="1425" w:type="dxa"/>
            <w:vAlign w:val="center"/>
          </w:tcPr>
          <w:p>
            <w:pPr>
              <w:pStyle w:val="164"/>
              <w:rPr>
                <w:rFonts w:ascii="Times New Roman" w:hAnsi="Times New Roman"/>
                <w:color w:val="auto"/>
                <w:lang w:eastAsia="en-US"/>
              </w:rPr>
            </w:pPr>
            <w:r>
              <w:rPr>
                <w:rFonts w:ascii="Times New Roman" w:hAnsi="Times New Roman"/>
                <w:color w:val="auto"/>
                <w:lang w:eastAsia="en-US"/>
              </w:rPr>
              <w:t>污水处理站废气</w:t>
            </w:r>
          </w:p>
        </w:tc>
        <w:tc>
          <w:tcPr>
            <w:tcW w:w="4882" w:type="dxa"/>
            <w:vAlign w:val="center"/>
          </w:tcPr>
          <w:p>
            <w:pPr>
              <w:pStyle w:val="164"/>
              <w:rPr>
                <w:rFonts w:ascii="Times New Roman" w:hAnsi="Times New Roman"/>
                <w:color w:val="auto"/>
                <w:lang w:eastAsia="zh-CN"/>
              </w:rPr>
            </w:pPr>
            <w:r>
              <w:rPr>
                <w:rFonts w:ascii="Times New Roman" w:hAnsi="Times New Roman"/>
                <w:color w:val="auto"/>
                <w:lang w:eastAsia="zh-CN"/>
              </w:rPr>
              <w:t>加强管理，加盖密闭并喷洒除臭剂</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2490" w:type="dxa"/>
            <w:gridSpan w:val="2"/>
            <w:vMerge w:val="restart"/>
            <w:vAlign w:val="center"/>
          </w:tcPr>
          <w:p>
            <w:pPr>
              <w:pStyle w:val="164"/>
              <w:rPr>
                <w:rFonts w:ascii="Times New Roman" w:hAnsi="Times New Roman"/>
                <w:color w:val="auto"/>
                <w:lang w:eastAsia="en-US"/>
              </w:rPr>
            </w:pPr>
            <w:r>
              <w:rPr>
                <w:rFonts w:ascii="Times New Roman" w:hAnsi="Times New Roman"/>
                <w:color w:val="auto"/>
                <w:lang w:eastAsia="en-US"/>
              </w:rPr>
              <w:t>废水防治</w:t>
            </w:r>
          </w:p>
        </w:tc>
        <w:tc>
          <w:tcPr>
            <w:tcW w:w="4882" w:type="dxa"/>
            <w:vAlign w:val="center"/>
          </w:tcPr>
          <w:p>
            <w:pPr>
              <w:pStyle w:val="164"/>
              <w:rPr>
                <w:rFonts w:ascii="Times New Roman" w:hAnsi="Times New Roman"/>
                <w:color w:val="auto"/>
                <w:lang w:eastAsia="zh-CN"/>
              </w:rPr>
            </w:pPr>
            <w:r>
              <w:rPr>
                <w:rFonts w:ascii="Times New Roman" w:hAnsi="Times New Roman"/>
                <w:color w:val="auto"/>
                <w:lang w:eastAsia="zh-CN"/>
              </w:rPr>
              <w:t>生产废水新建1座处理能力为10m</w:t>
            </w:r>
            <w:r>
              <w:rPr>
                <w:rFonts w:ascii="Times New Roman" w:hAnsi="Times New Roman"/>
                <w:color w:val="auto"/>
                <w:vertAlign w:val="superscript"/>
                <w:lang w:eastAsia="zh-CN"/>
              </w:rPr>
              <w:t>3</w:t>
            </w:r>
            <w:r>
              <w:rPr>
                <w:rFonts w:ascii="Times New Roman" w:hAnsi="Times New Roman"/>
                <w:color w:val="auto"/>
                <w:lang w:eastAsia="zh-CN"/>
              </w:rPr>
              <w:t>/d的污水处理站，处理工艺为“调节池+A</w:t>
            </w:r>
            <w:r>
              <w:rPr>
                <w:rFonts w:ascii="Times New Roman" w:hAnsi="Times New Roman"/>
                <w:color w:val="auto"/>
                <w:vertAlign w:val="superscript"/>
                <w:lang w:eastAsia="zh-CN"/>
              </w:rPr>
              <w:t>2</w:t>
            </w:r>
            <w:r>
              <w:rPr>
                <w:rFonts w:ascii="Times New Roman" w:hAnsi="Times New Roman"/>
                <w:color w:val="auto"/>
                <w:lang w:eastAsia="zh-CN"/>
              </w:rPr>
              <w:t>O+MBR+消毒”</w:t>
            </w:r>
            <w:r>
              <w:rPr>
                <w:rFonts w:hint="eastAsia" w:ascii="Times New Roman" w:hAnsi="Times New Roman"/>
                <w:color w:val="auto"/>
                <w:lang w:eastAsia="zh-CN"/>
              </w:rPr>
              <w:t>，</w:t>
            </w:r>
            <w:r>
              <w:rPr>
                <w:rFonts w:ascii="Times New Roman" w:hAnsi="Times New Roman"/>
                <w:color w:val="auto"/>
                <w:lang w:eastAsia="zh-CN"/>
              </w:rPr>
              <w:t>处理后</w:t>
            </w:r>
            <w:r>
              <w:rPr>
                <w:rFonts w:ascii="Calibri" w:hAnsi="Calibri"/>
                <w:color w:val="auto"/>
                <w:lang w:eastAsia="zh-CN"/>
              </w:rPr>
              <w:t>全部回用于中卫市生活垃圾填埋场道路抑尘，不外排</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30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61" w:hRule="atLeast"/>
          <w:jc w:val="center"/>
        </w:trPr>
        <w:tc>
          <w:tcPr>
            <w:tcW w:w="2490" w:type="dxa"/>
            <w:gridSpan w:val="2"/>
            <w:vMerge w:val="continue"/>
            <w:vAlign w:val="center"/>
          </w:tcPr>
          <w:p>
            <w:pPr>
              <w:pStyle w:val="164"/>
              <w:rPr>
                <w:rFonts w:ascii="Times New Roman" w:hAnsi="Times New Roman"/>
                <w:color w:val="auto"/>
                <w:lang w:eastAsia="en-US"/>
              </w:rPr>
            </w:pPr>
          </w:p>
        </w:tc>
        <w:tc>
          <w:tcPr>
            <w:tcW w:w="4882" w:type="dxa"/>
            <w:vAlign w:val="center"/>
          </w:tcPr>
          <w:p>
            <w:pPr>
              <w:pStyle w:val="164"/>
              <w:rPr>
                <w:rFonts w:ascii="Times New Roman" w:hAnsi="Times New Roman"/>
                <w:color w:val="auto"/>
                <w:lang w:eastAsia="zh-CN"/>
              </w:rPr>
            </w:pPr>
            <w:r>
              <w:rPr>
                <w:rFonts w:ascii="Times New Roman" w:hAnsi="Times New Roman"/>
                <w:color w:val="auto"/>
                <w:lang w:eastAsia="zh-CN"/>
              </w:rPr>
              <w:t>生活污水依托现有化粪池一座10m</w:t>
            </w:r>
            <w:r>
              <w:rPr>
                <w:rFonts w:ascii="Times New Roman" w:hAnsi="Times New Roman"/>
                <w:color w:val="auto"/>
                <w:vertAlign w:val="superscript"/>
                <w:lang w:eastAsia="zh-CN"/>
              </w:rPr>
              <w:t>3</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21" w:hRule="atLeast"/>
          <w:jc w:val="center"/>
        </w:trPr>
        <w:tc>
          <w:tcPr>
            <w:tcW w:w="2490" w:type="dxa"/>
            <w:gridSpan w:val="2"/>
            <w:vMerge w:val="continue"/>
            <w:vAlign w:val="center"/>
          </w:tcPr>
          <w:p>
            <w:pPr>
              <w:pStyle w:val="164"/>
              <w:rPr>
                <w:rFonts w:ascii="Times New Roman" w:hAnsi="Times New Roman"/>
                <w:color w:val="auto"/>
                <w:lang w:eastAsia="en-US"/>
              </w:rPr>
            </w:pPr>
          </w:p>
        </w:tc>
        <w:tc>
          <w:tcPr>
            <w:tcW w:w="4882" w:type="dxa"/>
            <w:vAlign w:val="center"/>
          </w:tcPr>
          <w:p>
            <w:pPr>
              <w:pStyle w:val="164"/>
              <w:rPr>
                <w:rFonts w:ascii="Times New Roman" w:hAnsi="Times New Roman"/>
                <w:color w:val="auto"/>
                <w:lang w:eastAsia="zh-CN"/>
              </w:rPr>
            </w:pPr>
            <w:r>
              <w:rPr>
                <w:rFonts w:ascii="Times New Roman" w:hAnsi="Times New Roman"/>
                <w:color w:val="auto"/>
                <w:lang w:eastAsia="zh-CN"/>
              </w:rPr>
              <w:t>初期雨水依托现有初期雨水收集池一座50m</w:t>
            </w:r>
            <w:r>
              <w:rPr>
                <w:rFonts w:ascii="Times New Roman" w:hAnsi="Times New Roman"/>
                <w:color w:val="auto"/>
                <w:vertAlign w:val="superscript"/>
                <w:lang w:eastAsia="zh-CN"/>
              </w:rPr>
              <w:t>3</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09" w:hRule="atLeast"/>
          <w:jc w:val="center"/>
        </w:trPr>
        <w:tc>
          <w:tcPr>
            <w:tcW w:w="2490" w:type="dxa"/>
            <w:gridSpan w:val="2"/>
            <w:vMerge w:val="continue"/>
            <w:vAlign w:val="center"/>
          </w:tcPr>
          <w:p>
            <w:pPr>
              <w:pStyle w:val="164"/>
              <w:rPr>
                <w:rFonts w:ascii="Times New Roman" w:hAnsi="Times New Roman"/>
                <w:color w:val="auto"/>
                <w:lang w:eastAsia="en-US"/>
              </w:rPr>
            </w:pPr>
          </w:p>
        </w:tc>
        <w:tc>
          <w:tcPr>
            <w:tcW w:w="4882" w:type="dxa"/>
            <w:vAlign w:val="center"/>
          </w:tcPr>
          <w:p>
            <w:pPr>
              <w:pStyle w:val="164"/>
              <w:rPr>
                <w:rFonts w:ascii="Times New Roman" w:hAnsi="Times New Roman"/>
                <w:color w:val="auto"/>
                <w:lang w:eastAsia="en-US"/>
              </w:rPr>
            </w:pPr>
            <w:r>
              <w:rPr>
                <w:rFonts w:ascii="Times New Roman" w:hAnsi="Times New Roman"/>
                <w:color w:val="auto"/>
                <w:lang w:eastAsia="en-US"/>
              </w:rPr>
              <w:t>事故水池一座30m</w:t>
            </w:r>
            <w:r>
              <w:rPr>
                <w:rFonts w:ascii="Times New Roman" w:hAnsi="Times New Roman"/>
                <w:color w:val="auto"/>
                <w:vertAlign w:val="superscript"/>
                <w:lang w:eastAsia="en-US"/>
              </w:rPr>
              <w:t>3</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2490" w:type="dxa"/>
            <w:gridSpan w:val="2"/>
            <w:vMerge w:val="restart"/>
            <w:vAlign w:val="center"/>
          </w:tcPr>
          <w:p>
            <w:pPr>
              <w:pStyle w:val="164"/>
              <w:rPr>
                <w:rFonts w:ascii="Times New Roman" w:hAnsi="Times New Roman"/>
                <w:color w:val="auto"/>
                <w:lang w:eastAsia="en-US"/>
              </w:rPr>
            </w:pPr>
            <w:r>
              <w:rPr>
                <w:rFonts w:ascii="Times New Roman" w:hAnsi="Times New Roman"/>
                <w:color w:val="auto"/>
                <w:lang w:eastAsia="en-US"/>
              </w:rPr>
              <w:t>地下水防治措施</w:t>
            </w:r>
          </w:p>
        </w:tc>
        <w:tc>
          <w:tcPr>
            <w:tcW w:w="4882" w:type="dxa"/>
            <w:vAlign w:val="center"/>
          </w:tcPr>
          <w:p>
            <w:pPr>
              <w:pStyle w:val="164"/>
              <w:rPr>
                <w:rFonts w:ascii="Times New Roman" w:hAnsi="Times New Roman"/>
                <w:color w:val="auto"/>
                <w:lang w:eastAsia="zh-CN"/>
              </w:rPr>
            </w:pPr>
            <w:r>
              <w:rPr>
                <w:rFonts w:ascii="Times New Roman" w:hAnsi="Times New Roman"/>
                <w:color w:val="auto"/>
                <w:lang w:eastAsia="zh-CN"/>
              </w:rPr>
              <w:t>高温蒸煮厂房、医疗废物卸料间、冷库（包含危废暂存间）、事故水池、污水处理间、污水收集管网进行重点防渗，效粘土防渗层 Mb≥6.0m，K≤1.0×10</w:t>
            </w:r>
            <w:r>
              <w:rPr>
                <w:rFonts w:ascii="Times New Roman" w:hAnsi="Times New Roman"/>
                <w:color w:val="auto"/>
                <w:vertAlign w:val="superscript"/>
                <w:lang w:eastAsia="zh-CN"/>
              </w:rPr>
              <w:t>-7</w:t>
            </w:r>
            <w:r>
              <w:rPr>
                <w:rFonts w:ascii="Times New Roman" w:hAnsi="Times New Roman"/>
                <w:color w:val="auto"/>
                <w:lang w:eastAsia="zh-CN"/>
              </w:rPr>
              <w:t xml:space="preserve"> cm/s；或参照 GB18598执行；</w:t>
            </w:r>
          </w:p>
          <w:p>
            <w:pPr>
              <w:pStyle w:val="164"/>
              <w:rPr>
                <w:rFonts w:ascii="Times New Roman" w:hAnsi="Times New Roman"/>
                <w:color w:val="auto"/>
                <w:lang w:eastAsia="zh-CN"/>
              </w:rPr>
            </w:pPr>
            <w:r>
              <w:rPr>
                <w:rFonts w:ascii="Times New Roman" w:hAnsi="Times New Roman"/>
                <w:color w:val="auto"/>
                <w:lang w:eastAsia="zh-CN"/>
              </w:rPr>
              <w:t>生产区道路、车库、雨水收集池进行一般防渗区</w:t>
            </w:r>
            <w:r>
              <w:rPr>
                <w:rFonts w:ascii="Times New Roman" w:hAnsi="Times New Roman"/>
                <w:color w:val="auto"/>
                <w:lang w:eastAsia="zh-CN"/>
              </w:rPr>
              <w:tab/>
            </w:r>
            <w:r>
              <w:rPr>
                <w:rFonts w:ascii="Times New Roman" w:hAnsi="Times New Roman"/>
                <w:color w:val="auto"/>
                <w:lang w:eastAsia="zh-CN"/>
              </w:rPr>
              <w:t>等效粘土防渗层 Mb≥1.5m，K≤1.0×10</w:t>
            </w:r>
            <w:r>
              <w:rPr>
                <w:rFonts w:ascii="Times New Roman" w:hAnsi="Times New Roman"/>
                <w:color w:val="auto"/>
                <w:vertAlign w:val="superscript"/>
                <w:lang w:eastAsia="zh-CN"/>
              </w:rPr>
              <w:t>-7</w:t>
            </w:r>
            <w:r>
              <w:rPr>
                <w:rFonts w:ascii="Times New Roman" w:hAnsi="Times New Roman"/>
                <w:color w:val="auto"/>
                <w:lang w:eastAsia="zh-CN"/>
              </w:rPr>
              <w:t>cm/s；或参照 GB16889执行；</w:t>
            </w:r>
          </w:p>
          <w:p>
            <w:pPr>
              <w:pStyle w:val="164"/>
              <w:rPr>
                <w:rFonts w:ascii="Times New Roman" w:hAnsi="Times New Roman"/>
                <w:color w:val="auto"/>
                <w:lang w:eastAsia="zh-CN"/>
              </w:rPr>
            </w:pPr>
            <w:r>
              <w:rPr>
                <w:rFonts w:ascii="Times New Roman" w:hAnsi="Times New Roman"/>
                <w:color w:val="auto"/>
                <w:lang w:eastAsia="zh-CN"/>
              </w:rPr>
              <w:t>生活区进行简单，防渗区采用</w:t>
            </w:r>
            <w:r>
              <w:rPr>
                <w:rFonts w:ascii="Times New Roman" w:hAnsi="Times New Roman"/>
                <w:color w:val="auto"/>
                <w:lang w:eastAsia="zh-CN"/>
              </w:rPr>
              <w:tab/>
            </w:r>
            <w:r>
              <w:rPr>
                <w:rFonts w:ascii="Times New Roman" w:hAnsi="Times New Roman"/>
                <w:color w:val="auto"/>
                <w:lang w:eastAsia="zh-CN"/>
              </w:rPr>
              <w:t>一般地面硬化</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30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2490" w:type="dxa"/>
            <w:gridSpan w:val="2"/>
            <w:vMerge w:val="continue"/>
            <w:vAlign w:val="center"/>
          </w:tcPr>
          <w:p>
            <w:pPr>
              <w:pStyle w:val="164"/>
              <w:rPr>
                <w:rFonts w:ascii="Times New Roman" w:hAnsi="Times New Roman"/>
                <w:color w:val="auto"/>
                <w:lang w:eastAsia="en-US"/>
              </w:rPr>
            </w:pPr>
          </w:p>
        </w:tc>
        <w:tc>
          <w:tcPr>
            <w:tcW w:w="4882" w:type="dxa"/>
            <w:vAlign w:val="center"/>
          </w:tcPr>
          <w:p>
            <w:pPr>
              <w:pStyle w:val="164"/>
              <w:rPr>
                <w:rFonts w:ascii="Times New Roman" w:hAnsi="Times New Roman"/>
                <w:color w:val="auto"/>
                <w:lang w:eastAsia="zh-CN"/>
              </w:rPr>
            </w:pPr>
            <w:r>
              <w:rPr>
                <w:rFonts w:ascii="Times New Roman" w:hAnsi="Times New Roman"/>
                <w:color w:val="auto"/>
                <w:lang w:eastAsia="zh-CN"/>
              </w:rPr>
              <w:t>设置地下水监控井3个（厂址上游、厂址及下游各1个）</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30" w:hRule="atLeast"/>
          <w:jc w:val="center"/>
        </w:trPr>
        <w:tc>
          <w:tcPr>
            <w:tcW w:w="2490" w:type="dxa"/>
            <w:gridSpan w:val="2"/>
            <w:vAlign w:val="center"/>
          </w:tcPr>
          <w:p>
            <w:pPr>
              <w:pStyle w:val="164"/>
              <w:rPr>
                <w:rFonts w:ascii="Times New Roman" w:hAnsi="Times New Roman"/>
                <w:color w:val="auto"/>
                <w:lang w:eastAsia="en-US"/>
              </w:rPr>
            </w:pPr>
            <w:r>
              <w:rPr>
                <w:rFonts w:ascii="Times New Roman" w:hAnsi="Times New Roman"/>
                <w:color w:val="auto"/>
                <w:lang w:eastAsia="en-US"/>
              </w:rPr>
              <w:t>噪声防治</w:t>
            </w:r>
          </w:p>
        </w:tc>
        <w:tc>
          <w:tcPr>
            <w:tcW w:w="4882" w:type="dxa"/>
            <w:vAlign w:val="center"/>
          </w:tcPr>
          <w:p>
            <w:pPr>
              <w:pStyle w:val="164"/>
              <w:rPr>
                <w:rFonts w:ascii="Times New Roman" w:hAnsi="Times New Roman"/>
                <w:color w:val="auto"/>
                <w:lang w:eastAsia="zh-CN"/>
              </w:rPr>
            </w:pPr>
            <w:r>
              <w:rPr>
                <w:rFonts w:ascii="Times New Roman" w:hAnsi="Times New Roman"/>
                <w:color w:val="auto"/>
                <w:lang w:eastAsia="zh-CN"/>
              </w:rPr>
              <w:t>基础隔声、减震垫等噪声治理措施</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340" w:hRule="atLeast"/>
          <w:jc w:val="center"/>
        </w:trPr>
        <w:tc>
          <w:tcPr>
            <w:tcW w:w="2490" w:type="dxa"/>
            <w:gridSpan w:val="2"/>
            <w:vAlign w:val="center"/>
          </w:tcPr>
          <w:p>
            <w:pPr>
              <w:pStyle w:val="164"/>
              <w:rPr>
                <w:rFonts w:ascii="Times New Roman" w:hAnsi="Times New Roman"/>
                <w:color w:val="auto"/>
                <w:lang w:eastAsia="en-US"/>
              </w:rPr>
            </w:pPr>
            <w:r>
              <w:rPr>
                <w:rFonts w:ascii="Times New Roman" w:hAnsi="Times New Roman"/>
                <w:color w:val="auto"/>
                <w:lang w:eastAsia="en-US"/>
              </w:rPr>
              <w:t>固体废物防治</w:t>
            </w:r>
          </w:p>
        </w:tc>
        <w:tc>
          <w:tcPr>
            <w:tcW w:w="4882" w:type="dxa"/>
            <w:vAlign w:val="center"/>
          </w:tcPr>
          <w:p>
            <w:pPr>
              <w:pStyle w:val="164"/>
              <w:rPr>
                <w:rFonts w:ascii="Times New Roman" w:hAnsi="Times New Roman"/>
                <w:color w:val="auto"/>
                <w:lang w:eastAsia="zh-CN"/>
              </w:rPr>
            </w:pPr>
            <w:r>
              <w:rPr>
                <w:rFonts w:ascii="Times New Roman" w:hAnsi="Times New Roman"/>
                <w:color w:val="auto"/>
                <w:lang w:eastAsia="zh-CN"/>
              </w:rPr>
              <w:t>依托现有医疗废物暂存间冷库（54m</w:t>
            </w:r>
            <w:r>
              <w:rPr>
                <w:rFonts w:ascii="Times New Roman" w:hAnsi="Times New Roman"/>
                <w:color w:val="auto"/>
                <w:vertAlign w:val="superscript"/>
                <w:lang w:eastAsia="zh-CN"/>
              </w:rPr>
              <w:t>2</w:t>
            </w:r>
            <w:r>
              <w:rPr>
                <w:rFonts w:ascii="Times New Roman" w:hAnsi="Times New Roman"/>
                <w:color w:val="auto"/>
                <w:lang w:eastAsia="zh-CN"/>
              </w:rPr>
              <w:t>）一座用于存放医疗废物及生产过程中产生的危险废物，危险废物暂存间位于冷库东北角约3平方。</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45" w:hRule="atLeast"/>
          <w:jc w:val="center"/>
        </w:trPr>
        <w:tc>
          <w:tcPr>
            <w:tcW w:w="2490" w:type="dxa"/>
            <w:gridSpan w:val="2"/>
            <w:vAlign w:val="center"/>
          </w:tcPr>
          <w:p>
            <w:pPr>
              <w:pStyle w:val="164"/>
              <w:rPr>
                <w:rFonts w:ascii="Times New Roman" w:hAnsi="Times New Roman"/>
                <w:color w:val="auto"/>
                <w:lang w:eastAsia="en-US"/>
              </w:rPr>
            </w:pPr>
            <w:r>
              <w:rPr>
                <w:rFonts w:ascii="Times New Roman" w:hAnsi="Times New Roman"/>
                <w:color w:val="auto"/>
                <w:lang w:eastAsia="en-US"/>
              </w:rPr>
              <w:t>环境风险</w:t>
            </w:r>
          </w:p>
        </w:tc>
        <w:tc>
          <w:tcPr>
            <w:tcW w:w="4882" w:type="dxa"/>
            <w:vAlign w:val="center"/>
          </w:tcPr>
          <w:p>
            <w:pPr>
              <w:pStyle w:val="164"/>
              <w:rPr>
                <w:rFonts w:ascii="Times New Roman" w:hAnsi="Times New Roman"/>
                <w:color w:val="auto"/>
                <w:lang w:eastAsia="en-US"/>
              </w:rPr>
            </w:pPr>
            <w:r>
              <w:rPr>
                <w:rFonts w:ascii="Times New Roman" w:hAnsi="Times New Roman"/>
                <w:color w:val="auto"/>
                <w:lang w:eastAsia="en-US"/>
              </w:rPr>
              <w:t>消防器材、防护服等</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trHeight w:val="412" w:hRule="atLeast"/>
          <w:jc w:val="center"/>
        </w:trPr>
        <w:tc>
          <w:tcPr>
            <w:tcW w:w="7372" w:type="dxa"/>
            <w:gridSpan w:val="3"/>
            <w:vAlign w:val="center"/>
          </w:tcPr>
          <w:p>
            <w:pPr>
              <w:pStyle w:val="164"/>
              <w:rPr>
                <w:rFonts w:ascii="Times New Roman" w:hAnsi="Times New Roman"/>
                <w:color w:val="auto"/>
                <w:lang w:eastAsia="en-US"/>
              </w:rPr>
            </w:pPr>
            <w:r>
              <w:rPr>
                <w:rFonts w:ascii="Times New Roman" w:hAnsi="Times New Roman"/>
                <w:color w:val="auto"/>
                <w:lang w:eastAsia="en-US"/>
              </w:rPr>
              <w:t>合计</w:t>
            </w:r>
          </w:p>
        </w:tc>
        <w:tc>
          <w:tcPr>
            <w:tcW w:w="1249" w:type="dxa"/>
            <w:vAlign w:val="center"/>
          </w:tcPr>
          <w:p>
            <w:pPr>
              <w:pStyle w:val="164"/>
              <w:rPr>
                <w:rFonts w:ascii="Times New Roman" w:hAnsi="Times New Roman"/>
                <w:color w:val="auto"/>
                <w:lang w:eastAsia="en-US"/>
              </w:rPr>
            </w:pPr>
            <w:r>
              <w:rPr>
                <w:rFonts w:ascii="Times New Roman" w:hAnsi="Times New Roman"/>
                <w:color w:val="auto"/>
                <w:lang w:eastAsia="en-US"/>
              </w:rPr>
              <w:t>115</w:t>
            </w:r>
          </w:p>
        </w:tc>
      </w:tr>
    </w:tbl>
    <w:p>
      <w:pPr>
        <w:pStyle w:val="4"/>
        <w:numPr>
          <w:ilvl w:val="1"/>
          <w:numId w:val="0"/>
        </w:numPr>
        <w:spacing w:before="120"/>
        <w:rPr>
          <w:color w:val="auto"/>
        </w:rPr>
      </w:pPr>
      <w:bookmarkStart w:id="678" w:name="_Toc109398730"/>
      <w:r>
        <w:rPr>
          <w:color w:val="auto"/>
        </w:rPr>
        <w:t>9.2环境效益分析</w:t>
      </w:r>
      <w:bookmarkEnd w:id="678"/>
    </w:p>
    <w:p>
      <w:pPr>
        <w:pStyle w:val="130"/>
        <w:ind w:firstLine="480"/>
        <w:rPr>
          <w:color w:val="auto"/>
        </w:rPr>
      </w:pPr>
      <w:r>
        <w:rPr>
          <w:color w:val="auto"/>
        </w:rPr>
        <w:t>本项目本身即为环境保护工程，具有显著的环境效益。</w:t>
      </w:r>
    </w:p>
    <w:p>
      <w:pPr>
        <w:pStyle w:val="130"/>
        <w:ind w:firstLine="480"/>
        <w:rPr>
          <w:color w:val="auto"/>
        </w:rPr>
      </w:pPr>
      <w:r>
        <w:rPr>
          <w:color w:val="auto"/>
        </w:rPr>
        <w:t>本项目环保投资，采取了一系列污染防治措施，可以减少项目运行中对大气、水、土壤、声、生态环境造成的负面影响，减缓项目潜在的污染风险影响。因此， 环保投资对污染防治的正常运行，降低突发性事故，可有效减少环境污染，达到设计中预期的效果等具有重要意义。</w:t>
      </w:r>
    </w:p>
    <w:p>
      <w:pPr>
        <w:pStyle w:val="130"/>
        <w:ind w:firstLine="480"/>
        <w:rPr>
          <w:color w:val="auto"/>
        </w:rPr>
      </w:pPr>
      <w:r>
        <w:rPr>
          <w:color w:val="auto"/>
        </w:rPr>
        <w:t>⑴城市景观</w:t>
      </w:r>
    </w:p>
    <w:p>
      <w:pPr>
        <w:pStyle w:val="130"/>
        <w:ind w:firstLine="480"/>
        <w:rPr>
          <w:color w:val="auto"/>
        </w:rPr>
      </w:pPr>
      <w:r>
        <w:rPr>
          <w:color w:val="auto"/>
        </w:rPr>
        <w:t>本项目</w:t>
      </w:r>
      <w:r>
        <w:rPr>
          <w:rFonts w:hint="eastAsia"/>
          <w:color w:val="auto"/>
        </w:rPr>
        <w:t>的</w:t>
      </w:r>
      <w:r>
        <w:rPr>
          <w:color w:val="auto"/>
        </w:rPr>
        <w:t>运行可大量减少城市医疗废物污染，清洁了城市，为建设文明、卫生城市创造了必要的条件，在促进城市景观改善方面，直接和间接的环境效益是显著的。</w:t>
      </w:r>
    </w:p>
    <w:p>
      <w:pPr>
        <w:pStyle w:val="130"/>
        <w:ind w:firstLine="480"/>
        <w:rPr>
          <w:color w:val="auto"/>
        </w:rPr>
      </w:pPr>
      <w:r>
        <w:rPr>
          <w:color w:val="auto"/>
        </w:rPr>
        <w:t>⑵杜绝疾病的传播蔓延</w:t>
      </w:r>
    </w:p>
    <w:p>
      <w:pPr>
        <w:pStyle w:val="130"/>
        <w:ind w:firstLine="480"/>
        <w:rPr>
          <w:color w:val="auto"/>
        </w:rPr>
      </w:pPr>
      <w:r>
        <w:rPr>
          <w:color w:val="auto"/>
        </w:rPr>
        <w:t>医疗废物是一种潜在危害很大的废物，若处理不当，会造成疾病的传播蔓延， 影响国民经济的发展和社会的稳定。本项目的建设则可有效消除上述的不利影响。</w:t>
      </w:r>
    </w:p>
    <w:p>
      <w:pPr>
        <w:pStyle w:val="130"/>
        <w:ind w:firstLine="480"/>
        <w:rPr>
          <w:color w:val="auto"/>
        </w:rPr>
      </w:pPr>
      <w:r>
        <w:rPr>
          <w:color w:val="auto"/>
        </w:rPr>
        <w:t>⑶限制二次污染产生</w:t>
      </w:r>
    </w:p>
    <w:p>
      <w:pPr>
        <w:pStyle w:val="130"/>
        <w:ind w:firstLine="480"/>
        <w:rPr>
          <w:color w:val="auto"/>
        </w:rPr>
      </w:pPr>
      <w:r>
        <w:rPr>
          <w:color w:val="auto"/>
        </w:rPr>
        <w:t>本项目</w:t>
      </w:r>
      <w:r>
        <w:rPr>
          <w:rFonts w:hint="eastAsia"/>
          <w:color w:val="auto"/>
        </w:rPr>
        <w:t>运营</w:t>
      </w:r>
      <w:r>
        <w:rPr>
          <w:color w:val="auto"/>
        </w:rPr>
        <w:t>后，集中处理大量乱排混排、处理不达标、污染环境的医疗废物， 采用科学、合理有效的处置方式，消除了城市医疗废物的污染，同时采用废气治理、污水处理等措施，有效限制了二次污染的产生。</w:t>
      </w:r>
    </w:p>
    <w:p>
      <w:pPr>
        <w:pStyle w:val="4"/>
        <w:numPr>
          <w:ilvl w:val="1"/>
          <w:numId w:val="0"/>
        </w:numPr>
        <w:spacing w:before="120"/>
        <w:rPr>
          <w:color w:val="auto"/>
        </w:rPr>
      </w:pPr>
      <w:bookmarkStart w:id="679" w:name="_Toc109398731"/>
      <w:r>
        <w:rPr>
          <w:color w:val="auto"/>
        </w:rPr>
        <w:t>9.3社会效益分析</w:t>
      </w:r>
      <w:bookmarkEnd w:id="679"/>
    </w:p>
    <w:p>
      <w:pPr>
        <w:pStyle w:val="130"/>
        <w:ind w:firstLine="480"/>
        <w:rPr>
          <w:color w:val="auto"/>
        </w:rPr>
      </w:pPr>
      <w:r>
        <w:rPr>
          <w:color w:val="auto"/>
        </w:rPr>
        <w:t>本项目是为解决中卫市医疗废物无害化处理而进行建设，直接为社会大众服务，为城市创造良好环境，属公益型投资项目，是城市基础设施项目。项目建设的重要意义体现在从根本上消除医疗废物环境污染，提高中卫市城市文明水平，因此其社会效益明显。</w:t>
      </w:r>
    </w:p>
    <w:p>
      <w:pPr>
        <w:pStyle w:val="130"/>
        <w:ind w:firstLine="480"/>
        <w:rPr>
          <w:color w:val="auto"/>
        </w:rPr>
      </w:pPr>
      <w:r>
        <w:rPr>
          <w:color w:val="auto"/>
        </w:rPr>
        <w:t>本项目产生的社会效益主要表现如下几方面：</w:t>
      </w:r>
    </w:p>
    <w:p>
      <w:pPr>
        <w:pStyle w:val="130"/>
        <w:ind w:firstLine="480"/>
        <w:rPr>
          <w:color w:val="auto"/>
        </w:rPr>
      </w:pPr>
      <w:r>
        <w:rPr>
          <w:color w:val="auto"/>
        </w:rPr>
        <w:t>⑴医疗废物属于危险废物，它不仅含有大量的细菌病毒，而且有空间污染、急性传染和潜伏性传染的特征。医疗废物的堆放会侵占大量土地，还会严重破坏地貌、植被和自然景观。医疗废物若露天堆存，长期受风吹、日晒、雨淋，有害成分不断渗入地下并向周围扩散，污染大片土地，破坏微生物的生存条件，阻止动植物的生长发育。医疗废物的露天堆存而导致土壤污染，甚至进而引起地面水、地下水污染的地区相当广泛。露天堆存的医疗废物中原有的粉尘及其它颗粒物，受风吹、日晒而进入大气造成大气污染和病菌的流行。随意堆存的医疗废物也为一些不法分子从收破烂者买走简单处理后重新做成医疗用品，卖回医院，给人们的身体健康带来直接或潜在严重危害。以上危害不但造成很大的环境污染，严重危害人民群众的身体健康，同时造成巨大的经济损失和资源的浪费。而本项目将对中卫市医疗废物实行集中安全消毒处理、处置，防止二次污染，其社会效益是很明显的。</w:t>
      </w:r>
    </w:p>
    <w:p>
      <w:pPr>
        <w:pStyle w:val="130"/>
        <w:ind w:firstLine="480"/>
        <w:rPr>
          <w:color w:val="auto"/>
        </w:rPr>
      </w:pPr>
      <w:r>
        <w:rPr>
          <w:color w:val="auto"/>
        </w:rPr>
        <w:t>⑵本项目</w:t>
      </w:r>
      <w:r>
        <w:rPr>
          <w:rFonts w:hint="eastAsia"/>
          <w:color w:val="auto"/>
        </w:rPr>
        <w:t>运营</w:t>
      </w:r>
      <w:r>
        <w:rPr>
          <w:color w:val="auto"/>
        </w:rPr>
        <w:t>后可有效的为中卫市提供了医疗废物消毒处理场所，为中卫市医疗废物处理跃上新台阶奠定基础，并为中卫市创建国家卫生城市创造了必要条件。</w:t>
      </w:r>
    </w:p>
    <w:p>
      <w:pPr>
        <w:pStyle w:val="130"/>
        <w:ind w:firstLine="480"/>
        <w:rPr>
          <w:color w:val="auto"/>
        </w:rPr>
      </w:pPr>
      <w:r>
        <w:rPr>
          <w:color w:val="auto"/>
        </w:rPr>
        <w:t>⑶处置中心的建设为达到国家环保局提出的“医疗废物处置必需实现稳定化、安全化、减量化和彻底毁形”的要求创造了条件，这将从根本上消除医疗废物污染环境、传播疾病、危害人民群众身体健康的隐患，对环保工作产生积极的推动作用，而且医疗废物集中处置顺应了污染治理市场化运作的机制，有利于实现环境、社会和经济效益的统一。</w:t>
      </w:r>
    </w:p>
    <w:p>
      <w:pPr>
        <w:pStyle w:val="130"/>
        <w:ind w:firstLine="480"/>
        <w:rPr>
          <w:color w:val="auto"/>
        </w:rPr>
      </w:pPr>
      <w:r>
        <w:rPr>
          <w:color w:val="auto"/>
        </w:rPr>
        <w:t>综上所述，本项目作为一项社会公益性工程，在具有良好的环境效益和社会效益的同时，具有一定的经济效益，对城市周围环境改善、人民群众身体健康保证以及城市形象提高具有积极的意义。</w:t>
      </w:r>
    </w:p>
    <w:p>
      <w:pPr>
        <w:pStyle w:val="4"/>
        <w:numPr>
          <w:ilvl w:val="1"/>
          <w:numId w:val="0"/>
        </w:numPr>
        <w:spacing w:before="120"/>
        <w:rPr>
          <w:color w:val="auto"/>
        </w:rPr>
      </w:pPr>
      <w:bookmarkStart w:id="680" w:name="_Toc109398732"/>
      <w:r>
        <w:rPr>
          <w:color w:val="auto"/>
        </w:rPr>
        <w:t>9.4经济效益分析</w:t>
      </w:r>
      <w:bookmarkEnd w:id="680"/>
    </w:p>
    <w:p>
      <w:pPr>
        <w:pStyle w:val="130"/>
        <w:ind w:firstLine="480"/>
        <w:rPr>
          <w:color w:val="auto"/>
        </w:rPr>
      </w:pPr>
      <w:r>
        <w:rPr>
          <w:color w:val="auto"/>
        </w:rPr>
        <w:t>本项目总投资1479.15万元。本项目建设期与运营期，所需的原材料和水、电、燃料、电信等的消耗和运输可为当地的经济发展创造市场，形成经济效益。</w:t>
      </w:r>
    </w:p>
    <w:p>
      <w:pPr>
        <w:pStyle w:val="130"/>
        <w:ind w:firstLine="480"/>
        <w:rPr>
          <w:color w:val="auto"/>
        </w:rPr>
      </w:pPr>
      <w:r>
        <w:rPr>
          <w:color w:val="auto"/>
        </w:rPr>
        <w:t>本项目作为城市公用设施建设，属于社会公益事业，直接经济效益不高。工程主要直接经济效益是收取的医疗废物处理收费。本项目为国家鼓励扶持的项目，</w:t>
      </w:r>
    </w:p>
    <w:p>
      <w:pPr>
        <w:pStyle w:val="130"/>
        <w:ind w:firstLine="480"/>
        <w:rPr>
          <w:color w:val="auto"/>
        </w:rPr>
      </w:pPr>
      <w:r>
        <w:rPr>
          <w:color w:val="auto"/>
        </w:rPr>
        <w:t>项目运营收入有保障，投资风险相对较小。</w:t>
      </w:r>
    </w:p>
    <w:p>
      <w:pPr>
        <w:widowControl/>
        <w:jc w:val="left"/>
        <w:rPr>
          <w:rFonts w:eastAsiaTheme="minorEastAsia"/>
          <w:color w:val="auto"/>
        </w:rPr>
        <w:sectPr>
          <w:pgSz w:w="11906" w:h="16838"/>
          <w:pgMar w:top="1701" w:right="1701" w:bottom="1701" w:left="1701" w:header="851" w:footer="851" w:gutter="0"/>
          <w:cols w:space="720" w:num="1"/>
          <w:docGrid w:linePitch="466" w:charSpace="0"/>
        </w:sectPr>
      </w:pPr>
    </w:p>
    <w:p>
      <w:pPr>
        <w:pStyle w:val="3"/>
        <w:numPr>
          <w:ilvl w:val="0"/>
          <w:numId w:val="0"/>
        </w:numPr>
        <w:spacing w:before="120" w:after="120"/>
        <w:jc w:val="center"/>
        <w:rPr>
          <w:rFonts w:ascii="Times New Roman" w:hAnsi="Times New Roman"/>
          <w:color w:val="auto"/>
        </w:rPr>
      </w:pPr>
      <w:bookmarkStart w:id="681" w:name="_Toc332203441"/>
      <w:bookmarkStart w:id="682" w:name="_Toc299369081"/>
      <w:bookmarkStart w:id="683" w:name="_Toc109398733"/>
      <w:bookmarkStart w:id="684" w:name="_Toc11595554"/>
      <w:bookmarkStart w:id="685" w:name="_Toc493853606"/>
      <w:bookmarkStart w:id="686" w:name="_Toc387745778"/>
      <w:r>
        <w:rPr>
          <w:rFonts w:ascii="Times New Roman" w:hAnsi="Times New Roman"/>
          <w:color w:val="auto"/>
        </w:rPr>
        <w:t>10环境管理与监测计划</w:t>
      </w:r>
      <w:bookmarkEnd w:id="681"/>
      <w:bookmarkEnd w:id="682"/>
      <w:bookmarkEnd w:id="683"/>
      <w:bookmarkEnd w:id="684"/>
      <w:bookmarkEnd w:id="685"/>
      <w:bookmarkEnd w:id="686"/>
    </w:p>
    <w:p>
      <w:pPr>
        <w:pStyle w:val="4"/>
        <w:numPr>
          <w:ilvl w:val="1"/>
          <w:numId w:val="0"/>
        </w:numPr>
        <w:spacing w:before="120"/>
        <w:rPr>
          <w:color w:val="auto"/>
        </w:rPr>
      </w:pPr>
      <w:bookmarkStart w:id="687" w:name="_Toc493853613"/>
      <w:bookmarkStart w:id="688" w:name="_Toc109398734"/>
      <w:bookmarkStart w:id="689" w:name="_Toc327198631"/>
      <w:bookmarkStart w:id="690" w:name="_Toc11595562"/>
      <w:bookmarkStart w:id="691" w:name="_Toc335824766"/>
      <w:bookmarkStart w:id="692" w:name="_Toc387745781"/>
      <w:bookmarkStart w:id="693" w:name="_Toc327198600"/>
      <w:bookmarkStart w:id="694" w:name="_Toc387745748"/>
      <w:bookmarkStart w:id="695" w:name="_Toc335824735"/>
      <w:bookmarkStart w:id="696" w:name="_Toc243381992"/>
      <w:bookmarkStart w:id="697" w:name="_Toc241920899"/>
      <w:bookmarkStart w:id="698" w:name="_Toc318043669"/>
      <w:bookmarkStart w:id="699" w:name="_Toc493853608"/>
      <w:bookmarkStart w:id="700" w:name="_Toc240131961"/>
      <w:bookmarkStart w:id="701" w:name="_Toc11595556"/>
      <w:bookmarkStart w:id="702" w:name="_Toc201798287"/>
      <w:bookmarkStart w:id="703" w:name="_Toc240734052"/>
      <w:bookmarkStart w:id="704" w:name="_Toc305139796"/>
      <w:bookmarkStart w:id="705" w:name="_Toc387745780"/>
      <w:bookmarkStart w:id="706" w:name="_Toc332203443"/>
      <w:bookmarkStart w:id="707" w:name="_Toc299369083"/>
      <w:r>
        <w:rPr>
          <w:color w:val="auto"/>
        </w:rPr>
        <w:t>10.1环境管理计划</w:t>
      </w:r>
      <w:bookmarkEnd w:id="687"/>
      <w:bookmarkEnd w:id="688"/>
      <w:bookmarkEnd w:id="689"/>
      <w:bookmarkEnd w:id="690"/>
      <w:bookmarkEnd w:id="691"/>
      <w:bookmarkEnd w:id="692"/>
    </w:p>
    <w:p>
      <w:pPr>
        <w:pStyle w:val="5"/>
        <w:numPr>
          <w:ilvl w:val="2"/>
          <w:numId w:val="0"/>
        </w:numPr>
        <w:ind w:left="-720" w:leftChars="-343" w:firstLine="723" w:firstLineChars="300"/>
        <w:rPr>
          <w:color w:val="auto"/>
        </w:rPr>
      </w:pPr>
      <w:bookmarkStart w:id="708" w:name="_Toc11595563"/>
      <w:bookmarkStart w:id="709" w:name="_Toc109398735"/>
      <w:bookmarkStart w:id="710" w:name="_Toc19084"/>
      <w:bookmarkStart w:id="711" w:name="_Toc387745782"/>
      <w:bookmarkStart w:id="712" w:name="_Toc327198632"/>
      <w:bookmarkStart w:id="713" w:name="_Toc30374"/>
      <w:bookmarkStart w:id="714" w:name="_Toc335824767"/>
      <w:bookmarkStart w:id="715" w:name="_Toc484463567"/>
      <w:bookmarkStart w:id="716" w:name="_Toc493853614"/>
      <w:bookmarkStart w:id="717" w:name="_Toc388620193"/>
      <w:r>
        <w:rPr>
          <w:color w:val="auto"/>
        </w:rPr>
        <w:t>10.1.1环境管理体系</w:t>
      </w:r>
      <w:bookmarkEnd w:id="708"/>
      <w:bookmarkEnd w:id="709"/>
      <w:bookmarkEnd w:id="710"/>
      <w:bookmarkEnd w:id="711"/>
      <w:bookmarkEnd w:id="712"/>
      <w:bookmarkEnd w:id="713"/>
      <w:bookmarkEnd w:id="714"/>
      <w:bookmarkEnd w:id="715"/>
      <w:bookmarkEnd w:id="716"/>
      <w:bookmarkEnd w:id="717"/>
    </w:p>
    <w:p>
      <w:pPr>
        <w:pStyle w:val="130"/>
        <w:ind w:firstLine="480"/>
        <w:rPr>
          <w:color w:val="auto"/>
        </w:rPr>
      </w:pPr>
      <w:r>
        <w:rPr>
          <w:color w:val="auto"/>
        </w:rPr>
        <w:t>环境管理体系应作为企业管理体系中的一部分，并与之协调统一。项目实施后将成立独立的法人单位，并实行以“一人主管，分工负责；职能部门，各负其责；落实基层，监督考核”为原则，以公司领导为核心，安全环保部为基础的全员责任制的环境管理体系。使环境管理贯穿于企业管理的整个过程，并落实到企业的各个层次，分解到生产的各个环节，把企业管理与环境管理紧密地结合起来，不但要建立完善的企业管理体系和各总规章制度，也要建立完善的环境管理体系和各总规章制度，使企业的环境管理工作真正落到实处。</w:t>
      </w:r>
    </w:p>
    <w:p>
      <w:pPr>
        <w:pStyle w:val="5"/>
        <w:numPr>
          <w:ilvl w:val="2"/>
          <w:numId w:val="0"/>
        </w:numPr>
        <w:ind w:left="-720" w:leftChars="-343" w:firstLine="723" w:firstLineChars="300"/>
        <w:rPr>
          <w:color w:val="auto"/>
        </w:rPr>
      </w:pPr>
      <w:bookmarkStart w:id="718" w:name="_Toc387745783"/>
      <w:bookmarkStart w:id="719" w:name="_Toc327198633"/>
      <w:bookmarkStart w:id="720" w:name="_Toc109398736"/>
      <w:bookmarkStart w:id="721" w:name="_Toc484463568"/>
      <w:bookmarkStart w:id="722" w:name="_Toc28485"/>
      <w:bookmarkStart w:id="723" w:name="_Toc335824768"/>
      <w:bookmarkStart w:id="724" w:name="_Toc493853615"/>
      <w:bookmarkStart w:id="725" w:name="_Toc11595564"/>
      <w:bookmarkStart w:id="726" w:name="_Toc388620194"/>
      <w:bookmarkStart w:id="727" w:name="_Toc18142"/>
      <w:r>
        <w:rPr>
          <w:color w:val="auto"/>
        </w:rPr>
        <w:t>10.1.2环境管理机构</w:t>
      </w:r>
      <w:bookmarkEnd w:id="718"/>
      <w:bookmarkEnd w:id="719"/>
      <w:bookmarkEnd w:id="720"/>
      <w:bookmarkEnd w:id="721"/>
      <w:bookmarkEnd w:id="722"/>
      <w:bookmarkEnd w:id="723"/>
      <w:bookmarkEnd w:id="724"/>
      <w:bookmarkEnd w:id="725"/>
      <w:bookmarkEnd w:id="726"/>
      <w:bookmarkEnd w:id="727"/>
    </w:p>
    <w:p>
      <w:pPr>
        <w:pStyle w:val="130"/>
        <w:ind w:firstLine="480"/>
        <w:rPr>
          <w:color w:val="auto"/>
        </w:rPr>
      </w:pPr>
      <w:bookmarkStart w:id="728" w:name="_Toc335824769"/>
      <w:bookmarkStart w:id="729" w:name="_Toc327198634"/>
      <w:bookmarkStart w:id="730" w:name="_Toc387745784"/>
      <w:bookmarkStart w:id="731" w:name="_Toc388620195"/>
      <w:r>
        <w:rPr>
          <w:color w:val="auto"/>
        </w:rPr>
        <w:t>中卫市应理城乡市政产业（集团）有限公司设置独立安全环保部，设兼职环境保护管理人员1名，全面负责企业的环境保护管理工作，安全环保部下设监测室，承担日常环境监测工作任务。同时，安全环保部内部建立计算机辅助管理系统，使之更好地利用经济、技术、行政和教育手段，对损害环境质量的生产活动加以限制，协调好企业经济发展与环境保护的关系，使经济效益、社会效益与环境效益相协调统一。</w:t>
      </w:r>
    </w:p>
    <w:p>
      <w:pPr>
        <w:pStyle w:val="5"/>
        <w:numPr>
          <w:ilvl w:val="2"/>
          <w:numId w:val="0"/>
        </w:numPr>
        <w:ind w:left="-720" w:leftChars="-343" w:firstLine="723" w:firstLineChars="300"/>
        <w:rPr>
          <w:color w:val="auto"/>
        </w:rPr>
      </w:pPr>
      <w:bookmarkStart w:id="732" w:name="_Toc11124"/>
      <w:bookmarkStart w:id="733" w:name="_Toc109398737"/>
      <w:bookmarkStart w:id="734" w:name="_Toc484463569"/>
      <w:bookmarkStart w:id="735" w:name="_Toc493853616"/>
      <w:bookmarkStart w:id="736" w:name="_Toc31178"/>
      <w:bookmarkStart w:id="737" w:name="_Toc11595565"/>
      <w:r>
        <w:rPr>
          <w:color w:val="auto"/>
        </w:rPr>
        <w:t>10.1.3环保部职责</w:t>
      </w:r>
      <w:bookmarkEnd w:id="728"/>
      <w:bookmarkEnd w:id="729"/>
      <w:bookmarkEnd w:id="730"/>
      <w:bookmarkEnd w:id="731"/>
      <w:bookmarkEnd w:id="732"/>
      <w:bookmarkEnd w:id="733"/>
      <w:bookmarkEnd w:id="734"/>
      <w:bookmarkEnd w:id="735"/>
      <w:bookmarkEnd w:id="736"/>
      <w:bookmarkEnd w:id="737"/>
    </w:p>
    <w:p>
      <w:pPr>
        <w:pStyle w:val="130"/>
        <w:ind w:firstLine="480"/>
        <w:rPr>
          <w:color w:val="auto"/>
        </w:rPr>
      </w:pPr>
      <w:r>
        <w:rPr>
          <w:color w:val="auto"/>
        </w:rPr>
        <w:t>(1)贯彻执行国家及地方环境保护的有关方针、政策、法规等。</w:t>
      </w:r>
    </w:p>
    <w:p>
      <w:pPr>
        <w:pStyle w:val="130"/>
        <w:ind w:firstLine="480"/>
        <w:rPr>
          <w:color w:val="auto"/>
        </w:rPr>
      </w:pPr>
      <w:r>
        <w:rPr>
          <w:color w:val="auto"/>
        </w:rPr>
        <w:t>(2)结合企业实际，制定企业的环境管理计划和监测计划，并监督落实。</w:t>
      </w:r>
    </w:p>
    <w:p>
      <w:pPr>
        <w:pStyle w:val="130"/>
        <w:ind w:firstLine="480"/>
        <w:rPr>
          <w:color w:val="auto"/>
        </w:rPr>
      </w:pPr>
      <w:r>
        <w:rPr>
          <w:color w:val="auto"/>
        </w:rPr>
        <w:t>(3)审定、落实并督促实施污染治理方案，监督企业污染治理资金的落实使用。</w:t>
      </w:r>
    </w:p>
    <w:p>
      <w:pPr>
        <w:pStyle w:val="130"/>
        <w:ind w:firstLine="480"/>
        <w:rPr>
          <w:color w:val="auto"/>
        </w:rPr>
      </w:pPr>
      <w:r>
        <w:rPr>
          <w:color w:val="auto"/>
        </w:rPr>
        <w:t>(4)负责企业环境管理、污染源监测及各项环保设施正常运行的监督管理工作。</w:t>
      </w:r>
    </w:p>
    <w:p>
      <w:pPr>
        <w:pStyle w:val="130"/>
        <w:ind w:firstLine="480"/>
        <w:rPr>
          <w:color w:val="auto"/>
        </w:rPr>
      </w:pPr>
      <w:r>
        <w:rPr>
          <w:color w:val="auto"/>
        </w:rPr>
        <w:t>(5)组织有关部门制定本企业环境管理办法和污染事故的应急措施。</w:t>
      </w:r>
    </w:p>
    <w:p>
      <w:pPr>
        <w:pStyle w:val="130"/>
        <w:ind w:firstLine="480"/>
        <w:rPr>
          <w:color w:val="auto"/>
        </w:rPr>
      </w:pPr>
      <w:r>
        <w:rPr>
          <w:color w:val="auto"/>
        </w:rPr>
        <w:t>(6)协同上级环境管理部门检查企业的环境保护工作、污染治理设施的运行情况。定期对企业的污染情况进行分析总结，为环保设施的落实和更新改造提供可靠依据。建立企业污染源、污染物治理、排放浓度及总量等数据库。编制企业污染源监测的月报表、年报表及环境管理质量报告。</w:t>
      </w:r>
    </w:p>
    <w:p>
      <w:pPr>
        <w:pStyle w:val="130"/>
        <w:ind w:firstLine="480"/>
        <w:rPr>
          <w:color w:val="auto"/>
        </w:rPr>
      </w:pPr>
      <w:r>
        <w:rPr>
          <w:color w:val="auto"/>
        </w:rPr>
        <w:t>(7)组织宣传教育，与企业内部有关部门共同大力普及企业职工的环境法规及环境科学知识，提高职工的环境保护意识。宣传清洁生产理念，协同生产技术部门对生产设施进行技术改造，尽可能将污染控制在生产过程中。</w:t>
      </w:r>
    </w:p>
    <w:p>
      <w:pPr>
        <w:pStyle w:val="5"/>
        <w:numPr>
          <w:ilvl w:val="2"/>
          <w:numId w:val="0"/>
        </w:numPr>
        <w:ind w:left="-720" w:leftChars="-343" w:firstLine="723" w:firstLineChars="300"/>
        <w:rPr>
          <w:color w:val="auto"/>
        </w:rPr>
      </w:pPr>
      <w:bookmarkStart w:id="738" w:name="_Toc109398738"/>
      <w:bookmarkStart w:id="739" w:name="_Toc388620196"/>
      <w:bookmarkStart w:id="740" w:name="_Toc141801678"/>
      <w:bookmarkStart w:id="741" w:name="_Toc387745785"/>
      <w:bookmarkStart w:id="742" w:name="_Toc493853617"/>
      <w:bookmarkStart w:id="743" w:name="_Toc285434787"/>
      <w:bookmarkStart w:id="744" w:name="_Toc318043691"/>
      <w:bookmarkStart w:id="745" w:name="_Toc290475467"/>
      <w:bookmarkStart w:id="746" w:name="_Toc305139814"/>
      <w:bookmarkStart w:id="747" w:name="_Toc484463570"/>
      <w:bookmarkStart w:id="748" w:name="_Toc335824770"/>
      <w:bookmarkStart w:id="749" w:name="_Toc17689"/>
      <w:bookmarkStart w:id="750" w:name="_Toc327198635"/>
      <w:bookmarkStart w:id="751" w:name="_Toc11595566"/>
      <w:bookmarkStart w:id="752" w:name="_Toc180223173"/>
      <w:bookmarkStart w:id="753" w:name="_Toc8807"/>
      <w:r>
        <w:rPr>
          <w:color w:val="auto"/>
        </w:rPr>
        <w:t>10.1.4环境管理实施计划</w:t>
      </w:r>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p>
    <w:p>
      <w:pPr>
        <w:pStyle w:val="130"/>
        <w:ind w:firstLine="480"/>
        <w:rPr>
          <w:color w:val="auto"/>
        </w:rPr>
      </w:pPr>
      <w:r>
        <w:rPr>
          <w:color w:val="auto"/>
        </w:rPr>
        <w:t>(1)建立环保治理设施运行管理制度，环保治理设施不得无故减负荷运行或停运，确保环保治理设施满负荷正常运行。</w:t>
      </w:r>
    </w:p>
    <w:p>
      <w:pPr>
        <w:pStyle w:val="130"/>
        <w:ind w:firstLine="480"/>
        <w:rPr>
          <w:color w:val="auto"/>
        </w:rPr>
      </w:pPr>
      <w:r>
        <w:rPr>
          <w:color w:val="auto"/>
        </w:rPr>
        <w:t>(2)建立严格的环保指标考核制度，每月由环保管理机构对各车间进行考核，做到奖罚分明。</w:t>
      </w:r>
    </w:p>
    <w:p>
      <w:pPr>
        <w:pStyle w:val="130"/>
        <w:ind w:firstLine="480"/>
        <w:rPr>
          <w:color w:val="auto"/>
        </w:rPr>
      </w:pPr>
      <w:r>
        <w:rPr>
          <w:color w:val="auto"/>
        </w:rPr>
        <w:t>(3)对场内公建设施给水管网进行定期维护和检修，确保公建设施的正常运行及管网顺畅。</w:t>
      </w:r>
    </w:p>
    <w:p>
      <w:pPr>
        <w:pStyle w:val="130"/>
        <w:ind w:firstLine="480"/>
        <w:rPr>
          <w:color w:val="auto"/>
        </w:rPr>
      </w:pPr>
      <w:r>
        <w:rPr>
          <w:color w:val="auto"/>
        </w:rPr>
        <w:t>(4)固体废物的收集管理应由专人负责，分类收集，妥善处置。</w:t>
      </w:r>
    </w:p>
    <w:p>
      <w:pPr>
        <w:pStyle w:val="130"/>
        <w:ind w:firstLine="480"/>
        <w:rPr>
          <w:color w:val="auto"/>
        </w:rPr>
      </w:pPr>
      <w:r>
        <w:rPr>
          <w:color w:val="auto"/>
        </w:rPr>
        <w:t>(5)绿化能改善区域小气候和起到降噪除尘作用，对厂区的绿地必须由专人管理、养护。</w:t>
      </w:r>
    </w:p>
    <w:p>
      <w:pPr>
        <w:pStyle w:val="130"/>
        <w:ind w:firstLine="480"/>
        <w:rPr>
          <w:color w:val="auto"/>
        </w:rPr>
      </w:pPr>
      <w:r>
        <w:rPr>
          <w:color w:val="auto"/>
        </w:rPr>
        <w:t>(6)实行污染物监测及数据反馈制度，按环境监测实施计划的要求，对全厂污染物进行监测，并建立数据库，作为评比考核的依据。</w:t>
      </w:r>
    </w:p>
    <w:p>
      <w:pPr>
        <w:pStyle w:val="130"/>
        <w:ind w:firstLine="480"/>
        <w:rPr>
          <w:color w:val="auto"/>
        </w:rPr>
      </w:pPr>
      <w:r>
        <w:rPr>
          <w:color w:val="auto"/>
        </w:rPr>
        <w:t>(7)完善厂区三级管理网络，使环境管理制度落到实处，做到防患于未然。</w:t>
      </w:r>
    </w:p>
    <w:p>
      <w:pPr>
        <w:pStyle w:val="130"/>
        <w:ind w:firstLine="480"/>
        <w:rPr>
          <w:color w:val="auto"/>
        </w:rPr>
      </w:pPr>
      <w:r>
        <w:rPr>
          <w:color w:val="auto"/>
        </w:rPr>
        <w:t>(8)参加污染事故、污染纠纷的调查、处理及上报工作。</w:t>
      </w:r>
    </w:p>
    <w:p>
      <w:pPr>
        <w:pStyle w:val="130"/>
        <w:ind w:firstLine="480"/>
        <w:rPr>
          <w:color w:val="auto"/>
        </w:rPr>
      </w:pPr>
      <w:r>
        <w:rPr>
          <w:color w:val="auto"/>
        </w:rPr>
        <w:t>(9)定期组织环保管理人员进行业务学习，技术培训，提高管理水平。</w:t>
      </w:r>
    </w:p>
    <w:p>
      <w:pPr>
        <w:pStyle w:val="130"/>
        <w:ind w:firstLine="480"/>
        <w:rPr>
          <w:color w:val="auto"/>
        </w:rPr>
      </w:pPr>
      <w:r>
        <w:rPr>
          <w:color w:val="auto"/>
        </w:rPr>
        <w:t>(10)加强企业干部职工环境知识的教育与宣传。在教育中增加环保方针、政策、法纪等内容，在科普教育中列进环保与生态内容，教育干部职工树立文明生产、遵纪守法的良好习惯和保护环境造福人民的责任心。</w:t>
      </w:r>
    </w:p>
    <w:p>
      <w:pPr>
        <w:pStyle w:val="130"/>
        <w:ind w:firstLine="480"/>
        <w:rPr>
          <w:color w:val="auto"/>
        </w:rPr>
      </w:pPr>
      <w:r>
        <w:rPr>
          <w:color w:val="auto"/>
        </w:rPr>
        <w:t>(11)将环保纳入企业总体发展计划，力争做到环保与经济效益同步发展。</w:t>
      </w:r>
    </w:p>
    <w:p>
      <w:pPr>
        <w:pStyle w:val="130"/>
        <w:ind w:firstLine="480"/>
        <w:rPr>
          <w:color w:val="auto"/>
        </w:rPr>
      </w:pPr>
      <w:r>
        <w:rPr>
          <w:color w:val="auto"/>
        </w:rPr>
        <w:t>(12)对原料运输单位和个人实行许可证制度。</w:t>
      </w:r>
    </w:p>
    <w:p>
      <w:pPr>
        <w:pStyle w:val="130"/>
        <w:ind w:firstLine="480"/>
        <w:rPr>
          <w:color w:val="auto"/>
        </w:rPr>
      </w:pPr>
      <w:r>
        <w:rPr>
          <w:color w:val="auto"/>
        </w:rPr>
        <w:t>本项目不同工作阶段的环境管理计划详见表10.1-1。</w:t>
      </w:r>
    </w:p>
    <w:p>
      <w:pPr>
        <w:jc w:val="center"/>
        <w:rPr>
          <w:rFonts w:eastAsiaTheme="minorEastAsia"/>
          <w:b/>
          <w:color w:val="auto"/>
          <w:sz w:val="24"/>
          <w:szCs w:val="24"/>
        </w:rPr>
      </w:pPr>
      <w:r>
        <w:rPr>
          <w:rFonts w:eastAsiaTheme="minorEastAsia"/>
          <w:b/>
          <w:color w:val="auto"/>
          <w:sz w:val="24"/>
          <w:szCs w:val="24"/>
        </w:rPr>
        <w:t>表10.1-1  环境管理工作计划</w:t>
      </w:r>
    </w:p>
    <w:tbl>
      <w:tblPr>
        <w:tblStyle w:val="74"/>
        <w:tblW w:w="852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5"/>
        <w:gridCol w:w="699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525" w:type="dxa"/>
            <w:vAlign w:val="center"/>
          </w:tcPr>
          <w:p>
            <w:pPr>
              <w:pStyle w:val="164"/>
              <w:rPr>
                <w:b/>
                <w:color w:val="auto"/>
              </w:rPr>
            </w:pPr>
            <w:r>
              <w:rPr>
                <w:b/>
                <w:color w:val="auto"/>
              </w:rPr>
              <w:t>阶段</w:t>
            </w:r>
          </w:p>
        </w:tc>
        <w:tc>
          <w:tcPr>
            <w:tcW w:w="6995" w:type="dxa"/>
            <w:vAlign w:val="center"/>
          </w:tcPr>
          <w:p>
            <w:pPr>
              <w:pStyle w:val="164"/>
              <w:rPr>
                <w:b/>
                <w:color w:val="auto"/>
              </w:rPr>
            </w:pPr>
            <w:r>
              <w:rPr>
                <w:b/>
                <w:color w:val="auto"/>
              </w:rPr>
              <w:t>环境管理工作主要内容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525" w:type="dxa"/>
            <w:vAlign w:val="center"/>
          </w:tcPr>
          <w:p>
            <w:pPr>
              <w:pStyle w:val="164"/>
              <w:rPr>
                <w:color w:val="auto"/>
              </w:rPr>
            </w:pPr>
            <w:r>
              <w:rPr>
                <w:color w:val="auto"/>
              </w:rPr>
              <w:t>管理机构职能</w:t>
            </w:r>
          </w:p>
        </w:tc>
        <w:tc>
          <w:tcPr>
            <w:tcW w:w="6995" w:type="dxa"/>
            <w:vAlign w:val="center"/>
          </w:tcPr>
          <w:p>
            <w:pPr>
              <w:pStyle w:val="164"/>
              <w:jc w:val="left"/>
              <w:rPr>
                <w:color w:val="auto"/>
              </w:rPr>
            </w:pPr>
            <w:r>
              <w:rPr>
                <w:color w:val="auto"/>
              </w:rPr>
              <w:t>根据国家建设项目环境管理规定，认真落实各项环保手续，完成各级主管部门对本企业提出的环境管理要求，对本企业内部各项管理计划的执行及完成情况进行监督、控制，确保环境管理工作真正发挥作用。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525" w:type="dxa"/>
            <w:vAlign w:val="center"/>
          </w:tcPr>
          <w:p>
            <w:pPr>
              <w:pStyle w:val="164"/>
              <w:rPr>
                <w:color w:val="auto"/>
              </w:rPr>
            </w:pPr>
            <w:r>
              <w:rPr>
                <w:color w:val="auto"/>
              </w:rPr>
              <w:t>项目建设前期</w:t>
            </w:r>
          </w:p>
        </w:tc>
        <w:tc>
          <w:tcPr>
            <w:tcW w:w="6995" w:type="dxa"/>
            <w:vAlign w:val="center"/>
          </w:tcPr>
          <w:p>
            <w:pPr>
              <w:pStyle w:val="164"/>
              <w:jc w:val="left"/>
              <w:rPr>
                <w:color w:val="auto"/>
              </w:rPr>
            </w:pPr>
            <w:r>
              <w:rPr>
                <w:color w:val="auto"/>
              </w:rPr>
              <w:t>1、与项目可行性同期，委托评价单位进行项目的环境影响评价工作；</w:t>
            </w:r>
          </w:p>
          <w:p>
            <w:pPr>
              <w:pStyle w:val="164"/>
              <w:jc w:val="left"/>
              <w:rPr>
                <w:color w:val="auto"/>
              </w:rPr>
            </w:pPr>
            <w:r>
              <w:rPr>
                <w:color w:val="auto"/>
              </w:rPr>
              <w:t>2、积极配合可研及环评单位所需进行现场调研；</w:t>
            </w:r>
          </w:p>
          <w:p>
            <w:pPr>
              <w:pStyle w:val="164"/>
              <w:jc w:val="left"/>
              <w:rPr>
                <w:color w:val="auto"/>
              </w:rPr>
            </w:pPr>
            <w:r>
              <w:rPr>
                <w:color w:val="auto"/>
              </w:rPr>
              <w:t>3、针对项目的具体情况，建立企业内部必要的环境管理与监测制度；</w:t>
            </w:r>
          </w:p>
          <w:p>
            <w:pPr>
              <w:pStyle w:val="164"/>
              <w:jc w:val="left"/>
              <w:rPr>
                <w:color w:val="auto"/>
              </w:rPr>
            </w:pPr>
            <w:r>
              <w:rPr>
                <w:color w:val="auto"/>
              </w:rPr>
              <w:t>4、对全厂职工进行岗位宣传和培训。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525" w:type="dxa"/>
            <w:vAlign w:val="center"/>
          </w:tcPr>
          <w:p>
            <w:pPr>
              <w:pStyle w:val="164"/>
              <w:rPr>
                <w:color w:val="auto"/>
              </w:rPr>
            </w:pPr>
            <w:r>
              <w:rPr>
                <w:color w:val="auto"/>
              </w:rPr>
              <w:t>设计阶段</w:t>
            </w:r>
          </w:p>
        </w:tc>
        <w:tc>
          <w:tcPr>
            <w:tcW w:w="6995" w:type="dxa"/>
            <w:vAlign w:val="center"/>
          </w:tcPr>
          <w:p>
            <w:pPr>
              <w:pStyle w:val="164"/>
              <w:jc w:val="left"/>
              <w:rPr>
                <w:color w:val="auto"/>
              </w:rPr>
            </w:pPr>
            <w:r>
              <w:rPr>
                <w:color w:val="auto"/>
              </w:rPr>
              <w:t>1、委托设计单位对项目的环保工程进行设计，与主体工程同步进行；</w:t>
            </w:r>
          </w:p>
          <w:p>
            <w:pPr>
              <w:pStyle w:val="164"/>
              <w:jc w:val="left"/>
              <w:rPr>
                <w:color w:val="auto"/>
              </w:rPr>
            </w:pPr>
            <w:r>
              <w:rPr>
                <w:color w:val="auto"/>
              </w:rPr>
              <w:t>2、协助设计单位弄清楚现阶段的环境问题；</w:t>
            </w:r>
          </w:p>
          <w:p>
            <w:pPr>
              <w:pStyle w:val="164"/>
              <w:jc w:val="left"/>
              <w:rPr>
                <w:color w:val="auto"/>
              </w:rPr>
            </w:pPr>
            <w:r>
              <w:rPr>
                <w:color w:val="auto"/>
              </w:rPr>
              <w:t>3、对污染物大的设备应该严格按照环保规范布置在厂区主导风向的下风向；</w:t>
            </w:r>
          </w:p>
          <w:p>
            <w:pPr>
              <w:pStyle w:val="164"/>
              <w:jc w:val="left"/>
              <w:rPr>
                <w:color w:val="auto"/>
              </w:rPr>
            </w:pPr>
            <w:r>
              <w:rPr>
                <w:color w:val="auto"/>
              </w:rPr>
              <w:t>4、在设计中落实环境影响报告书提出的环保对策措施。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525" w:type="dxa"/>
            <w:vAlign w:val="center"/>
          </w:tcPr>
          <w:p>
            <w:pPr>
              <w:pStyle w:val="164"/>
              <w:rPr>
                <w:color w:val="auto"/>
              </w:rPr>
            </w:pPr>
            <w:r>
              <w:rPr>
                <w:color w:val="auto"/>
              </w:rPr>
              <w:t>施工阶段</w:t>
            </w:r>
          </w:p>
        </w:tc>
        <w:tc>
          <w:tcPr>
            <w:tcW w:w="6995" w:type="dxa"/>
            <w:vAlign w:val="center"/>
          </w:tcPr>
          <w:p>
            <w:pPr>
              <w:pStyle w:val="164"/>
              <w:jc w:val="left"/>
              <w:rPr>
                <w:color w:val="auto"/>
              </w:rPr>
            </w:pPr>
            <w:r>
              <w:rPr>
                <w:color w:val="auto"/>
              </w:rPr>
              <w:t>1、严格执行“三同时”制度；</w:t>
            </w:r>
          </w:p>
          <w:p>
            <w:pPr>
              <w:pStyle w:val="164"/>
              <w:jc w:val="left"/>
              <w:rPr>
                <w:color w:val="auto"/>
              </w:rPr>
            </w:pPr>
            <w:r>
              <w:rPr>
                <w:color w:val="auto"/>
              </w:rPr>
              <w:t>2、按照环评报告中提出的要求，制定出建设项目施工环保措施实施计划表，并与当地环保部门签订落实计划内的目标责任书；</w:t>
            </w:r>
          </w:p>
          <w:p>
            <w:pPr>
              <w:pStyle w:val="164"/>
              <w:jc w:val="left"/>
              <w:rPr>
                <w:color w:val="auto"/>
              </w:rPr>
            </w:pPr>
            <w:r>
              <w:rPr>
                <w:color w:val="auto"/>
              </w:rPr>
              <w:t>3、认真监督主体工程与环保设施的同步建设；建立环保设施施工进度档案，确保环保工作的正常实施运行；</w:t>
            </w:r>
          </w:p>
          <w:p>
            <w:pPr>
              <w:pStyle w:val="164"/>
              <w:jc w:val="left"/>
              <w:rPr>
                <w:color w:val="auto"/>
              </w:rPr>
            </w:pPr>
            <w:r>
              <w:rPr>
                <w:color w:val="auto"/>
              </w:rPr>
              <w:t>4、施工噪声与振动要符合《中华人民共和国环境噪声污染防治法》有关规定，不得干扰周围群众的正常生活和工作；</w:t>
            </w:r>
          </w:p>
          <w:p>
            <w:pPr>
              <w:pStyle w:val="164"/>
              <w:jc w:val="left"/>
              <w:rPr>
                <w:color w:val="auto"/>
              </w:rPr>
            </w:pPr>
            <w:r>
              <w:rPr>
                <w:color w:val="auto"/>
              </w:rPr>
              <w:t>5、制定施工期环境监理制度，监督环保工程的实施情况，施工阶段的环保工程进展情况和环保投资落实情况定期(每季度)向环保主管部门汇报一次。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525" w:type="dxa"/>
            <w:vAlign w:val="center"/>
          </w:tcPr>
          <w:p>
            <w:pPr>
              <w:pStyle w:val="164"/>
              <w:rPr>
                <w:color w:val="auto"/>
              </w:rPr>
            </w:pPr>
            <w:r>
              <w:rPr>
                <w:color w:val="auto"/>
              </w:rPr>
              <w:t>试运行阶段</w:t>
            </w:r>
          </w:p>
        </w:tc>
        <w:tc>
          <w:tcPr>
            <w:tcW w:w="6995" w:type="dxa"/>
            <w:vAlign w:val="center"/>
          </w:tcPr>
          <w:p>
            <w:pPr>
              <w:pStyle w:val="164"/>
              <w:jc w:val="left"/>
              <w:rPr>
                <w:color w:val="auto"/>
              </w:rPr>
            </w:pPr>
            <w:r>
              <w:rPr>
                <w:color w:val="auto"/>
              </w:rPr>
              <w:t>1、检查施工项目是否按照设计、环评规定的环保措施全部完工；</w:t>
            </w:r>
          </w:p>
          <w:p>
            <w:pPr>
              <w:pStyle w:val="164"/>
              <w:jc w:val="left"/>
              <w:rPr>
                <w:color w:val="auto"/>
              </w:rPr>
            </w:pPr>
            <w:r>
              <w:rPr>
                <w:color w:val="auto"/>
              </w:rPr>
              <w:t>2、做好环保设施运行记录；</w:t>
            </w:r>
          </w:p>
          <w:p>
            <w:pPr>
              <w:pStyle w:val="164"/>
              <w:jc w:val="left"/>
              <w:rPr>
                <w:color w:val="auto"/>
              </w:rPr>
            </w:pPr>
            <w:r>
              <w:rPr>
                <w:color w:val="auto"/>
              </w:rPr>
              <w:t>3、向环保部门和当地主管部门提交试运行申请报告；</w:t>
            </w:r>
          </w:p>
          <w:p>
            <w:pPr>
              <w:pStyle w:val="164"/>
              <w:jc w:val="left"/>
              <w:rPr>
                <w:color w:val="auto"/>
              </w:rPr>
            </w:pPr>
            <w:r>
              <w:rPr>
                <w:color w:val="auto"/>
              </w:rPr>
              <w:t>4、环保部门和当地主管部门对环保设施进行现场检查；</w:t>
            </w:r>
          </w:p>
          <w:p>
            <w:pPr>
              <w:pStyle w:val="164"/>
              <w:jc w:val="left"/>
              <w:rPr>
                <w:color w:val="auto"/>
              </w:rPr>
            </w:pPr>
            <w:r>
              <w:rPr>
                <w:color w:val="auto"/>
              </w:rPr>
              <w:t>5、记录各项环保设施的试运转状况，针对出现问题提出完善修改意见；</w:t>
            </w:r>
          </w:p>
          <w:p>
            <w:pPr>
              <w:pStyle w:val="164"/>
              <w:jc w:val="left"/>
              <w:rPr>
                <w:color w:val="auto"/>
              </w:rPr>
            </w:pPr>
            <w:r>
              <w:rPr>
                <w:color w:val="auto"/>
              </w:rPr>
              <w:t>6、总结试运转的经验，健全前期的各项管理制度。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trPr>
        <w:tc>
          <w:tcPr>
            <w:tcW w:w="1525" w:type="dxa"/>
            <w:vAlign w:val="center"/>
          </w:tcPr>
          <w:p>
            <w:pPr>
              <w:pStyle w:val="164"/>
              <w:rPr>
                <w:color w:val="auto"/>
              </w:rPr>
            </w:pPr>
            <w:r>
              <w:rPr>
                <w:color w:val="auto"/>
              </w:rPr>
              <w:t>生产运营期</w:t>
            </w:r>
          </w:p>
        </w:tc>
        <w:tc>
          <w:tcPr>
            <w:tcW w:w="6995" w:type="dxa"/>
            <w:vAlign w:val="center"/>
          </w:tcPr>
          <w:p>
            <w:pPr>
              <w:pStyle w:val="164"/>
              <w:jc w:val="left"/>
              <w:rPr>
                <w:color w:val="auto"/>
              </w:rPr>
            </w:pPr>
            <w:r>
              <w:rPr>
                <w:color w:val="auto"/>
              </w:rPr>
              <w:t>1、严格执行各项生产及环境管理制度，保证生产的正常运行；</w:t>
            </w:r>
          </w:p>
          <w:p>
            <w:pPr>
              <w:pStyle w:val="164"/>
              <w:jc w:val="left"/>
              <w:rPr>
                <w:color w:val="auto"/>
              </w:rPr>
            </w:pPr>
            <w:r>
              <w:rPr>
                <w:color w:val="auto"/>
              </w:rPr>
              <w:t>2、设立环保设施运行卡，对环保设施定期进行检查、维护，做到勤查、勤记、勤养护，按照监测计划定期组织进行全厂内的污染源监测，对不达标环保设施寻找原因，及时处理；</w:t>
            </w:r>
          </w:p>
          <w:p>
            <w:pPr>
              <w:pStyle w:val="164"/>
              <w:jc w:val="left"/>
              <w:rPr>
                <w:color w:val="auto"/>
              </w:rPr>
            </w:pPr>
            <w:r>
              <w:rPr>
                <w:color w:val="auto"/>
              </w:rPr>
              <w:t>3、加强技术培训，组织企业内部之间技术交流，提高业务水平，保持企业内部职工素质稳定；</w:t>
            </w:r>
          </w:p>
          <w:p>
            <w:pPr>
              <w:pStyle w:val="164"/>
              <w:jc w:val="left"/>
              <w:rPr>
                <w:color w:val="auto"/>
              </w:rPr>
            </w:pPr>
            <w:r>
              <w:rPr>
                <w:color w:val="auto"/>
              </w:rPr>
              <w:t>4、重视群众监督作用，提高企业职工环境意识，鼓励职工及外部人员对生产状况提出意见，并通过积极吸收宝贵意见，提高企业环境管理水平；</w:t>
            </w:r>
          </w:p>
          <w:p>
            <w:pPr>
              <w:pStyle w:val="164"/>
              <w:jc w:val="left"/>
              <w:rPr>
                <w:color w:val="auto"/>
              </w:rPr>
            </w:pPr>
            <w:r>
              <w:rPr>
                <w:color w:val="auto"/>
              </w:rPr>
              <w:t>5、积极配合环保部门的检查、验收。</w:t>
            </w:r>
          </w:p>
        </w:tc>
      </w:tr>
      <w:bookmarkEnd w:id="693"/>
      <w:bookmarkEnd w:id="694"/>
      <w:bookmarkEnd w:id="695"/>
      <w:bookmarkEnd w:id="696"/>
      <w:bookmarkEnd w:id="697"/>
      <w:bookmarkEnd w:id="698"/>
      <w:bookmarkEnd w:id="699"/>
      <w:bookmarkEnd w:id="700"/>
      <w:bookmarkEnd w:id="701"/>
      <w:bookmarkEnd w:id="702"/>
      <w:bookmarkEnd w:id="703"/>
      <w:bookmarkEnd w:id="704"/>
    </w:tbl>
    <w:p>
      <w:pPr>
        <w:pStyle w:val="4"/>
        <w:numPr>
          <w:ilvl w:val="1"/>
          <w:numId w:val="0"/>
        </w:numPr>
        <w:spacing w:before="120"/>
        <w:rPr>
          <w:color w:val="auto"/>
        </w:rPr>
      </w:pPr>
      <w:bookmarkStart w:id="754" w:name="_Toc109398739"/>
      <w:bookmarkStart w:id="755" w:name="_Toc11595561"/>
      <w:bookmarkStart w:id="756" w:name="_Toc493853612"/>
      <w:r>
        <w:rPr>
          <w:color w:val="auto"/>
        </w:rPr>
        <w:t>10.2环境管理目标</w:t>
      </w:r>
      <w:bookmarkEnd w:id="705"/>
      <w:bookmarkEnd w:id="706"/>
      <w:bookmarkEnd w:id="707"/>
      <w:bookmarkEnd w:id="754"/>
      <w:bookmarkEnd w:id="755"/>
      <w:bookmarkEnd w:id="756"/>
    </w:p>
    <w:p>
      <w:pPr>
        <w:pStyle w:val="130"/>
        <w:ind w:firstLine="480"/>
        <w:rPr>
          <w:color w:val="auto"/>
        </w:rPr>
      </w:pPr>
      <w:r>
        <w:rPr>
          <w:color w:val="auto"/>
        </w:rPr>
        <w:t>本次环境影响评价针对项目特点、环境问题和主要污染物，分别提出了有效的污染防治措施，并对可研设计的污染物的治理措施进行了分析及完善，项目实施期间应认真落实，监督管理环保设施的运行情况，定期监测各污染物的排放浓度以达到预期的效果。</w:t>
      </w:r>
    </w:p>
    <w:p>
      <w:pPr>
        <w:pStyle w:val="4"/>
        <w:numPr>
          <w:ilvl w:val="1"/>
          <w:numId w:val="0"/>
        </w:numPr>
        <w:spacing w:before="120"/>
        <w:rPr>
          <w:color w:val="auto"/>
        </w:rPr>
      </w:pPr>
      <w:bookmarkStart w:id="757" w:name="_Toc109398740"/>
      <w:bookmarkStart w:id="758" w:name="_Toc335824771"/>
      <w:bookmarkStart w:id="759" w:name="_Toc327198636"/>
      <w:bookmarkStart w:id="760" w:name="_Toc493853618"/>
      <w:bookmarkStart w:id="761" w:name="_Toc11595569"/>
      <w:bookmarkStart w:id="762" w:name="_Toc387745786"/>
      <w:r>
        <w:rPr>
          <w:color w:val="auto"/>
        </w:rPr>
        <w:t>10.3总量控制指标</w:t>
      </w:r>
      <w:bookmarkEnd w:id="757"/>
    </w:p>
    <w:p>
      <w:pPr>
        <w:pStyle w:val="5"/>
        <w:numPr>
          <w:ilvl w:val="2"/>
          <w:numId w:val="0"/>
        </w:numPr>
        <w:ind w:left="-720" w:leftChars="-343" w:firstLine="723" w:firstLineChars="300"/>
        <w:rPr>
          <w:color w:val="auto"/>
        </w:rPr>
      </w:pPr>
      <w:bookmarkStart w:id="763" w:name="_Toc11595557"/>
      <w:bookmarkStart w:id="764" w:name="_Toc109398741"/>
      <w:bookmarkStart w:id="765" w:name="_Toc493853609"/>
      <w:bookmarkStart w:id="766" w:name="_Toc26386"/>
      <w:bookmarkStart w:id="767" w:name="_Toc13324"/>
      <w:bookmarkStart w:id="768" w:name="_Toc484463562"/>
      <w:r>
        <w:rPr>
          <w:color w:val="auto"/>
        </w:rPr>
        <w:t>10.3.1总量控制原则和意义</w:t>
      </w:r>
      <w:bookmarkEnd w:id="763"/>
      <w:bookmarkEnd w:id="764"/>
      <w:bookmarkEnd w:id="765"/>
      <w:bookmarkEnd w:id="766"/>
      <w:bookmarkEnd w:id="767"/>
      <w:bookmarkEnd w:id="768"/>
    </w:p>
    <w:p>
      <w:pPr>
        <w:pStyle w:val="130"/>
        <w:ind w:firstLine="480"/>
        <w:rPr>
          <w:color w:val="auto"/>
        </w:rPr>
      </w:pPr>
      <w:r>
        <w:rPr>
          <w:color w:val="auto"/>
        </w:rPr>
        <w:t>环境污染物总量控制是为了使某一时空环境领域达到一定环境质量目标时，将污染物负荷总量，以特征、重污染物为控制对象，确定污染物总量排放控制指标定额控制在自然环境承载能力范围之内的规划管理措施，是推行可持续发展战略的需要。基于污染物总量控制提出的背景，以及该制度所期望的意义和作用，本项目总量控制实施原则主要有以下几点：</w:t>
      </w:r>
    </w:p>
    <w:p>
      <w:pPr>
        <w:pStyle w:val="130"/>
        <w:ind w:firstLine="480"/>
        <w:rPr>
          <w:color w:val="auto"/>
        </w:rPr>
      </w:pPr>
      <w:r>
        <w:rPr>
          <w:color w:val="auto"/>
        </w:rPr>
        <w:t>⑴项目的特性、生产线、设备等符合国家的产业政策方向，属于国家鼓励、提倡或允许的，而不是国家明令禁止的、淘汰的或者控制的范围；</w:t>
      </w:r>
    </w:p>
    <w:p>
      <w:pPr>
        <w:pStyle w:val="130"/>
        <w:ind w:firstLine="480"/>
        <w:rPr>
          <w:color w:val="auto"/>
        </w:rPr>
      </w:pPr>
      <w:r>
        <w:rPr>
          <w:color w:val="auto"/>
        </w:rPr>
        <w:t>⑵项目符合国家环境保护法律、法规、制度、原则和技术规范；</w:t>
      </w:r>
    </w:p>
    <w:p>
      <w:pPr>
        <w:pStyle w:val="130"/>
        <w:ind w:firstLine="480"/>
        <w:rPr>
          <w:color w:val="auto"/>
        </w:rPr>
      </w:pPr>
      <w:r>
        <w:rPr>
          <w:color w:val="auto"/>
        </w:rPr>
        <w:t>⑶项目的环境污染治理至少采用了目前工艺、技术等各方面均成熟的治理方案；</w:t>
      </w:r>
    </w:p>
    <w:p>
      <w:pPr>
        <w:pStyle w:val="130"/>
        <w:ind w:firstLine="480"/>
        <w:rPr>
          <w:color w:val="auto"/>
        </w:rPr>
      </w:pPr>
      <w:r>
        <w:rPr>
          <w:color w:val="auto"/>
        </w:rPr>
        <w:t>⑷污染物排放必须达到国家标准限定的排放指标；</w:t>
      </w:r>
    </w:p>
    <w:p>
      <w:pPr>
        <w:pStyle w:val="130"/>
        <w:ind w:firstLine="480"/>
        <w:rPr>
          <w:color w:val="auto"/>
        </w:rPr>
      </w:pPr>
      <w:r>
        <w:rPr>
          <w:color w:val="auto"/>
        </w:rPr>
        <w:t>⑸按照国家及地方环保主管部门要求的总量控制目标，结合建设项目实际，以项目特征污染物作为评价项目总量控制的主要对象；</w:t>
      </w:r>
    </w:p>
    <w:p>
      <w:pPr>
        <w:pStyle w:val="130"/>
        <w:ind w:firstLine="480"/>
        <w:rPr>
          <w:color w:val="auto"/>
        </w:rPr>
      </w:pPr>
      <w:r>
        <w:rPr>
          <w:color w:val="auto"/>
        </w:rPr>
        <w:t>⑹总量控制的定额采取排放浓度标准与排放总量指标相结合的方式来控制。</w:t>
      </w:r>
    </w:p>
    <w:p>
      <w:pPr>
        <w:pStyle w:val="5"/>
        <w:numPr>
          <w:ilvl w:val="2"/>
          <w:numId w:val="0"/>
        </w:numPr>
        <w:ind w:left="-720" w:leftChars="-343" w:firstLine="723" w:firstLineChars="300"/>
        <w:rPr>
          <w:color w:val="auto"/>
        </w:rPr>
      </w:pPr>
      <w:bookmarkStart w:id="769" w:name="_Toc27267"/>
      <w:bookmarkStart w:id="770" w:name="_Toc387745749"/>
      <w:bookmarkStart w:id="771" w:name="_Toc493853610"/>
      <w:bookmarkStart w:id="772" w:name="_Toc228607815"/>
      <w:bookmarkStart w:id="773" w:name="_Toc335824736"/>
      <w:bookmarkStart w:id="774" w:name="_Toc327198601"/>
      <w:bookmarkStart w:id="775" w:name="_Toc229204710"/>
      <w:bookmarkStart w:id="776" w:name="_Toc5002"/>
      <w:bookmarkStart w:id="777" w:name="_Toc11595558"/>
      <w:bookmarkStart w:id="778" w:name="_Toc484463563"/>
      <w:bookmarkStart w:id="779" w:name="_Toc109398742"/>
      <w:bookmarkStart w:id="780" w:name="_Toc388620160"/>
      <w:r>
        <w:rPr>
          <w:color w:val="auto"/>
        </w:rPr>
        <w:t>10.3.2总量控制因子</w:t>
      </w:r>
      <w:bookmarkEnd w:id="769"/>
      <w:bookmarkEnd w:id="770"/>
      <w:bookmarkEnd w:id="771"/>
      <w:bookmarkEnd w:id="772"/>
      <w:bookmarkEnd w:id="773"/>
      <w:bookmarkEnd w:id="774"/>
      <w:bookmarkEnd w:id="775"/>
      <w:bookmarkEnd w:id="776"/>
      <w:bookmarkEnd w:id="777"/>
      <w:bookmarkEnd w:id="778"/>
      <w:bookmarkEnd w:id="779"/>
      <w:bookmarkEnd w:id="780"/>
    </w:p>
    <w:p>
      <w:pPr>
        <w:pStyle w:val="130"/>
        <w:ind w:firstLine="480"/>
        <w:rPr>
          <w:color w:val="auto"/>
        </w:rPr>
      </w:pPr>
      <w:r>
        <w:rPr>
          <w:color w:val="auto"/>
        </w:rPr>
        <w:t>本项目的建设本着“清洁生产”的原则，采用成熟、较为可靠的污染物治理措施，确保污染物达标排放和污染总量控制目标的实现。按照国家及省、市环保管理部门要求的总量控制目标，结合项目所处地理位置、当地环境质量现状水平、项目污染物排放特点，确定本项目建成后全厂污染物总量控制指标如下：</w:t>
      </w:r>
    </w:p>
    <w:p>
      <w:pPr>
        <w:pStyle w:val="130"/>
        <w:ind w:firstLine="480"/>
        <w:rPr>
          <w:color w:val="auto"/>
        </w:rPr>
      </w:pPr>
      <w:r>
        <w:rPr>
          <w:color w:val="auto"/>
        </w:rPr>
        <w:t>大气污染控制因子：VOCs0.0232t/a</w:t>
      </w:r>
      <w:r>
        <w:rPr>
          <w:rFonts w:hint="eastAsia"/>
          <w:color w:val="auto"/>
        </w:rPr>
        <w:t>（其中有组织0</w:t>
      </w:r>
      <w:r>
        <w:rPr>
          <w:color w:val="auto"/>
        </w:rPr>
        <w:t>.0193t/a</w:t>
      </w:r>
      <w:r>
        <w:rPr>
          <w:rFonts w:hint="eastAsia"/>
          <w:color w:val="auto"/>
        </w:rPr>
        <w:t>、无组织0</w:t>
      </w:r>
      <w:r>
        <w:rPr>
          <w:color w:val="auto"/>
        </w:rPr>
        <w:t>.0039t/a</w:t>
      </w:r>
      <w:r>
        <w:rPr>
          <w:rFonts w:hint="eastAsia"/>
          <w:color w:val="auto"/>
        </w:rPr>
        <w:t>）</w:t>
      </w:r>
      <w:r>
        <w:rPr>
          <w:color w:val="auto"/>
        </w:rPr>
        <w:t>、颗粒物0.0846t/a；</w:t>
      </w:r>
    </w:p>
    <w:p>
      <w:pPr>
        <w:pStyle w:val="130"/>
        <w:ind w:firstLine="480"/>
        <w:rPr>
          <w:color w:val="auto"/>
        </w:rPr>
      </w:pPr>
      <w:r>
        <w:rPr>
          <w:color w:val="auto"/>
        </w:rPr>
        <w:t>水污染控制因子：本项目废水经污水处理站进行处理达标后用于中卫市垃圾填埋场道路洒水抑尘，不外排，不设总量控制指标。</w:t>
      </w:r>
    </w:p>
    <w:p>
      <w:pPr>
        <w:pStyle w:val="4"/>
        <w:numPr>
          <w:ilvl w:val="1"/>
          <w:numId w:val="0"/>
        </w:numPr>
        <w:spacing w:before="120"/>
        <w:rPr>
          <w:color w:val="auto"/>
        </w:rPr>
      </w:pPr>
      <w:bookmarkStart w:id="781" w:name="_Toc109398743"/>
      <w:r>
        <w:rPr>
          <w:color w:val="auto"/>
        </w:rPr>
        <w:t>10.4环境监测计划</w:t>
      </w:r>
      <w:bookmarkEnd w:id="758"/>
      <w:bookmarkEnd w:id="759"/>
      <w:bookmarkEnd w:id="760"/>
      <w:bookmarkEnd w:id="761"/>
      <w:bookmarkEnd w:id="762"/>
      <w:bookmarkEnd w:id="781"/>
    </w:p>
    <w:p>
      <w:pPr>
        <w:pStyle w:val="5"/>
        <w:numPr>
          <w:ilvl w:val="2"/>
          <w:numId w:val="0"/>
        </w:numPr>
        <w:ind w:left="-720" w:leftChars="-343" w:firstLine="723" w:firstLineChars="300"/>
        <w:rPr>
          <w:color w:val="auto"/>
        </w:rPr>
      </w:pPr>
      <w:bookmarkStart w:id="782" w:name="_Toc15667"/>
      <w:bookmarkStart w:id="783" w:name="_Toc484463572"/>
      <w:bookmarkStart w:id="784" w:name="_Toc388620198"/>
      <w:bookmarkStart w:id="785" w:name="_Toc493853619"/>
      <w:bookmarkStart w:id="786" w:name="_Toc387745787"/>
      <w:bookmarkStart w:id="787" w:name="_Toc638"/>
      <w:bookmarkStart w:id="788" w:name="_Toc11595570"/>
      <w:bookmarkStart w:id="789" w:name="_Toc109398744"/>
      <w:bookmarkStart w:id="790" w:name="_Toc327198637"/>
      <w:bookmarkStart w:id="791" w:name="_Toc335824772"/>
      <w:r>
        <w:rPr>
          <w:color w:val="auto"/>
        </w:rPr>
        <w:t>10.4.1监测目的</w:t>
      </w:r>
      <w:bookmarkEnd w:id="782"/>
      <w:bookmarkEnd w:id="783"/>
      <w:bookmarkEnd w:id="784"/>
      <w:bookmarkEnd w:id="785"/>
      <w:bookmarkEnd w:id="786"/>
      <w:bookmarkEnd w:id="787"/>
      <w:bookmarkEnd w:id="788"/>
      <w:bookmarkEnd w:id="789"/>
    </w:p>
    <w:p>
      <w:pPr>
        <w:pStyle w:val="130"/>
        <w:ind w:firstLine="480"/>
        <w:rPr>
          <w:color w:val="auto"/>
        </w:rPr>
      </w:pPr>
      <w:r>
        <w:rPr>
          <w:color w:val="auto"/>
        </w:rPr>
        <w:t>环境监测是企业环境管理必不可少的一部分，也是环境管理规范化的重要手段，其对企业主要污染物进行监测分析、资料整理、编制报表、建立技术文件档案，作为上级环保部门进行环境规划、管理及执法提供依据。</w:t>
      </w:r>
    </w:p>
    <w:p>
      <w:pPr>
        <w:pStyle w:val="130"/>
        <w:ind w:firstLine="480"/>
        <w:rPr>
          <w:color w:val="auto"/>
        </w:rPr>
      </w:pPr>
      <w:r>
        <w:rPr>
          <w:color w:val="auto"/>
        </w:rPr>
        <w:t>根据建设项目的工程影响分析可知：本项目在运营过程中由于环保设施的运行状况，可能出现大气污染物超标排放、噪声污染物等以及事故发生后引发的环境问题，这些都可能对当地环境造成影响，所以，运营期进行定期的监测是很有必要的。</w:t>
      </w:r>
    </w:p>
    <w:bookmarkEnd w:id="790"/>
    <w:bookmarkEnd w:id="791"/>
    <w:p>
      <w:pPr>
        <w:pStyle w:val="5"/>
        <w:numPr>
          <w:ilvl w:val="2"/>
          <w:numId w:val="0"/>
        </w:numPr>
        <w:ind w:left="-720" w:leftChars="-343" w:firstLine="723" w:firstLineChars="300"/>
        <w:rPr>
          <w:color w:val="auto"/>
        </w:rPr>
      </w:pPr>
      <w:bookmarkStart w:id="792" w:name="_Toc109398745"/>
      <w:bookmarkStart w:id="793" w:name="_Toc335824773"/>
      <w:bookmarkStart w:id="794" w:name="_Toc388620199"/>
      <w:bookmarkStart w:id="795" w:name="_Toc1393"/>
      <w:bookmarkStart w:id="796" w:name="_Toc11595571"/>
      <w:bookmarkStart w:id="797" w:name="_Toc484463573"/>
      <w:bookmarkStart w:id="798" w:name="_Toc222"/>
      <w:bookmarkStart w:id="799" w:name="_Toc493853620"/>
      <w:bookmarkStart w:id="800" w:name="_Toc387745788"/>
      <w:r>
        <w:rPr>
          <w:color w:val="auto"/>
        </w:rPr>
        <w:t>10.4.2监测计划</w:t>
      </w:r>
      <w:bookmarkEnd w:id="792"/>
      <w:bookmarkEnd w:id="793"/>
      <w:bookmarkEnd w:id="794"/>
      <w:bookmarkEnd w:id="795"/>
      <w:bookmarkEnd w:id="796"/>
      <w:bookmarkEnd w:id="797"/>
      <w:bookmarkEnd w:id="798"/>
      <w:bookmarkEnd w:id="799"/>
      <w:bookmarkEnd w:id="800"/>
    </w:p>
    <w:p>
      <w:pPr>
        <w:pStyle w:val="130"/>
        <w:ind w:firstLine="480"/>
        <w:rPr>
          <w:color w:val="auto"/>
        </w:rPr>
      </w:pPr>
      <w:r>
        <w:rPr>
          <w:color w:val="auto"/>
        </w:rPr>
        <w:t>环境监测是应按国家和地方的环保要求进行，应采用国家规定的标准监测方法，并应按照规定，定期向有关环境保护主管部门上报监测结果。</w:t>
      </w:r>
    </w:p>
    <w:p>
      <w:pPr>
        <w:pStyle w:val="130"/>
        <w:ind w:firstLine="480"/>
        <w:rPr>
          <w:color w:val="auto"/>
        </w:rPr>
      </w:pPr>
      <w:r>
        <w:rPr>
          <w:color w:val="auto"/>
        </w:rPr>
        <w:t>(1)监测机构</w:t>
      </w:r>
    </w:p>
    <w:p>
      <w:pPr>
        <w:pStyle w:val="130"/>
        <w:ind w:firstLine="480"/>
        <w:rPr>
          <w:color w:val="auto"/>
        </w:rPr>
      </w:pPr>
      <w:r>
        <w:rPr>
          <w:color w:val="auto"/>
        </w:rPr>
        <w:t>本项目委托有资质的环境监测单位对本项目“三废”和噪声情况进行监测。</w:t>
      </w:r>
    </w:p>
    <w:p>
      <w:pPr>
        <w:pStyle w:val="130"/>
        <w:ind w:firstLine="480"/>
        <w:rPr>
          <w:color w:val="auto"/>
        </w:rPr>
      </w:pPr>
      <w:r>
        <w:rPr>
          <w:color w:val="auto"/>
        </w:rPr>
        <w:t>(2)监测项目</w:t>
      </w:r>
    </w:p>
    <w:p>
      <w:pPr>
        <w:pStyle w:val="130"/>
        <w:ind w:firstLine="480"/>
        <w:rPr>
          <w:color w:val="auto"/>
        </w:rPr>
      </w:pPr>
      <w:r>
        <w:rPr>
          <w:color w:val="auto"/>
        </w:rPr>
        <w:t>参考《排污单位自行监测技术指南总则》</w:t>
      </w:r>
      <w:r>
        <w:rPr>
          <w:rFonts w:hint="eastAsia"/>
          <w:color w:val="auto"/>
        </w:rPr>
        <w:t>（</w:t>
      </w:r>
      <w:r>
        <w:rPr>
          <w:color w:val="auto"/>
        </w:rPr>
        <w:t>HJ819-2017</w:t>
      </w:r>
      <w:r>
        <w:rPr>
          <w:rFonts w:hint="eastAsia"/>
          <w:color w:val="auto"/>
        </w:rPr>
        <w:t>）</w:t>
      </w:r>
      <w:r>
        <w:rPr>
          <w:color w:val="auto"/>
        </w:rPr>
        <w:t>、《排污许可证申请与核发技术规范工业固体废物和危险废物治理》（HJ1033-2019）及工程排污特点，本项目</w:t>
      </w:r>
      <w:r>
        <w:rPr>
          <w:rFonts w:hint="eastAsia"/>
          <w:color w:val="auto"/>
        </w:rPr>
        <w:t>建成后全厂环境监测计划一览表</w:t>
      </w:r>
      <w:r>
        <w:rPr>
          <w:color w:val="auto"/>
        </w:rPr>
        <w:t>见表10.4-1。</w:t>
      </w:r>
    </w:p>
    <w:p>
      <w:pPr>
        <w:jc w:val="center"/>
        <w:rPr>
          <w:rFonts w:eastAsiaTheme="minorEastAsia"/>
          <w:b/>
          <w:color w:val="auto"/>
          <w:sz w:val="24"/>
          <w:szCs w:val="24"/>
        </w:rPr>
      </w:pPr>
      <w:r>
        <w:rPr>
          <w:rFonts w:eastAsiaTheme="minorEastAsia"/>
          <w:b/>
          <w:color w:val="auto"/>
          <w:sz w:val="24"/>
          <w:szCs w:val="24"/>
        </w:rPr>
        <w:t>表10.4-1  本项目</w:t>
      </w:r>
      <w:r>
        <w:rPr>
          <w:rFonts w:hint="eastAsia" w:eastAsiaTheme="minorEastAsia"/>
          <w:b/>
          <w:color w:val="auto"/>
          <w:sz w:val="24"/>
          <w:szCs w:val="24"/>
        </w:rPr>
        <w:t>建成后全厂</w:t>
      </w:r>
      <w:r>
        <w:rPr>
          <w:rFonts w:eastAsiaTheme="minorEastAsia"/>
          <w:b/>
          <w:color w:val="auto"/>
          <w:sz w:val="24"/>
          <w:szCs w:val="24"/>
        </w:rPr>
        <w:t>环境监测计划一览表</w:t>
      </w:r>
    </w:p>
    <w:tbl>
      <w:tblPr>
        <w:tblStyle w:val="74"/>
        <w:tblW w:w="8720"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14"/>
        <w:gridCol w:w="1604"/>
        <w:gridCol w:w="4815"/>
        <w:gridCol w:w="158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714" w:type="dxa"/>
            <w:vAlign w:val="center"/>
          </w:tcPr>
          <w:p>
            <w:pPr>
              <w:pStyle w:val="164"/>
              <w:rPr>
                <w:b/>
                <w:color w:val="auto"/>
              </w:rPr>
            </w:pPr>
            <w:r>
              <w:rPr>
                <w:b/>
                <w:color w:val="auto"/>
              </w:rPr>
              <w:t>污染因素</w:t>
            </w:r>
          </w:p>
        </w:tc>
        <w:tc>
          <w:tcPr>
            <w:tcW w:w="1604" w:type="dxa"/>
            <w:vAlign w:val="center"/>
          </w:tcPr>
          <w:p>
            <w:pPr>
              <w:pStyle w:val="164"/>
              <w:rPr>
                <w:b/>
                <w:color w:val="auto"/>
              </w:rPr>
            </w:pPr>
            <w:r>
              <w:rPr>
                <w:b/>
                <w:color w:val="auto"/>
              </w:rPr>
              <w:t>监测点位</w:t>
            </w:r>
          </w:p>
        </w:tc>
        <w:tc>
          <w:tcPr>
            <w:tcW w:w="4815" w:type="dxa"/>
            <w:vAlign w:val="center"/>
          </w:tcPr>
          <w:p>
            <w:pPr>
              <w:pStyle w:val="164"/>
              <w:rPr>
                <w:b/>
                <w:color w:val="auto"/>
              </w:rPr>
            </w:pPr>
            <w:r>
              <w:rPr>
                <w:b/>
                <w:color w:val="auto"/>
              </w:rPr>
              <w:t>监测项目</w:t>
            </w:r>
          </w:p>
        </w:tc>
        <w:tc>
          <w:tcPr>
            <w:tcW w:w="1587" w:type="dxa"/>
            <w:vAlign w:val="center"/>
          </w:tcPr>
          <w:p>
            <w:pPr>
              <w:pStyle w:val="164"/>
              <w:rPr>
                <w:b/>
                <w:color w:val="auto"/>
              </w:rPr>
            </w:pPr>
            <w:r>
              <w:rPr>
                <w:b/>
                <w:color w:val="auto"/>
              </w:rPr>
              <w:t>监测频率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72" w:hRule="atLeast"/>
          <w:jc w:val="center"/>
        </w:trPr>
        <w:tc>
          <w:tcPr>
            <w:tcW w:w="714" w:type="dxa"/>
            <w:vMerge w:val="restart"/>
            <w:vAlign w:val="center"/>
          </w:tcPr>
          <w:p>
            <w:pPr>
              <w:pStyle w:val="164"/>
              <w:rPr>
                <w:b/>
                <w:color w:val="auto"/>
              </w:rPr>
            </w:pPr>
            <w:r>
              <w:rPr>
                <w:color w:val="auto"/>
              </w:rPr>
              <w:t>废气</w:t>
            </w:r>
          </w:p>
        </w:tc>
        <w:tc>
          <w:tcPr>
            <w:tcW w:w="1604" w:type="dxa"/>
            <w:vAlign w:val="center"/>
          </w:tcPr>
          <w:p>
            <w:pPr>
              <w:pStyle w:val="164"/>
              <w:rPr>
                <w:color w:val="auto"/>
              </w:rPr>
            </w:pPr>
            <w:r>
              <w:rPr>
                <w:rFonts w:hint="eastAsia"/>
                <w:color w:val="auto"/>
              </w:rPr>
              <w:t>高温蒸煮车间</w:t>
            </w:r>
            <w:r>
              <w:rPr>
                <w:color w:val="auto"/>
              </w:rPr>
              <w:t>排气筒</w:t>
            </w:r>
          </w:p>
        </w:tc>
        <w:tc>
          <w:tcPr>
            <w:tcW w:w="4815" w:type="dxa"/>
            <w:vAlign w:val="center"/>
          </w:tcPr>
          <w:p>
            <w:pPr>
              <w:pStyle w:val="164"/>
              <w:rPr>
                <w:color w:val="auto"/>
              </w:rPr>
            </w:pPr>
            <w:r>
              <w:rPr>
                <w:color w:val="auto"/>
              </w:rPr>
              <w:t>氨气、硫化氢、臭气浓度、非甲烷总烃、颗粒物</w:t>
            </w:r>
          </w:p>
        </w:tc>
        <w:tc>
          <w:tcPr>
            <w:tcW w:w="1587" w:type="dxa"/>
            <w:vAlign w:val="center"/>
          </w:tcPr>
          <w:p>
            <w:pPr>
              <w:pStyle w:val="164"/>
              <w:rPr>
                <w:color w:val="auto"/>
              </w:rPr>
            </w:pPr>
            <w:r>
              <w:rPr>
                <w:color w:val="auto"/>
              </w:rPr>
              <w:t>每半年1次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22" w:hRule="atLeast"/>
          <w:jc w:val="center"/>
        </w:trPr>
        <w:tc>
          <w:tcPr>
            <w:tcW w:w="714" w:type="dxa"/>
            <w:vMerge w:val="continue"/>
            <w:vAlign w:val="center"/>
          </w:tcPr>
          <w:p>
            <w:pPr>
              <w:pStyle w:val="164"/>
              <w:rPr>
                <w:color w:val="auto"/>
              </w:rPr>
            </w:pPr>
          </w:p>
        </w:tc>
        <w:tc>
          <w:tcPr>
            <w:tcW w:w="1604" w:type="dxa"/>
            <w:vAlign w:val="center"/>
          </w:tcPr>
          <w:p>
            <w:pPr>
              <w:pStyle w:val="164"/>
              <w:rPr>
                <w:color w:val="auto"/>
              </w:rPr>
            </w:pPr>
            <w:r>
              <w:rPr>
                <w:color w:val="auto"/>
              </w:rPr>
              <w:t>厂界</w:t>
            </w:r>
          </w:p>
        </w:tc>
        <w:tc>
          <w:tcPr>
            <w:tcW w:w="4815" w:type="dxa"/>
            <w:vAlign w:val="center"/>
          </w:tcPr>
          <w:p>
            <w:pPr>
              <w:pStyle w:val="164"/>
              <w:rPr>
                <w:color w:val="auto"/>
              </w:rPr>
            </w:pPr>
            <w:r>
              <w:rPr>
                <w:color w:val="auto"/>
              </w:rPr>
              <w:t>氨气、硫化氢、臭气浓度、非甲烷总烃</w:t>
            </w:r>
          </w:p>
        </w:tc>
        <w:tc>
          <w:tcPr>
            <w:tcW w:w="1587" w:type="dxa"/>
            <w:vAlign w:val="center"/>
          </w:tcPr>
          <w:p>
            <w:pPr>
              <w:pStyle w:val="164"/>
              <w:rPr>
                <w:color w:val="auto"/>
              </w:rPr>
            </w:pPr>
            <w:r>
              <w:rPr>
                <w:color w:val="auto"/>
              </w:rPr>
              <w:t>每半年1次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340" w:hRule="atLeast"/>
          <w:jc w:val="center"/>
        </w:trPr>
        <w:tc>
          <w:tcPr>
            <w:tcW w:w="714" w:type="dxa"/>
            <w:vAlign w:val="center"/>
          </w:tcPr>
          <w:p>
            <w:pPr>
              <w:pStyle w:val="164"/>
              <w:rPr>
                <w:color w:val="auto"/>
              </w:rPr>
            </w:pPr>
            <w:r>
              <w:rPr>
                <w:color w:val="auto"/>
              </w:rPr>
              <w:t>废水</w:t>
            </w:r>
          </w:p>
        </w:tc>
        <w:tc>
          <w:tcPr>
            <w:tcW w:w="1604" w:type="dxa"/>
            <w:vAlign w:val="center"/>
          </w:tcPr>
          <w:p>
            <w:pPr>
              <w:pStyle w:val="164"/>
              <w:rPr>
                <w:color w:val="auto"/>
              </w:rPr>
            </w:pPr>
            <w:r>
              <w:rPr>
                <w:color w:val="auto"/>
              </w:rPr>
              <w:t>污水处理站出口</w:t>
            </w:r>
          </w:p>
        </w:tc>
        <w:tc>
          <w:tcPr>
            <w:tcW w:w="4815" w:type="dxa"/>
            <w:vAlign w:val="center"/>
          </w:tcPr>
          <w:p>
            <w:pPr>
              <w:pStyle w:val="164"/>
              <w:rPr>
                <w:color w:val="auto"/>
              </w:rPr>
            </w:pPr>
            <w:r>
              <w:rPr>
                <w:color w:val="auto"/>
              </w:rPr>
              <w:t>pH、NH</w:t>
            </w:r>
            <w:r>
              <w:rPr>
                <w:color w:val="auto"/>
                <w:vertAlign w:val="subscript"/>
              </w:rPr>
              <w:t>3</w:t>
            </w:r>
            <w:r>
              <w:rPr>
                <w:color w:val="auto"/>
              </w:rPr>
              <w:t>-N、BOD、COD、SS、总</w:t>
            </w:r>
            <w:r>
              <w:rPr>
                <w:color w:val="auto"/>
                <w:sz w:val="22"/>
              </w:rPr>
              <w:t>余氯、粪大肠菌群</w:t>
            </w:r>
          </w:p>
        </w:tc>
        <w:tc>
          <w:tcPr>
            <w:tcW w:w="1587" w:type="dxa"/>
            <w:vAlign w:val="center"/>
          </w:tcPr>
          <w:p>
            <w:pPr>
              <w:pStyle w:val="164"/>
              <w:rPr>
                <w:color w:val="auto"/>
              </w:rPr>
            </w:pPr>
            <w:r>
              <w:rPr>
                <w:color w:val="auto"/>
                <w:sz w:val="22"/>
              </w:rPr>
              <w:t>每季度1次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340" w:hRule="atLeast"/>
          <w:jc w:val="center"/>
        </w:trPr>
        <w:tc>
          <w:tcPr>
            <w:tcW w:w="714" w:type="dxa"/>
            <w:vAlign w:val="center"/>
          </w:tcPr>
          <w:p>
            <w:pPr>
              <w:pStyle w:val="164"/>
              <w:rPr>
                <w:color w:val="auto"/>
              </w:rPr>
            </w:pPr>
            <w:r>
              <w:rPr>
                <w:color w:val="auto"/>
              </w:rPr>
              <w:t>地下水</w:t>
            </w:r>
          </w:p>
        </w:tc>
        <w:tc>
          <w:tcPr>
            <w:tcW w:w="1604" w:type="dxa"/>
            <w:vAlign w:val="center"/>
          </w:tcPr>
          <w:p>
            <w:pPr>
              <w:pStyle w:val="164"/>
              <w:rPr>
                <w:color w:val="auto"/>
              </w:rPr>
            </w:pPr>
            <w:r>
              <w:rPr>
                <w:color w:val="auto"/>
              </w:rPr>
              <w:t>地下水监测井3个（项目厂址及上、下游各1个）</w:t>
            </w:r>
          </w:p>
        </w:tc>
        <w:tc>
          <w:tcPr>
            <w:tcW w:w="4815" w:type="dxa"/>
            <w:vAlign w:val="center"/>
          </w:tcPr>
          <w:p>
            <w:pPr>
              <w:pStyle w:val="164"/>
              <w:rPr>
                <w:color w:val="auto"/>
              </w:rPr>
            </w:pPr>
            <w:r>
              <w:rPr>
                <w:rFonts w:eastAsia="Times New Roman"/>
                <w:color w:val="auto"/>
                <w:spacing w:val="7"/>
                <w:szCs w:val="21"/>
              </w:rPr>
              <w:t>p</w:t>
            </w:r>
            <w:r>
              <w:rPr>
                <w:rFonts w:eastAsia="Times New Roman"/>
                <w:color w:val="auto"/>
                <w:szCs w:val="21"/>
              </w:rPr>
              <w:t>H、总硬度、氨氮、溶解性总固体、耗氧量、挥发性酚类、氯化物、氰化物、硫酸盐、硝酸盐、亚硝酸盐、氟化物、六价铬、砷、汞、铅、隔、锰、总大肠菌群</w:t>
            </w:r>
          </w:p>
        </w:tc>
        <w:tc>
          <w:tcPr>
            <w:tcW w:w="1587" w:type="dxa"/>
            <w:vAlign w:val="center"/>
          </w:tcPr>
          <w:p>
            <w:pPr>
              <w:pStyle w:val="164"/>
              <w:rPr>
                <w:color w:val="auto"/>
              </w:rPr>
            </w:pPr>
            <w:r>
              <w:rPr>
                <w:color w:val="auto"/>
              </w:rPr>
              <w:t>背景值监测井（厂址上游）每年采样1次；</w:t>
            </w:r>
          </w:p>
          <w:p>
            <w:pPr>
              <w:pStyle w:val="164"/>
              <w:rPr>
                <w:color w:val="auto"/>
              </w:rPr>
            </w:pPr>
            <w:r>
              <w:rPr>
                <w:color w:val="auto"/>
              </w:rPr>
              <w:t>污染控制监测井（厂址及下游）每半年采样一次。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26" w:hRule="atLeast"/>
          <w:jc w:val="center"/>
        </w:trPr>
        <w:tc>
          <w:tcPr>
            <w:tcW w:w="714" w:type="dxa"/>
            <w:vAlign w:val="center"/>
          </w:tcPr>
          <w:p>
            <w:pPr>
              <w:pStyle w:val="164"/>
              <w:rPr>
                <w:color w:val="auto"/>
              </w:rPr>
            </w:pPr>
            <w:r>
              <w:rPr>
                <w:color w:val="auto"/>
              </w:rPr>
              <w:t>噪声</w:t>
            </w:r>
          </w:p>
        </w:tc>
        <w:tc>
          <w:tcPr>
            <w:tcW w:w="1604" w:type="dxa"/>
            <w:vAlign w:val="center"/>
          </w:tcPr>
          <w:p>
            <w:pPr>
              <w:pStyle w:val="164"/>
              <w:rPr>
                <w:color w:val="auto"/>
              </w:rPr>
            </w:pPr>
            <w:r>
              <w:rPr>
                <w:color w:val="auto"/>
              </w:rPr>
              <w:t>厂界外1m处</w:t>
            </w:r>
          </w:p>
        </w:tc>
        <w:tc>
          <w:tcPr>
            <w:tcW w:w="4815" w:type="dxa"/>
            <w:vAlign w:val="center"/>
          </w:tcPr>
          <w:p>
            <w:pPr>
              <w:pStyle w:val="164"/>
              <w:rPr>
                <w:color w:val="auto"/>
              </w:rPr>
            </w:pPr>
            <w:r>
              <w:rPr>
                <w:color w:val="auto"/>
              </w:rPr>
              <w:t>噪声（Leq(A)）</w:t>
            </w:r>
          </w:p>
        </w:tc>
        <w:tc>
          <w:tcPr>
            <w:tcW w:w="1587" w:type="dxa"/>
            <w:vAlign w:val="center"/>
          </w:tcPr>
          <w:p>
            <w:pPr>
              <w:pStyle w:val="164"/>
              <w:rPr>
                <w:color w:val="auto"/>
              </w:rPr>
            </w:pPr>
            <w:r>
              <w:rPr>
                <w:color w:val="auto"/>
              </w:rPr>
              <w:t>每季度1次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714" w:type="dxa"/>
            <w:vAlign w:val="center"/>
          </w:tcPr>
          <w:p>
            <w:pPr>
              <w:pStyle w:val="164"/>
              <w:rPr>
                <w:color w:val="auto"/>
              </w:rPr>
            </w:pPr>
            <w:r>
              <w:rPr>
                <w:color w:val="auto"/>
              </w:rPr>
              <w:t>土壤</w:t>
            </w:r>
          </w:p>
        </w:tc>
        <w:tc>
          <w:tcPr>
            <w:tcW w:w="1604" w:type="dxa"/>
            <w:vAlign w:val="center"/>
          </w:tcPr>
          <w:p>
            <w:pPr>
              <w:pStyle w:val="164"/>
              <w:rPr>
                <w:color w:val="auto"/>
              </w:rPr>
            </w:pPr>
            <w:r>
              <w:rPr>
                <w:color w:val="auto"/>
              </w:rPr>
              <w:t>污水处理站周边</w:t>
            </w:r>
          </w:p>
        </w:tc>
        <w:tc>
          <w:tcPr>
            <w:tcW w:w="4815" w:type="dxa"/>
            <w:vAlign w:val="center"/>
          </w:tcPr>
          <w:p>
            <w:pPr>
              <w:pStyle w:val="164"/>
              <w:rPr>
                <w:color w:val="auto"/>
              </w:rPr>
            </w:pPr>
            <w:r>
              <w:rPr>
                <w:color w:val="auto"/>
              </w:rPr>
              <w:t>《土壤环境质量 建设用地土壤污染风险管控标准（试行）》（GB36600-2018）表1中45项基本因子</w:t>
            </w:r>
          </w:p>
        </w:tc>
        <w:tc>
          <w:tcPr>
            <w:tcW w:w="1587" w:type="dxa"/>
            <w:vAlign w:val="center"/>
          </w:tcPr>
          <w:p>
            <w:pPr>
              <w:pStyle w:val="164"/>
              <w:rPr>
                <w:color w:val="auto"/>
              </w:rPr>
            </w:pPr>
            <w:r>
              <w:rPr>
                <w:rFonts w:eastAsiaTheme="minorEastAsia"/>
                <w:snapToGrid w:val="0"/>
                <w:color w:val="auto"/>
                <w:kern w:val="0"/>
                <w:szCs w:val="21"/>
              </w:rPr>
              <w:t>每三年1次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jc w:val="center"/>
        </w:trPr>
        <w:tc>
          <w:tcPr>
            <w:tcW w:w="714" w:type="dxa"/>
            <w:vAlign w:val="center"/>
          </w:tcPr>
          <w:p>
            <w:pPr>
              <w:pStyle w:val="164"/>
              <w:rPr>
                <w:color w:val="auto"/>
              </w:rPr>
            </w:pPr>
            <w:r>
              <w:rPr>
                <w:color w:val="auto"/>
              </w:rPr>
              <w:t>固体废物</w:t>
            </w:r>
          </w:p>
        </w:tc>
        <w:tc>
          <w:tcPr>
            <w:tcW w:w="1604" w:type="dxa"/>
            <w:vAlign w:val="center"/>
          </w:tcPr>
          <w:p>
            <w:pPr>
              <w:pStyle w:val="164"/>
              <w:rPr>
                <w:color w:val="auto"/>
              </w:rPr>
            </w:pPr>
            <w:r>
              <w:rPr>
                <w:color w:val="auto"/>
              </w:rPr>
              <w:t>厂区内</w:t>
            </w:r>
          </w:p>
        </w:tc>
        <w:tc>
          <w:tcPr>
            <w:tcW w:w="4815" w:type="dxa"/>
            <w:vAlign w:val="center"/>
          </w:tcPr>
          <w:p>
            <w:pPr>
              <w:pStyle w:val="164"/>
              <w:rPr>
                <w:color w:val="auto"/>
              </w:rPr>
            </w:pPr>
            <w:r>
              <w:rPr>
                <w:color w:val="auto"/>
              </w:rPr>
              <w:t>检查、统计项目区一般工业固废及危险废物处置量及处置效果</w:t>
            </w:r>
          </w:p>
        </w:tc>
        <w:tc>
          <w:tcPr>
            <w:tcW w:w="1587" w:type="dxa"/>
            <w:vAlign w:val="center"/>
          </w:tcPr>
          <w:p>
            <w:pPr>
              <w:pStyle w:val="164"/>
              <w:rPr>
                <w:color w:val="auto"/>
              </w:rPr>
            </w:pPr>
            <w:r>
              <w:rPr>
                <w:rFonts w:eastAsiaTheme="minorEastAsia"/>
                <w:snapToGrid w:val="0"/>
                <w:color w:val="auto"/>
                <w:kern w:val="0"/>
              </w:rPr>
              <w:t>各类固废计量统计1年一次</w:t>
            </w:r>
          </w:p>
        </w:tc>
      </w:tr>
    </w:tbl>
    <w:p>
      <w:pPr>
        <w:pStyle w:val="5"/>
        <w:numPr>
          <w:ilvl w:val="2"/>
          <w:numId w:val="0"/>
        </w:numPr>
        <w:spacing w:before="120" w:beforeLines="50"/>
        <w:ind w:left="-720" w:leftChars="-343" w:firstLine="723" w:firstLineChars="300"/>
        <w:rPr>
          <w:color w:val="auto"/>
        </w:rPr>
      </w:pPr>
      <w:bookmarkStart w:id="801" w:name="_Toc109398746"/>
      <w:bookmarkStart w:id="802" w:name="_Toc387745789"/>
      <w:bookmarkStart w:id="803" w:name="_Toc11595572"/>
      <w:bookmarkStart w:id="804" w:name="_Toc327198638"/>
      <w:bookmarkStart w:id="805" w:name="_Toc388620200"/>
      <w:bookmarkStart w:id="806" w:name="_Toc484463574"/>
      <w:bookmarkStart w:id="807" w:name="_Toc335824774"/>
      <w:bookmarkStart w:id="808" w:name="_Toc493853621"/>
      <w:bookmarkStart w:id="809" w:name="_Toc21991"/>
      <w:bookmarkStart w:id="810" w:name="_Toc26551"/>
      <w:r>
        <w:rPr>
          <w:color w:val="auto"/>
        </w:rPr>
        <w:t>10.4.3监测分析方法</w:t>
      </w:r>
      <w:bookmarkEnd w:id="801"/>
      <w:bookmarkEnd w:id="802"/>
      <w:bookmarkEnd w:id="803"/>
      <w:bookmarkEnd w:id="804"/>
      <w:bookmarkEnd w:id="805"/>
      <w:bookmarkEnd w:id="806"/>
      <w:bookmarkEnd w:id="807"/>
      <w:bookmarkEnd w:id="808"/>
      <w:bookmarkEnd w:id="809"/>
      <w:bookmarkEnd w:id="810"/>
    </w:p>
    <w:p>
      <w:pPr>
        <w:pStyle w:val="130"/>
        <w:ind w:firstLine="480"/>
        <w:rPr>
          <w:color w:val="auto"/>
        </w:rPr>
      </w:pPr>
      <w:r>
        <w:rPr>
          <w:color w:val="auto"/>
        </w:rPr>
        <w:t>本项目委托有资质的环境监测单位对本项目施工期及运营期“三废”和噪声情况进行监测。废气监测按照《空气和废气监测分析方法(第四版)》中的有关规定执行，废水监测方法按照《水和废水监测分析方法(第四版)》中的规定进行，土壤环境按照</w:t>
      </w:r>
      <w:r>
        <w:rPr>
          <w:color w:val="auto"/>
          <w:lang w:bidi="zh-CN"/>
        </w:rPr>
        <w:t>《土壤环境监测技术规范》中有关要求进行</w:t>
      </w:r>
      <w:r>
        <w:rPr>
          <w:color w:val="auto"/>
        </w:rPr>
        <w:t>。</w:t>
      </w:r>
    </w:p>
    <w:p>
      <w:pPr>
        <w:pStyle w:val="5"/>
        <w:numPr>
          <w:ilvl w:val="2"/>
          <w:numId w:val="0"/>
        </w:numPr>
        <w:ind w:left="-720" w:leftChars="-343" w:firstLine="723" w:firstLineChars="300"/>
        <w:rPr>
          <w:color w:val="auto"/>
        </w:rPr>
      </w:pPr>
      <w:bookmarkStart w:id="811" w:name="_Toc484463575"/>
      <w:bookmarkStart w:id="812" w:name="_Toc387745790"/>
      <w:bookmarkStart w:id="813" w:name="_Toc11595573"/>
      <w:bookmarkStart w:id="814" w:name="_Toc109398747"/>
      <w:bookmarkStart w:id="815" w:name="_Toc1662"/>
      <w:bookmarkStart w:id="816" w:name="_Toc14744"/>
      <w:bookmarkStart w:id="817" w:name="_Toc388620201"/>
      <w:bookmarkStart w:id="818" w:name="_Toc493853622"/>
      <w:bookmarkStart w:id="819" w:name="_Toc327198639"/>
      <w:bookmarkStart w:id="820" w:name="_Toc335824775"/>
      <w:r>
        <w:rPr>
          <w:color w:val="auto"/>
        </w:rPr>
        <w:t>10.4.4监测数据的管理</w:t>
      </w:r>
      <w:bookmarkEnd w:id="811"/>
      <w:bookmarkEnd w:id="812"/>
      <w:bookmarkEnd w:id="813"/>
      <w:bookmarkEnd w:id="814"/>
      <w:bookmarkEnd w:id="815"/>
      <w:bookmarkEnd w:id="816"/>
      <w:bookmarkEnd w:id="817"/>
      <w:bookmarkEnd w:id="818"/>
    </w:p>
    <w:p>
      <w:pPr>
        <w:pStyle w:val="130"/>
        <w:ind w:firstLine="480"/>
        <w:rPr>
          <w:color w:val="auto"/>
        </w:rPr>
      </w:pPr>
      <w:r>
        <w:rPr>
          <w:color w:val="auto"/>
        </w:rPr>
        <w:t>对于上述监测结果应该按照项目有关规定及时建立档案，并抄送有关环保主管部门，对于常规监测部分应进行公开，此外，如果发现了污染和破坏问题要及时进行处理、调查并上报有关部门。</w:t>
      </w:r>
    </w:p>
    <w:bookmarkEnd w:id="819"/>
    <w:bookmarkEnd w:id="820"/>
    <w:p>
      <w:pPr>
        <w:pStyle w:val="4"/>
        <w:numPr>
          <w:ilvl w:val="1"/>
          <w:numId w:val="0"/>
        </w:numPr>
        <w:spacing w:before="120"/>
        <w:rPr>
          <w:color w:val="auto"/>
        </w:rPr>
      </w:pPr>
      <w:bookmarkStart w:id="821" w:name="_Toc327198640"/>
      <w:bookmarkStart w:id="822" w:name="_Toc109398748"/>
      <w:bookmarkStart w:id="823" w:name="_Toc493853623"/>
      <w:bookmarkStart w:id="824" w:name="_Toc387745791"/>
      <w:bookmarkStart w:id="825" w:name="_Toc11595574"/>
      <w:bookmarkStart w:id="826" w:name="_Toc335824776"/>
      <w:r>
        <w:rPr>
          <w:color w:val="auto"/>
        </w:rPr>
        <w:t>10.5排污口规范化管理</w:t>
      </w:r>
      <w:bookmarkEnd w:id="821"/>
      <w:bookmarkEnd w:id="822"/>
      <w:bookmarkEnd w:id="823"/>
      <w:bookmarkEnd w:id="824"/>
      <w:bookmarkEnd w:id="825"/>
      <w:bookmarkEnd w:id="826"/>
    </w:p>
    <w:p>
      <w:pPr>
        <w:pStyle w:val="130"/>
        <w:ind w:firstLine="480"/>
        <w:rPr>
          <w:snapToGrid w:val="0"/>
          <w:color w:val="auto"/>
        </w:rPr>
      </w:pPr>
      <w:r>
        <w:rPr>
          <w:snapToGrid w:val="0"/>
          <w:color w:val="auto"/>
        </w:rPr>
        <w:t>根据国家标准《环境保护图形标志---排放口(源)》和原国家环保总局《排污口规范化整治技术要求(试行)》的技术要求，企业所有排放口必须按照“便于采样、便于计量监测、便于日常现场监督检查”的原则和规范化要求，设置排污口标志牌，绘制企业排污口公布图，对治理设施安装运行监控装置。排污口规范化建设要与主体工程及环保工程同时设计、同时施工、同时投入使用。</w:t>
      </w:r>
    </w:p>
    <w:p>
      <w:pPr>
        <w:pStyle w:val="130"/>
        <w:ind w:firstLine="480"/>
        <w:rPr>
          <w:snapToGrid w:val="0"/>
          <w:color w:val="auto"/>
        </w:rPr>
      </w:pPr>
      <w:r>
        <w:rPr>
          <w:snapToGrid w:val="0"/>
          <w:color w:val="auto"/>
        </w:rPr>
        <w:t>⑴排污口标志</w:t>
      </w:r>
    </w:p>
    <w:p>
      <w:pPr>
        <w:pStyle w:val="130"/>
        <w:ind w:firstLine="480"/>
        <w:rPr>
          <w:color w:val="auto"/>
        </w:rPr>
      </w:pPr>
      <w:r>
        <w:rPr>
          <w:color w:val="auto"/>
        </w:rPr>
        <w:t>本项目须对所有污染物排污口按规定进行核实，明确排污口的数量、位置以及排放主要污染物的种类、数量、浓度、排放去向等；并根据《“环境保护图形标志”实施细则》对排污口图形标志进行国标化设置与设计，排放一般污染物排污口(源)，设置提示式标志牌，排放有毒有害等污染物的排污口设置警告式标志牌。</w:t>
      </w:r>
    </w:p>
    <w:p>
      <w:pPr>
        <w:pStyle w:val="130"/>
        <w:ind w:firstLine="480"/>
        <w:rPr>
          <w:snapToGrid w:val="0"/>
          <w:color w:val="auto"/>
        </w:rPr>
      </w:pPr>
      <w:r>
        <w:rPr>
          <w:snapToGrid w:val="0"/>
          <w:color w:val="auto"/>
        </w:rPr>
        <w:t>厂区排污口图形标志具体见表10.5-1。</w:t>
      </w:r>
    </w:p>
    <w:p>
      <w:pPr>
        <w:tabs>
          <w:tab w:val="left" w:pos="0"/>
        </w:tabs>
        <w:overflowPunct w:val="0"/>
        <w:ind w:firstLine="482" w:firstLineChars="200"/>
        <w:jc w:val="center"/>
        <w:rPr>
          <w:rFonts w:eastAsiaTheme="minorEastAsia"/>
          <w:b/>
          <w:bCs/>
          <w:snapToGrid w:val="0"/>
          <w:color w:val="auto"/>
          <w:kern w:val="0"/>
          <w:sz w:val="24"/>
          <w:szCs w:val="24"/>
        </w:rPr>
      </w:pPr>
      <w:r>
        <w:rPr>
          <w:rFonts w:eastAsiaTheme="minorEastAsia"/>
          <w:b/>
          <w:bCs/>
          <w:snapToGrid w:val="0"/>
          <w:color w:val="auto"/>
          <w:kern w:val="0"/>
          <w:sz w:val="24"/>
          <w:szCs w:val="24"/>
        </w:rPr>
        <w:t>表10.5-1     厂区排污口图形标志一览表</w:t>
      </w:r>
    </w:p>
    <w:p>
      <w:pPr>
        <w:pStyle w:val="130"/>
        <w:ind w:firstLine="0" w:firstLineChars="0"/>
        <w:jc w:val="center"/>
        <w:rPr>
          <w:snapToGrid w:val="0"/>
          <w:color w:val="auto"/>
        </w:rPr>
      </w:pPr>
      <w:r>
        <w:rPr>
          <w:color w:val="auto"/>
        </w:rPr>
        <w:drawing>
          <wp:inline distT="0" distB="0" distL="114300" distR="114300">
            <wp:extent cx="5555615" cy="2526030"/>
            <wp:effectExtent l="19050" t="19050" r="26035" b="26670"/>
            <wp:docPr id="66" name="图片 11" descr="TIM图片2019121711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descr="TIM图片20191217111439"/>
                    <pic:cNvPicPr>
                      <a:picLocks noChangeAspect="1"/>
                    </pic:cNvPicPr>
                  </pic:nvPicPr>
                  <pic:blipFill>
                    <a:blip r:embed="rId67"/>
                    <a:stretch>
                      <a:fillRect/>
                    </a:stretch>
                  </pic:blipFill>
                  <pic:spPr>
                    <a:xfrm>
                      <a:off x="0" y="0"/>
                      <a:ext cx="5561405" cy="2528611"/>
                    </a:xfrm>
                    <a:prstGeom prst="rect">
                      <a:avLst/>
                    </a:prstGeom>
                    <a:noFill/>
                    <a:ln w="19050">
                      <a:solidFill>
                        <a:schemeClr val="tx1"/>
                      </a:solidFill>
                    </a:ln>
                  </pic:spPr>
                </pic:pic>
              </a:graphicData>
            </a:graphic>
          </wp:inline>
        </w:drawing>
      </w:r>
    </w:p>
    <w:p>
      <w:pPr>
        <w:pStyle w:val="130"/>
        <w:ind w:firstLine="480"/>
        <w:rPr>
          <w:snapToGrid w:val="0"/>
          <w:color w:val="auto"/>
        </w:rPr>
      </w:pPr>
      <w:r>
        <w:rPr>
          <w:snapToGrid w:val="0"/>
          <w:color w:val="auto"/>
        </w:rPr>
        <w:t>(2)排污口管理</w:t>
      </w:r>
    </w:p>
    <w:p>
      <w:pPr>
        <w:pStyle w:val="130"/>
        <w:ind w:firstLine="480"/>
        <w:rPr>
          <w:snapToGrid w:val="0"/>
          <w:color w:val="auto"/>
        </w:rPr>
      </w:pPr>
      <w:r>
        <w:rPr>
          <w:snapToGrid w:val="0"/>
          <w:color w:val="auto"/>
        </w:rPr>
        <w:t>本项目排污口规范化管理具体要求见表10.5-2。</w:t>
      </w:r>
    </w:p>
    <w:p>
      <w:pPr>
        <w:tabs>
          <w:tab w:val="left" w:pos="3197"/>
        </w:tabs>
        <w:overflowPunct w:val="0"/>
        <w:ind w:firstLine="482" w:firstLineChars="200"/>
        <w:jc w:val="center"/>
        <w:rPr>
          <w:rFonts w:eastAsiaTheme="minorEastAsia"/>
          <w:b/>
          <w:bCs/>
          <w:snapToGrid w:val="0"/>
          <w:color w:val="auto"/>
          <w:kern w:val="0"/>
          <w:sz w:val="24"/>
          <w:szCs w:val="24"/>
        </w:rPr>
      </w:pPr>
      <w:r>
        <w:rPr>
          <w:rFonts w:eastAsiaTheme="minorEastAsia"/>
          <w:b/>
          <w:bCs/>
          <w:snapToGrid w:val="0"/>
          <w:color w:val="auto"/>
          <w:kern w:val="0"/>
          <w:sz w:val="24"/>
          <w:szCs w:val="24"/>
        </w:rPr>
        <w:t>表10.5-2     本项目排污口规范化管理要求一览表</w:t>
      </w:r>
    </w:p>
    <w:tbl>
      <w:tblPr>
        <w:tblStyle w:val="74"/>
        <w:tblW w:w="8560"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574"/>
        <w:gridCol w:w="798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cantSplit/>
          <w:trHeight w:val="340" w:hRule="atLeast"/>
          <w:jc w:val="center"/>
        </w:trPr>
        <w:tc>
          <w:tcPr>
            <w:tcW w:w="574" w:type="dxa"/>
            <w:tcMar>
              <w:top w:w="28" w:type="dxa"/>
              <w:left w:w="28" w:type="dxa"/>
              <w:bottom w:w="28" w:type="dxa"/>
              <w:right w:w="28" w:type="dxa"/>
            </w:tcMar>
            <w:vAlign w:val="center"/>
          </w:tcPr>
          <w:p>
            <w:pPr>
              <w:pStyle w:val="164"/>
              <w:rPr>
                <w:b/>
                <w:snapToGrid w:val="0"/>
                <w:color w:val="auto"/>
                <w:sz w:val="24"/>
              </w:rPr>
            </w:pPr>
            <w:r>
              <w:rPr>
                <w:b/>
                <w:snapToGrid w:val="0"/>
                <w:color w:val="auto"/>
              </w:rPr>
              <w:t>项目</w:t>
            </w:r>
          </w:p>
        </w:tc>
        <w:tc>
          <w:tcPr>
            <w:tcW w:w="7986" w:type="dxa"/>
            <w:tcMar>
              <w:top w:w="28" w:type="dxa"/>
              <w:left w:w="28" w:type="dxa"/>
              <w:bottom w:w="28" w:type="dxa"/>
              <w:right w:w="28" w:type="dxa"/>
            </w:tcMar>
            <w:vAlign w:val="center"/>
          </w:tcPr>
          <w:p>
            <w:pPr>
              <w:pStyle w:val="164"/>
              <w:rPr>
                <w:b/>
                <w:snapToGrid w:val="0"/>
                <w:color w:val="auto"/>
                <w:sz w:val="24"/>
              </w:rPr>
            </w:pPr>
            <w:r>
              <w:rPr>
                <w:b/>
                <w:snapToGrid w:val="0"/>
                <w:color w:val="auto"/>
              </w:rPr>
              <w:t>主要要求内容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cantSplit/>
          <w:trHeight w:val="340" w:hRule="atLeast"/>
          <w:jc w:val="center"/>
        </w:trPr>
        <w:tc>
          <w:tcPr>
            <w:tcW w:w="574" w:type="dxa"/>
            <w:tcMar>
              <w:top w:w="57" w:type="dxa"/>
              <w:left w:w="28" w:type="dxa"/>
              <w:bottom w:w="57" w:type="dxa"/>
              <w:right w:w="28" w:type="dxa"/>
            </w:tcMar>
            <w:vAlign w:val="center"/>
          </w:tcPr>
          <w:p>
            <w:pPr>
              <w:pStyle w:val="164"/>
              <w:rPr>
                <w:b/>
                <w:snapToGrid w:val="0"/>
                <w:color w:val="auto"/>
              </w:rPr>
            </w:pPr>
            <w:r>
              <w:rPr>
                <w:b/>
                <w:snapToGrid w:val="0"/>
                <w:color w:val="auto"/>
              </w:rPr>
              <w:t>基本</w:t>
            </w:r>
          </w:p>
          <w:p>
            <w:pPr>
              <w:pStyle w:val="164"/>
              <w:rPr>
                <w:b/>
                <w:snapToGrid w:val="0"/>
                <w:color w:val="auto"/>
                <w:sz w:val="24"/>
              </w:rPr>
            </w:pPr>
            <w:r>
              <w:rPr>
                <w:b/>
                <w:snapToGrid w:val="0"/>
                <w:color w:val="auto"/>
              </w:rPr>
              <w:t>原则</w:t>
            </w:r>
          </w:p>
        </w:tc>
        <w:tc>
          <w:tcPr>
            <w:tcW w:w="7986" w:type="dxa"/>
            <w:tcMar>
              <w:top w:w="57" w:type="dxa"/>
              <w:left w:w="28" w:type="dxa"/>
              <w:bottom w:w="57" w:type="dxa"/>
              <w:right w:w="28" w:type="dxa"/>
            </w:tcMar>
            <w:vAlign w:val="center"/>
          </w:tcPr>
          <w:p>
            <w:pPr>
              <w:pStyle w:val="164"/>
              <w:jc w:val="left"/>
              <w:rPr>
                <w:snapToGrid w:val="0"/>
                <w:color w:val="auto"/>
                <w:sz w:val="24"/>
              </w:rPr>
            </w:pPr>
            <w:r>
              <w:rPr>
                <w:snapToGrid w:val="0"/>
                <w:color w:val="auto"/>
              </w:rPr>
              <w:t>1、凡向环境排放污染物的一切排污口必须进行规范化管理；</w:t>
            </w:r>
          </w:p>
          <w:p>
            <w:pPr>
              <w:pStyle w:val="164"/>
              <w:jc w:val="left"/>
              <w:rPr>
                <w:snapToGrid w:val="0"/>
                <w:color w:val="auto"/>
              </w:rPr>
            </w:pPr>
            <w:r>
              <w:rPr>
                <w:snapToGrid w:val="0"/>
                <w:color w:val="auto"/>
              </w:rPr>
              <w:t>2、将总量控制的污染物排污口及行业特征污染物排放口列为管理的重点；</w:t>
            </w:r>
          </w:p>
          <w:p>
            <w:pPr>
              <w:pStyle w:val="164"/>
              <w:jc w:val="left"/>
              <w:rPr>
                <w:snapToGrid w:val="0"/>
                <w:color w:val="auto"/>
              </w:rPr>
            </w:pPr>
            <w:r>
              <w:rPr>
                <w:snapToGrid w:val="0"/>
                <w:color w:val="auto"/>
              </w:rPr>
              <w:t>3、排污口设置应便于采样和计量监测，便于日常现场监督和检查；</w:t>
            </w:r>
          </w:p>
          <w:p>
            <w:pPr>
              <w:pStyle w:val="164"/>
              <w:jc w:val="left"/>
              <w:rPr>
                <w:snapToGrid w:val="0"/>
                <w:color w:val="auto"/>
                <w:sz w:val="24"/>
              </w:rPr>
            </w:pPr>
            <w:r>
              <w:rPr>
                <w:snapToGrid w:val="0"/>
                <w:color w:val="auto"/>
              </w:rPr>
              <w:t>4、如实向环保行政主管部门申报排污口位置，排污种类、数量、浓度、去向等。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cantSplit/>
          <w:trHeight w:val="340" w:hRule="atLeast"/>
          <w:jc w:val="center"/>
        </w:trPr>
        <w:tc>
          <w:tcPr>
            <w:tcW w:w="574" w:type="dxa"/>
            <w:tcMar>
              <w:top w:w="57" w:type="dxa"/>
              <w:left w:w="28" w:type="dxa"/>
              <w:bottom w:w="57" w:type="dxa"/>
              <w:right w:w="28" w:type="dxa"/>
            </w:tcMar>
            <w:vAlign w:val="center"/>
          </w:tcPr>
          <w:p>
            <w:pPr>
              <w:pStyle w:val="164"/>
              <w:rPr>
                <w:b/>
                <w:snapToGrid w:val="0"/>
                <w:color w:val="auto"/>
                <w:sz w:val="24"/>
              </w:rPr>
            </w:pPr>
            <w:r>
              <w:rPr>
                <w:b/>
                <w:snapToGrid w:val="0"/>
                <w:color w:val="auto"/>
              </w:rPr>
              <w:t>技术</w:t>
            </w:r>
          </w:p>
          <w:p>
            <w:pPr>
              <w:pStyle w:val="164"/>
              <w:rPr>
                <w:b/>
                <w:snapToGrid w:val="0"/>
                <w:color w:val="auto"/>
                <w:sz w:val="24"/>
              </w:rPr>
            </w:pPr>
            <w:r>
              <w:rPr>
                <w:b/>
                <w:snapToGrid w:val="0"/>
                <w:color w:val="auto"/>
              </w:rPr>
              <w:t>要求</w:t>
            </w:r>
          </w:p>
        </w:tc>
        <w:tc>
          <w:tcPr>
            <w:tcW w:w="7986" w:type="dxa"/>
            <w:tcMar>
              <w:top w:w="57" w:type="dxa"/>
              <w:left w:w="28" w:type="dxa"/>
              <w:bottom w:w="57" w:type="dxa"/>
              <w:right w:w="28" w:type="dxa"/>
            </w:tcMar>
            <w:vAlign w:val="center"/>
          </w:tcPr>
          <w:p>
            <w:pPr>
              <w:pStyle w:val="164"/>
              <w:jc w:val="left"/>
              <w:rPr>
                <w:snapToGrid w:val="0"/>
                <w:color w:val="auto"/>
                <w:sz w:val="24"/>
              </w:rPr>
            </w:pPr>
            <w:r>
              <w:rPr>
                <w:snapToGrid w:val="0"/>
                <w:color w:val="auto"/>
              </w:rPr>
              <w:t>1、排污口位置必须按照要求合理确定，实行规范化管理；</w:t>
            </w:r>
          </w:p>
          <w:p>
            <w:pPr>
              <w:pStyle w:val="164"/>
              <w:jc w:val="left"/>
              <w:rPr>
                <w:snapToGrid w:val="0"/>
                <w:color w:val="auto"/>
                <w:sz w:val="24"/>
              </w:rPr>
            </w:pPr>
            <w:r>
              <w:rPr>
                <w:snapToGrid w:val="0"/>
                <w:color w:val="auto"/>
              </w:rPr>
              <w:t>2、具体设置应符合《污染源监测技术规范》的规定与要求；</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cantSplit/>
          <w:trHeight w:val="340" w:hRule="atLeast"/>
          <w:jc w:val="center"/>
        </w:trPr>
        <w:tc>
          <w:tcPr>
            <w:tcW w:w="574" w:type="dxa"/>
            <w:tcMar>
              <w:top w:w="57" w:type="dxa"/>
              <w:left w:w="28" w:type="dxa"/>
              <w:bottom w:w="57" w:type="dxa"/>
              <w:right w:w="28" w:type="dxa"/>
            </w:tcMar>
            <w:vAlign w:val="center"/>
          </w:tcPr>
          <w:p>
            <w:pPr>
              <w:pStyle w:val="164"/>
              <w:rPr>
                <w:b/>
                <w:snapToGrid w:val="0"/>
                <w:color w:val="auto"/>
                <w:sz w:val="24"/>
              </w:rPr>
            </w:pPr>
            <w:r>
              <w:rPr>
                <w:b/>
                <w:snapToGrid w:val="0"/>
                <w:color w:val="auto"/>
              </w:rPr>
              <w:t>立标</w:t>
            </w:r>
          </w:p>
          <w:p>
            <w:pPr>
              <w:pStyle w:val="164"/>
              <w:rPr>
                <w:b/>
                <w:snapToGrid w:val="0"/>
                <w:color w:val="auto"/>
                <w:sz w:val="24"/>
              </w:rPr>
            </w:pPr>
            <w:r>
              <w:rPr>
                <w:b/>
                <w:snapToGrid w:val="0"/>
                <w:color w:val="auto"/>
              </w:rPr>
              <w:t>管理</w:t>
            </w:r>
          </w:p>
        </w:tc>
        <w:tc>
          <w:tcPr>
            <w:tcW w:w="7986" w:type="dxa"/>
            <w:tcMar>
              <w:top w:w="57" w:type="dxa"/>
              <w:left w:w="28" w:type="dxa"/>
              <w:bottom w:w="57" w:type="dxa"/>
              <w:right w:w="28" w:type="dxa"/>
            </w:tcMar>
            <w:vAlign w:val="center"/>
          </w:tcPr>
          <w:p>
            <w:pPr>
              <w:pStyle w:val="164"/>
              <w:jc w:val="left"/>
              <w:rPr>
                <w:snapToGrid w:val="0"/>
                <w:color w:val="auto"/>
                <w:sz w:val="24"/>
              </w:rPr>
            </w:pPr>
            <w:r>
              <w:rPr>
                <w:snapToGrid w:val="0"/>
                <w:color w:val="auto"/>
              </w:rPr>
              <w:t>1、排污口必须按照国家《环境保护图形标志》相关规定，设置环保图形标志牌；</w:t>
            </w:r>
          </w:p>
          <w:p>
            <w:pPr>
              <w:pStyle w:val="164"/>
              <w:jc w:val="left"/>
              <w:rPr>
                <w:snapToGrid w:val="0"/>
                <w:color w:val="auto"/>
                <w:sz w:val="24"/>
              </w:rPr>
            </w:pPr>
            <w:r>
              <w:rPr>
                <w:snapToGrid w:val="0"/>
                <w:color w:val="auto"/>
              </w:rPr>
              <w:t>2、标志牌设置位置应距排污口及固体废物贮存(处置)场或采样点较近且醒目处，设置高度一般为标志牌上缘距离地面约2m；</w:t>
            </w:r>
          </w:p>
          <w:p>
            <w:pPr>
              <w:pStyle w:val="164"/>
              <w:jc w:val="left"/>
              <w:rPr>
                <w:snapToGrid w:val="0"/>
                <w:color w:val="auto"/>
                <w:sz w:val="24"/>
              </w:rPr>
            </w:pPr>
            <w:r>
              <w:rPr>
                <w:snapToGrid w:val="0"/>
                <w:color w:val="auto"/>
              </w:rPr>
              <w:t>3、重点排污单位排污口设立式标志牌，一般单位排污口可设立式或平面固定式提示性环保图形标志牌；</w:t>
            </w:r>
          </w:p>
          <w:p>
            <w:pPr>
              <w:pStyle w:val="164"/>
              <w:jc w:val="left"/>
              <w:rPr>
                <w:snapToGrid w:val="0"/>
                <w:color w:val="auto"/>
                <w:sz w:val="24"/>
              </w:rPr>
            </w:pPr>
            <w:r>
              <w:rPr>
                <w:snapToGrid w:val="0"/>
                <w:color w:val="auto"/>
              </w:rPr>
              <w:t>4、对危险物贮存、处置场所，必须设置警告性环境保护图形标志牌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Ex>
        <w:trPr>
          <w:cantSplit/>
          <w:trHeight w:val="340" w:hRule="atLeast"/>
          <w:jc w:val="center"/>
        </w:trPr>
        <w:tc>
          <w:tcPr>
            <w:tcW w:w="574" w:type="dxa"/>
            <w:tcMar>
              <w:top w:w="57" w:type="dxa"/>
              <w:left w:w="28" w:type="dxa"/>
              <w:bottom w:w="57" w:type="dxa"/>
              <w:right w:w="28" w:type="dxa"/>
            </w:tcMar>
            <w:vAlign w:val="center"/>
          </w:tcPr>
          <w:p>
            <w:pPr>
              <w:pStyle w:val="164"/>
              <w:rPr>
                <w:b/>
                <w:snapToGrid w:val="0"/>
                <w:color w:val="auto"/>
              </w:rPr>
            </w:pPr>
            <w:r>
              <w:rPr>
                <w:b/>
                <w:snapToGrid w:val="0"/>
                <w:color w:val="auto"/>
              </w:rPr>
              <w:t>建档</w:t>
            </w:r>
          </w:p>
          <w:p>
            <w:pPr>
              <w:pStyle w:val="164"/>
              <w:rPr>
                <w:b/>
                <w:snapToGrid w:val="0"/>
                <w:color w:val="auto"/>
                <w:sz w:val="24"/>
              </w:rPr>
            </w:pPr>
            <w:r>
              <w:rPr>
                <w:b/>
                <w:snapToGrid w:val="0"/>
                <w:color w:val="auto"/>
              </w:rPr>
              <w:t>管理</w:t>
            </w:r>
          </w:p>
        </w:tc>
        <w:tc>
          <w:tcPr>
            <w:tcW w:w="7986" w:type="dxa"/>
            <w:tcMar>
              <w:top w:w="57" w:type="dxa"/>
              <w:left w:w="28" w:type="dxa"/>
              <w:bottom w:w="57" w:type="dxa"/>
              <w:right w:w="28" w:type="dxa"/>
            </w:tcMar>
            <w:vAlign w:val="center"/>
          </w:tcPr>
          <w:p>
            <w:pPr>
              <w:pStyle w:val="164"/>
              <w:jc w:val="left"/>
              <w:rPr>
                <w:snapToGrid w:val="0"/>
                <w:color w:val="auto"/>
                <w:sz w:val="24"/>
              </w:rPr>
            </w:pPr>
            <w:r>
              <w:rPr>
                <w:snapToGrid w:val="0"/>
                <w:color w:val="auto"/>
              </w:rPr>
              <w:t>1、使用《中华人民共和国规范化排污口标志登记证》，并按要求填写有关内容；</w:t>
            </w:r>
          </w:p>
          <w:p>
            <w:pPr>
              <w:pStyle w:val="164"/>
              <w:jc w:val="left"/>
              <w:rPr>
                <w:snapToGrid w:val="0"/>
                <w:color w:val="auto"/>
                <w:sz w:val="24"/>
              </w:rPr>
            </w:pPr>
            <w:r>
              <w:rPr>
                <w:snapToGrid w:val="0"/>
                <w:color w:val="auto"/>
              </w:rPr>
              <w:t>2、严格按照环境管理监控计划及排污口管理内容要求，在项目建成后将主要污染物种类、数量、排放浓度与去向，立标及环保设施运行情况记录在案，并及时上报；</w:t>
            </w:r>
          </w:p>
          <w:p>
            <w:pPr>
              <w:pStyle w:val="164"/>
              <w:jc w:val="left"/>
              <w:rPr>
                <w:snapToGrid w:val="0"/>
                <w:color w:val="auto"/>
                <w:sz w:val="24"/>
              </w:rPr>
            </w:pPr>
            <w:r>
              <w:rPr>
                <w:snapToGrid w:val="0"/>
                <w:color w:val="auto"/>
              </w:rPr>
              <w:t>3、选派有专业技能环保人员对排污口进行管理，做到责任明确、奖罚分明。</w:t>
            </w:r>
          </w:p>
        </w:tc>
      </w:tr>
    </w:tbl>
    <w:p>
      <w:pPr>
        <w:pStyle w:val="130"/>
        <w:spacing w:before="120" w:beforeLines="50"/>
        <w:ind w:firstLine="480"/>
        <w:rPr>
          <w:snapToGrid w:val="0"/>
          <w:color w:val="auto"/>
        </w:rPr>
      </w:pPr>
      <w:r>
        <w:rPr>
          <w:snapToGrid w:val="0"/>
          <w:color w:val="auto"/>
        </w:rPr>
        <w:t>①废气排放口</w:t>
      </w:r>
    </w:p>
    <w:p>
      <w:pPr>
        <w:pStyle w:val="130"/>
        <w:ind w:firstLine="480"/>
        <w:rPr>
          <w:snapToGrid w:val="0"/>
          <w:color w:val="auto"/>
        </w:rPr>
      </w:pPr>
      <w:r>
        <w:rPr>
          <w:snapToGrid w:val="0"/>
          <w:color w:val="auto"/>
        </w:rPr>
        <w:t>本项目</w:t>
      </w:r>
      <w:r>
        <w:rPr>
          <w:rFonts w:hint="eastAsia"/>
          <w:snapToGrid w:val="0"/>
          <w:color w:val="auto"/>
        </w:rPr>
        <w:t>运营期全厂</w:t>
      </w:r>
      <w:r>
        <w:rPr>
          <w:snapToGrid w:val="0"/>
          <w:color w:val="auto"/>
        </w:rPr>
        <w:t>废气排放口主要为生产工艺排放口，根据《污染物监测技术规范》中规定，废气排放口须便于采样、监测的要求，排放口的高度须符合规定，设置直径不小于75mm。有净化设施的应在进出口分别设置采样口；采样孔、点数目和位置应按《固定污染源排气中颗粒物测定与气态污染物采样方法》的规定设置；在排气筒附近地面醒目处，应设置环保图形标志牌。</w:t>
      </w:r>
    </w:p>
    <w:p>
      <w:pPr>
        <w:pStyle w:val="130"/>
        <w:ind w:firstLine="480"/>
        <w:rPr>
          <w:snapToGrid w:val="0"/>
          <w:color w:val="auto"/>
        </w:rPr>
      </w:pPr>
      <w:r>
        <w:rPr>
          <w:snapToGrid w:val="0"/>
          <w:color w:val="auto"/>
        </w:rPr>
        <w:t>排气筒或监测断面应设置便于采样、监测的采样口和采样监测平台。当采样平台设置在离地面高度≥5m的位置时，应有通往平台的Z字梯/旋梯/升降梯。采样平台应有足够的工作面积使工作人员安全、方便地操作。平台面积应不小于1.5m</w:t>
      </w:r>
      <w:r>
        <w:rPr>
          <w:snapToGrid w:val="0"/>
          <w:color w:val="auto"/>
          <w:vertAlign w:val="superscript"/>
        </w:rPr>
        <w:t>2</w:t>
      </w:r>
      <w:r>
        <w:rPr>
          <w:snapToGrid w:val="0"/>
          <w:color w:val="auto"/>
        </w:rPr>
        <w:t>，并设有1.1m高的护栏和不低于10cm的脚部挡板。采样平台的承重应不小于200kg/m</w:t>
      </w:r>
      <w:r>
        <w:rPr>
          <w:snapToGrid w:val="0"/>
          <w:color w:val="auto"/>
          <w:vertAlign w:val="superscript"/>
        </w:rPr>
        <w:t>2</w:t>
      </w:r>
      <w:r>
        <w:rPr>
          <w:snapToGrid w:val="0"/>
          <w:color w:val="auto"/>
        </w:rPr>
        <w:t>，采样孔距平台面约为1.2m～1.3m。</w:t>
      </w:r>
    </w:p>
    <w:p>
      <w:pPr>
        <w:pStyle w:val="130"/>
        <w:ind w:firstLine="480"/>
        <w:rPr>
          <w:snapToGrid w:val="0"/>
          <w:color w:val="auto"/>
        </w:rPr>
      </w:pPr>
      <w:r>
        <w:rPr>
          <w:snapToGrid w:val="0"/>
          <w:color w:val="auto"/>
        </w:rPr>
        <w:t>②废水排放口</w:t>
      </w:r>
    </w:p>
    <w:p>
      <w:pPr>
        <w:pStyle w:val="130"/>
        <w:ind w:firstLine="480"/>
        <w:rPr>
          <w:snapToGrid w:val="0"/>
          <w:color w:val="auto"/>
        </w:rPr>
      </w:pPr>
      <w:r>
        <w:rPr>
          <w:snapToGrid w:val="0"/>
          <w:color w:val="auto"/>
        </w:rPr>
        <w:t>本项目</w:t>
      </w:r>
      <w:r>
        <w:rPr>
          <w:rFonts w:hint="eastAsia"/>
          <w:snapToGrid w:val="0"/>
          <w:color w:val="auto"/>
        </w:rPr>
        <w:t>运营期全厂</w:t>
      </w:r>
      <w:r>
        <w:rPr>
          <w:snapToGrid w:val="0"/>
          <w:color w:val="auto"/>
        </w:rPr>
        <w:t>废水不外排，但污水处理站出口需要具备方便采样和流量测定，并安装流量计，污水面低于地面或高于地面超过1m的应加建采样台阶或梯架。</w:t>
      </w:r>
    </w:p>
    <w:p>
      <w:pPr>
        <w:pStyle w:val="130"/>
        <w:ind w:firstLine="480"/>
        <w:rPr>
          <w:snapToGrid w:val="0"/>
          <w:color w:val="auto"/>
        </w:rPr>
      </w:pPr>
      <w:r>
        <w:rPr>
          <w:snapToGrid w:val="0"/>
          <w:color w:val="auto"/>
        </w:rPr>
        <w:t>③固定噪声源</w:t>
      </w:r>
    </w:p>
    <w:p>
      <w:pPr>
        <w:pStyle w:val="130"/>
        <w:ind w:firstLine="480"/>
        <w:rPr>
          <w:snapToGrid w:val="0"/>
          <w:color w:val="auto"/>
        </w:rPr>
      </w:pPr>
      <w:r>
        <w:rPr>
          <w:snapToGrid w:val="0"/>
          <w:color w:val="auto"/>
        </w:rPr>
        <w:t>对固定噪声污染源对边界影响最大处，设置环境噪声监测点，并在该处附近醒目处设置环境保护图形标志牌。</w:t>
      </w:r>
    </w:p>
    <w:p>
      <w:pPr>
        <w:pStyle w:val="130"/>
        <w:ind w:firstLine="480"/>
        <w:rPr>
          <w:color w:val="auto"/>
        </w:rPr>
      </w:pPr>
      <w:r>
        <w:rPr>
          <w:color w:val="auto"/>
        </w:rPr>
        <w:t>④固体废物储存场</w:t>
      </w:r>
    </w:p>
    <w:p>
      <w:pPr>
        <w:pStyle w:val="130"/>
        <w:ind w:firstLine="480"/>
        <w:rPr>
          <w:color w:val="auto"/>
        </w:rPr>
      </w:pPr>
      <w:r>
        <w:rPr>
          <w:color w:val="auto"/>
        </w:rPr>
        <w:t>固体废物暂存间必须严落实防渗措施，并设置相应的标示、警示牌。</w:t>
      </w:r>
    </w:p>
    <w:p>
      <w:pPr>
        <w:pStyle w:val="4"/>
        <w:numPr>
          <w:ilvl w:val="1"/>
          <w:numId w:val="0"/>
        </w:numPr>
        <w:spacing w:before="120"/>
        <w:rPr>
          <w:color w:val="auto"/>
        </w:rPr>
      </w:pPr>
      <w:bookmarkStart w:id="827" w:name="_Toc529281438"/>
      <w:bookmarkStart w:id="828" w:name="_Toc509415556"/>
      <w:bookmarkStart w:id="829" w:name="_Toc109398749"/>
      <w:r>
        <w:rPr>
          <w:color w:val="auto"/>
        </w:rPr>
        <w:t>10.6环境信息公开要求</w:t>
      </w:r>
      <w:bookmarkEnd w:id="827"/>
      <w:bookmarkEnd w:id="828"/>
      <w:bookmarkEnd w:id="829"/>
    </w:p>
    <w:p>
      <w:pPr>
        <w:pStyle w:val="130"/>
        <w:ind w:firstLine="480"/>
        <w:rPr>
          <w:snapToGrid w:val="0"/>
          <w:color w:val="auto"/>
        </w:rPr>
      </w:pPr>
      <w:r>
        <w:rPr>
          <w:snapToGrid w:val="0"/>
          <w:color w:val="auto"/>
        </w:rPr>
        <w:t>根据《建设项目环境影响评价信息公开机制方案》，建设单位是建设项目选址、建设、运营全过程环境信息公开的主体，是建设项目环境影响报告书(表)相关信息和审批后环境保护措施落实情况公开的主体，因此建设单位应按要求落实环境信息公开相关要求，具体如下：</w:t>
      </w:r>
    </w:p>
    <w:p>
      <w:pPr>
        <w:pStyle w:val="5"/>
        <w:numPr>
          <w:ilvl w:val="2"/>
          <w:numId w:val="0"/>
        </w:numPr>
        <w:ind w:left="-720" w:leftChars="-343" w:firstLine="723" w:firstLineChars="300"/>
        <w:rPr>
          <w:color w:val="auto"/>
        </w:rPr>
      </w:pPr>
      <w:bookmarkStart w:id="830" w:name="_Toc529281439"/>
      <w:bookmarkStart w:id="831" w:name="_Toc109398750"/>
      <w:r>
        <w:rPr>
          <w:color w:val="auto"/>
        </w:rPr>
        <w:t>10.6.1环评信息公开</w:t>
      </w:r>
      <w:bookmarkEnd w:id="830"/>
      <w:bookmarkEnd w:id="831"/>
    </w:p>
    <w:p>
      <w:pPr>
        <w:pStyle w:val="130"/>
        <w:ind w:firstLine="480"/>
        <w:rPr>
          <w:snapToGrid w:val="0"/>
          <w:color w:val="auto"/>
        </w:rPr>
      </w:pPr>
      <w:r>
        <w:rPr>
          <w:snapToGrid w:val="0"/>
          <w:color w:val="auto"/>
        </w:rPr>
        <w:t>⑴环境影响报告书编制信息</w:t>
      </w:r>
    </w:p>
    <w:p>
      <w:pPr>
        <w:pStyle w:val="130"/>
        <w:ind w:firstLine="480"/>
        <w:rPr>
          <w:snapToGrid w:val="0"/>
          <w:color w:val="auto"/>
        </w:rPr>
      </w:pPr>
      <w:r>
        <w:rPr>
          <w:snapToGrid w:val="0"/>
          <w:color w:val="auto"/>
        </w:rPr>
        <w:t>根据建设项目环评公众参与相关规定，建设单位在建设项目环境影响报告书编制过程中，应当向社会公开建设项目的工程基本情况、拟定选址选线、周边主要保护目标的位置和距离、主要环境影响预测情况、拟采取的主要环境保护措施、公众参与的途经方式等。</w:t>
      </w:r>
    </w:p>
    <w:p>
      <w:pPr>
        <w:pStyle w:val="130"/>
        <w:ind w:firstLine="480"/>
        <w:rPr>
          <w:snapToGrid w:val="0"/>
          <w:color w:val="auto"/>
        </w:rPr>
      </w:pPr>
      <w:r>
        <w:rPr>
          <w:snapToGrid w:val="0"/>
          <w:color w:val="auto"/>
        </w:rPr>
        <w:t>⑵环境影响报告书全本公示</w:t>
      </w:r>
    </w:p>
    <w:p>
      <w:pPr>
        <w:pStyle w:val="130"/>
        <w:ind w:firstLine="480"/>
        <w:rPr>
          <w:snapToGrid w:val="0"/>
          <w:color w:val="auto"/>
        </w:rPr>
      </w:pPr>
      <w:r>
        <w:rPr>
          <w:snapToGrid w:val="0"/>
          <w:color w:val="auto"/>
        </w:rPr>
        <w:t>《中华人民共和国大气污染防治法》规定：企业事业单位和其他生产经营者建设对大气环境有影响的项目，应当依法进行环境影响评价、公开环境影响评价文件。</w:t>
      </w:r>
    </w:p>
    <w:p>
      <w:pPr>
        <w:pStyle w:val="5"/>
        <w:numPr>
          <w:ilvl w:val="2"/>
          <w:numId w:val="0"/>
        </w:numPr>
        <w:ind w:left="-720" w:leftChars="-343" w:firstLine="723" w:firstLineChars="300"/>
        <w:rPr>
          <w:color w:val="auto"/>
        </w:rPr>
      </w:pPr>
      <w:bookmarkStart w:id="832" w:name="_Toc109398751"/>
      <w:bookmarkStart w:id="833" w:name="_Toc529281440"/>
      <w:r>
        <w:rPr>
          <w:color w:val="auto"/>
        </w:rPr>
        <w:t>10.6.2项目建设信息公开</w:t>
      </w:r>
      <w:bookmarkEnd w:id="832"/>
      <w:bookmarkEnd w:id="833"/>
    </w:p>
    <w:p>
      <w:pPr>
        <w:pStyle w:val="130"/>
        <w:ind w:firstLine="480"/>
        <w:rPr>
          <w:snapToGrid w:val="0"/>
          <w:color w:val="auto"/>
        </w:rPr>
      </w:pPr>
      <w:r>
        <w:rPr>
          <w:snapToGrid w:val="0"/>
          <w:color w:val="auto"/>
        </w:rPr>
        <w:t>⑴建设项目开工前的信息公开</w:t>
      </w:r>
    </w:p>
    <w:p>
      <w:pPr>
        <w:pStyle w:val="130"/>
        <w:ind w:firstLine="480"/>
        <w:rPr>
          <w:snapToGrid w:val="0"/>
          <w:color w:val="auto"/>
        </w:rPr>
      </w:pPr>
      <w:r>
        <w:rPr>
          <w:snapToGrid w:val="0"/>
          <w:color w:val="auto"/>
        </w:rPr>
        <w:t>建设项目开工建设前，建设单位应当向社会公开项目开工日期、设计单位、施工单位和环境监理单位、工程基本情况、实际选址选线、拟采取的环境保护措施清单和实施计划、由地方政府或相关部门负责配套的环境保护措施清单和实施计划等，并确保上述信息在整个施工期内均处于公开状态。</w:t>
      </w:r>
    </w:p>
    <w:p>
      <w:pPr>
        <w:pStyle w:val="130"/>
        <w:ind w:firstLine="480"/>
        <w:rPr>
          <w:snapToGrid w:val="0"/>
          <w:color w:val="auto"/>
        </w:rPr>
      </w:pPr>
      <w:r>
        <w:rPr>
          <w:snapToGrid w:val="0"/>
          <w:color w:val="auto"/>
        </w:rPr>
        <w:t>⑵施工过程中的信息公开</w:t>
      </w:r>
    </w:p>
    <w:p>
      <w:pPr>
        <w:pStyle w:val="130"/>
        <w:ind w:firstLine="480"/>
        <w:rPr>
          <w:snapToGrid w:val="0"/>
          <w:color w:val="auto"/>
        </w:rPr>
      </w:pPr>
      <w:r>
        <w:rPr>
          <w:snapToGrid w:val="0"/>
          <w:color w:val="auto"/>
        </w:rPr>
        <w:t>建设单位应当在施工中期向社会公开建设项目环境保护措施进展情况、施工期的环境保护措施落实情况、施工期环境监理情况、施工期环境监测结果等。</w:t>
      </w:r>
    </w:p>
    <w:p>
      <w:pPr>
        <w:pStyle w:val="130"/>
        <w:ind w:firstLine="480"/>
        <w:rPr>
          <w:snapToGrid w:val="0"/>
          <w:color w:val="auto"/>
        </w:rPr>
      </w:pPr>
      <w:r>
        <w:rPr>
          <w:snapToGrid w:val="0"/>
          <w:color w:val="auto"/>
        </w:rPr>
        <w:t>⑶项目建成后的信息公开</w:t>
      </w:r>
    </w:p>
    <w:p>
      <w:pPr>
        <w:pStyle w:val="130"/>
        <w:ind w:firstLine="480"/>
        <w:rPr>
          <w:snapToGrid w:val="0"/>
          <w:color w:val="auto"/>
        </w:rPr>
      </w:pPr>
      <w:r>
        <w:rPr>
          <w:snapToGrid w:val="0"/>
          <w:color w:val="auto"/>
        </w:rPr>
        <w:t>建设项目建成后，建设单位应当向社会公开项目环评提出的各项环境保护设施和措施执行情况、竣工环境保护验收监测和调查结果。</w:t>
      </w:r>
    </w:p>
    <w:p>
      <w:pPr>
        <w:pStyle w:val="5"/>
        <w:numPr>
          <w:ilvl w:val="2"/>
          <w:numId w:val="0"/>
        </w:numPr>
        <w:ind w:left="-720" w:leftChars="-343" w:firstLine="723" w:firstLineChars="300"/>
        <w:rPr>
          <w:color w:val="auto"/>
        </w:rPr>
      </w:pPr>
      <w:bookmarkStart w:id="834" w:name="_Toc529281441"/>
      <w:bookmarkStart w:id="835" w:name="_Toc109398752"/>
      <w:r>
        <w:rPr>
          <w:color w:val="auto"/>
        </w:rPr>
        <w:t>10.6.3排污信息公开</w:t>
      </w:r>
      <w:bookmarkEnd w:id="834"/>
      <w:bookmarkEnd w:id="835"/>
    </w:p>
    <w:p>
      <w:pPr>
        <w:pStyle w:val="130"/>
        <w:ind w:firstLine="480"/>
        <w:rPr>
          <w:snapToGrid w:val="0"/>
          <w:color w:val="auto"/>
        </w:rPr>
      </w:pPr>
      <w:r>
        <w:rPr>
          <w:snapToGrid w:val="0"/>
          <w:color w:val="auto"/>
        </w:rPr>
        <w:t>《排污单位自行监测技术指南总则》</w:t>
      </w:r>
      <w:r>
        <w:rPr>
          <w:rFonts w:hint="eastAsia"/>
          <w:snapToGrid w:val="0"/>
          <w:color w:val="auto"/>
        </w:rPr>
        <w:t>（</w:t>
      </w:r>
      <w:r>
        <w:rPr>
          <w:snapToGrid w:val="0"/>
          <w:color w:val="auto"/>
        </w:rPr>
        <w:t>HJ819-2017</w:t>
      </w:r>
      <w:r>
        <w:rPr>
          <w:rFonts w:hint="eastAsia"/>
          <w:snapToGrid w:val="0"/>
          <w:color w:val="auto"/>
        </w:rPr>
        <w:t>）</w:t>
      </w:r>
      <w:r>
        <w:rPr>
          <w:snapToGrid w:val="0"/>
          <w:color w:val="auto"/>
        </w:rPr>
        <w:t>中要求，排污单位应做好与监测相关的数据记录，按照规定进行保存，并依据相关法规向社会公开监测结果。</w:t>
      </w:r>
    </w:p>
    <w:p>
      <w:pPr>
        <w:pStyle w:val="130"/>
        <w:ind w:firstLine="480"/>
        <w:rPr>
          <w:snapToGrid w:val="0"/>
          <w:color w:val="auto"/>
        </w:rPr>
      </w:pPr>
      <w:r>
        <w:rPr>
          <w:snapToGrid w:val="0"/>
          <w:color w:val="auto"/>
        </w:rPr>
        <w:t>《宁夏回族自治区工业污染源全面达标排放计划实施方案》中规定，企业应按照有关法律法规及技术规范的要求严格开展自行监测，并通过网络、电子屏幕等便于公众知晓的方式，向社会公开防治污染设施的建设、运行情况，排放污染物的名称、排放方式、排放浓度和总量、超标排放情况等信息，接受社会监督。</w:t>
      </w:r>
    </w:p>
    <w:p>
      <w:pPr>
        <w:pStyle w:val="5"/>
        <w:numPr>
          <w:ilvl w:val="2"/>
          <w:numId w:val="0"/>
        </w:numPr>
        <w:ind w:left="-720" w:leftChars="-343" w:firstLine="723" w:firstLineChars="300"/>
        <w:rPr>
          <w:color w:val="auto"/>
        </w:rPr>
      </w:pPr>
      <w:bookmarkStart w:id="836" w:name="_Toc109398753"/>
      <w:bookmarkStart w:id="837" w:name="_Toc529281442"/>
      <w:r>
        <w:rPr>
          <w:color w:val="auto"/>
        </w:rPr>
        <w:t>10.6.4环境应急信息公开</w:t>
      </w:r>
      <w:bookmarkEnd w:id="836"/>
      <w:bookmarkEnd w:id="837"/>
    </w:p>
    <w:p>
      <w:pPr>
        <w:pStyle w:val="130"/>
        <w:ind w:firstLine="480"/>
        <w:rPr>
          <w:snapToGrid w:val="0"/>
          <w:color w:val="auto"/>
        </w:rPr>
      </w:pPr>
      <w:r>
        <w:rPr>
          <w:snapToGrid w:val="0"/>
          <w:color w:val="auto"/>
        </w:rPr>
        <w:t>《企业事业单位突发环境事件应急预案备案管理办法(试行)》中要求，企业应当主动公开与周边可能受影响的居民、单位、区域环境等密切相关的环境应急预案信息，包括企业突发环境事件应急预案及演练情况。</w:t>
      </w:r>
    </w:p>
    <w:p>
      <w:pPr>
        <w:pStyle w:val="4"/>
        <w:numPr>
          <w:ilvl w:val="1"/>
          <w:numId w:val="0"/>
        </w:numPr>
        <w:spacing w:before="120"/>
        <w:rPr>
          <w:color w:val="auto"/>
        </w:rPr>
      </w:pPr>
      <w:bookmarkStart w:id="838" w:name="_Toc109398754"/>
      <w:r>
        <w:rPr>
          <w:color w:val="auto"/>
        </w:rPr>
        <w:t>10.7污染物排放清单</w:t>
      </w:r>
      <w:bookmarkEnd w:id="838"/>
    </w:p>
    <w:p>
      <w:pPr>
        <w:pStyle w:val="130"/>
        <w:ind w:firstLine="480"/>
        <w:rPr>
          <w:color w:val="auto"/>
        </w:rPr>
      </w:pPr>
      <w:r>
        <w:rPr>
          <w:color w:val="auto"/>
        </w:rPr>
        <w:t>本项目</w:t>
      </w:r>
      <w:r>
        <w:rPr>
          <w:rFonts w:hint="eastAsia"/>
          <w:color w:val="auto"/>
        </w:rPr>
        <w:t>建成后全厂</w:t>
      </w:r>
      <w:r>
        <w:rPr>
          <w:color w:val="auto"/>
        </w:rPr>
        <w:t>污染物排放清单详见表10.7-1。</w:t>
      </w:r>
    </w:p>
    <w:p>
      <w:pPr>
        <w:rPr>
          <w:color w:val="auto"/>
        </w:rPr>
        <w:sectPr>
          <w:headerReference r:id="rId10" w:type="even"/>
          <w:pgSz w:w="11906" w:h="16838"/>
          <w:pgMar w:top="1701" w:right="1701" w:bottom="1701" w:left="1701" w:header="851" w:footer="851" w:gutter="0"/>
          <w:cols w:space="720" w:num="1"/>
          <w:docGrid w:linePitch="466" w:charSpace="0"/>
        </w:sectPr>
      </w:pPr>
    </w:p>
    <w:p>
      <w:pPr>
        <w:pStyle w:val="114"/>
        <w:spacing w:before="120"/>
        <w:rPr>
          <w:color w:val="auto"/>
        </w:rPr>
      </w:pPr>
      <w:r>
        <w:rPr>
          <w:color w:val="auto"/>
        </w:rPr>
        <w:t>表10.7-1本项目</w:t>
      </w:r>
      <w:r>
        <w:rPr>
          <w:rFonts w:hint="eastAsia"/>
          <w:color w:val="auto"/>
        </w:rPr>
        <w:t>建成后全厂</w:t>
      </w:r>
      <w:r>
        <w:rPr>
          <w:color w:val="auto"/>
        </w:rPr>
        <w:t>污染物排放清单表</w:t>
      </w:r>
    </w:p>
    <w:tbl>
      <w:tblPr>
        <w:tblStyle w:val="74"/>
        <w:tblW w:w="13652"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20"/>
        <w:gridCol w:w="926"/>
        <w:gridCol w:w="1231"/>
        <w:gridCol w:w="1499"/>
        <w:gridCol w:w="1226"/>
        <w:gridCol w:w="1649"/>
        <w:gridCol w:w="2698"/>
        <w:gridCol w:w="1259"/>
        <w:gridCol w:w="1281"/>
        <w:gridCol w:w="116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1646" w:type="dxa"/>
            <w:gridSpan w:val="2"/>
            <w:vMerge w:val="restart"/>
            <w:shd w:val="clear" w:color="auto" w:fill="auto"/>
            <w:vAlign w:val="center"/>
          </w:tcPr>
          <w:p>
            <w:pPr>
              <w:pStyle w:val="164"/>
              <w:ind w:left="-105" w:leftChars="-50" w:right="-105" w:rightChars="-50"/>
              <w:rPr>
                <w:color w:val="auto"/>
              </w:rPr>
            </w:pPr>
            <w:r>
              <w:rPr>
                <w:color w:val="auto"/>
              </w:rPr>
              <w:t>污染源</w:t>
            </w:r>
          </w:p>
        </w:tc>
        <w:tc>
          <w:tcPr>
            <w:tcW w:w="1231" w:type="dxa"/>
            <w:vMerge w:val="restart"/>
            <w:shd w:val="clear" w:color="auto" w:fill="auto"/>
            <w:vAlign w:val="center"/>
          </w:tcPr>
          <w:p>
            <w:pPr>
              <w:pStyle w:val="164"/>
              <w:ind w:left="-105" w:leftChars="-50" w:right="-105" w:rightChars="-50"/>
              <w:rPr>
                <w:color w:val="auto"/>
              </w:rPr>
            </w:pPr>
            <w:r>
              <w:rPr>
                <w:color w:val="auto"/>
              </w:rPr>
              <w:t>污染物</w:t>
            </w:r>
          </w:p>
        </w:tc>
        <w:tc>
          <w:tcPr>
            <w:tcW w:w="4374" w:type="dxa"/>
            <w:gridSpan w:val="3"/>
            <w:shd w:val="clear" w:color="auto" w:fill="auto"/>
            <w:vAlign w:val="center"/>
          </w:tcPr>
          <w:p>
            <w:pPr>
              <w:pStyle w:val="164"/>
              <w:ind w:left="-105" w:leftChars="-50" w:right="-105" w:rightChars="-50"/>
              <w:rPr>
                <w:color w:val="auto"/>
              </w:rPr>
            </w:pPr>
            <w:r>
              <w:rPr>
                <w:color w:val="auto"/>
              </w:rPr>
              <w:t>治理前</w:t>
            </w:r>
          </w:p>
        </w:tc>
        <w:tc>
          <w:tcPr>
            <w:tcW w:w="2698" w:type="dxa"/>
            <w:vMerge w:val="restart"/>
            <w:shd w:val="clear" w:color="auto" w:fill="auto"/>
            <w:vAlign w:val="center"/>
          </w:tcPr>
          <w:p>
            <w:pPr>
              <w:pStyle w:val="164"/>
              <w:ind w:left="-105" w:leftChars="-50" w:right="-105" w:rightChars="-50"/>
              <w:rPr>
                <w:color w:val="auto"/>
              </w:rPr>
            </w:pPr>
            <w:r>
              <w:rPr>
                <w:color w:val="auto"/>
              </w:rPr>
              <w:t>治理</w:t>
            </w:r>
          </w:p>
        </w:tc>
        <w:tc>
          <w:tcPr>
            <w:tcW w:w="3703" w:type="dxa"/>
            <w:gridSpan w:val="3"/>
            <w:shd w:val="clear" w:color="auto" w:fill="auto"/>
            <w:vAlign w:val="center"/>
          </w:tcPr>
          <w:p>
            <w:pPr>
              <w:pStyle w:val="164"/>
              <w:ind w:left="-105" w:leftChars="-50" w:right="-105" w:rightChars="-50"/>
              <w:rPr>
                <w:color w:val="auto"/>
              </w:rPr>
            </w:pPr>
            <w:r>
              <w:rPr>
                <w:color w:val="auto"/>
              </w:rPr>
              <w:t>治理后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96" w:hRule="atLeast"/>
        </w:trPr>
        <w:tc>
          <w:tcPr>
            <w:tcW w:w="1646" w:type="dxa"/>
            <w:gridSpan w:val="2"/>
            <w:vMerge w:val="continue"/>
            <w:vAlign w:val="center"/>
          </w:tcPr>
          <w:p>
            <w:pPr>
              <w:pStyle w:val="164"/>
              <w:ind w:left="-105" w:leftChars="-50" w:right="-105" w:rightChars="-50"/>
              <w:rPr>
                <w:color w:val="auto"/>
              </w:rPr>
            </w:pPr>
          </w:p>
        </w:tc>
        <w:tc>
          <w:tcPr>
            <w:tcW w:w="1231" w:type="dxa"/>
            <w:vMerge w:val="continue"/>
            <w:vAlign w:val="center"/>
          </w:tcPr>
          <w:p>
            <w:pPr>
              <w:pStyle w:val="164"/>
              <w:ind w:left="-105" w:leftChars="-50" w:right="-105" w:rightChars="-50"/>
              <w:rPr>
                <w:color w:val="auto"/>
              </w:rPr>
            </w:pPr>
          </w:p>
        </w:tc>
        <w:tc>
          <w:tcPr>
            <w:tcW w:w="1499" w:type="dxa"/>
            <w:shd w:val="clear" w:color="auto" w:fill="auto"/>
            <w:vAlign w:val="center"/>
          </w:tcPr>
          <w:p>
            <w:pPr>
              <w:pStyle w:val="164"/>
              <w:ind w:left="-105" w:leftChars="-50" w:right="-105" w:rightChars="-50"/>
              <w:rPr>
                <w:color w:val="auto"/>
              </w:rPr>
            </w:pPr>
            <w:r>
              <w:rPr>
                <w:color w:val="auto"/>
              </w:rPr>
              <w:t>浓度mg/m³</w:t>
            </w:r>
          </w:p>
        </w:tc>
        <w:tc>
          <w:tcPr>
            <w:tcW w:w="1226" w:type="dxa"/>
            <w:shd w:val="clear" w:color="auto" w:fill="auto"/>
            <w:vAlign w:val="center"/>
          </w:tcPr>
          <w:p>
            <w:pPr>
              <w:pStyle w:val="164"/>
              <w:ind w:left="-105" w:leftChars="-50" w:right="-105" w:rightChars="-50"/>
              <w:rPr>
                <w:color w:val="auto"/>
              </w:rPr>
            </w:pPr>
            <w:r>
              <w:rPr>
                <w:color w:val="auto"/>
              </w:rPr>
              <w:t>产生速率</w:t>
            </w:r>
          </w:p>
          <w:p>
            <w:pPr>
              <w:pStyle w:val="164"/>
              <w:ind w:left="-105" w:leftChars="-50" w:right="-105" w:rightChars="-50"/>
              <w:rPr>
                <w:color w:val="auto"/>
              </w:rPr>
            </w:pPr>
            <w:r>
              <w:rPr>
                <w:color w:val="auto"/>
              </w:rPr>
              <w:t>kg/h</w:t>
            </w:r>
          </w:p>
        </w:tc>
        <w:tc>
          <w:tcPr>
            <w:tcW w:w="1649" w:type="dxa"/>
            <w:shd w:val="clear" w:color="auto" w:fill="auto"/>
            <w:vAlign w:val="center"/>
          </w:tcPr>
          <w:p>
            <w:pPr>
              <w:pStyle w:val="164"/>
              <w:ind w:left="-105" w:leftChars="-50" w:right="-105" w:rightChars="-50"/>
              <w:rPr>
                <w:color w:val="auto"/>
              </w:rPr>
            </w:pPr>
            <w:r>
              <w:rPr>
                <w:color w:val="auto"/>
              </w:rPr>
              <w:t>产生量</w:t>
            </w:r>
          </w:p>
          <w:p>
            <w:pPr>
              <w:pStyle w:val="164"/>
              <w:ind w:left="-105" w:leftChars="-50" w:right="-105" w:rightChars="-50"/>
              <w:rPr>
                <w:color w:val="auto"/>
              </w:rPr>
            </w:pPr>
            <w:r>
              <w:rPr>
                <w:color w:val="auto"/>
              </w:rPr>
              <w:t>t/a</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rPr>
              <w:t>排放浓度</w:t>
            </w:r>
          </w:p>
          <w:p>
            <w:pPr>
              <w:pStyle w:val="164"/>
              <w:ind w:left="-105" w:leftChars="-50" w:right="-105" w:rightChars="-50"/>
              <w:rPr>
                <w:color w:val="auto"/>
              </w:rPr>
            </w:pPr>
            <w:r>
              <w:rPr>
                <w:color w:val="auto"/>
              </w:rPr>
              <w:t>mg/m³</w:t>
            </w:r>
          </w:p>
        </w:tc>
        <w:tc>
          <w:tcPr>
            <w:tcW w:w="1281" w:type="dxa"/>
            <w:shd w:val="clear" w:color="auto" w:fill="auto"/>
            <w:vAlign w:val="center"/>
          </w:tcPr>
          <w:p>
            <w:pPr>
              <w:pStyle w:val="164"/>
              <w:ind w:left="-105" w:leftChars="-50" w:right="-105" w:rightChars="-50"/>
              <w:rPr>
                <w:color w:val="auto"/>
              </w:rPr>
            </w:pPr>
            <w:r>
              <w:rPr>
                <w:color w:val="auto"/>
              </w:rPr>
              <w:t>排放速率</w:t>
            </w:r>
          </w:p>
          <w:p>
            <w:pPr>
              <w:pStyle w:val="164"/>
              <w:ind w:left="-105" w:leftChars="-50" w:right="-105" w:rightChars="-50"/>
              <w:rPr>
                <w:color w:val="auto"/>
              </w:rPr>
            </w:pPr>
            <w:r>
              <w:rPr>
                <w:color w:val="auto"/>
              </w:rPr>
              <w:t>kg/h</w:t>
            </w:r>
          </w:p>
        </w:tc>
        <w:tc>
          <w:tcPr>
            <w:tcW w:w="1163" w:type="dxa"/>
            <w:shd w:val="clear" w:color="auto" w:fill="auto"/>
            <w:vAlign w:val="center"/>
          </w:tcPr>
          <w:p>
            <w:pPr>
              <w:pStyle w:val="164"/>
              <w:ind w:left="-105" w:leftChars="-50" w:right="-105" w:rightChars="-50"/>
              <w:rPr>
                <w:color w:val="auto"/>
              </w:rPr>
            </w:pPr>
            <w:r>
              <w:rPr>
                <w:color w:val="auto"/>
              </w:rPr>
              <w:t>排放量</w:t>
            </w:r>
          </w:p>
          <w:p>
            <w:pPr>
              <w:pStyle w:val="164"/>
              <w:ind w:left="-105" w:leftChars="-50" w:right="-105" w:rightChars="-50"/>
              <w:rPr>
                <w:color w:val="auto"/>
              </w:rPr>
            </w:pPr>
            <w:r>
              <w:rPr>
                <w:color w:val="auto"/>
              </w:rPr>
              <w:t>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restart"/>
            <w:tcBorders>
              <w:right w:val="single" w:color="auto" w:sz="4" w:space="0"/>
            </w:tcBorders>
            <w:shd w:val="clear" w:color="auto" w:fill="auto"/>
            <w:vAlign w:val="center"/>
          </w:tcPr>
          <w:p>
            <w:pPr>
              <w:pStyle w:val="164"/>
              <w:ind w:left="-105" w:leftChars="-50" w:right="-105" w:rightChars="-50"/>
              <w:rPr>
                <w:color w:val="auto"/>
              </w:rPr>
            </w:pPr>
            <w:r>
              <w:rPr>
                <w:color w:val="auto"/>
              </w:rPr>
              <w:t>有组织</w:t>
            </w:r>
          </w:p>
          <w:p>
            <w:pPr>
              <w:pStyle w:val="164"/>
              <w:ind w:left="-105" w:leftChars="-50" w:right="-105" w:rightChars="-50"/>
              <w:rPr>
                <w:color w:val="auto"/>
              </w:rPr>
            </w:pPr>
            <w:r>
              <w:rPr>
                <w:color w:val="auto"/>
              </w:rPr>
              <w:t>废气</w:t>
            </w:r>
          </w:p>
        </w:tc>
        <w:tc>
          <w:tcPr>
            <w:tcW w:w="926" w:type="dxa"/>
            <w:vMerge w:val="restart"/>
            <w:tcBorders>
              <w:left w:val="single" w:color="auto" w:sz="4" w:space="0"/>
            </w:tcBorders>
            <w:shd w:val="clear" w:color="auto" w:fill="auto"/>
            <w:vAlign w:val="center"/>
          </w:tcPr>
          <w:p>
            <w:pPr>
              <w:pStyle w:val="164"/>
              <w:ind w:left="-105" w:leftChars="-50" w:right="-105" w:rightChars="-50"/>
              <w:rPr>
                <w:color w:val="auto"/>
              </w:rPr>
            </w:pPr>
            <w:r>
              <w:rPr>
                <w:color w:val="auto"/>
              </w:rPr>
              <w:t>医废</w:t>
            </w:r>
          </w:p>
          <w:p>
            <w:pPr>
              <w:pStyle w:val="164"/>
              <w:ind w:left="-105" w:leftChars="-50" w:right="-105" w:rightChars="-50"/>
              <w:rPr>
                <w:color w:val="auto"/>
              </w:rPr>
            </w:pPr>
            <w:r>
              <w:rPr>
                <w:color w:val="auto"/>
              </w:rPr>
              <w:t>暂存间</w:t>
            </w:r>
          </w:p>
        </w:tc>
        <w:tc>
          <w:tcPr>
            <w:tcW w:w="1231" w:type="dxa"/>
            <w:shd w:val="clear" w:color="auto" w:fill="auto"/>
            <w:vAlign w:val="center"/>
          </w:tcPr>
          <w:p>
            <w:pPr>
              <w:pStyle w:val="164"/>
              <w:ind w:left="-105" w:leftChars="-50" w:right="-105" w:rightChars="-50"/>
              <w:rPr>
                <w:color w:val="auto"/>
              </w:rPr>
            </w:pPr>
            <w:r>
              <w:rPr>
                <w:color w:val="auto"/>
              </w:rPr>
              <w:t>NH</w:t>
            </w:r>
            <w:r>
              <w:rPr>
                <w:color w:val="auto"/>
                <w:sz w:val="13"/>
                <w:szCs w:val="13"/>
              </w:rPr>
              <w:t>3</w:t>
            </w:r>
          </w:p>
        </w:tc>
        <w:tc>
          <w:tcPr>
            <w:tcW w:w="1499" w:type="dxa"/>
            <w:shd w:val="clear" w:color="auto" w:fill="auto"/>
            <w:vAlign w:val="center"/>
          </w:tcPr>
          <w:p>
            <w:pPr>
              <w:widowControl/>
              <w:jc w:val="center"/>
              <w:rPr>
                <w:color w:val="auto"/>
              </w:rPr>
            </w:pPr>
            <w:r>
              <w:rPr>
                <w:color w:val="auto"/>
                <w:kern w:val="0"/>
                <w:szCs w:val="21"/>
              </w:rPr>
              <w:t>0.25</w:t>
            </w:r>
          </w:p>
        </w:tc>
        <w:tc>
          <w:tcPr>
            <w:tcW w:w="1226" w:type="dxa"/>
            <w:shd w:val="clear" w:color="auto" w:fill="auto"/>
            <w:vAlign w:val="center"/>
          </w:tcPr>
          <w:p>
            <w:pPr>
              <w:widowControl/>
              <w:jc w:val="center"/>
              <w:rPr>
                <w:color w:val="auto"/>
              </w:rPr>
            </w:pPr>
            <w:r>
              <w:rPr>
                <w:color w:val="auto"/>
                <w:kern w:val="0"/>
                <w:szCs w:val="21"/>
              </w:rPr>
              <w:t>2.5E-05</w:t>
            </w:r>
          </w:p>
        </w:tc>
        <w:tc>
          <w:tcPr>
            <w:tcW w:w="1649" w:type="dxa"/>
            <w:shd w:val="clear" w:color="auto" w:fill="auto"/>
            <w:vAlign w:val="center"/>
          </w:tcPr>
          <w:p>
            <w:pPr>
              <w:widowControl/>
              <w:jc w:val="center"/>
              <w:rPr>
                <w:color w:val="auto"/>
              </w:rPr>
            </w:pPr>
            <w:r>
              <w:rPr>
                <w:color w:val="auto"/>
                <w:kern w:val="0"/>
                <w:szCs w:val="21"/>
              </w:rPr>
              <w:t>1.98E-04</w:t>
            </w:r>
          </w:p>
        </w:tc>
        <w:tc>
          <w:tcPr>
            <w:tcW w:w="2698" w:type="dxa"/>
            <w:vMerge w:val="restart"/>
            <w:shd w:val="clear" w:color="auto" w:fill="auto"/>
            <w:vAlign w:val="center"/>
          </w:tcPr>
          <w:p>
            <w:pPr>
              <w:pStyle w:val="164"/>
              <w:ind w:left="-105" w:leftChars="-50" w:right="-105" w:rightChars="-50"/>
              <w:rPr>
                <w:color w:val="auto"/>
              </w:rPr>
            </w:pPr>
            <w:r>
              <w:rPr>
                <w:color w:val="auto"/>
              </w:rPr>
              <w:t>碱洗喷淋+等离子+活性炭+15m高排气筒排放（1#）</w:t>
            </w:r>
          </w:p>
        </w:tc>
        <w:tc>
          <w:tcPr>
            <w:tcW w:w="1259" w:type="dxa"/>
            <w:shd w:val="clear" w:color="auto" w:fill="auto"/>
            <w:vAlign w:val="center"/>
          </w:tcPr>
          <w:p>
            <w:pPr>
              <w:widowControl/>
              <w:jc w:val="center"/>
              <w:rPr>
                <w:color w:val="auto"/>
              </w:rPr>
            </w:pPr>
            <w:r>
              <w:rPr>
                <w:color w:val="auto"/>
                <w:kern w:val="0"/>
                <w:szCs w:val="21"/>
              </w:rPr>
              <w:t>0.1872</w:t>
            </w:r>
          </w:p>
        </w:tc>
        <w:tc>
          <w:tcPr>
            <w:tcW w:w="1281" w:type="dxa"/>
            <w:shd w:val="clear" w:color="auto" w:fill="auto"/>
            <w:vAlign w:val="center"/>
          </w:tcPr>
          <w:p>
            <w:pPr>
              <w:widowControl/>
              <w:jc w:val="center"/>
              <w:rPr>
                <w:color w:val="auto"/>
              </w:rPr>
            </w:pPr>
            <w:r>
              <w:rPr>
                <w:color w:val="auto"/>
                <w:kern w:val="0"/>
                <w:szCs w:val="21"/>
              </w:rPr>
              <w:t>1.872E-05</w:t>
            </w:r>
          </w:p>
        </w:tc>
        <w:tc>
          <w:tcPr>
            <w:tcW w:w="1163" w:type="dxa"/>
            <w:shd w:val="clear" w:color="auto" w:fill="auto"/>
            <w:vAlign w:val="center"/>
          </w:tcPr>
          <w:p>
            <w:pPr>
              <w:widowControl/>
              <w:jc w:val="center"/>
              <w:rPr>
                <w:color w:val="auto"/>
              </w:rPr>
            </w:pPr>
            <w:r>
              <w:rPr>
                <w:color w:val="auto"/>
                <w:kern w:val="0"/>
                <w:szCs w:val="21"/>
              </w:rPr>
              <w:t>1.48E-04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H</w:t>
            </w:r>
            <w:r>
              <w:rPr>
                <w:color w:val="auto"/>
                <w:vertAlign w:val="subscript"/>
              </w:rPr>
              <w:t>2</w:t>
            </w:r>
            <w:r>
              <w:rPr>
                <w:color w:val="auto"/>
              </w:rPr>
              <w:t>S</w:t>
            </w:r>
          </w:p>
        </w:tc>
        <w:tc>
          <w:tcPr>
            <w:tcW w:w="1499" w:type="dxa"/>
            <w:shd w:val="clear" w:color="auto" w:fill="auto"/>
            <w:vAlign w:val="center"/>
          </w:tcPr>
          <w:p>
            <w:pPr>
              <w:widowControl/>
              <w:jc w:val="center"/>
              <w:rPr>
                <w:color w:val="auto"/>
              </w:rPr>
            </w:pPr>
            <w:r>
              <w:rPr>
                <w:color w:val="auto"/>
                <w:kern w:val="0"/>
                <w:szCs w:val="21"/>
              </w:rPr>
              <w:t>0.0085</w:t>
            </w:r>
          </w:p>
        </w:tc>
        <w:tc>
          <w:tcPr>
            <w:tcW w:w="1226" w:type="dxa"/>
            <w:shd w:val="clear" w:color="auto" w:fill="auto"/>
            <w:vAlign w:val="center"/>
          </w:tcPr>
          <w:p>
            <w:pPr>
              <w:widowControl/>
              <w:jc w:val="center"/>
              <w:rPr>
                <w:color w:val="auto"/>
              </w:rPr>
            </w:pPr>
            <w:r>
              <w:rPr>
                <w:color w:val="auto"/>
                <w:kern w:val="0"/>
                <w:szCs w:val="21"/>
              </w:rPr>
              <w:t>8.5E-07</w:t>
            </w:r>
          </w:p>
        </w:tc>
        <w:tc>
          <w:tcPr>
            <w:tcW w:w="1649" w:type="dxa"/>
            <w:shd w:val="clear" w:color="auto" w:fill="auto"/>
            <w:vAlign w:val="center"/>
          </w:tcPr>
          <w:p>
            <w:pPr>
              <w:widowControl/>
              <w:jc w:val="center"/>
              <w:rPr>
                <w:color w:val="auto"/>
              </w:rPr>
            </w:pPr>
            <w:r>
              <w:rPr>
                <w:color w:val="auto"/>
                <w:kern w:val="0"/>
                <w:szCs w:val="21"/>
              </w:rPr>
              <w:t>6.73E-06</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widowControl/>
              <w:jc w:val="center"/>
              <w:rPr>
                <w:color w:val="auto"/>
              </w:rPr>
            </w:pPr>
            <w:r>
              <w:rPr>
                <w:color w:val="auto"/>
                <w:kern w:val="0"/>
                <w:szCs w:val="21"/>
              </w:rPr>
              <w:t>0.00567</w:t>
            </w:r>
          </w:p>
        </w:tc>
        <w:tc>
          <w:tcPr>
            <w:tcW w:w="1281" w:type="dxa"/>
            <w:shd w:val="clear" w:color="auto" w:fill="auto"/>
            <w:vAlign w:val="center"/>
          </w:tcPr>
          <w:p>
            <w:pPr>
              <w:widowControl/>
              <w:jc w:val="center"/>
              <w:rPr>
                <w:color w:val="auto"/>
              </w:rPr>
            </w:pPr>
            <w:r>
              <w:rPr>
                <w:color w:val="auto"/>
                <w:kern w:val="0"/>
                <w:szCs w:val="21"/>
              </w:rPr>
              <w:t>5.67E-07</w:t>
            </w:r>
          </w:p>
        </w:tc>
        <w:tc>
          <w:tcPr>
            <w:tcW w:w="1163" w:type="dxa"/>
            <w:shd w:val="clear" w:color="auto" w:fill="auto"/>
            <w:vAlign w:val="center"/>
          </w:tcPr>
          <w:p>
            <w:pPr>
              <w:widowControl/>
              <w:jc w:val="center"/>
              <w:rPr>
                <w:color w:val="auto"/>
              </w:rPr>
            </w:pPr>
            <w:r>
              <w:rPr>
                <w:color w:val="auto"/>
                <w:kern w:val="0"/>
                <w:szCs w:val="21"/>
              </w:rPr>
              <w:t>4.49E-06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VOCs</w:t>
            </w:r>
          </w:p>
        </w:tc>
        <w:tc>
          <w:tcPr>
            <w:tcW w:w="1499" w:type="dxa"/>
            <w:shd w:val="clear" w:color="auto" w:fill="auto"/>
            <w:vAlign w:val="center"/>
          </w:tcPr>
          <w:p>
            <w:pPr>
              <w:widowControl/>
              <w:jc w:val="center"/>
              <w:rPr>
                <w:color w:val="auto"/>
              </w:rPr>
            </w:pPr>
            <w:r>
              <w:rPr>
                <w:color w:val="auto"/>
                <w:kern w:val="0"/>
                <w:szCs w:val="21"/>
              </w:rPr>
              <w:t>0.025</w:t>
            </w:r>
          </w:p>
        </w:tc>
        <w:tc>
          <w:tcPr>
            <w:tcW w:w="1226" w:type="dxa"/>
            <w:shd w:val="clear" w:color="auto" w:fill="auto"/>
            <w:vAlign w:val="center"/>
          </w:tcPr>
          <w:p>
            <w:pPr>
              <w:widowControl/>
              <w:jc w:val="center"/>
              <w:rPr>
                <w:color w:val="auto"/>
              </w:rPr>
            </w:pPr>
            <w:r>
              <w:rPr>
                <w:color w:val="auto"/>
                <w:kern w:val="0"/>
                <w:szCs w:val="21"/>
              </w:rPr>
              <w:t>2.5E-06</w:t>
            </w:r>
          </w:p>
        </w:tc>
        <w:tc>
          <w:tcPr>
            <w:tcW w:w="1649" w:type="dxa"/>
            <w:shd w:val="clear" w:color="auto" w:fill="auto"/>
            <w:vAlign w:val="center"/>
          </w:tcPr>
          <w:p>
            <w:pPr>
              <w:widowControl/>
              <w:jc w:val="center"/>
              <w:rPr>
                <w:color w:val="auto"/>
              </w:rPr>
            </w:pPr>
            <w:r>
              <w:rPr>
                <w:color w:val="auto"/>
                <w:kern w:val="0"/>
                <w:szCs w:val="21"/>
              </w:rPr>
              <w:t>1.98E-05</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widowControl/>
              <w:jc w:val="center"/>
              <w:rPr>
                <w:color w:val="auto"/>
              </w:rPr>
            </w:pPr>
            <w:r>
              <w:rPr>
                <w:color w:val="auto"/>
                <w:kern w:val="0"/>
                <w:szCs w:val="21"/>
              </w:rPr>
              <w:t>0.01387</w:t>
            </w:r>
          </w:p>
        </w:tc>
        <w:tc>
          <w:tcPr>
            <w:tcW w:w="1281" w:type="dxa"/>
            <w:shd w:val="clear" w:color="auto" w:fill="auto"/>
            <w:vAlign w:val="center"/>
          </w:tcPr>
          <w:p>
            <w:pPr>
              <w:widowControl/>
              <w:jc w:val="center"/>
              <w:rPr>
                <w:color w:val="auto"/>
              </w:rPr>
            </w:pPr>
            <w:r>
              <w:rPr>
                <w:color w:val="auto"/>
                <w:kern w:val="0"/>
                <w:szCs w:val="21"/>
              </w:rPr>
              <w:t>1.387E-06</w:t>
            </w:r>
          </w:p>
        </w:tc>
        <w:tc>
          <w:tcPr>
            <w:tcW w:w="1163" w:type="dxa"/>
            <w:shd w:val="clear" w:color="auto" w:fill="auto"/>
            <w:vAlign w:val="center"/>
          </w:tcPr>
          <w:p>
            <w:pPr>
              <w:widowControl/>
              <w:jc w:val="center"/>
              <w:rPr>
                <w:color w:val="auto"/>
              </w:rPr>
            </w:pPr>
            <w:r>
              <w:rPr>
                <w:color w:val="auto"/>
                <w:kern w:val="0"/>
                <w:szCs w:val="21"/>
              </w:rPr>
              <w:t>1.1E-05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臭气浓度</w:t>
            </w:r>
          </w:p>
          <w:p>
            <w:pPr>
              <w:pStyle w:val="164"/>
              <w:ind w:left="-105" w:leftChars="-50" w:right="-105" w:rightChars="-50"/>
              <w:rPr>
                <w:color w:val="auto"/>
              </w:rPr>
            </w:pPr>
            <w:r>
              <w:rPr>
                <w:color w:val="auto"/>
              </w:rPr>
              <w:t>（无量纲）</w:t>
            </w:r>
          </w:p>
        </w:tc>
        <w:tc>
          <w:tcPr>
            <w:tcW w:w="1499" w:type="dxa"/>
            <w:shd w:val="clear" w:color="auto" w:fill="auto"/>
            <w:vAlign w:val="center"/>
          </w:tcPr>
          <w:p>
            <w:pPr>
              <w:pStyle w:val="164"/>
              <w:ind w:left="-105" w:leftChars="-50" w:right="-105" w:rightChars="-50"/>
              <w:rPr>
                <w:color w:val="auto"/>
              </w:rPr>
            </w:pPr>
            <w:r>
              <w:rPr>
                <w:color w:val="auto"/>
              </w:rPr>
              <w:t>125</w:t>
            </w:r>
          </w:p>
        </w:tc>
        <w:tc>
          <w:tcPr>
            <w:tcW w:w="1226" w:type="dxa"/>
            <w:shd w:val="clear" w:color="auto" w:fill="auto"/>
            <w:vAlign w:val="center"/>
          </w:tcPr>
          <w:p>
            <w:pPr>
              <w:pStyle w:val="164"/>
              <w:ind w:left="-105" w:leftChars="-50" w:right="-105" w:rightChars="-50"/>
              <w:rPr>
                <w:color w:val="auto"/>
              </w:rPr>
            </w:pPr>
            <w:r>
              <w:rPr>
                <w:color w:val="auto"/>
              </w:rPr>
              <w:t>/</w:t>
            </w:r>
          </w:p>
        </w:tc>
        <w:tc>
          <w:tcPr>
            <w:tcW w:w="1649" w:type="dxa"/>
            <w:shd w:val="clear" w:color="auto" w:fill="auto"/>
            <w:vAlign w:val="center"/>
          </w:tcPr>
          <w:p>
            <w:pPr>
              <w:pStyle w:val="164"/>
              <w:ind w:left="-105" w:leftChars="-50" w:right="-105" w:rightChars="-50"/>
              <w:rPr>
                <w:color w:val="auto"/>
              </w:rPr>
            </w:pPr>
            <w:r>
              <w:rPr>
                <w:color w:val="auto"/>
              </w:rPr>
              <w:t>/</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rPr>
              <w:t>93.6</w:t>
            </w:r>
          </w:p>
        </w:tc>
        <w:tc>
          <w:tcPr>
            <w:tcW w:w="1281" w:type="dxa"/>
            <w:shd w:val="clear" w:color="auto" w:fill="auto"/>
            <w:vAlign w:val="center"/>
          </w:tcPr>
          <w:p>
            <w:pPr>
              <w:pStyle w:val="164"/>
              <w:ind w:left="-105" w:leftChars="-50" w:right="-105" w:rightChars="-50"/>
              <w:rPr>
                <w:color w:val="auto"/>
              </w:rPr>
            </w:pPr>
            <w:r>
              <w:rPr>
                <w:color w:val="auto"/>
              </w:rPr>
              <w:t>/</w:t>
            </w:r>
          </w:p>
        </w:tc>
        <w:tc>
          <w:tcPr>
            <w:tcW w:w="1163" w:type="dxa"/>
            <w:shd w:val="clear" w:color="auto" w:fill="auto"/>
            <w:vAlign w:val="center"/>
          </w:tcPr>
          <w:p>
            <w:pPr>
              <w:pStyle w:val="164"/>
              <w:ind w:left="-105" w:leftChars="-50" w:right="-105" w:rightChars="-50"/>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shd w:val="clear" w:color="auto" w:fill="auto"/>
            <w:vAlign w:val="center"/>
          </w:tcPr>
          <w:p>
            <w:pPr>
              <w:pStyle w:val="164"/>
              <w:ind w:left="-105" w:leftChars="-50" w:right="-105" w:rightChars="-50"/>
              <w:rPr>
                <w:color w:val="auto"/>
              </w:rPr>
            </w:pPr>
          </w:p>
        </w:tc>
        <w:tc>
          <w:tcPr>
            <w:tcW w:w="926" w:type="dxa"/>
            <w:vMerge w:val="restart"/>
            <w:tcBorders>
              <w:left w:val="single" w:color="auto" w:sz="4" w:space="0"/>
            </w:tcBorders>
            <w:shd w:val="clear" w:color="auto" w:fill="auto"/>
            <w:vAlign w:val="center"/>
          </w:tcPr>
          <w:p>
            <w:pPr>
              <w:pStyle w:val="164"/>
              <w:ind w:left="-105" w:leftChars="-50" w:right="-105" w:rightChars="-50"/>
              <w:rPr>
                <w:color w:val="auto"/>
              </w:rPr>
            </w:pPr>
            <w:r>
              <w:rPr>
                <w:color w:val="auto"/>
              </w:rPr>
              <w:t>灭菌系统</w:t>
            </w:r>
          </w:p>
        </w:tc>
        <w:tc>
          <w:tcPr>
            <w:tcW w:w="1231" w:type="dxa"/>
            <w:shd w:val="clear" w:color="auto" w:fill="auto"/>
            <w:vAlign w:val="center"/>
          </w:tcPr>
          <w:p>
            <w:pPr>
              <w:pStyle w:val="164"/>
              <w:ind w:left="-105" w:leftChars="-50" w:right="-105" w:rightChars="-50"/>
              <w:rPr>
                <w:color w:val="auto"/>
                <w:sz w:val="24"/>
              </w:rPr>
            </w:pPr>
            <w:r>
              <w:rPr>
                <w:color w:val="auto"/>
                <w:sz w:val="24"/>
              </w:rPr>
              <w:t>颗粒物</w:t>
            </w:r>
          </w:p>
        </w:tc>
        <w:tc>
          <w:tcPr>
            <w:tcW w:w="1499" w:type="dxa"/>
            <w:shd w:val="clear" w:color="auto" w:fill="auto"/>
            <w:vAlign w:val="center"/>
          </w:tcPr>
          <w:p>
            <w:pPr>
              <w:jc w:val="center"/>
              <w:rPr>
                <w:color w:val="auto"/>
              </w:rPr>
            </w:pPr>
            <w:r>
              <w:rPr>
                <w:color w:val="auto"/>
                <w:szCs w:val="21"/>
              </w:rPr>
              <w:t>20</w:t>
            </w:r>
          </w:p>
        </w:tc>
        <w:tc>
          <w:tcPr>
            <w:tcW w:w="1226" w:type="dxa"/>
            <w:shd w:val="clear" w:color="auto" w:fill="auto"/>
            <w:vAlign w:val="center"/>
          </w:tcPr>
          <w:p>
            <w:pPr>
              <w:jc w:val="center"/>
              <w:rPr>
                <w:color w:val="auto"/>
              </w:rPr>
            </w:pPr>
            <w:r>
              <w:rPr>
                <w:color w:val="auto"/>
                <w:kern w:val="0"/>
                <w:szCs w:val="21"/>
                <w:lang w:bidi="ar"/>
              </w:rPr>
              <w:t>0.12</w:t>
            </w:r>
          </w:p>
        </w:tc>
        <w:tc>
          <w:tcPr>
            <w:tcW w:w="1649" w:type="dxa"/>
            <w:shd w:val="clear" w:color="auto" w:fill="auto"/>
            <w:vAlign w:val="center"/>
          </w:tcPr>
          <w:p>
            <w:pPr>
              <w:jc w:val="center"/>
              <w:rPr>
                <w:color w:val="auto"/>
              </w:rPr>
            </w:pPr>
            <w:r>
              <w:rPr>
                <w:color w:val="auto"/>
                <w:kern w:val="0"/>
                <w:szCs w:val="21"/>
                <w:lang w:bidi="ar"/>
              </w:rPr>
              <w:t xml:space="preserve">0.6336 </w:t>
            </w:r>
          </w:p>
        </w:tc>
        <w:tc>
          <w:tcPr>
            <w:tcW w:w="2698" w:type="dxa"/>
            <w:vMerge w:val="restart"/>
            <w:shd w:val="clear" w:color="auto" w:fill="auto"/>
            <w:vAlign w:val="center"/>
          </w:tcPr>
          <w:p>
            <w:pPr>
              <w:pStyle w:val="164"/>
              <w:ind w:left="-105" w:leftChars="-50" w:right="-105" w:rightChars="-50"/>
              <w:rPr>
                <w:color w:val="auto"/>
              </w:rPr>
            </w:pPr>
            <w:r>
              <w:rPr>
                <w:color w:val="auto"/>
              </w:rPr>
              <w:t>生物过滤+活性炭+碱洗喷淋+等离子+活性炭+15m高排气筒排放（1#）</w:t>
            </w:r>
          </w:p>
        </w:tc>
        <w:tc>
          <w:tcPr>
            <w:tcW w:w="1259" w:type="dxa"/>
            <w:shd w:val="clear" w:color="auto" w:fill="auto"/>
            <w:vAlign w:val="center"/>
          </w:tcPr>
          <w:p>
            <w:pPr>
              <w:jc w:val="center"/>
              <w:rPr>
                <w:color w:val="auto"/>
              </w:rPr>
            </w:pPr>
            <w:r>
              <w:rPr>
                <w:color w:val="auto"/>
                <w:szCs w:val="21"/>
              </w:rPr>
              <w:t>2.67</w:t>
            </w:r>
          </w:p>
        </w:tc>
        <w:tc>
          <w:tcPr>
            <w:tcW w:w="1281" w:type="dxa"/>
            <w:shd w:val="clear" w:color="auto" w:fill="auto"/>
            <w:vAlign w:val="center"/>
          </w:tcPr>
          <w:p>
            <w:pPr>
              <w:jc w:val="center"/>
              <w:rPr>
                <w:color w:val="auto"/>
              </w:rPr>
            </w:pPr>
            <w:r>
              <w:rPr>
                <w:color w:val="auto"/>
                <w:kern w:val="0"/>
                <w:szCs w:val="21"/>
                <w:lang w:bidi="ar"/>
              </w:rPr>
              <w:t xml:space="preserve">0.0160 </w:t>
            </w:r>
          </w:p>
        </w:tc>
        <w:tc>
          <w:tcPr>
            <w:tcW w:w="1163" w:type="dxa"/>
            <w:shd w:val="clear" w:color="auto" w:fill="auto"/>
            <w:vAlign w:val="center"/>
          </w:tcPr>
          <w:p>
            <w:pPr>
              <w:jc w:val="center"/>
              <w:rPr>
                <w:color w:val="auto"/>
              </w:rPr>
            </w:pPr>
            <w:r>
              <w:rPr>
                <w:color w:val="auto"/>
                <w:kern w:val="0"/>
                <w:szCs w:val="21"/>
                <w:lang w:bidi="ar"/>
              </w:rPr>
              <w:t xml:space="preserve">0.0846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NH</w:t>
            </w:r>
            <w:r>
              <w:rPr>
                <w:color w:val="auto"/>
                <w:sz w:val="13"/>
                <w:szCs w:val="13"/>
              </w:rPr>
              <w:t>3</w:t>
            </w:r>
          </w:p>
        </w:tc>
        <w:tc>
          <w:tcPr>
            <w:tcW w:w="1499" w:type="dxa"/>
            <w:shd w:val="clear" w:color="auto" w:fill="auto"/>
            <w:vAlign w:val="center"/>
          </w:tcPr>
          <w:p>
            <w:pPr>
              <w:jc w:val="center"/>
              <w:rPr>
                <w:color w:val="auto"/>
              </w:rPr>
            </w:pPr>
            <w:r>
              <w:rPr>
                <w:color w:val="auto"/>
              </w:rPr>
              <w:t>4.89</w:t>
            </w:r>
          </w:p>
        </w:tc>
        <w:tc>
          <w:tcPr>
            <w:tcW w:w="1226" w:type="dxa"/>
            <w:shd w:val="clear" w:color="auto" w:fill="auto"/>
            <w:vAlign w:val="center"/>
          </w:tcPr>
          <w:p>
            <w:pPr>
              <w:jc w:val="center"/>
              <w:rPr>
                <w:color w:val="auto"/>
              </w:rPr>
            </w:pPr>
            <w:r>
              <w:rPr>
                <w:color w:val="auto"/>
                <w:kern w:val="0"/>
                <w:szCs w:val="21"/>
                <w:lang w:bidi="ar"/>
              </w:rPr>
              <w:t>0.02934</w:t>
            </w:r>
          </w:p>
        </w:tc>
        <w:tc>
          <w:tcPr>
            <w:tcW w:w="1649" w:type="dxa"/>
            <w:shd w:val="clear" w:color="auto" w:fill="auto"/>
            <w:vAlign w:val="center"/>
          </w:tcPr>
          <w:p>
            <w:pPr>
              <w:jc w:val="center"/>
              <w:rPr>
                <w:color w:val="auto"/>
              </w:rPr>
            </w:pPr>
            <w:r>
              <w:rPr>
                <w:color w:val="auto"/>
                <w:kern w:val="0"/>
                <w:szCs w:val="21"/>
                <w:lang w:bidi="ar"/>
              </w:rPr>
              <w:t xml:space="preserve">0.1549 </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jc w:val="center"/>
              <w:rPr>
                <w:color w:val="auto"/>
              </w:rPr>
            </w:pPr>
            <w:r>
              <w:rPr>
                <w:color w:val="auto"/>
                <w:szCs w:val="21"/>
              </w:rPr>
              <w:t>3.66</w:t>
            </w:r>
          </w:p>
        </w:tc>
        <w:tc>
          <w:tcPr>
            <w:tcW w:w="1281" w:type="dxa"/>
            <w:shd w:val="clear" w:color="auto" w:fill="auto"/>
            <w:vAlign w:val="center"/>
          </w:tcPr>
          <w:p>
            <w:pPr>
              <w:jc w:val="center"/>
              <w:rPr>
                <w:color w:val="auto"/>
              </w:rPr>
            </w:pPr>
            <w:r>
              <w:rPr>
                <w:color w:val="auto"/>
                <w:kern w:val="0"/>
                <w:szCs w:val="21"/>
                <w:lang w:bidi="ar"/>
              </w:rPr>
              <w:t xml:space="preserve">0.0220 </w:t>
            </w:r>
          </w:p>
        </w:tc>
        <w:tc>
          <w:tcPr>
            <w:tcW w:w="1163" w:type="dxa"/>
            <w:shd w:val="clear" w:color="auto" w:fill="auto"/>
            <w:vAlign w:val="center"/>
          </w:tcPr>
          <w:p>
            <w:pPr>
              <w:jc w:val="center"/>
              <w:rPr>
                <w:color w:val="auto"/>
              </w:rPr>
            </w:pPr>
            <w:r>
              <w:rPr>
                <w:color w:val="auto"/>
                <w:kern w:val="0"/>
                <w:szCs w:val="21"/>
                <w:lang w:bidi="ar"/>
              </w:rPr>
              <w:t xml:space="preserve">0.1159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H</w:t>
            </w:r>
            <w:r>
              <w:rPr>
                <w:color w:val="auto"/>
                <w:vertAlign w:val="subscript"/>
              </w:rPr>
              <w:t>2</w:t>
            </w:r>
            <w:r>
              <w:rPr>
                <w:color w:val="auto"/>
              </w:rPr>
              <w:t>S</w:t>
            </w:r>
          </w:p>
        </w:tc>
        <w:tc>
          <w:tcPr>
            <w:tcW w:w="1499" w:type="dxa"/>
            <w:shd w:val="clear" w:color="auto" w:fill="auto"/>
            <w:vAlign w:val="center"/>
          </w:tcPr>
          <w:p>
            <w:pPr>
              <w:jc w:val="center"/>
              <w:rPr>
                <w:color w:val="auto"/>
              </w:rPr>
            </w:pPr>
            <w:r>
              <w:rPr>
                <w:color w:val="auto"/>
              </w:rPr>
              <w:t>0.03</w:t>
            </w:r>
          </w:p>
        </w:tc>
        <w:tc>
          <w:tcPr>
            <w:tcW w:w="1226" w:type="dxa"/>
            <w:shd w:val="clear" w:color="auto" w:fill="auto"/>
            <w:vAlign w:val="center"/>
          </w:tcPr>
          <w:p>
            <w:pPr>
              <w:jc w:val="center"/>
              <w:rPr>
                <w:color w:val="auto"/>
              </w:rPr>
            </w:pPr>
            <w:r>
              <w:rPr>
                <w:color w:val="auto"/>
                <w:kern w:val="0"/>
                <w:szCs w:val="21"/>
                <w:lang w:bidi="ar"/>
              </w:rPr>
              <w:t>0.00018</w:t>
            </w:r>
          </w:p>
        </w:tc>
        <w:tc>
          <w:tcPr>
            <w:tcW w:w="1649" w:type="dxa"/>
            <w:shd w:val="clear" w:color="auto" w:fill="auto"/>
            <w:vAlign w:val="center"/>
          </w:tcPr>
          <w:p>
            <w:pPr>
              <w:jc w:val="center"/>
              <w:rPr>
                <w:color w:val="auto"/>
              </w:rPr>
            </w:pPr>
            <w:r>
              <w:rPr>
                <w:color w:val="auto"/>
                <w:kern w:val="0"/>
                <w:szCs w:val="21"/>
                <w:lang w:bidi="ar"/>
              </w:rPr>
              <w:t xml:space="preserve">0.0010 </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jc w:val="center"/>
              <w:rPr>
                <w:color w:val="auto"/>
              </w:rPr>
            </w:pPr>
            <w:r>
              <w:rPr>
                <w:color w:val="auto"/>
                <w:szCs w:val="21"/>
              </w:rPr>
              <w:t>0.02</w:t>
            </w:r>
          </w:p>
        </w:tc>
        <w:tc>
          <w:tcPr>
            <w:tcW w:w="1281" w:type="dxa"/>
            <w:shd w:val="clear" w:color="auto" w:fill="auto"/>
            <w:vAlign w:val="center"/>
          </w:tcPr>
          <w:p>
            <w:pPr>
              <w:jc w:val="center"/>
              <w:rPr>
                <w:color w:val="auto"/>
              </w:rPr>
            </w:pPr>
            <w:r>
              <w:rPr>
                <w:color w:val="auto"/>
                <w:kern w:val="0"/>
                <w:szCs w:val="21"/>
                <w:lang w:bidi="ar"/>
              </w:rPr>
              <w:t xml:space="preserve">0.0001 </w:t>
            </w:r>
          </w:p>
        </w:tc>
        <w:tc>
          <w:tcPr>
            <w:tcW w:w="1163" w:type="dxa"/>
            <w:shd w:val="clear" w:color="auto" w:fill="auto"/>
            <w:vAlign w:val="center"/>
          </w:tcPr>
          <w:p>
            <w:pPr>
              <w:jc w:val="center"/>
              <w:rPr>
                <w:color w:val="auto"/>
              </w:rPr>
            </w:pPr>
            <w:r>
              <w:rPr>
                <w:color w:val="auto"/>
                <w:kern w:val="0"/>
                <w:szCs w:val="21"/>
                <w:lang w:bidi="ar"/>
              </w:rPr>
              <w:t xml:space="preserve">0.0006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VOCs</w:t>
            </w:r>
          </w:p>
        </w:tc>
        <w:tc>
          <w:tcPr>
            <w:tcW w:w="1499" w:type="dxa"/>
            <w:shd w:val="clear" w:color="auto" w:fill="auto"/>
            <w:vAlign w:val="center"/>
          </w:tcPr>
          <w:p>
            <w:pPr>
              <w:jc w:val="center"/>
              <w:rPr>
                <w:color w:val="auto"/>
              </w:rPr>
            </w:pPr>
            <w:r>
              <w:rPr>
                <w:color w:val="auto"/>
              </w:rPr>
              <w:t>1.10</w:t>
            </w:r>
          </w:p>
        </w:tc>
        <w:tc>
          <w:tcPr>
            <w:tcW w:w="1226" w:type="dxa"/>
            <w:shd w:val="clear" w:color="auto" w:fill="auto"/>
            <w:vAlign w:val="center"/>
          </w:tcPr>
          <w:p>
            <w:pPr>
              <w:jc w:val="center"/>
              <w:rPr>
                <w:color w:val="auto"/>
              </w:rPr>
            </w:pPr>
            <w:r>
              <w:rPr>
                <w:color w:val="auto"/>
                <w:kern w:val="0"/>
                <w:szCs w:val="21"/>
                <w:lang w:bidi="ar"/>
              </w:rPr>
              <w:t>0.0066</w:t>
            </w:r>
          </w:p>
        </w:tc>
        <w:tc>
          <w:tcPr>
            <w:tcW w:w="1649" w:type="dxa"/>
            <w:shd w:val="clear" w:color="auto" w:fill="auto"/>
            <w:vAlign w:val="center"/>
          </w:tcPr>
          <w:p>
            <w:pPr>
              <w:jc w:val="center"/>
              <w:rPr>
                <w:color w:val="auto"/>
              </w:rPr>
            </w:pPr>
            <w:r>
              <w:rPr>
                <w:color w:val="auto"/>
                <w:kern w:val="0"/>
                <w:szCs w:val="21"/>
                <w:lang w:bidi="ar"/>
              </w:rPr>
              <w:t xml:space="preserve">0.0348 </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jc w:val="center"/>
              <w:rPr>
                <w:color w:val="auto"/>
              </w:rPr>
            </w:pPr>
            <w:r>
              <w:rPr>
                <w:color w:val="auto"/>
                <w:szCs w:val="21"/>
              </w:rPr>
              <w:t>0.61</w:t>
            </w:r>
          </w:p>
        </w:tc>
        <w:tc>
          <w:tcPr>
            <w:tcW w:w="1281" w:type="dxa"/>
            <w:shd w:val="clear" w:color="auto" w:fill="auto"/>
            <w:vAlign w:val="center"/>
          </w:tcPr>
          <w:p>
            <w:pPr>
              <w:jc w:val="center"/>
              <w:rPr>
                <w:color w:val="auto"/>
              </w:rPr>
            </w:pPr>
            <w:r>
              <w:rPr>
                <w:color w:val="auto"/>
                <w:kern w:val="0"/>
                <w:szCs w:val="21"/>
                <w:lang w:bidi="ar"/>
              </w:rPr>
              <w:t xml:space="preserve">0.0037 </w:t>
            </w:r>
          </w:p>
        </w:tc>
        <w:tc>
          <w:tcPr>
            <w:tcW w:w="1163" w:type="dxa"/>
            <w:shd w:val="clear" w:color="auto" w:fill="auto"/>
            <w:vAlign w:val="center"/>
          </w:tcPr>
          <w:p>
            <w:pPr>
              <w:jc w:val="center"/>
              <w:rPr>
                <w:color w:val="auto"/>
              </w:rPr>
            </w:pPr>
            <w:r>
              <w:rPr>
                <w:color w:val="auto"/>
                <w:kern w:val="0"/>
                <w:szCs w:val="21"/>
                <w:lang w:bidi="ar"/>
              </w:rPr>
              <w:t xml:space="preserve">0.0193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臭气浓度</w:t>
            </w:r>
          </w:p>
          <w:p>
            <w:pPr>
              <w:pStyle w:val="164"/>
              <w:ind w:left="-105" w:leftChars="-50" w:right="-105" w:rightChars="-50"/>
              <w:rPr>
                <w:color w:val="auto"/>
              </w:rPr>
            </w:pPr>
            <w:r>
              <w:rPr>
                <w:color w:val="auto"/>
              </w:rPr>
              <w:t>（无量纲）</w:t>
            </w:r>
          </w:p>
        </w:tc>
        <w:tc>
          <w:tcPr>
            <w:tcW w:w="1499" w:type="dxa"/>
            <w:shd w:val="clear" w:color="auto" w:fill="auto"/>
            <w:vAlign w:val="center"/>
          </w:tcPr>
          <w:p>
            <w:pPr>
              <w:pStyle w:val="164"/>
              <w:ind w:left="-105" w:leftChars="-50" w:right="-105" w:rightChars="-50"/>
              <w:rPr>
                <w:color w:val="auto"/>
              </w:rPr>
            </w:pPr>
            <w:r>
              <w:rPr>
                <w:color w:val="auto"/>
              </w:rPr>
              <w:t>753</w:t>
            </w:r>
          </w:p>
        </w:tc>
        <w:tc>
          <w:tcPr>
            <w:tcW w:w="1226" w:type="dxa"/>
            <w:shd w:val="clear" w:color="auto" w:fill="auto"/>
            <w:vAlign w:val="center"/>
          </w:tcPr>
          <w:p>
            <w:pPr>
              <w:pStyle w:val="164"/>
              <w:ind w:left="-105" w:leftChars="-50" w:right="-105" w:rightChars="-50"/>
              <w:rPr>
                <w:color w:val="auto"/>
              </w:rPr>
            </w:pPr>
            <w:r>
              <w:rPr>
                <w:color w:val="auto"/>
              </w:rPr>
              <w:t>/</w:t>
            </w:r>
          </w:p>
        </w:tc>
        <w:tc>
          <w:tcPr>
            <w:tcW w:w="1649" w:type="dxa"/>
            <w:shd w:val="clear" w:color="auto" w:fill="auto"/>
            <w:vAlign w:val="center"/>
          </w:tcPr>
          <w:p>
            <w:pPr>
              <w:pStyle w:val="164"/>
              <w:ind w:left="-105" w:leftChars="-50" w:right="-105" w:rightChars="-50"/>
              <w:rPr>
                <w:color w:val="auto"/>
              </w:rPr>
            </w:pPr>
            <w:r>
              <w:rPr>
                <w:color w:val="auto"/>
              </w:rPr>
              <w:t>/</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rPr>
              <w:t>564</w:t>
            </w:r>
          </w:p>
        </w:tc>
        <w:tc>
          <w:tcPr>
            <w:tcW w:w="1281" w:type="dxa"/>
            <w:shd w:val="clear" w:color="auto" w:fill="auto"/>
            <w:vAlign w:val="center"/>
          </w:tcPr>
          <w:p>
            <w:pPr>
              <w:pStyle w:val="164"/>
              <w:ind w:left="-105" w:leftChars="-50" w:right="-105" w:rightChars="-50"/>
              <w:rPr>
                <w:color w:val="auto"/>
              </w:rPr>
            </w:pPr>
            <w:r>
              <w:rPr>
                <w:color w:val="auto"/>
              </w:rPr>
              <w:t>/</w:t>
            </w:r>
          </w:p>
        </w:tc>
        <w:tc>
          <w:tcPr>
            <w:tcW w:w="1163" w:type="dxa"/>
            <w:shd w:val="clear" w:color="auto" w:fill="auto"/>
            <w:vAlign w:val="center"/>
          </w:tcPr>
          <w:p>
            <w:pPr>
              <w:pStyle w:val="164"/>
              <w:ind w:left="-105" w:leftChars="-50" w:right="-105" w:rightChars="-50"/>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restart"/>
            <w:tcBorders>
              <w:left w:val="single" w:color="auto" w:sz="4" w:space="0"/>
            </w:tcBorders>
            <w:vAlign w:val="center"/>
          </w:tcPr>
          <w:p>
            <w:pPr>
              <w:pStyle w:val="164"/>
              <w:ind w:left="-105" w:leftChars="-50" w:right="-105" w:rightChars="-50"/>
              <w:rPr>
                <w:color w:val="auto"/>
              </w:rPr>
            </w:pPr>
            <w:r>
              <w:rPr>
                <w:color w:val="auto"/>
              </w:rPr>
              <w:t>医废</w:t>
            </w:r>
          </w:p>
          <w:p>
            <w:pPr>
              <w:pStyle w:val="164"/>
              <w:ind w:left="-105" w:leftChars="-50" w:right="-105" w:rightChars="-50"/>
              <w:rPr>
                <w:color w:val="auto"/>
              </w:rPr>
            </w:pPr>
            <w:r>
              <w:rPr>
                <w:color w:val="auto"/>
              </w:rPr>
              <w:t>暂存间+灭菌系统</w:t>
            </w:r>
          </w:p>
        </w:tc>
        <w:tc>
          <w:tcPr>
            <w:tcW w:w="1231" w:type="dxa"/>
            <w:shd w:val="clear" w:color="auto" w:fill="auto"/>
            <w:vAlign w:val="center"/>
          </w:tcPr>
          <w:p>
            <w:pPr>
              <w:pStyle w:val="164"/>
              <w:ind w:left="-105" w:leftChars="-50" w:right="-105" w:rightChars="-50"/>
              <w:rPr>
                <w:color w:val="auto"/>
                <w:sz w:val="24"/>
              </w:rPr>
            </w:pPr>
            <w:r>
              <w:rPr>
                <w:color w:val="auto"/>
                <w:sz w:val="24"/>
              </w:rPr>
              <w:t>颗粒物</w:t>
            </w:r>
          </w:p>
        </w:tc>
        <w:tc>
          <w:tcPr>
            <w:tcW w:w="1499" w:type="dxa"/>
            <w:shd w:val="clear" w:color="auto" w:fill="auto"/>
            <w:vAlign w:val="center"/>
          </w:tcPr>
          <w:p>
            <w:pPr>
              <w:pStyle w:val="164"/>
              <w:ind w:left="-105" w:leftChars="-50" w:right="-105" w:rightChars="-50"/>
              <w:rPr>
                <w:color w:val="auto"/>
              </w:rPr>
            </w:pPr>
            <w:r>
              <w:rPr>
                <w:color w:val="auto"/>
              </w:rPr>
              <w:t>/</w:t>
            </w:r>
          </w:p>
        </w:tc>
        <w:tc>
          <w:tcPr>
            <w:tcW w:w="1226" w:type="dxa"/>
            <w:shd w:val="clear" w:color="auto" w:fill="auto"/>
            <w:vAlign w:val="center"/>
          </w:tcPr>
          <w:p>
            <w:pPr>
              <w:pStyle w:val="164"/>
              <w:ind w:left="-105" w:leftChars="-50" w:right="-105" w:rightChars="-50"/>
              <w:rPr>
                <w:color w:val="auto"/>
              </w:rPr>
            </w:pPr>
            <w:r>
              <w:rPr>
                <w:color w:val="auto"/>
              </w:rPr>
              <w:t>/</w:t>
            </w:r>
          </w:p>
        </w:tc>
        <w:tc>
          <w:tcPr>
            <w:tcW w:w="1649" w:type="dxa"/>
            <w:shd w:val="clear" w:color="auto" w:fill="auto"/>
            <w:vAlign w:val="center"/>
          </w:tcPr>
          <w:p>
            <w:pPr>
              <w:pStyle w:val="164"/>
              <w:ind w:left="-105" w:leftChars="-50" w:right="-105" w:rightChars="-50"/>
              <w:rPr>
                <w:color w:val="auto"/>
              </w:rPr>
            </w:pPr>
            <w:r>
              <w:rPr>
                <w:rFonts w:hint="eastAsia"/>
                <w:color w:val="auto"/>
              </w:rPr>
              <w:t>0.6336</w:t>
            </w:r>
          </w:p>
        </w:tc>
        <w:tc>
          <w:tcPr>
            <w:tcW w:w="2698" w:type="dxa"/>
            <w:vMerge w:val="restart"/>
            <w:vAlign w:val="center"/>
          </w:tcPr>
          <w:p>
            <w:pPr>
              <w:pStyle w:val="164"/>
              <w:ind w:left="-105" w:leftChars="-50" w:right="-105" w:rightChars="-50"/>
              <w:rPr>
                <w:color w:val="auto"/>
              </w:rPr>
            </w:pPr>
            <w:r>
              <w:rPr>
                <w:color w:val="auto"/>
              </w:rPr>
              <w:t>生物过滤+活性炭+碱洗喷淋+等离子+活性炭+15m高排气筒排放（1#）</w:t>
            </w:r>
          </w:p>
        </w:tc>
        <w:tc>
          <w:tcPr>
            <w:tcW w:w="1259" w:type="dxa"/>
            <w:shd w:val="clear" w:color="auto" w:fill="auto"/>
            <w:vAlign w:val="center"/>
          </w:tcPr>
          <w:p>
            <w:pPr>
              <w:pStyle w:val="164"/>
              <w:spacing w:line="240" w:lineRule="auto"/>
              <w:rPr>
                <w:color w:val="auto"/>
              </w:rPr>
            </w:pPr>
            <w:r>
              <w:rPr>
                <w:color w:val="auto"/>
                <w:kern w:val="0"/>
                <w:szCs w:val="21"/>
                <w:lang w:bidi="ar"/>
              </w:rPr>
              <w:t>2.67</w:t>
            </w:r>
          </w:p>
        </w:tc>
        <w:tc>
          <w:tcPr>
            <w:tcW w:w="1281" w:type="dxa"/>
            <w:shd w:val="clear" w:color="auto" w:fill="auto"/>
            <w:vAlign w:val="center"/>
          </w:tcPr>
          <w:p>
            <w:pPr>
              <w:pStyle w:val="164"/>
              <w:spacing w:line="240" w:lineRule="auto"/>
              <w:rPr>
                <w:color w:val="auto"/>
              </w:rPr>
            </w:pPr>
            <w:r>
              <w:rPr>
                <w:color w:val="auto"/>
                <w:kern w:val="0"/>
                <w:szCs w:val="21"/>
                <w:lang w:bidi="ar"/>
              </w:rPr>
              <w:t>0.016</w:t>
            </w:r>
          </w:p>
        </w:tc>
        <w:tc>
          <w:tcPr>
            <w:tcW w:w="1163" w:type="dxa"/>
            <w:shd w:val="clear" w:color="auto" w:fill="auto"/>
            <w:vAlign w:val="center"/>
          </w:tcPr>
          <w:p>
            <w:pPr>
              <w:pStyle w:val="164"/>
              <w:spacing w:line="240" w:lineRule="auto"/>
              <w:rPr>
                <w:color w:val="auto"/>
              </w:rPr>
            </w:pPr>
            <w:r>
              <w:rPr>
                <w:color w:val="auto"/>
                <w:kern w:val="0"/>
                <w:szCs w:val="21"/>
                <w:lang w:bidi="ar"/>
              </w:rPr>
              <w:t>0.0846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NH</w:t>
            </w:r>
            <w:r>
              <w:rPr>
                <w:color w:val="auto"/>
                <w:sz w:val="13"/>
                <w:szCs w:val="13"/>
              </w:rPr>
              <w:t>3</w:t>
            </w:r>
          </w:p>
        </w:tc>
        <w:tc>
          <w:tcPr>
            <w:tcW w:w="1499" w:type="dxa"/>
            <w:shd w:val="clear" w:color="auto" w:fill="auto"/>
            <w:vAlign w:val="center"/>
          </w:tcPr>
          <w:p>
            <w:pPr>
              <w:pStyle w:val="164"/>
              <w:ind w:left="-105" w:leftChars="-50" w:right="-105" w:rightChars="-50"/>
              <w:rPr>
                <w:color w:val="auto"/>
              </w:rPr>
            </w:pPr>
            <w:r>
              <w:rPr>
                <w:color w:val="auto"/>
              </w:rPr>
              <w:t>/</w:t>
            </w:r>
          </w:p>
        </w:tc>
        <w:tc>
          <w:tcPr>
            <w:tcW w:w="1226" w:type="dxa"/>
            <w:shd w:val="clear" w:color="auto" w:fill="auto"/>
            <w:vAlign w:val="center"/>
          </w:tcPr>
          <w:p>
            <w:pPr>
              <w:pStyle w:val="164"/>
              <w:ind w:left="-105" w:leftChars="-50" w:right="-105" w:rightChars="-50"/>
              <w:rPr>
                <w:color w:val="auto"/>
              </w:rPr>
            </w:pPr>
            <w:r>
              <w:rPr>
                <w:color w:val="auto"/>
              </w:rPr>
              <w:t>/</w:t>
            </w:r>
          </w:p>
        </w:tc>
        <w:tc>
          <w:tcPr>
            <w:tcW w:w="1649" w:type="dxa"/>
            <w:shd w:val="clear" w:color="auto" w:fill="auto"/>
            <w:vAlign w:val="center"/>
          </w:tcPr>
          <w:p>
            <w:pPr>
              <w:pStyle w:val="164"/>
              <w:ind w:left="-105" w:leftChars="-50" w:right="-105" w:rightChars="-50"/>
              <w:rPr>
                <w:color w:val="auto"/>
              </w:rPr>
            </w:pPr>
            <w:r>
              <w:rPr>
                <w:rFonts w:hint="eastAsia"/>
                <w:color w:val="auto"/>
              </w:rPr>
              <w:t>0.1551</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spacing w:line="240" w:lineRule="auto"/>
              <w:rPr>
                <w:color w:val="auto"/>
              </w:rPr>
            </w:pPr>
            <w:r>
              <w:rPr>
                <w:color w:val="auto"/>
                <w:kern w:val="0"/>
                <w:szCs w:val="21"/>
                <w:lang w:bidi="ar"/>
              </w:rPr>
              <w:t xml:space="preserve">3.6031 </w:t>
            </w:r>
          </w:p>
        </w:tc>
        <w:tc>
          <w:tcPr>
            <w:tcW w:w="1281" w:type="dxa"/>
            <w:shd w:val="clear" w:color="auto" w:fill="auto"/>
            <w:vAlign w:val="center"/>
          </w:tcPr>
          <w:p>
            <w:pPr>
              <w:pStyle w:val="164"/>
              <w:spacing w:line="240" w:lineRule="auto"/>
              <w:rPr>
                <w:color w:val="auto"/>
              </w:rPr>
            </w:pPr>
            <w:r>
              <w:rPr>
                <w:color w:val="auto"/>
                <w:kern w:val="0"/>
                <w:szCs w:val="21"/>
                <w:lang w:bidi="ar"/>
              </w:rPr>
              <w:t xml:space="preserve">0.0220 </w:t>
            </w:r>
          </w:p>
        </w:tc>
        <w:tc>
          <w:tcPr>
            <w:tcW w:w="1163" w:type="dxa"/>
            <w:shd w:val="clear" w:color="auto" w:fill="auto"/>
            <w:vAlign w:val="center"/>
          </w:tcPr>
          <w:p>
            <w:pPr>
              <w:pStyle w:val="164"/>
              <w:spacing w:line="240" w:lineRule="auto"/>
              <w:rPr>
                <w:color w:val="auto"/>
              </w:rPr>
            </w:pPr>
            <w:r>
              <w:rPr>
                <w:color w:val="auto"/>
                <w:kern w:val="0"/>
                <w:szCs w:val="21"/>
                <w:lang w:bidi="ar"/>
              </w:rPr>
              <w:t xml:space="preserve">0.1160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H</w:t>
            </w:r>
            <w:r>
              <w:rPr>
                <w:color w:val="auto"/>
                <w:vertAlign w:val="subscript"/>
              </w:rPr>
              <w:t>2</w:t>
            </w:r>
            <w:r>
              <w:rPr>
                <w:color w:val="auto"/>
              </w:rPr>
              <w:t>S</w:t>
            </w:r>
          </w:p>
        </w:tc>
        <w:tc>
          <w:tcPr>
            <w:tcW w:w="1499" w:type="dxa"/>
            <w:shd w:val="clear" w:color="auto" w:fill="auto"/>
            <w:vAlign w:val="center"/>
          </w:tcPr>
          <w:p>
            <w:pPr>
              <w:pStyle w:val="164"/>
              <w:ind w:left="-105" w:leftChars="-50" w:right="-105" w:rightChars="-50"/>
              <w:rPr>
                <w:color w:val="auto"/>
              </w:rPr>
            </w:pPr>
            <w:r>
              <w:rPr>
                <w:color w:val="auto"/>
              </w:rPr>
              <w:t>/</w:t>
            </w:r>
          </w:p>
        </w:tc>
        <w:tc>
          <w:tcPr>
            <w:tcW w:w="1226" w:type="dxa"/>
            <w:shd w:val="clear" w:color="auto" w:fill="auto"/>
            <w:vAlign w:val="center"/>
          </w:tcPr>
          <w:p>
            <w:pPr>
              <w:pStyle w:val="164"/>
              <w:ind w:left="-105" w:leftChars="-50" w:right="-105" w:rightChars="-50"/>
              <w:rPr>
                <w:color w:val="auto"/>
              </w:rPr>
            </w:pPr>
            <w:r>
              <w:rPr>
                <w:color w:val="auto"/>
              </w:rPr>
              <w:t>/</w:t>
            </w:r>
          </w:p>
        </w:tc>
        <w:tc>
          <w:tcPr>
            <w:tcW w:w="1649" w:type="dxa"/>
            <w:shd w:val="clear" w:color="auto" w:fill="auto"/>
            <w:vAlign w:val="center"/>
          </w:tcPr>
          <w:p>
            <w:pPr>
              <w:pStyle w:val="164"/>
              <w:spacing w:line="240" w:lineRule="auto"/>
              <w:rPr>
                <w:color w:val="auto"/>
              </w:rPr>
            </w:pPr>
            <w:r>
              <w:rPr>
                <w:rFonts w:hint="eastAsia"/>
                <w:color w:val="auto"/>
              </w:rPr>
              <w:t>0.001</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spacing w:line="240" w:lineRule="auto"/>
              <w:rPr>
                <w:color w:val="auto"/>
              </w:rPr>
            </w:pPr>
            <w:r>
              <w:rPr>
                <w:color w:val="auto"/>
                <w:kern w:val="0"/>
                <w:szCs w:val="21"/>
                <w:lang w:bidi="ar"/>
              </w:rPr>
              <w:t xml:space="preserve">0.0188 </w:t>
            </w:r>
          </w:p>
        </w:tc>
        <w:tc>
          <w:tcPr>
            <w:tcW w:w="1281" w:type="dxa"/>
            <w:shd w:val="clear" w:color="auto" w:fill="auto"/>
            <w:vAlign w:val="center"/>
          </w:tcPr>
          <w:p>
            <w:pPr>
              <w:pStyle w:val="164"/>
              <w:spacing w:line="240" w:lineRule="auto"/>
              <w:rPr>
                <w:color w:val="auto"/>
              </w:rPr>
            </w:pPr>
            <w:r>
              <w:rPr>
                <w:color w:val="auto"/>
                <w:kern w:val="0"/>
                <w:szCs w:val="21"/>
                <w:lang w:bidi="ar"/>
              </w:rPr>
              <w:t xml:space="preserve">0.0001 </w:t>
            </w:r>
          </w:p>
        </w:tc>
        <w:tc>
          <w:tcPr>
            <w:tcW w:w="1163" w:type="dxa"/>
            <w:shd w:val="clear" w:color="auto" w:fill="auto"/>
            <w:vAlign w:val="center"/>
          </w:tcPr>
          <w:p>
            <w:pPr>
              <w:pStyle w:val="164"/>
              <w:spacing w:line="240" w:lineRule="auto"/>
              <w:rPr>
                <w:color w:val="auto"/>
              </w:rPr>
            </w:pPr>
            <w:r>
              <w:rPr>
                <w:color w:val="auto"/>
                <w:kern w:val="0"/>
                <w:szCs w:val="21"/>
                <w:lang w:bidi="ar"/>
              </w:rPr>
              <w:t xml:space="preserve">0.0006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VOCs</w:t>
            </w:r>
          </w:p>
        </w:tc>
        <w:tc>
          <w:tcPr>
            <w:tcW w:w="1499" w:type="dxa"/>
            <w:shd w:val="clear" w:color="auto" w:fill="auto"/>
            <w:vAlign w:val="center"/>
          </w:tcPr>
          <w:p>
            <w:pPr>
              <w:pStyle w:val="164"/>
              <w:ind w:left="-105" w:leftChars="-50" w:right="-105" w:rightChars="-50"/>
              <w:rPr>
                <w:color w:val="auto"/>
              </w:rPr>
            </w:pPr>
            <w:r>
              <w:rPr>
                <w:color w:val="auto"/>
              </w:rPr>
              <w:t>/</w:t>
            </w:r>
          </w:p>
        </w:tc>
        <w:tc>
          <w:tcPr>
            <w:tcW w:w="1226" w:type="dxa"/>
            <w:shd w:val="clear" w:color="auto" w:fill="auto"/>
            <w:vAlign w:val="center"/>
          </w:tcPr>
          <w:p>
            <w:pPr>
              <w:pStyle w:val="164"/>
              <w:ind w:left="-105" w:leftChars="-50" w:right="-105" w:rightChars="-50"/>
              <w:rPr>
                <w:color w:val="auto"/>
              </w:rPr>
            </w:pPr>
            <w:r>
              <w:rPr>
                <w:color w:val="auto"/>
              </w:rPr>
              <w:t>/</w:t>
            </w:r>
          </w:p>
        </w:tc>
        <w:tc>
          <w:tcPr>
            <w:tcW w:w="1649" w:type="dxa"/>
            <w:shd w:val="clear" w:color="auto" w:fill="auto"/>
            <w:vAlign w:val="center"/>
          </w:tcPr>
          <w:p>
            <w:pPr>
              <w:pStyle w:val="164"/>
              <w:spacing w:line="240" w:lineRule="auto"/>
              <w:rPr>
                <w:color w:val="auto"/>
              </w:rPr>
            </w:pPr>
            <w:r>
              <w:rPr>
                <w:rFonts w:hint="eastAsia"/>
                <w:color w:val="auto"/>
              </w:rPr>
              <w:t>0.0348</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spacing w:line="240" w:lineRule="auto"/>
              <w:rPr>
                <w:color w:val="auto"/>
              </w:rPr>
            </w:pPr>
            <w:r>
              <w:rPr>
                <w:color w:val="auto"/>
                <w:kern w:val="0"/>
                <w:szCs w:val="21"/>
                <w:lang w:bidi="ar"/>
              </w:rPr>
              <w:t xml:space="preserve">0.5996 </w:t>
            </w:r>
          </w:p>
        </w:tc>
        <w:tc>
          <w:tcPr>
            <w:tcW w:w="1281" w:type="dxa"/>
            <w:shd w:val="clear" w:color="auto" w:fill="auto"/>
            <w:vAlign w:val="center"/>
          </w:tcPr>
          <w:p>
            <w:pPr>
              <w:pStyle w:val="164"/>
              <w:spacing w:line="240" w:lineRule="auto"/>
              <w:rPr>
                <w:color w:val="auto"/>
              </w:rPr>
            </w:pPr>
            <w:r>
              <w:rPr>
                <w:color w:val="auto"/>
                <w:kern w:val="0"/>
                <w:szCs w:val="21"/>
                <w:lang w:bidi="ar"/>
              </w:rPr>
              <w:t xml:space="preserve">0.0037 </w:t>
            </w:r>
          </w:p>
        </w:tc>
        <w:tc>
          <w:tcPr>
            <w:tcW w:w="1163" w:type="dxa"/>
            <w:shd w:val="clear" w:color="auto" w:fill="auto"/>
            <w:vAlign w:val="center"/>
          </w:tcPr>
          <w:p>
            <w:pPr>
              <w:pStyle w:val="164"/>
              <w:spacing w:line="240" w:lineRule="auto"/>
              <w:rPr>
                <w:color w:val="auto"/>
              </w:rPr>
            </w:pPr>
            <w:r>
              <w:rPr>
                <w:color w:val="auto"/>
                <w:kern w:val="0"/>
                <w:szCs w:val="21"/>
                <w:lang w:bidi="ar"/>
              </w:rPr>
              <w:t xml:space="preserve">0.0193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臭气浓度</w:t>
            </w:r>
          </w:p>
          <w:p>
            <w:pPr>
              <w:pStyle w:val="164"/>
              <w:ind w:left="-105" w:leftChars="-50" w:right="-105" w:rightChars="-50"/>
              <w:rPr>
                <w:color w:val="auto"/>
              </w:rPr>
            </w:pPr>
            <w:r>
              <w:rPr>
                <w:color w:val="auto"/>
              </w:rPr>
              <w:t>（无量纲）</w:t>
            </w:r>
          </w:p>
        </w:tc>
        <w:tc>
          <w:tcPr>
            <w:tcW w:w="1499" w:type="dxa"/>
            <w:shd w:val="clear" w:color="auto" w:fill="auto"/>
            <w:vAlign w:val="center"/>
          </w:tcPr>
          <w:p>
            <w:pPr>
              <w:pStyle w:val="164"/>
              <w:ind w:left="-105" w:leftChars="-50" w:right="-105" w:rightChars="-50"/>
              <w:rPr>
                <w:color w:val="auto"/>
              </w:rPr>
            </w:pPr>
            <w:r>
              <w:rPr>
                <w:color w:val="auto"/>
              </w:rPr>
              <w:t>753</w:t>
            </w:r>
          </w:p>
        </w:tc>
        <w:tc>
          <w:tcPr>
            <w:tcW w:w="1226" w:type="dxa"/>
            <w:shd w:val="clear" w:color="auto" w:fill="auto"/>
            <w:vAlign w:val="center"/>
          </w:tcPr>
          <w:p>
            <w:pPr>
              <w:pStyle w:val="164"/>
              <w:ind w:left="-105" w:leftChars="-50" w:right="-105" w:rightChars="-50"/>
              <w:rPr>
                <w:color w:val="auto"/>
              </w:rPr>
            </w:pPr>
            <w:r>
              <w:rPr>
                <w:color w:val="auto"/>
              </w:rPr>
              <w:t>/</w:t>
            </w:r>
          </w:p>
        </w:tc>
        <w:tc>
          <w:tcPr>
            <w:tcW w:w="1649" w:type="dxa"/>
            <w:shd w:val="clear" w:color="auto" w:fill="auto"/>
            <w:vAlign w:val="center"/>
          </w:tcPr>
          <w:p>
            <w:pPr>
              <w:pStyle w:val="164"/>
              <w:ind w:left="-105" w:leftChars="-50" w:right="-105" w:rightChars="-50"/>
              <w:rPr>
                <w:color w:val="auto"/>
              </w:rPr>
            </w:pPr>
            <w:r>
              <w:rPr>
                <w:color w:val="auto"/>
              </w:rPr>
              <w:t>/</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rPr>
              <w:t>564</w:t>
            </w:r>
          </w:p>
        </w:tc>
        <w:tc>
          <w:tcPr>
            <w:tcW w:w="1281" w:type="dxa"/>
            <w:shd w:val="clear" w:color="auto" w:fill="auto"/>
            <w:vAlign w:val="center"/>
          </w:tcPr>
          <w:p>
            <w:pPr>
              <w:pStyle w:val="164"/>
              <w:ind w:left="-105" w:leftChars="-50" w:right="-105" w:rightChars="-50"/>
              <w:rPr>
                <w:color w:val="auto"/>
              </w:rPr>
            </w:pPr>
            <w:r>
              <w:rPr>
                <w:color w:val="auto"/>
              </w:rPr>
              <w:t>/</w:t>
            </w:r>
          </w:p>
        </w:tc>
        <w:tc>
          <w:tcPr>
            <w:tcW w:w="1163" w:type="dxa"/>
            <w:shd w:val="clear" w:color="auto" w:fill="auto"/>
            <w:vAlign w:val="center"/>
          </w:tcPr>
          <w:p>
            <w:pPr>
              <w:pStyle w:val="164"/>
              <w:ind w:left="-105" w:leftChars="-50" w:right="-105" w:rightChars="-50"/>
              <w:rPr>
                <w:color w:val="auto"/>
              </w:rPr>
            </w:pPr>
            <w:r>
              <w:rPr>
                <w:color w:val="auto"/>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restart"/>
            <w:tcBorders>
              <w:right w:val="single" w:color="auto" w:sz="4" w:space="0"/>
            </w:tcBorders>
            <w:vAlign w:val="center"/>
          </w:tcPr>
          <w:p>
            <w:pPr>
              <w:pStyle w:val="164"/>
              <w:ind w:left="-105" w:leftChars="-50" w:right="-105" w:rightChars="-50"/>
              <w:rPr>
                <w:color w:val="auto"/>
              </w:rPr>
            </w:pPr>
            <w:r>
              <w:rPr>
                <w:color w:val="auto"/>
              </w:rPr>
              <w:t>无组织</w:t>
            </w:r>
          </w:p>
          <w:p>
            <w:pPr>
              <w:pStyle w:val="164"/>
              <w:ind w:left="-105" w:leftChars="-50" w:right="-105" w:rightChars="-50"/>
              <w:rPr>
                <w:color w:val="auto"/>
              </w:rPr>
            </w:pPr>
            <w:r>
              <w:rPr>
                <w:color w:val="auto"/>
              </w:rPr>
              <w:t>废气</w:t>
            </w:r>
          </w:p>
        </w:tc>
        <w:tc>
          <w:tcPr>
            <w:tcW w:w="926" w:type="dxa"/>
            <w:vMerge w:val="restart"/>
            <w:tcBorders>
              <w:left w:val="single" w:color="auto" w:sz="4" w:space="0"/>
            </w:tcBorders>
            <w:vAlign w:val="center"/>
          </w:tcPr>
          <w:p>
            <w:pPr>
              <w:pStyle w:val="164"/>
              <w:ind w:left="-105" w:leftChars="-50" w:right="-105" w:rightChars="-50"/>
              <w:rPr>
                <w:color w:val="auto"/>
              </w:rPr>
            </w:pPr>
            <w:r>
              <w:rPr>
                <w:color w:val="auto"/>
              </w:rPr>
              <w:t>生产车间</w:t>
            </w:r>
          </w:p>
        </w:tc>
        <w:tc>
          <w:tcPr>
            <w:tcW w:w="1231" w:type="dxa"/>
            <w:shd w:val="clear" w:color="auto" w:fill="auto"/>
            <w:vAlign w:val="center"/>
          </w:tcPr>
          <w:p>
            <w:pPr>
              <w:pStyle w:val="164"/>
              <w:ind w:left="-105" w:leftChars="-50" w:right="-105" w:rightChars="-50"/>
              <w:rPr>
                <w:bCs/>
                <w:color w:val="auto"/>
              </w:rPr>
            </w:pPr>
            <w:r>
              <w:rPr>
                <w:color w:val="auto"/>
              </w:rPr>
              <w:t>NH</w:t>
            </w:r>
            <w:r>
              <w:rPr>
                <w:color w:val="auto"/>
                <w:sz w:val="13"/>
                <w:szCs w:val="13"/>
              </w:rPr>
              <w:t>3</w:t>
            </w:r>
          </w:p>
        </w:tc>
        <w:tc>
          <w:tcPr>
            <w:tcW w:w="1499" w:type="dxa"/>
            <w:shd w:val="clear" w:color="auto" w:fill="auto"/>
            <w:vAlign w:val="center"/>
          </w:tcPr>
          <w:p>
            <w:pPr>
              <w:pStyle w:val="164"/>
              <w:ind w:left="-105" w:leftChars="-50" w:right="-105" w:rightChars="-50"/>
              <w:rPr>
                <w:bCs/>
                <w:color w:val="auto"/>
              </w:rPr>
            </w:pPr>
            <w:r>
              <w:rPr>
                <w:bCs/>
                <w:color w:val="auto"/>
              </w:rPr>
              <w:t>/</w:t>
            </w:r>
          </w:p>
        </w:tc>
        <w:tc>
          <w:tcPr>
            <w:tcW w:w="1226" w:type="dxa"/>
            <w:shd w:val="clear" w:color="auto" w:fill="auto"/>
            <w:vAlign w:val="center"/>
          </w:tcPr>
          <w:p>
            <w:pPr>
              <w:pStyle w:val="164"/>
              <w:ind w:left="-105" w:leftChars="-50" w:right="-105" w:rightChars="-50"/>
              <w:rPr>
                <w:bCs/>
                <w:color w:val="auto"/>
              </w:rPr>
            </w:pPr>
            <w:r>
              <w:rPr>
                <w:bCs/>
                <w:color w:val="auto"/>
              </w:rPr>
              <w:t>0.002</w:t>
            </w:r>
            <w:r>
              <w:rPr>
                <w:rFonts w:hint="eastAsia"/>
                <w:bCs/>
                <w:color w:val="auto"/>
              </w:rPr>
              <w:t>6</w:t>
            </w:r>
          </w:p>
        </w:tc>
        <w:tc>
          <w:tcPr>
            <w:tcW w:w="1649" w:type="dxa"/>
            <w:shd w:val="clear" w:color="auto" w:fill="auto"/>
            <w:vAlign w:val="center"/>
          </w:tcPr>
          <w:p>
            <w:pPr>
              <w:pStyle w:val="164"/>
              <w:ind w:left="-105" w:leftChars="-50" w:right="-105" w:rightChars="-50"/>
              <w:rPr>
                <w:bCs/>
                <w:color w:val="auto"/>
              </w:rPr>
            </w:pPr>
            <w:r>
              <w:rPr>
                <w:bCs/>
                <w:color w:val="auto"/>
              </w:rPr>
              <w:t>0.01</w:t>
            </w:r>
            <w:r>
              <w:rPr>
                <w:rFonts w:hint="eastAsia"/>
                <w:bCs/>
                <w:color w:val="auto"/>
              </w:rPr>
              <w:t>72</w:t>
            </w:r>
          </w:p>
        </w:tc>
        <w:tc>
          <w:tcPr>
            <w:tcW w:w="2698" w:type="dxa"/>
            <w:vMerge w:val="restart"/>
            <w:vAlign w:val="center"/>
          </w:tcPr>
          <w:p>
            <w:pPr>
              <w:pStyle w:val="164"/>
              <w:ind w:left="-105" w:leftChars="-50" w:right="-105" w:rightChars="-50"/>
              <w:rPr>
                <w:color w:val="auto"/>
              </w:rPr>
            </w:pPr>
            <w:r>
              <w:rPr>
                <w:color w:val="auto"/>
                <w:lang w:bidi="zh-CN"/>
              </w:rPr>
              <w:t>微负压设计，</w:t>
            </w:r>
            <w:r>
              <w:rPr>
                <w:color w:val="auto"/>
              </w:rPr>
              <w:t>加强通风</w:t>
            </w:r>
          </w:p>
        </w:tc>
        <w:tc>
          <w:tcPr>
            <w:tcW w:w="1259" w:type="dxa"/>
            <w:shd w:val="clear" w:color="auto" w:fill="auto"/>
            <w:vAlign w:val="center"/>
          </w:tcPr>
          <w:p>
            <w:pPr>
              <w:pStyle w:val="164"/>
              <w:ind w:left="-105" w:leftChars="-50" w:right="-105" w:rightChars="-50"/>
              <w:rPr>
                <w:bCs/>
                <w:color w:val="auto"/>
                <w:sz w:val="20"/>
                <w:szCs w:val="20"/>
              </w:rPr>
            </w:pPr>
            <w:r>
              <w:rPr>
                <w:color w:val="auto"/>
              </w:rPr>
              <w:t>/</w:t>
            </w:r>
          </w:p>
        </w:tc>
        <w:tc>
          <w:tcPr>
            <w:tcW w:w="1281" w:type="dxa"/>
            <w:shd w:val="clear" w:color="auto" w:fill="auto"/>
            <w:vAlign w:val="center"/>
          </w:tcPr>
          <w:p>
            <w:pPr>
              <w:pStyle w:val="164"/>
              <w:ind w:left="-105" w:leftChars="-50" w:right="-105" w:rightChars="-50"/>
              <w:rPr>
                <w:bCs/>
                <w:color w:val="auto"/>
              </w:rPr>
            </w:pPr>
            <w:r>
              <w:rPr>
                <w:bCs/>
                <w:color w:val="auto"/>
              </w:rPr>
              <w:t>0.002</w:t>
            </w:r>
            <w:r>
              <w:rPr>
                <w:rFonts w:hint="eastAsia"/>
                <w:bCs/>
                <w:color w:val="auto"/>
              </w:rPr>
              <w:t>6</w:t>
            </w:r>
          </w:p>
        </w:tc>
        <w:tc>
          <w:tcPr>
            <w:tcW w:w="1163" w:type="dxa"/>
            <w:shd w:val="clear" w:color="auto" w:fill="auto"/>
            <w:vAlign w:val="center"/>
          </w:tcPr>
          <w:p>
            <w:pPr>
              <w:pStyle w:val="164"/>
              <w:ind w:left="-105" w:leftChars="-50" w:right="-105" w:rightChars="-50"/>
              <w:rPr>
                <w:bCs/>
                <w:color w:val="auto"/>
              </w:rPr>
            </w:pPr>
            <w:r>
              <w:rPr>
                <w:bCs/>
                <w:color w:val="auto"/>
              </w:rPr>
              <w:t>0.01</w:t>
            </w:r>
            <w:r>
              <w:rPr>
                <w:rFonts w:hint="eastAsia"/>
                <w:bCs/>
                <w:color w:val="auto"/>
              </w:rPr>
              <w:t>72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bCs/>
                <w:color w:val="auto"/>
              </w:rPr>
            </w:pPr>
            <w:r>
              <w:rPr>
                <w:color w:val="auto"/>
              </w:rPr>
              <w:t>H</w:t>
            </w:r>
            <w:r>
              <w:rPr>
                <w:color w:val="auto"/>
                <w:vertAlign w:val="subscript"/>
              </w:rPr>
              <w:t>2</w:t>
            </w:r>
            <w:r>
              <w:rPr>
                <w:color w:val="auto"/>
              </w:rPr>
              <w:t>S</w:t>
            </w:r>
          </w:p>
        </w:tc>
        <w:tc>
          <w:tcPr>
            <w:tcW w:w="1499" w:type="dxa"/>
            <w:shd w:val="clear" w:color="auto" w:fill="auto"/>
            <w:vAlign w:val="center"/>
          </w:tcPr>
          <w:p>
            <w:pPr>
              <w:pStyle w:val="164"/>
              <w:ind w:left="-105" w:leftChars="-50" w:right="-105" w:rightChars="-50"/>
              <w:rPr>
                <w:bCs/>
                <w:color w:val="auto"/>
              </w:rPr>
            </w:pPr>
            <w:r>
              <w:rPr>
                <w:bCs/>
                <w:color w:val="auto"/>
              </w:rPr>
              <w:t>/</w:t>
            </w:r>
          </w:p>
        </w:tc>
        <w:tc>
          <w:tcPr>
            <w:tcW w:w="1226" w:type="dxa"/>
            <w:shd w:val="clear" w:color="auto" w:fill="auto"/>
            <w:vAlign w:val="center"/>
          </w:tcPr>
          <w:p>
            <w:pPr>
              <w:pStyle w:val="114"/>
              <w:spacing w:before="0" w:beforeLines="0" w:line="360" w:lineRule="exact"/>
              <w:rPr>
                <w:b w:val="0"/>
                <w:bCs/>
                <w:color w:val="auto"/>
                <w:sz w:val="21"/>
              </w:rPr>
            </w:pPr>
            <w:r>
              <w:rPr>
                <w:b w:val="0"/>
                <w:bCs/>
                <w:color w:val="auto"/>
                <w:sz w:val="21"/>
              </w:rPr>
              <w:t>0.000</w:t>
            </w:r>
            <w:r>
              <w:rPr>
                <w:rFonts w:hint="eastAsia"/>
                <w:b w:val="0"/>
                <w:bCs/>
                <w:color w:val="auto"/>
                <w:sz w:val="21"/>
              </w:rPr>
              <w:t>016</w:t>
            </w:r>
          </w:p>
        </w:tc>
        <w:tc>
          <w:tcPr>
            <w:tcW w:w="1649" w:type="dxa"/>
            <w:shd w:val="clear" w:color="auto" w:fill="auto"/>
            <w:vAlign w:val="center"/>
          </w:tcPr>
          <w:p>
            <w:pPr>
              <w:pStyle w:val="114"/>
              <w:spacing w:before="0" w:beforeLines="0" w:line="360" w:lineRule="exact"/>
              <w:rPr>
                <w:b w:val="0"/>
                <w:bCs/>
                <w:color w:val="auto"/>
                <w:sz w:val="21"/>
              </w:rPr>
            </w:pPr>
            <w:r>
              <w:rPr>
                <w:b w:val="0"/>
                <w:bCs/>
                <w:color w:val="auto"/>
                <w:sz w:val="21"/>
              </w:rPr>
              <w:t>0.000</w:t>
            </w:r>
            <w:r>
              <w:rPr>
                <w:rFonts w:hint="eastAsia"/>
                <w:b w:val="0"/>
                <w:bCs/>
                <w:color w:val="auto"/>
                <w:sz w:val="21"/>
              </w:rPr>
              <w:t>1</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bCs/>
                <w:color w:val="auto"/>
                <w:sz w:val="20"/>
                <w:szCs w:val="20"/>
              </w:rPr>
            </w:pPr>
            <w:r>
              <w:rPr>
                <w:color w:val="auto"/>
              </w:rPr>
              <w:t>/</w:t>
            </w:r>
          </w:p>
        </w:tc>
        <w:tc>
          <w:tcPr>
            <w:tcW w:w="1281" w:type="dxa"/>
            <w:shd w:val="clear" w:color="auto" w:fill="auto"/>
            <w:vAlign w:val="center"/>
          </w:tcPr>
          <w:p>
            <w:pPr>
              <w:pStyle w:val="114"/>
              <w:spacing w:before="0" w:beforeLines="0" w:line="360" w:lineRule="exact"/>
              <w:rPr>
                <w:bCs/>
                <w:color w:val="auto"/>
              </w:rPr>
            </w:pPr>
            <w:r>
              <w:rPr>
                <w:b w:val="0"/>
                <w:bCs/>
                <w:color w:val="auto"/>
                <w:sz w:val="21"/>
              </w:rPr>
              <w:t>0.000</w:t>
            </w:r>
            <w:r>
              <w:rPr>
                <w:rFonts w:hint="eastAsia"/>
                <w:b w:val="0"/>
                <w:bCs/>
                <w:color w:val="auto"/>
                <w:sz w:val="21"/>
              </w:rPr>
              <w:t>016</w:t>
            </w:r>
          </w:p>
        </w:tc>
        <w:tc>
          <w:tcPr>
            <w:tcW w:w="1163" w:type="dxa"/>
            <w:shd w:val="clear" w:color="auto" w:fill="auto"/>
            <w:vAlign w:val="center"/>
          </w:tcPr>
          <w:p>
            <w:pPr>
              <w:pStyle w:val="114"/>
              <w:spacing w:before="0" w:beforeLines="0" w:line="360" w:lineRule="exact"/>
              <w:rPr>
                <w:bCs/>
                <w:color w:val="auto"/>
              </w:rPr>
            </w:pPr>
            <w:r>
              <w:rPr>
                <w:b w:val="0"/>
                <w:bCs/>
                <w:color w:val="auto"/>
                <w:sz w:val="21"/>
              </w:rPr>
              <w:t>0.000</w:t>
            </w:r>
            <w:r>
              <w:rPr>
                <w:rFonts w:hint="eastAsia"/>
                <w:b w:val="0"/>
                <w:bCs/>
                <w:color w:val="auto"/>
                <w:sz w:val="21"/>
              </w:rPr>
              <w:t>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bCs/>
                <w:color w:val="auto"/>
              </w:rPr>
            </w:pPr>
            <w:r>
              <w:rPr>
                <w:color w:val="auto"/>
              </w:rPr>
              <w:t>VOCs</w:t>
            </w:r>
          </w:p>
        </w:tc>
        <w:tc>
          <w:tcPr>
            <w:tcW w:w="1499" w:type="dxa"/>
            <w:shd w:val="clear" w:color="auto" w:fill="auto"/>
            <w:vAlign w:val="center"/>
          </w:tcPr>
          <w:p>
            <w:pPr>
              <w:pStyle w:val="164"/>
              <w:ind w:left="-105" w:leftChars="-50" w:right="-105" w:rightChars="-50"/>
              <w:rPr>
                <w:bCs/>
                <w:color w:val="auto"/>
              </w:rPr>
            </w:pPr>
            <w:r>
              <w:rPr>
                <w:bCs/>
                <w:color w:val="auto"/>
              </w:rPr>
              <w:t>/</w:t>
            </w:r>
          </w:p>
        </w:tc>
        <w:tc>
          <w:tcPr>
            <w:tcW w:w="1226" w:type="dxa"/>
            <w:shd w:val="clear" w:color="auto" w:fill="auto"/>
            <w:vAlign w:val="center"/>
          </w:tcPr>
          <w:p>
            <w:pPr>
              <w:pStyle w:val="114"/>
              <w:spacing w:before="0" w:beforeLines="0" w:line="360" w:lineRule="exact"/>
              <w:rPr>
                <w:bCs/>
                <w:color w:val="auto"/>
              </w:rPr>
            </w:pPr>
            <w:r>
              <w:rPr>
                <w:b w:val="0"/>
                <w:bCs/>
                <w:color w:val="auto"/>
                <w:sz w:val="21"/>
              </w:rPr>
              <w:t>0.000</w:t>
            </w:r>
            <w:r>
              <w:rPr>
                <w:rFonts w:hint="eastAsia"/>
                <w:b w:val="0"/>
                <w:bCs/>
                <w:color w:val="auto"/>
                <w:sz w:val="21"/>
              </w:rPr>
              <w:t>6</w:t>
            </w:r>
          </w:p>
        </w:tc>
        <w:tc>
          <w:tcPr>
            <w:tcW w:w="1649" w:type="dxa"/>
            <w:shd w:val="clear" w:color="auto" w:fill="auto"/>
            <w:vAlign w:val="center"/>
          </w:tcPr>
          <w:p>
            <w:pPr>
              <w:pStyle w:val="114"/>
              <w:spacing w:before="0" w:beforeLines="0" w:line="360" w:lineRule="exact"/>
              <w:rPr>
                <w:bCs/>
                <w:color w:val="auto"/>
              </w:rPr>
            </w:pPr>
            <w:r>
              <w:rPr>
                <w:b w:val="0"/>
                <w:bCs/>
                <w:color w:val="auto"/>
                <w:sz w:val="21"/>
              </w:rPr>
              <w:t>0.00</w:t>
            </w:r>
            <w:r>
              <w:rPr>
                <w:rFonts w:hint="eastAsia"/>
                <w:b w:val="0"/>
                <w:bCs/>
                <w:color w:val="auto"/>
                <w:sz w:val="21"/>
              </w:rPr>
              <w:t>39</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bCs/>
                <w:color w:val="auto"/>
                <w:sz w:val="20"/>
                <w:szCs w:val="20"/>
              </w:rPr>
            </w:pPr>
            <w:r>
              <w:rPr>
                <w:color w:val="auto"/>
              </w:rPr>
              <w:t>/</w:t>
            </w:r>
          </w:p>
        </w:tc>
        <w:tc>
          <w:tcPr>
            <w:tcW w:w="1281" w:type="dxa"/>
            <w:shd w:val="clear" w:color="auto" w:fill="auto"/>
            <w:vAlign w:val="center"/>
          </w:tcPr>
          <w:p>
            <w:pPr>
              <w:pStyle w:val="114"/>
              <w:spacing w:before="0" w:beforeLines="0" w:line="360" w:lineRule="exact"/>
              <w:rPr>
                <w:bCs/>
                <w:color w:val="auto"/>
              </w:rPr>
            </w:pPr>
            <w:r>
              <w:rPr>
                <w:b w:val="0"/>
                <w:bCs/>
                <w:color w:val="auto"/>
                <w:sz w:val="21"/>
              </w:rPr>
              <w:t>0.000</w:t>
            </w:r>
            <w:r>
              <w:rPr>
                <w:rFonts w:hint="eastAsia"/>
                <w:b w:val="0"/>
                <w:bCs/>
                <w:color w:val="auto"/>
                <w:sz w:val="21"/>
              </w:rPr>
              <w:t>6</w:t>
            </w:r>
          </w:p>
        </w:tc>
        <w:tc>
          <w:tcPr>
            <w:tcW w:w="1163" w:type="dxa"/>
            <w:shd w:val="clear" w:color="auto" w:fill="auto"/>
            <w:vAlign w:val="center"/>
          </w:tcPr>
          <w:p>
            <w:pPr>
              <w:pStyle w:val="114"/>
              <w:spacing w:before="0" w:beforeLines="0" w:line="360" w:lineRule="exact"/>
              <w:rPr>
                <w:bCs/>
                <w:color w:val="auto"/>
              </w:rPr>
            </w:pPr>
            <w:r>
              <w:rPr>
                <w:b w:val="0"/>
                <w:bCs/>
                <w:color w:val="auto"/>
                <w:sz w:val="21"/>
              </w:rPr>
              <w:t>0.00</w:t>
            </w:r>
            <w:r>
              <w:rPr>
                <w:rFonts w:hint="eastAsia"/>
                <w:b w:val="0"/>
                <w:bCs/>
                <w:color w:val="auto"/>
                <w:sz w:val="21"/>
              </w:rPr>
              <w:t>39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restart"/>
            <w:tcBorders>
              <w:left w:val="single" w:color="auto" w:sz="4" w:space="0"/>
            </w:tcBorders>
            <w:vAlign w:val="center"/>
          </w:tcPr>
          <w:p>
            <w:pPr>
              <w:pStyle w:val="164"/>
              <w:ind w:left="-105" w:leftChars="-50" w:right="-105" w:rightChars="-50"/>
              <w:rPr>
                <w:color w:val="auto"/>
              </w:rPr>
            </w:pPr>
            <w:r>
              <w:rPr>
                <w:color w:val="auto"/>
              </w:rPr>
              <w:t>污水</w:t>
            </w:r>
          </w:p>
          <w:p>
            <w:pPr>
              <w:pStyle w:val="164"/>
              <w:ind w:left="-105" w:leftChars="-50" w:right="-105" w:rightChars="-50"/>
              <w:rPr>
                <w:color w:val="auto"/>
              </w:rPr>
            </w:pPr>
            <w:r>
              <w:rPr>
                <w:color w:val="auto"/>
              </w:rPr>
              <w:t>处理间</w:t>
            </w:r>
          </w:p>
        </w:tc>
        <w:tc>
          <w:tcPr>
            <w:tcW w:w="1231" w:type="dxa"/>
            <w:shd w:val="clear" w:color="auto" w:fill="auto"/>
            <w:vAlign w:val="center"/>
          </w:tcPr>
          <w:p>
            <w:pPr>
              <w:pStyle w:val="164"/>
              <w:ind w:left="-105" w:leftChars="-50" w:right="-105" w:rightChars="-50"/>
              <w:rPr>
                <w:color w:val="auto"/>
              </w:rPr>
            </w:pPr>
            <w:r>
              <w:rPr>
                <w:color w:val="auto"/>
              </w:rPr>
              <w:t>NH</w:t>
            </w:r>
            <w:r>
              <w:rPr>
                <w:color w:val="auto"/>
                <w:sz w:val="13"/>
                <w:szCs w:val="13"/>
              </w:rPr>
              <w:t>3</w:t>
            </w:r>
          </w:p>
        </w:tc>
        <w:tc>
          <w:tcPr>
            <w:tcW w:w="1499" w:type="dxa"/>
            <w:shd w:val="clear" w:color="auto" w:fill="auto"/>
            <w:vAlign w:val="center"/>
          </w:tcPr>
          <w:p>
            <w:pPr>
              <w:pStyle w:val="164"/>
              <w:ind w:left="-105" w:leftChars="-50" w:right="-105" w:rightChars="-50"/>
              <w:rPr>
                <w:bCs/>
                <w:color w:val="auto"/>
              </w:rPr>
            </w:pPr>
            <w:r>
              <w:rPr>
                <w:bCs/>
                <w:color w:val="auto"/>
              </w:rPr>
              <w:t>/</w:t>
            </w:r>
          </w:p>
        </w:tc>
        <w:tc>
          <w:tcPr>
            <w:tcW w:w="1226" w:type="dxa"/>
            <w:shd w:val="clear" w:color="auto" w:fill="auto"/>
            <w:vAlign w:val="center"/>
          </w:tcPr>
          <w:p>
            <w:pPr>
              <w:pStyle w:val="164"/>
              <w:spacing w:line="360" w:lineRule="exact"/>
              <w:ind w:left="-105" w:leftChars="-50" w:right="-105" w:rightChars="-50"/>
              <w:rPr>
                <w:bCs/>
                <w:color w:val="auto"/>
              </w:rPr>
            </w:pPr>
            <w:r>
              <w:rPr>
                <w:bCs/>
                <w:color w:val="auto"/>
              </w:rPr>
              <w:t>0.000</w:t>
            </w:r>
            <w:r>
              <w:rPr>
                <w:rFonts w:hint="eastAsia"/>
                <w:bCs/>
                <w:color w:val="auto"/>
              </w:rPr>
              <w:t>72</w:t>
            </w:r>
          </w:p>
        </w:tc>
        <w:tc>
          <w:tcPr>
            <w:tcW w:w="1649" w:type="dxa"/>
            <w:shd w:val="clear" w:color="auto" w:fill="auto"/>
            <w:vAlign w:val="center"/>
          </w:tcPr>
          <w:p>
            <w:pPr>
              <w:pStyle w:val="164"/>
              <w:spacing w:line="360" w:lineRule="exact"/>
              <w:ind w:left="-105" w:leftChars="-50" w:right="-105" w:rightChars="-50"/>
              <w:rPr>
                <w:color w:val="auto"/>
              </w:rPr>
            </w:pPr>
            <w:r>
              <w:rPr>
                <w:color w:val="auto"/>
              </w:rPr>
              <w:t>0.00</w:t>
            </w:r>
            <w:r>
              <w:rPr>
                <w:rFonts w:hint="eastAsia"/>
                <w:color w:val="auto"/>
              </w:rPr>
              <w:t>57</w:t>
            </w:r>
          </w:p>
        </w:tc>
        <w:tc>
          <w:tcPr>
            <w:tcW w:w="2698" w:type="dxa"/>
            <w:vMerge w:val="restart"/>
            <w:vAlign w:val="center"/>
          </w:tcPr>
          <w:p>
            <w:pPr>
              <w:pStyle w:val="164"/>
              <w:ind w:left="-105" w:leftChars="-50" w:right="-105" w:rightChars="-50"/>
              <w:rPr>
                <w:color w:val="auto"/>
              </w:rPr>
            </w:pPr>
            <w:r>
              <w:rPr>
                <w:color w:val="auto"/>
              </w:rPr>
              <w:t>加强管理，加盖密闭，安装臭气净化装置并喷雾除臭剂进行除臭</w:t>
            </w:r>
          </w:p>
        </w:tc>
        <w:tc>
          <w:tcPr>
            <w:tcW w:w="1259" w:type="dxa"/>
            <w:shd w:val="clear" w:color="auto" w:fill="auto"/>
            <w:vAlign w:val="center"/>
          </w:tcPr>
          <w:p>
            <w:pPr>
              <w:pStyle w:val="164"/>
              <w:ind w:left="-105" w:leftChars="-50" w:right="-105" w:rightChars="-50"/>
              <w:rPr>
                <w:bCs/>
                <w:color w:val="auto"/>
                <w:sz w:val="20"/>
                <w:szCs w:val="20"/>
              </w:rPr>
            </w:pPr>
            <w:r>
              <w:rPr>
                <w:color w:val="auto"/>
              </w:rPr>
              <w:t>/</w:t>
            </w:r>
          </w:p>
        </w:tc>
        <w:tc>
          <w:tcPr>
            <w:tcW w:w="1281" w:type="dxa"/>
            <w:shd w:val="clear" w:color="auto" w:fill="auto"/>
            <w:vAlign w:val="center"/>
          </w:tcPr>
          <w:p>
            <w:pPr>
              <w:pStyle w:val="164"/>
              <w:spacing w:line="360" w:lineRule="exact"/>
              <w:ind w:left="-105" w:leftChars="-50" w:right="-105" w:rightChars="-50"/>
              <w:rPr>
                <w:bCs/>
                <w:color w:val="auto"/>
              </w:rPr>
            </w:pPr>
            <w:r>
              <w:rPr>
                <w:color w:val="auto"/>
              </w:rPr>
              <w:t>0.00</w:t>
            </w:r>
            <w:r>
              <w:rPr>
                <w:rFonts w:hint="eastAsia"/>
                <w:color w:val="auto"/>
              </w:rPr>
              <w:t>029</w:t>
            </w:r>
            <w:r>
              <w:rPr>
                <w:color w:val="auto"/>
              </w:rPr>
              <w:t xml:space="preserve"> </w:t>
            </w:r>
          </w:p>
        </w:tc>
        <w:tc>
          <w:tcPr>
            <w:tcW w:w="1163" w:type="dxa"/>
            <w:shd w:val="clear" w:color="auto" w:fill="auto"/>
            <w:vAlign w:val="center"/>
          </w:tcPr>
          <w:p>
            <w:pPr>
              <w:pStyle w:val="164"/>
              <w:spacing w:line="360" w:lineRule="exact"/>
              <w:ind w:left="-105" w:leftChars="-50" w:right="-105" w:rightChars="-50"/>
              <w:rPr>
                <w:color w:val="auto"/>
              </w:rPr>
            </w:pPr>
            <w:r>
              <w:rPr>
                <w:color w:val="auto"/>
              </w:rPr>
              <w:t>0.00</w:t>
            </w:r>
            <w:r>
              <w:rPr>
                <w:rFonts w:hint="eastAsia"/>
                <w:color w:val="auto"/>
              </w:rPr>
              <w:t>23</w:t>
            </w:r>
            <w:r>
              <w:rPr>
                <w:color w:val="auto"/>
              </w:rPr>
              <w:t xml:space="preserve">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rPr>
              <w:t>H</w:t>
            </w:r>
            <w:r>
              <w:rPr>
                <w:color w:val="auto"/>
                <w:vertAlign w:val="subscript"/>
              </w:rPr>
              <w:t>2</w:t>
            </w:r>
            <w:r>
              <w:rPr>
                <w:color w:val="auto"/>
              </w:rPr>
              <w:t>S</w:t>
            </w:r>
          </w:p>
        </w:tc>
        <w:tc>
          <w:tcPr>
            <w:tcW w:w="1499" w:type="dxa"/>
            <w:shd w:val="clear" w:color="auto" w:fill="auto"/>
            <w:vAlign w:val="center"/>
          </w:tcPr>
          <w:p>
            <w:pPr>
              <w:pStyle w:val="164"/>
              <w:ind w:left="-105" w:leftChars="-50" w:right="-105" w:rightChars="-50"/>
              <w:rPr>
                <w:bCs/>
                <w:color w:val="auto"/>
              </w:rPr>
            </w:pPr>
            <w:r>
              <w:rPr>
                <w:bCs/>
                <w:color w:val="auto"/>
              </w:rPr>
              <w:t>/</w:t>
            </w:r>
          </w:p>
        </w:tc>
        <w:tc>
          <w:tcPr>
            <w:tcW w:w="1226" w:type="dxa"/>
            <w:shd w:val="clear" w:color="auto" w:fill="auto"/>
            <w:vAlign w:val="center"/>
          </w:tcPr>
          <w:p>
            <w:pPr>
              <w:pStyle w:val="164"/>
              <w:spacing w:line="360" w:lineRule="exact"/>
              <w:ind w:left="-105" w:leftChars="-50" w:right="-105" w:rightChars="-50"/>
              <w:rPr>
                <w:bCs/>
                <w:color w:val="auto"/>
              </w:rPr>
            </w:pPr>
            <w:r>
              <w:rPr>
                <w:bCs/>
                <w:color w:val="auto"/>
              </w:rPr>
              <w:t>0.00002</w:t>
            </w:r>
            <w:r>
              <w:rPr>
                <w:rFonts w:hint="eastAsia"/>
                <w:bCs/>
                <w:color w:val="auto"/>
              </w:rPr>
              <w:t>8</w:t>
            </w:r>
          </w:p>
        </w:tc>
        <w:tc>
          <w:tcPr>
            <w:tcW w:w="1649" w:type="dxa"/>
            <w:shd w:val="clear" w:color="auto" w:fill="auto"/>
            <w:vAlign w:val="center"/>
          </w:tcPr>
          <w:p>
            <w:pPr>
              <w:pStyle w:val="164"/>
              <w:spacing w:line="360" w:lineRule="exact"/>
              <w:ind w:left="-105" w:leftChars="-50" w:right="-105" w:rightChars="-50"/>
              <w:rPr>
                <w:color w:val="auto"/>
              </w:rPr>
            </w:pPr>
            <w:r>
              <w:rPr>
                <w:color w:val="auto"/>
              </w:rPr>
              <w:t>0.000</w:t>
            </w:r>
            <w:r>
              <w:rPr>
                <w:rFonts w:hint="eastAsia"/>
                <w:color w:val="auto"/>
              </w:rPr>
              <w:t>22</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bCs/>
                <w:color w:val="auto"/>
                <w:sz w:val="20"/>
                <w:szCs w:val="20"/>
              </w:rPr>
            </w:pPr>
            <w:r>
              <w:rPr>
                <w:color w:val="auto"/>
              </w:rPr>
              <w:t>/</w:t>
            </w:r>
          </w:p>
        </w:tc>
        <w:tc>
          <w:tcPr>
            <w:tcW w:w="1281" w:type="dxa"/>
            <w:shd w:val="clear" w:color="auto" w:fill="auto"/>
            <w:vAlign w:val="center"/>
          </w:tcPr>
          <w:p>
            <w:pPr>
              <w:pStyle w:val="164"/>
              <w:spacing w:line="360" w:lineRule="exact"/>
              <w:ind w:left="-105" w:leftChars="-50" w:right="-105" w:rightChars="-50"/>
              <w:rPr>
                <w:bCs/>
                <w:color w:val="auto"/>
              </w:rPr>
            </w:pPr>
            <w:r>
              <w:rPr>
                <w:color w:val="auto"/>
              </w:rPr>
              <w:t>0.0000</w:t>
            </w:r>
            <w:r>
              <w:rPr>
                <w:rFonts w:hint="eastAsia"/>
                <w:color w:val="auto"/>
              </w:rPr>
              <w:t>11</w:t>
            </w:r>
          </w:p>
        </w:tc>
        <w:tc>
          <w:tcPr>
            <w:tcW w:w="1163" w:type="dxa"/>
            <w:shd w:val="clear" w:color="auto" w:fill="auto"/>
            <w:vAlign w:val="center"/>
          </w:tcPr>
          <w:p>
            <w:pPr>
              <w:pStyle w:val="164"/>
              <w:spacing w:line="360" w:lineRule="exact"/>
              <w:ind w:left="-105" w:leftChars="-50" w:right="-105" w:rightChars="-50"/>
              <w:rPr>
                <w:color w:val="auto"/>
              </w:rPr>
            </w:pPr>
            <w:r>
              <w:rPr>
                <w:color w:val="auto"/>
              </w:rPr>
              <w:t>0.00008</w:t>
            </w:r>
            <w:r>
              <w:rPr>
                <w:rFonts w:hint="eastAsia"/>
                <w:color w:val="auto"/>
              </w:rPr>
              <w:t>8</w:t>
            </w:r>
            <w:r>
              <w:rPr>
                <w:color w:val="auto"/>
              </w:rPr>
              <w:t xml:space="preserve">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restart"/>
            <w:tcBorders>
              <w:right w:val="single" w:color="auto" w:sz="4" w:space="0"/>
            </w:tcBorders>
            <w:vAlign w:val="center"/>
          </w:tcPr>
          <w:p>
            <w:pPr>
              <w:pStyle w:val="164"/>
              <w:ind w:left="-105" w:leftChars="-50" w:right="-105" w:rightChars="-50"/>
              <w:rPr>
                <w:color w:val="auto"/>
              </w:rPr>
            </w:pPr>
            <w:r>
              <w:rPr>
                <w:color w:val="auto"/>
              </w:rPr>
              <w:t>废水</w:t>
            </w:r>
          </w:p>
        </w:tc>
        <w:tc>
          <w:tcPr>
            <w:tcW w:w="926" w:type="dxa"/>
            <w:vMerge w:val="restart"/>
            <w:tcBorders>
              <w:left w:val="single" w:color="auto" w:sz="4" w:space="0"/>
            </w:tcBorders>
            <w:vAlign w:val="center"/>
          </w:tcPr>
          <w:p>
            <w:pPr>
              <w:pStyle w:val="164"/>
              <w:ind w:left="-105" w:leftChars="-50" w:right="-105" w:rightChars="-50"/>
              <w:rPr>
                <w:color w:val="auto"/>
              </w:rPr>
            </w:pPr>
            <w:r>
              <w:rPr>
                <w:color w:val="auto"/>
              </w:rPr>
              <w:t>生产废水</w:t>
            </w:r>
          </w:p>
        </w:tc>
        <w:tc>
          <w:tcPr>
            <w:tcW w:w="1231" w:type="dxa"/>
            <w:shd w:val="clear" w:color="auto" w:fill="auto"/>
            <w:vAlign w:val="center"/>
          </w:tcPr>
          <w:p>
            <w:pPr>
              <w:pStyle w:val="164"/>
              <w:ind w:left="-105" w:leftChars="-50" w:right="-105" w:rightChars="-50"/>
              <w:rPr>
                <w:color w:val="auto"/>
              </w:rPr>
            </w:pPr>
            <w:r>
              <w:rPr>
                <w:color w:val="auto"/>
                <w:szCs w:val="21"/>
              </w:rPr>
              <w:t>COD</w:t>
            </w:r>
          </w:p>
        </w:tc>
        <w:tc>
          <w:tcPr>
            <w:tcW w:w="1499" w:type="dxa"/>
            <w:shd w:val="clear" w:color="auto" w:fill="auto"/>
            <w:vAlign w:val="center"/>
          </w:tcPr>
          <w:p>
            <w:pPr>
              <w:pStyle w:val="164"/>
              <w:ind w:left="-105" w:leftChars="-50" w:right="-105" w:rightChars="-50"/>
              <w:rPr>
                <w:bCs/>
                <w:color w:val="auto"/>
              </w:rPr>
            </w:pPr>
            <w:r>
              <w:rPr>
                <w:color w:val="auto"/>
                <w:szCs w:val="21"/>
              </w:rPr>
              <w:t>2000</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rFonts w:hint="eastAsia"/>
                <w:color w:val="auto"/>
                <w:szCs w:val="21"/>
              </w:rPr>
              <w:t>5.764</w:t>
            </w:r>
          </w:p>
        </w:tc>
        <w:tc>
          <w:tcPr>
            <w:tcW w:w="2698" w:type="dxa"/>
            <w:vMerge w:val="restart"/>
            <w:vAlign w:val="center"/>
          </w:tcPr>
          <w:p>
            <w:pPr>
              <w:pStyle w:val="164"/>
              <w:ind w:left="-105" w:leftChars="-50" w:right="-105" w:rightChars="-50"/>
              <w:rPr>
                <w:color w:val="auto"/>
              </w:rPr>
            </w:pPr>
            <w:r>
              <w:rPr>
                <w:color w:val="auto"/>
                <w:szCs w:val="21"/>
              </w:rPr>
              <w:t>经厂区新建10m</w:t>
            </w:r>
            <w:r>
              <w:rPr>
                <w:color w:val="auto"/>
                <w:szCs w:val="21"/>
                <w:vertAlign w:val="superscript"/>
              </w:rPr>
              <w:t>3</w:t>
            </w:r>
            <w:r>
              <w:rPr>
                <w:color w:val="auto"/>
                <w:szCs w:val="21"/>
              </w:rPr>
              <w:t>/d污水处理站（A</w:t>
            </w:r>
            <w:r>
              <w:rPr>
                <w:color w:val="auto"/>
                <w:szCs w:val="21"/>
                <w:vertAlign w:val="superscript"/>
              </w:rPr>
              <w:t>2</w:t>
            </w:r>
            <w:r>
              <w:rPr>
                <w:color w:val="auto"/>
                <w:szCs w:val="21"/>
              </w:rPr>
              <w:t>O+MBR+消毒）处理后</w:t>
            </w:r>
            <w:r>
              <w:rPr>
                <w:color w:val="auto"/>
                <w:lang w:bidi="en-GB"/>
              </w:rPr>
              <w:t>作为中卫市生活垃圾填埋场道路抑尘用水</w:t>
            </w:r>
          </w:p>
        </w:tc>
        <w:tc>
          <w:tcPr>
            <w:tcW w:w="1259" w:type="dxa"/>
            <w:shd w:val="clear" w:color="auto" w:fill="auto"/>
            <w:vAlign w:val="center"/>
          </w:tcPr>
          <w:p>
            <w:pPr>
              <w:pStyle w:val="164"/>
              <w:ind w:left="-105" w:leftChars="-50" w:right="-105" w:rightChars="-50"/>
              <w:rPr>
                <w:color w:val="auto"/>
              </w:rPr>
            </w:pPr>
            <w:r>
              <w:rPr>
                <w:color w:val="auto"/>
                <w:szCs w:val="21"/>
              </w:rPr>
              <w:t>33</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szCs w:val="21"/>
              </w:rPr>
              <w:t>BOD</w:t>
            </w:r>
            <w:r>
              <w:rPr>
                <w:color w:val="auto"/>
                <w:szCs w:val="21"/>
                <w:vertAlign w:val="subscript"/>
              </w:rPr>
              <w:t>5</w:t>
            </w:r>
          </w:p>
        </w:tc>
        <w:tc>
          <w:tcPr>
            <w:tcW w:w="1499" w:type="dxa"/>
            <w:shd w:val="clear" w:color="auto" w:fill="auto"/>
            <w:vAlign w:val="center"/>
          </w:tcPr>
          <w:p>
            <w:pPr>
              <w:pStyle w:val="164"/>
              <w:ind w:left="-105" w:leftChars="-50" w:right="-105" w:rightChars="-50"/>
              <w:rPr>
                <w:bCs/>
                <w:color w:val="auto"/>
              </w:rPr>
            </w:pPr>
            <w:r>
              <w:rPr>
                <w:color w:val="auto"/>
                <w:szCs w:val="21"/>
              </w:rPr>
              <w:t>645</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color w:val="auto"/>
                <w:szCs w:val="21"/>
              </w:rPr>
              <w:t>1.</w:t>
            </w:r>
            <w:r>
              <w:rPr>
                <w:rFonts w:hint="eastAsia"/>
                <w:color w:val="auto"/>
                <w:szCs w:val="21"/>
              </w:rPr>
              <w:t>859</w:t>
            </w:r>
            <w:r>
              <w:rPr>
                <w:color w:val="auto"/>
                <w:szCs w:val="21"/>
              </w:rPr>
              <w:t xml:space="preserve"> </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szCs w:val="21"/>
              </w:rPr>
              <w:t>10</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szCs w:val="21"/>
              </w:rPr>
              <w:t>NH</w:t>
            </w:r>
            <w:r>
              <w:rPr>
                <w:color w:val="auto"/>
                <w:szCs w:val="21"/>
                <w:vertAlign w:val="subscript"/>
              </w:rPr>
              <w:t>3</w:t>
            </w:r>
            <w:r>
              <w:rPr>
                <w:color w:val="auto"/>
                <w:szCs w:val="21"/>
              </w:rPr>
              <w:t>-N</w:t>
            </w:r>
          </w:p>
        </w:tc>
        <w:tc>
          <w:tcPr>
            <w:tcW w:w="1499" w:type="dxa"/>
            <w:shd w:val="clear" w:color="auto" w:fill="auto"/>
            <w:vAlign w:val="center"/>
          </w:tcPr>
          <w:p>
            <w:pPr>
              <w:pStyle w:val="164"/>
              <w:ind w:left="-105" w:leftChars="-50" w:right="-105" w:rightChars="-50"/>
              <w:rPr>
                <w:bCs/>
                <w:color w:val="auto"/>
              </w:rPr>
            </w:pPr>
            <w:r>
              <w:rPr>
                <w:color w:val="auto"/>
                <w:szCs w:val="21"/>
              </w:rPr>
              <w:t>7.52</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color w:val="auto"/>
                <w:szCs w:val="21"/>
              </w:rPr>
              <w:t>0.0</w:t>
            </w:r>
            <w:r>
              <w:rPr>
                <w:rFonts w:hint="eastAsia"/>
                <w:color w:val="auto"/>
                <w:szCs w:val="21"/>
              </w:rPr>
              <w:t>22</w:t>
            </w:r>
            <w:r>
              <w:rPr>
                <w:color w:val="auto"/>
                <w:szCs w:val="21"/>
              </w:rPr>
              <w:t xml:space="preserve"> </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szCs w:val="21"/>
              </w:rPr>
              <w:t>0.461</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szCs w:val="21"/>
              </w:rPr>
              <w:t>SS</w:t>
            </w:r>
          </w:p>
        </w:tc>
        <w:tc>
          <w:tcPr>
            <w:tcW w:w="1499" w:type="dxa"/>
            <w:shd w:val="clear" w:color="auto" w:fill="auto"/>
            <w:vAlign w:val="center"/>
          </w:tcPr>
          <w:p>
            <w:pPr>
              <w:pStyle w:val="164"/>
              <w:ind w:left="-105" w:leftChars="-50" w:right="-105" w:rightChars="-50"/>
              <w:rPr>
                <w:bCs/>
                <w:color w:val="auto"/>
              </w:rPr>
            </w:pPr>
            <w:r>
              <w:rPr>
                <w:color w:val="auto"/>
                <w:szCs w:val="21"/>
              </w:rPr>
              <w:t>43</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color w:val="auto"/>
                <w:szCs w:val="21"/>
              </w:rPr>
              <w:t>0.</w:t>
            </w:r>
            <w:r>
              <w:rPr>
                <w:rFonts w:hint="eastAsia"/>
                <w:color w:val="auto"/>
                <w:szCs w:val="21"/>
              </w:rPr>
              <w:t>124</w:t>
            </w:r>
            <w:r>
              <w:rPr>
                <w:color w:val="auto"/>
                <w:szCs w:val="21"/>
              </w:rPr>
              <w:t xml:space="preserve"> </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szCs w:val="21"/>
              </w:rPr>
              <w:t>8</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szCs w:val="21"/>
              </w:rPr>
            </w:pPr>
            <w:r>
              <w:rPr>
                <w:color w:val="auto"/>
                <w:szCs w:val="21"/>
              </w:rPr>
              <w:t>余氯</w:t>
            </w:r>
          </w:p>
        </w:tc>
        <w:tc>
          <w:tcPr>
            <w:tcW w:w="1499" w:type="dxa"/>
            <w:shd w:val="clear" w:color="auto" w:fill="auto"/>
            <w:vAlign w:val="center"/>
          </w:tcPr>
          <w:p>
            <w:pPr>
              <w:pStyle w:val="164"/>
              <w:ind w:left="-105" w:leftChars="-50" w:right="-105" w:rightChars="-50"/>
              <w:rPr>
                <w:color w:val="auto"/>
                <w:szCs w:val="21"/>
              </w:rPr>
            </w:pPr>
            <w:r>
              <w:rPr>
                <w:color w:val="auto"/>
                <w:szCs w:val="21"/>
              </w:rPr>
              <w:t>1.78</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szCs w:val="21"/>
              </w:rPr>
            </w:pPr>
            <w:r>
              <w:rPr>
                <w:color w:val="auto"/>
                <w:szCs w:val="21"/>
              </w:rPr>
              <w:t>0.005</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szCs w:val="21"/>
              </w:rPr>
            </w:pPr>
            <w:r>
              <w:rPr>
                <w:color w:val="auto"/>
                <w:szCs w:val="21"/>
              </w:rPr>
              <w:t>0.44</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szCs w:val="21"/>
              </w:rPr>
              <w:t>粪大肠菌群</w:t>
            </w:r>
          </w:p>
        </w:tc>
        <w:tc>
          <w:tcPr>
            <w:tcW w:w="1499" w:type="dxa"/>
            <w:shd w:val="clear" w:color="auto" w:fill="auto"/>
            <w:vAlign w:val="center"/>
          </w:tcPr>
          <w:p>
            <w:pPr>
              <w:pStyle w:val="164"/>
              <w:ind w:left="-105" w:leftChars="-50" w:right="-105" w:rightChars="-50"/>
              <w:rPr>
                <w:bCs/>
                <w:color w:val="auto"/>
              </w:rPr>
            </w:pPr>
            <w:r>
              <w:rPr>
                <w:color w:val="auto"/>
              </w:rPr>
              <w:t>/</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color w:val="auto"/>
              </w:rPr>
              <w:t>/</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szCs w:val="21"/>
              </w:rPr>
              <w:t>/</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restart"/>
            <w:tcBorders>
              <w:left w:val="single" w:color="auto" w:sz="4" w:space="0"/>
            </w:tcBorders>
            <w:vAlign w:val="center"/>
          </w:tcPr>
          <w:p>
            <w:pPr>
              <w:pStyle w:val="164"/>
              <w:ind w:left="-105" w:leftChars="-50" w:right="-105" w:rightChars="-50"/>
              <w:rPr>
                <w:color w:val="auto"/>
              </w:rPr>
            </w:pPr>
            <w:r>
              <w:rPr>
                <w:color w:val="auto"/>
              </w:rPr>
              <w:t>生活污水</w:t>
            </w:r>
          </w:p>
        </w:tc>
        <w:tc>
          <w:tcPr>
            <w:tcW w:w="1231" w:type="dxa"/>
            <w:shd w:val="clear" w:color="auto" w:fill="auto"/>
            <w:vAlign w:val="center"/>
          </w:tcPr>
          <w:p>
            <w:pPr>
              <w:pStyle w:val="164"/>
              <w:ind w:left="-105" w:leftChars="-50" w:right="-105" w:rightChars="-50"/>
              <w:rPr>
                <w:color w:val="auto"/>
              </w:rPr>
            </w:pPr>
            <w:r>
              <w:rPr>
                <w:color w:val="auto"/>
                <w:szCs w:val="21"/>
              </w:rPr>
              <w:t>COD</w:t>
            </w:r>
          </w:p>
        </w:tc>
        <w:tc>
          <w:tcPr>
            <w:tcW w:w="1499" w:type="dxa"/>
            <w:shd w:val="clear" w:color="auto" w:fill="auto"/>
            <w:vAlign w:val="center"/>
          </w:tcPr>
          <w:p>
            <w:pPr>
              <w:pStyle w:val="164"/>
              <w:ind w:left="-105" w:leftChars="-50" w:right="-105" w:rightChars="-50"/>
              <w:rPr>
                <w:bCs/>
                <w:color w:val="auto"/>
              </w:rPr>
            </w:pPr>
            <w:r>
              <w:rPr>
                <w:color w:val="auto"/>
                <w:szCs w:val="21"/>
              </w:rPr>
              <w:t>300</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color w:val="auto"/>
                <w:szCs w:val="21"/>
              </w:rPr>
              <w:t>0.190</w:t>
            </w:r>
          </w:p>
        </w:tc>
        <w:tc>
          <w:tcPr>
            <w:tcW w:w="2698" w:type="dxa"/>
            <w:vMerge w:val="restart"/>
            <w:vAlign w:val="center"/>
          </w:tcPr>
          <w:p>
            <w:pPr>
              <w:pStyle w:val="164"/>
              <w:ind w:left="-105" w:leftChars="-50" w:right="-105" w:rightChars="-50"/>
              <w:rPr>
                <w:color w:val="auto"/>
              </w:rPr>
            </w:pPr>
            <w:r>
              <w:rPr>
                <w:color w:val="auto"/>
              </w:rPr>
              <w:t>依托现有化粪池处理，化粪池满后用吸污车运送至中卫市生活垃圾填埋场的渗滤液调蓄池</w:t>
            </w:r>
          </w:p>
        </w:tc>
        <w:tc>
          <w:tcPr>
            <w:tcW w:w="1259" w:type="dxa"/>
            <w:shd w:val="clear" w:color="auto" w:fill="auto"/>
            <w:vAlign w:val="center"/>
          </w:tcPr>
          <w:p>
            <w:pPr>
              <w:pStyle w:val="164"/>
              <w:ind w:left="-105" w:leftChars="-50" w:right="-105" w:rightChars="-50"/>
              <w:rPr>
                <w:color w:val="auto"/>
              </w:rPr>
            </w:pPr>
            <w:r>
              <w:rPr>
                <w:color w:val="auto"/>
                <w:szCs w:val="21"/>
              </w:rPr>
              <w:t>255</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szCs w:val="21"/>
              </w:rPr>
              <w:t>BOD</w:t>
            </w:r>
            <w:r>
              <w:rPr>
                <w:color w:val="auto"/>
                <w:szCs w:val="21"/>
                <w:vertAlign w:val="subscript"/>
              </w:rPr>
              <w:t>5</w:t>
            </w:r>
          </w:p>
        </w:tc>
        <w:tc>
          <w:tcPr>
            <w:tcW w:w="1499" w:type="dxa"/>
            <w:shd w:val="clear" w:color="auto" w:fill="auto"/>
            <w:vAlign w:val="center"/>
          </w:tcPr>
          <w:p>
            <w:pPr>
              <w:pStyle w:val="164"/>
              <w:ind w:left="-105" w:leftChars="-50" w:right="-105" w:rightChars="-50"/>
              <w:rPr>
                <w:bCs/>
                <w:color w:val="auto"/>
              </w:rPr>
            </w:pPr>
            <w:r>
              <w:rPr>
                <w:color w:val="auto"/>
                <w:szCs w:val="21"/>
              </w:rPr>
              <w:t>260</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color w:val="auto"/>
                <w:szCs w:val="21"/>
              </w:rPr>
              <w:t>0.165</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szCs w:val="21"/>
              </w:rPr>
              <w:t>225</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szCs w:val="21"/>
              </w:rPr>
              <w:t>SS</w:t>
            </w:r>
          </w:p>
        </w:tc>
        <w:tc>
          <w:tcPr>
            <w:tcW w:w="1499" w:type="dxa"/>
            <w:shd w:val="clear" w:color="auto" w:fill="auto"/>
            <w:vAlign w:val="center"/>
          </w:tcPr>
          <w:p>
            <w:pPr>
              <w:pStyle w:val="164"/>
              <w:ind w:left="-105" w:leftChars="-50" w:right="-105" w:rightChars="-50"/>
              <w:rPr>
                <w:bCs/>
                <w:color w:val="auto"/>
              </w:rPr>
            </w:pPr>
            <w:r>
              <w:rPr>
                <w:color w:val="auto"/>
                <w:szCs w:val="21"/>
              </w:rPr>
              <w:t>300</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color w:val="auto"/>
                <w:szCs w:val="21"/>
              </w:rPr>
              <w:t>0.190</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szCs w:val="21"/>
              </w:rPr>
              <w:t>210</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vMerge w:val="continue"/>
            <w:tcBorders>
              <w:left w:val="single" w:color="auto" w:sz="4" w:space="0"/>
            </w:tcBorders>
            <w:vAlign w:val="center"/>
          </w:tcPr>
          <w:p>
            <w:pPr>
              <w:pStyle w:val="164"/>
              <w:ind w:left="-105" w:leftChars="-50" w:right="-105" w:rightChars="-50"/>
              <w:rPr>
                <w:color w:val="auto"/>
              </w:rPr>
            </w:pPr>
          </w:p>
        </w:tc>
        <w:tc>
          <w:tcPr>
            <w:tcW w:w="1231" w:type="dxa"/>
            <w:shd w:val="clear" w:color="auto" w:fill="auto"/>
            <w:vAlign w:val="center"/>
          </w:tcPr>
          <w:p>
            <w:pPr>
              <w:pStyle w:val="164"/>
              <w:ind w:left="-105" w:leftChars="-50" w:right="-105" w:rightChars="-50"/>
              <w:rPr>
                <w:color w:val="auto"/>
              </w:rPr>
            </w:pPr>
            <w:r>
              <w:rPr>
                <w:color w:val="auto"/>
                <w:szCs w:val="21"/>
              </w:rPr>
              <w:t>NH</w:t>
            </w:r>
            <w:r>
              <w:rPr>
                <w:color w:val="auto"/>
                <w:szCs w:val="21"/>
                <w:vertAlign w:val="subscript"/>
              </w:rPr>
              <w:t>3</w:t>
            </w:r>
            <w:r>
              <w:rPr>
                <w:color w:val="auto"/>
                <w:szCs w:val="21"/>
              </w:rPr>
              <w:t>-N</w:t>
            </w:r>
          </w:p>
        </w:tc>
        <w:tc>
          <w:tcPr>
            <w:tcW w:w="1499" w:type="dxa"/>
            <w:shd w:val="clear" w:color="auto" w:fill="auto"/>
            <w:vAlign w:val="center"/>
          </w:tcPr>
          <w:p>
            <w:pPr>
              <w:pStyle w:val="164"/>
              <w:ind w:left="-105" w:leftChars="-50" w:right="-105" w:rightChars="-50"/>
              <w:rPr>
                <w:bCs/>
                <w:color w:val="auto"/>
              </w:rPr>
            </w:pPr>
            <w:r>
              <w:rPr>
                <w:color w:val="auto"/>
                <w:szCs w:val="21"/>
              </w:rPr>
              <w:t>30</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color w:val="auto"/>
                <w:szCs w:val="21"/>
              </w:rPr>
              <w:t>0.019</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rPr>
            </w:pPr>
            <w:r>
              <w:rPr>
                <w:color w:val="auto"/>
                <w:szCs w:val="21"/>
              </w:rPr>
              <w:t>29</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28" w:hRule="atLeast"/>
        </w:trPr>
        <w:tc>
          <w:tcPr>
            <w:tcW w:w="720" w:type="dxa"/>
            <w:vMerge w:val="restart"/>
            <w:tcBorders>
              <w:right w:val="single" w:color="auto" w:sz="4" w:space="0"/>
            </w:tcBorders>
            <w:vAlign w:val="center"/>
          </w:tcPr>
          <w:p>
            <w:pPr>
              <w:pStyle w:val="164"/>
              <w:ind w:left="-105" w:leftChars="-50" w:right="-105" w:rightChars="-50"/>
              <w:rPr>
                <w:color w:val="auto"/>
              </w:rPr>
            </w:pPr>
            <w:r>
              <w:rPr>
                <w:color w:val="auto"/>
              </w:rPr>
              <w:t>固体</w:t>
            </w:r>
          </w:p>
          <w:p>
            <w:pPr>
              <w:pStyle w:val="164"/>
              <w:ind w:left="-105" w:leftChars="-50" w:right="-105" w:rightChars="-50"/>
              <w:rPr>
                <w:color w:val="auto"/>
              </w:rPr>
            </w:pPr>
            <w:r>
              <w:rPr>
                <w:color w:val="auto"/>
              </w:rPr>
              <w:t>废物</w:t>
            </w:r>
          </w:p>
        </w:tc>
        <w:tc>
          <w:tcPr>
            <w:tcW w:w="926" w:type="dxa"/>
            <w:tcBorders>
              <w:left w:val="single" w:color="auto" w:sz="4" w:space="0"/>
            </w:tcBorders>
            <w:vAlign w:val="center"/>
          </w:tcPr>
          <w:p>
            <w:pPr>
              <w:pStyle w:val="164"/>
              <w:ind w:left="-105" w:leftChars="-50" w:right="-105" w:rightChars="-50"/>
              <w:rPr>
                <w:color w:val="auto"/>
              </w:rPr>
            </w:pPr>
            <w:r>
              <w:rPr>
                <w:color w:val="auto"/>
              </w:rPr>
              <w:t>生活办公</w:t>
            </w:r>
          </w:p>
        </w:tc>
        <w:tc>
          <w:tcPr>
            <w:tcW w:w="1231" w:type="dxa"/>
            <w:shd w:val="clear" w:color="auto" w:fill="auto"/>
            <w:vAlign w:val="center"/>
          </w:tcPr>
          <w:p>
            <w:pPr>
              <w:pStyle w:val="164"/>
              <w:ind w:left="-105" w:leftChars="-50" w:right="-105" w:rightChars="-50"/>
              <w:rPr>
                <w:color w:val="auto"/>
                <w:szCs w:val="21"/>
              </w:rPr>
            </w:pPr>
            <w:r>
              <w:rPr>
                <w:color w:val="auto"/>
              </w:rPr>
              <w:t>生活垃圾</w:t>
            </w:r>
          </w:p>
        </w:tc>
        <w:tc>
          <w:tcPr>
            <w:tcW w:w="1499" w:type="dxa"/>
            <w:shd w:val="clear" w:color="auto" w:fill="auto"/>
            <w:vAlign w:val="center"/>
          </w:tcPr>
          <w:p>
            <w:pPr>
              <w:pStyle w:val="164"/>
              <w:ind w:left="-105" w:leftChars="-50" w:right="-105" w:rightChars="-50"/>
              <w:rPr>
                <w:color w:val="auto"/>
                <w:szCs w:val="21"/>
              </w:rPr>
            </w:pPr>
            <w:r>
              <w:rPr>
                <w:color w:val="auto"/>
                <w:szCs w:val="21"/>
              </w:rPr>
              <w:t>/</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szCs w:val="21"/>
              </w:rPr>
            </w:pPr>
            <w:r>
              <w:rPr>
                <w:color w:val="auto"/>
              </w:rPr>
              <w:t>6.6</w:t>
            </w:r>
          </w:p>
        </w:tc>
        <w:tc>
          <w:tcPr>
            <w:tcW w:w="2698" w:type="dxa"/>
            <w:vMerge w:val="restart"/>
            <w:vAlign w:val="center"/>
          </w:tcPr>
          <w:p>
            <w:pPr>
              <w:pStyle w:val="164"/>
              <w:ind w:left="-105" w:leftChars="-50" w:right="-105" w:rightChars="-50"/>
              <w:rPr>
                <w:color w:val="auto"/>
              </w:rPr>
            </w:pPr>
            <w:r>
              <w:rPr>
                <w:color w:val="auto"/>
              </w:rPr>
              <w:t>送中卫市第二生活垃圾填埋场填埋</w:t>
            </w:r>
          </w:p>
        </w:tc>
        <w:tc>
          <w:tcPr>
            <w:tcW w:w="1259" w:type="dxa"/>
            <w:shd w:val="clear" w:color="auto" w:fill="auto"/>
            <w:vAlign w:val="center"/>
          </w:tcPr>
          <w:p>
            <w:pPr>
              <w:pStyle w:val="164"/>
              <w:ind w:left="-105" w:leftChars="-50" w:right="-105" w:rightChars="-50"/>
              <w:rPr>
                <w:color w:val="auto"/>
                <w:szCs w:val="21"/>
              </w:rPr>
            </w:pPr>
            <w:r>
              <w:rPr>
                <w:color w:val="auto"/>
                <w:szCs w:val="21"/>
              </w:rPr>
              <w:t>/</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tcBorders>
              <w:left w:val="single" w:color="auto" w:sz="4" w:space="0"/>
            </w:tcBorders>
            <w:vAlign w:val="center"/>
          </w:tcPr>
          <w:p>
            <w:pPr>
              <w:pStyle w:val="164"/>
              <w:ind w:left="-105" w:leftChars="-50" w:right="-105" w:rightChars="-50"/>
              <w:rPr>
                <w:color w:val="auto"/>
              </w:rPr>
            </w:pPr>
            <w:r>
              <w:rPr>
                <w:color w:val="auto"/>
                <w:szCs w:val="21"/>
              </w:rPr>
              <w:t>周转箱使用</w:t>
            </w:r>
          </w:p>
        </w:tc>
        <w:tc>
          <w:tcPr>
            <w:tcW w:w="1231" w:type="dxa"/>
            <w:shd w:val="clear" w:color="auto" w:fill="auto"/>
            <w:vAlign w:val="center"/>
          </w:tcPr>
          <w:p>
            <w:pPr>
              <w:pStyle w:val="164"/>
              <w:ind w:left="-105" w:leftChars="-50" w:right="-105" w:rightChars="-50"/>
              <w:rPr>
                <w:color w:val="auto"/>
                <w:szCs w:val="21"/>
              </w:rPr>
            </w:pPr>
            <w:r>
              <w:rPr>
                <w:color w:val="auto"/>
              </w:rPr>
              <w:t>报废周转箱</w:t>
            </w:r>
          </w:p>
        </w:tc>
        <w:tc>
          <w:tcPr>
            <w:tcW w:w="1499" w:type="dxa"/>
            <w:shd w:val="clear" w:color="auto" w:fill="auto"/>
            <w:vAlign w:val="center"/>
          </w:tcPr>
          <w:p>
            <w:pPr>
              <w:pStyle w:val="164"/>
              <w:ind w:left="-105" w:leftChars="-50" w:right="-105" w:rightChars="-50"/>
              <w:rPr>
                <w:color w:val="auto"/>
                <w:szCs w:val="21"/>
              </w:rPr>
            </w:pPr>
            <w:r>
              <w:rPr>
                <w:color w:val="auto"/>
                <w:szCs w:val="21"/>
              </w:rPr>
              <w:t>/</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szCs w:val="21"/>
              </w:rPr>
            </w:pPr>
            <w:r>
              <w:rPr>
                <w:color w:val="auto"/>
              </w:rPr>
              <w:t>0.015</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szCs w:val="21"/>
              </w:rPr>
            </w:pPr>
            <w:r>
              <w:rPr>
                <w:color w:val="auto"/>
                <w:szCs w:val="21"/>
              </w:rPr>
              <w:t>/</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40"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tcBorders>
              <w:left w:val="single" w:color="auto" w:sz="4" w:space="0"/>
            </w:tcBorders>
            <w:vAlign w:val="center"/>
          </w:tcPr>
          <w:p>
            <w:pPr>
              <w:pStyle w:val="164"/>
              <w:ind w:left="-105" w:leftChars="-50" w:right="-105" w:rightChars="-50"/>
              <w:rPr>
                <w:color w:val="auto"/>
                <w:szCs w:val="21"/>
              </w:rPr>
            </w:pPr>
            <w:r>
              <w:rPr>
                <w:color w:val="auto"/>
                <w:szCs w:val="21"/>
              </w:rPr>
              <w:t>软水制备</w:t>
            </w:r>
          </w:p>
        </w:tc>
        <w:tc>
          <w:tcPr>
            <w:tcW w:w="1231" w:type="dxa"/>
            <w:shd w:val="clear" w:color="auto" w:fill="auto"/>
            <w:vAlign w:val="center"/>
          </w:tcPr>
          <w:p>
            <w:pPr>
              <w:pStyle w:val="164"/>
              <w:ind w:left="-105" w:leftChars="-50" w:right="-105" w:rightChars="-50"/>
              <w:rPr>
                <w:color w:val="auto"/>
              </w:rPr>
            </w:pPr>
            <w:r>
              <w:rPr>
                <w:color w:val="auto"/>
              </w:rPr>
              <w:t>废树脂</w:t>
            </w:r>
          </w:p>
        </w:tc>
        <w:tc>
          <w:tcPr>
            <w:tcW w:w="1499" w:type="dxa"/>
            <w:shd w:val="clear" w:color="auto" w:fill="auto"/>
            <w:vAlign w:val="center"/>
          </w:tcPr>
          <w:p>
            <w:pPr>
              <w:pStyle w:val="164"/>
              <w:ind w:left="-105" w:leftChars="-50" w:right="-105" w:rightChars="-50"/>
              <w:rPr>
                <w:color w:val="auto"/>
                <w:szCs w:val="21"/>
              </w:rPr>
            </w:pPr>
            <w:r>
              <w:rPr>
                <w:color w:val="auto"/>
                <w:szCs w:val="21"/>
              </w:rPr>
              <w:t>/</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rPr>
            </w:pPr>
            <w:r>
              <w:rPr>
                <w:color w:val="auto"/>
              </w:rPr>
              <w:t>0.08</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szCs w:val="21"/>
              </w:rPr>
            </w:pPr>
            <w:r>
              <w:rPr>
                <w:color w:val="auto"/>
                <w:szCs w:val="21"/>
              </w:rPr>
              <w:t>/</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tcBorders>
              <w:left w:val="single" w:color="auto" w:sz="4" w:space="0"/>
            </w:tcBorders>
            <w:vAlign w:val="center"/>
          </w:tcPr>
          <w:p>
            <w:pPr>
              <w:pStyle w:val="164"/>
              <w:ind w:left="-105" w:leftChars="-50" w:right="-105" w:rightChars="-50"/>
              <w:rPr>
                <w:color w:val="auto"/>
              </w:rPr>
            </w:pPr>
            <w:r>
              <w:rPr>
                <w:color w:val="auto"/>
                <w:szCs w:val="21"/>
              </w:rPr>
              <w:t>高温蒸汽灭菌</w:t>
            </w:r>
          </w:p>
        </w:tc>
        <w:tc>
          <w:tcPr>
            <w:tcW w:w="1231" w:type="dxa"/>
            <w:shd w:val="clear" w:color="auto" w:fill="auto"/>
            <w:vAlign w:val="center"/>
          </w:tcPr>
          <w:p>
            <w:pPr>
              <w:pStyle w:val="164"/>
              <w:ind w:left="-105" w:leftChars="-50" w:right="-105" w:rightChars="-50"/>
              <w:rPr>
                <w:color w:val="auto"/>
                <w:szCs w:val="21"/>
              </w:rPr>
            </w:pPr>
            <w:r>
              <w:rPr>
                <w:color w:val="auto"/>
              </w:rPr>
              <w:t>灭菌处理后的医疗废物</w:t>
            </w:r>
          </w:p>
        </w:tc>
        <w:tc>
          <w:tcPr>
            <w:tcW w:w="1499" w:type="dxa"/>
            <w:shd w:val="clear" w:color="auto" w:fill="auto"/>
            <w:vAlign w:val="center"/>
          </w:tcPr>
          <w:p>
            <w:pPr>
              <w:pStyle w:val="164"/>
              <w:ind w:left="-105" w:leftChars="-50" w:right="-105" w:rightChars="-50"/>
              <w:rPr>
                <w:color w:val="auto"/>
                <w:szCs w:val="21"/>
              </w:rPr>
            </w:pPr>
            <w:r>
              <w:rPr>
                <w:color w:val="auto"/>
                <w:szCs w:val="21"/>
              </w:rPr>
              <w:t>/</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szCs w:val="21"/>
              </w:rPr>
            </w:pPr>
            <w:r>
              <w:rPr>
                <w:color w:val="auto"/>
              </w:rPr>
              <w:t>2433.14</w:t>
            </w:r>
          </w:p>
        </w:tc>
        <w:tc>
          <w:tcPr>
            <w:tcW w:w="2698" w:type="dxa"/>
            <w:vAlign w:val="center"/>
          </w:tcPr>
          <w:p>
            <w:pPr>
              <w:pStyle w:val="164"/>
              <w:ind w:left="-105" w:leftChars="-50" w:right="-105" w:rightChars="-50"/>
              <w:rPr>
                <w:color w:val="auto"/>
              </w:rPr>
            </w:pPr>
            <w:r>
              <w:rPr>
                <w:color w:val="auto"/>
              </w:rPr>
              <w:t>送中卫市第二生活垃圾填埋场填埋</w:t>
            </w:r>
          </w:p>
        </w:tc>
        <w:tc>
          <w:tcPr>
            <w:tcW w:w="1259" w:type="dxa"/>
            <w:shd w:val="clear" w:color="auto" w:fill="auto"/>
            <w:vAlign w:val="center"/>
          </w:tcPr>
          <w:p>
            <w:pPr>
              <w:pStyle w:val="164"/>
              <w:ind w:left="-105" w:leftChars="-50" w:right="-105" w:rightChars="-50"/>
              <w:rPr>
                <w:color w:val="auto"/>
                <w:szCs w:val="21"/>
              </w:rPr>
            </w:pPr>
            <w:r>
              <w:rPr>
                <w:color w:val="auto"/>
                <w:szCs w:val="21"/>
              </w:rPr>
              <w:t>/</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88"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tcBorders>
              <w:left w:val="single" w:color="auto" w:sz="4" w:space="0"/>
            </w:tcBorders>
            <w:vAlign w:val="center"/>
          </w:tcPr>
          <w:p>
            <w:pPr>
              <w:pStyle w:val="164"/>
              <w:ind w:left="-105" w:leftChars="-50" w:right="-105" w:rightChars="-50"/>
              <w:rPr>
                <w:color w:val="auto"/>
              </w:rPr>
            </w:pPr>
            <w:r>
              <w:rPr>
                <w:color w:val="auto"/>
                <w:szCs w:val="21"/>
              </w:rPr>
              <w:t>废气处理</w:t>
            </w:r>
          </w:p>
        </w:tc>
        <w:tc>
          <w:tcPr>
            <w:tcW w:w="1231" w:type="dxa"/>
            <w:shd w:val="clear" w:color="auto" w:fill="auto"/>
            <w:vAlign w:val="center"/>
          </w:tcPr>
          <w:p>
            <w:pPr>
              <w:pStyle w:val="164"/>
              <w:ind w:left="-105" w:leftChars="-50" w:right="-105" w:rightChars="-50"/>
              <w:rPr>
                <w:color w:val="auto"/>
                <w:szCs w:val="21"/>
              </w:rPr>
            </w:pPr>
            <w:r>
              <w:rPr>
                <w:color w:val="auto"/>
              </w:rPr>
              <w:t>废活性炭</w:t>
            </w:r>
          </w:p>
        </w:tc>
        <w:tc>
          <w:tcPr>
            <w:tcW w:w="1499" w:type="dxa"/>
            <w:shd w:val="clear" w:color="auto" w:fill="auto"/>
            <w:vAlign w:val="center"/>
          </w:tcPr>
          <w:p>
            <w:pPr>
              <w:pStyle w:val="164"/>
              <w:ind w:left="-105" w:leftChars="-50" w:right="-105" w:rightChars="-50"/>
              <w:rPr>
                <w:color w:val="auto"/>
                <w:szCs w:val="21"/>
              </w:rPr>
            </w:pPr>
            <w:r>
              <w:rPr>
                <w:color w:val="auto"/>
                <w:szCs w:val="21"/>
              </w:rPr>
              <w:t>/</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szCs w:val="21"/>
              </w:rPr>
            </w:pPr>
            <w:r>
              <w:rPr>
                <w:color w:val="auto"/>
              </w:rPr>
              <w:t>0.05</w:t>
            </w:r>
          </w:p>
        </w:tc>
        <w:tc>
          <w:tcPr>
            <w:tcW w:w="2698" w:type="dxa"/>
            <w:vMerge w:val="restart"/>
            <w:vAlign w:val="center"/>
          </w:tcPr>
          <w:p>
            <w:pPr>
              <w:pStyle w:val="164"/>
              <w:ind w:left="-105" w:leftChars="-50" w:right="-105" w:rightChars="-50"/>
              <w:rPr>
                <w:color w:val="auto"/>
              </w:rPr>
            </w:pPr>
            <w:r>
              <w:rPr>
                <w:color w:val="auto"/>
              </w:rPr>
              <w:t>收集后委托宁夏德坤环保科技实业集团有限公司处置</w:t>
            </w:r>
          </w:p>
        </w:tc>
        <w:tc>
          <w:tcPr>
            <w:tcW w:w="1259" w:type="dxa"/>
            <w:shd w:val="clear" w:color="auto" w:fill="auto"/>
            <w:vAlign w:val="center"/>
          </w:tcPr>
          <w:p>
            <w:pPr>
              <w:pStyle w:val="164"/>
              <w:ind w:left="-105" w:leftChars="-50" w:right="-105" w:rightChars="-50"/>
              <w:rPr>
                <w:color w:val="auto"/>
                <w:szCs w:val="21"/>
              </w:rPr>
            </w:pPr>
            <w:r>
              <w:rPr>
                <w:color w:val="auto"/>
                <w:szCs w:val="21"/>
              </w:rPr>
              <w:t>/</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4"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tcBorders>
              <w:left w:val="single" w:color="auto" w:sz="4" w:space="0"/>
            </w:tcBorders>
            <w:vAlign w:val="center"/>
          </w:tcPr>
          <w:p>
            <w:pPr>
              <w:pStyle w:val="164"/>
              <w:ind w:left="-105" w:leftChars="-50" w:right="-105" w:rightChars="-50"/>
              <w:rPr>
                <w:color w:val="auto"/>
              </w:rPr>
            </w:pPr>
            <w:r>
              <w:rPr>
                <w:color w:val="auto"/>
                <w:szCs w:val="21"/>
              </w:rPr>
              <w:t>废气处理</w:t>
            </w:r>
          </w:p>
        </w:tc>
        <w:tc>
          <w:tcPr>
            <w:tcW w:w="1231" w:type="dxa"/>
            <w:shd w:val="clear" w:color="auto" w:fill="auto"/>
            <w:vAlign w:val="center"/>
          </w:tcPr>
          <w:p>
            <w:pPr>
              <w:pStyle w:val="164"/>
              <w:ind w:left="-105" w:leftChars="-50" w:right="-105" w:rightChars="-50"/>
              <w:rPr>
                <w:color w:val="auto"/>
                <w:szCs w:val="21"/>
              </w:rPr>
            </w:pPr>
            <w:r>
              <w:rPr>
                <w:color w:val="auto"/>
              </w:rPr>
              <w:t>废滤芯</w:t>
            </w:r>
          </w:p>
        </w:tc>
        <w:tc>
          <w:tcPr>
            <w:tcW w:w="1499" w:type="dxa"/>
            <w:shd w:val="clear" w:color="auto" w:fill="auto"/>
            <w:vAlign w:val="center"/>
          </w:tcPr>
          <w:p>
            <w:pPr>
              <w:pStyle w:val="164"/>
              <w:ind w:left="-105" w:leftChars="-50" w:right="-105" w:rightChars="-50"/>
              <w:rPr>
                <w:color w:val="auto"/>
                <w:szCs w:val="21"/>
              </w:rPr>
            </w:pPr>
            <w:r>
              <w:rPr>
                <w:color w:val="auto"/>
                <w:szCs w:val="21"/>
              </w:rPr>
              <w:t>/</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szCs w:val="21"/>
              </w:rPr>
            </w:pPr>
            <w:r>
              <w:rPr>
                <w:color w:val="auto"/>
              </w:rPr>
              <w:t>0.088</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szCs w:val="21"/>
              </w:rPr>
            </w:pPr>
            <w:r>
              <w:rPr>
                <w:color w:val="auto"/>
                <w:szCs w:val="21"/>
              </w:rPr>
              <w:t>/</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83" w:hRule="atLeast"/>
        </w:trPr>
        <w:tc>
          <w:tcPr>
            <w:tcW w:w="720" w:type="dxa"/>
            <w:vMerge w:val="continue"/>
            <w:tcBorders>
              <w:right w:val="single" w:color="auto" w:sz="4" w:space="0"/>
            </w:tcBorders>
            <w:vAlign w:val="center"/>
          </w:tcPr>
          <w:p>
            <w:pPr>
              <w:pStyle w:val="164"/>
              <w:ind w:left="-105" w:leftChars="-50" w:right="-105" w:rightChars="-50"/>
              <w:rPr>
                <w:color w:val="auto"/>
              </w:rPr>
            </w:pPr>
          </w:p>
        </w:tc>
        <w:tc>
          <w:tcPr>
            <w:tcW w:w="926" w:type="dxa"/>
            <w:tcBorders>
              <w:left w:val="single" w:color="auto" w:sz="4" w:space="0"/>
            </w:tcBorders>
            <w:vAlign w:val="center"/>
          </w:tcPr>
          <w:p>
            <w:pPr>
              <w:pStyle w:val="164"/>
              <w:ind w:left="-105" w:leftChars="-50" w:right="-105" w:rightChars="-50"/>
              <w:rPr>
                <w:color w:val="auto"/>
              </w:rPr>
            </w:pPr>
            <w:r>
              <w:rPr>
                <w:color w:val="auto"/>
                <w:szCs w:val="21"/>
              </w:rPr>
              <w:t>污水处理</w:t>
            </w:r>
          </w:p>
        </w:tc>
        <w:tc>
          <w:tcPr>
            <w:tcW w:w="1231" w:type="dxa"/>
            <w:shd w:val="clear" w:color="auto" w:fill="auto"/>
            <w:vAlign w:val="center"/>
          </w:tcPr>
          <w:p>
            <w:pPr>
              <w:pStyle w:val="164"/>
              <w:ind w:left="-105" w:leftChars="-50" w:right="-105" w:rightChars="-50"/>
              <w:rPr>
                <w:color w:val="auto"/>
                <w:szCs w:val="21"/>
              </w:rPr>
            </w:pPr>
            <w:r>
              <w:rPr>
                <w:color w:val="auto"/>
              </w:rPr>
              <w:t>污水处理站污泥</w:t>
            </w:r>
          </w:p>
        </w:tc>
        <w:tc>
          <w:tcPr>
            <w:tcW w:w="1499" w:type="dxa"/>
            <w:shd w:val="clear" w:color="auto" w:fill="auto"/>
            <w:vAlign w:val="center"/>
          </w:tcPr>
          <w:p>
            <w:pPr>
              <w:pStyle w:val="164"/>
              <w:ind w:left="-105" w:leftChars="-50" w:right="-105" w:rightChars="-50"/>
              <w:rPr>
                <w:color w:val="auto"/>
                <w:szCs w:val="21"/>
              </w:rPr>
            </w:pPr>
            <w:r>
              <w:rPr>
                <w:color w:val="auto"/>
                <w:szCs w:val="21"/>
              </w:rPr>
              <w:t>/</w:t>
            </w:r>
          </w:p>
        </w:tc>
        <w:tc>
          <w:tcPr>
            <w:tcW w:w="1226" w:type="dxa"/>
            <w:shd w:val="clear" w:color="auto" w:fill="auto"/>
            <w:vAlign w:val="center"/>
          </w:tcPr>
          <w:p>
            <w:pPr>
              <w:pStyle w:val="164"/>
              <w:ind w:left="-105" w:leftChars="-50" w:right="-105" w:rightChars="-50"/>
              <w:rPr>
                <w:bCs/>
                <w:color w:val="auto"/>
              </w:rPr>
            </w:pPr>
            <w:r>
              <w:rPr>
                <w:bCs/>
                <w:color w:val="auto"/>
              </w:rPr>
              <w:t>/</w:t>
            </w:r>
          </w:p>
        </w:tc>
        <w:tc>
          <w:tcPr>
            <w:tcW w:w="1649" w:type="dxa"/>
            <w:shd w:val="clear" w:color="auto" w:fill="auto"/>
            <w:vAlign w:val="center"/>
          </w:tcPr>
          <w:p>
            <w:pPr>
              <w:pStyle w:val="164"/>
              <w:ind w:left="-105" w:leftChars="-50" w:right="-105" w:rightChars="-50"/>
              <w:rPr>
                <w:color w:val="auto"/>
                <w:szCs w:val="21"/>
              </w:rPr>
            </w:pPr>
            <w:r>
              <w:rPr>
                <w:color w:val="auto"/>
              </w:rPr>
              <w:t>0.8</w:t>
            </w:r>
          </w:p>
        </w:tc>
        <w:tc>
          <w:tcPr>
            <w:tcW w:w="2698" w:type="dxa"/>
            <w:vMerge w:val="continue"/>
            <w:vAlign w:val="center"/>
          </w:tcPr>
          <w:p>
            <w:pPr>
              <w:pStyle w:val="164"/>
              <w:ind w:left="-105" w:leftChars="-50" w:right="-105" w:rightChars="-50"/>
              <w:rPr>
                <w:color w:val="auto"/>
              </w:rPr>
            </w:pPr>
          </w:p>
        </w:tc>
        <w:tc>
          <w:tcPr>
            <w:tcW w:w="1259" w:type="dxa"/>
            <w:shd w:val="clear" w:color="auto" w:fill="auto"/>
            <w:vAlign w:val="center"/>
          </w:tcPr>
          <w:p>
            <w:pPr>
              <w:pStyle w:val="164"/>
              <w:ind w:left="-105" w:leftChars="-50" w:right="-105" w:rightChars="-50"/>
              <w:rPr>
                <w:color w:val="auto"/>
                <w:szCs w:val="21"/>
              </w:rPr>
            </w:pPr>
            <w:r>
              <w:rPr>
                <w:color w:val="auto"/>
                <w:szCs w:val="21"/>
              </w:rPr>
              <w:t>/</w:t>
            </w:r>
          </w:p>
        </w:tc>
        <w:tc>
          <w:tcPr>
            <w:tcW w:w="1281" w:type="dxa"/>
            <w:shd w:val="clear" w:color="auto" w:fill="auto"/>
            <w:vAlign w:val="center"/>
          </w:tcPr>
          <w:p>
            <w:pPr>
              <w:pStyle w:val="164"/>
              <w:ind w:left="-105" w:leftChars="-50" w:right="-105" w:rightChars="-50"/>
              <w:rPr>
                <w:bCs/>
                <w:color w:val="auto"/>
              </w:rPr>
            </w:pPr>
            <w:r>
              <w:rPr>
                <w:bCs/>
                <w:color w:val="auto"/>
              </w:rPr>
              <w:t>/</w:t>
            </w:r>
          </w:p>
        </w:tc>
        <w:tc>
          <w:tcPr>
            <w:tcW w:w="1163" w:type="dxa"/>
            <w:shd w:val="clear" w:color="auto" w:fill="auto"/>
            <w:vAlign w:val="center"/>
          </w:tcPr>
          <w:p>
            <w:pPr>
              <w:pStyle w:val="164"/>
              <w:ind w:left="-105" w:leftChars="-50" w:right="-105" w:rightChars="-50"/>
              <w:rPr>
                <w:color w:val="auto"/>
              </w:rPr>
            </w:pPr>
            <w:r>
              <w:rPr>
                <w:color w:val="auto"/>
              </w:rPr>
              <w:t>0</w:t>
            </w:r>
          </w:p>
        </w:tc>
      </w:tr>
    </w:tbl>
    <w:p>
      <w:pPr>
        <w:rPr>
          <w:color w:val="auto"/>
        </w:rPr>
      </w:pPr>
    </w:p>
    <w:p>
      <w:pPr>
        <w:rPr>
          <w:color w:val="auto"/>
        </w:rPr>
        <w:sectPr>
          <w:pgSz w:w="16838" w:h="11906" w:orient="landscape"/>
          <w:pgMar w:top="1701" w:right="1701" w:bottom="1701" w:left="1701" w:header="851" w:footer="851" w:gutter="0"/>
          <w:cols w:space="720" w:num="1"/>
          <w:docGrid w:linePitch="466" w:charSpace="0"/>
        </w:sectPr>
      </w:pPr>
    </w:p>
    <w:p>
      <w:pPr>
        <w:pStyle w:val="4"/>
        <w:numPr>
          <w:ilvl w:val="1"/>
          <w:numId w:val="0"/>
        </w:numPr>
        <w:spacing w:before="120"/>
        <w:rPr>
          <w:color w:val="auto"/>
        </w:rPr>
      </w:pPr>
      <w:bookmarkStart w:id="839" w:name="_Toc290474466"/>
      <w:bookmarkStart w:id="840" w:name="_Toc319483005"/>
      <w:bookmarkStart w:id="841" w:name="_Toc334114615"/>
      <w:bookmarkStart w:id="842" w:name="_Toc387745795"/>
      <w:bookmarkStart w:id="843" w:name="_Toc319502085"/>
      <w:bookmarkStart w:id="844" w:name="_Toc290475477"/>
      <w:bookmarkStart w:id="845" w:name="_Toc336015001"/>
      <w:bookmarkStart w:id="846" w:name="_Toc305139824"/>
      <w:bookmarkStart w:id="847" w:name="_Toc493853627"/>
      <w:bookmarkStart w:id="848" w:name="_Toc359507005"/>
      <w:bookmarkStart w:id="849" w:name="_Toc341264174"/>
      <w:bookmarkStart w:id="850" w:name="_Toc11595578"/>
      <w:bookmarkStart w:id="851" w:name="_Toc354561689"/>
      <w:bookmarkStart w:id="852" w:name="_Toc319482375"/>
      <w:bookmarkStart w:id="853" w:name="_Toc109398755"/>
      <w:r>
        <w:rPr>
          <w:color w:val="auto"/>
        </w:rPr>
        <w:t>10.8环境保护措施竣工验收管理</w:t>
      </w:r>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p>
    <w:p>
      <w:pPr>
        <w:pStyle w:val="130"/>
        <w:ind w:firstLine="480"/>
        <w:rPr>
          <w:color w:val="auto"/>
        </w:rPr>
      </w:pPr>
      <w:r>
        <w:rPr>
          <w:color w:val="auto"/>
        </w:rPr>
        <w:t>本项目必须贯彻“三同时”原则，环保设施及污染治理措施必须做到与主体工程同时设计、同时施工、同时投入运行，并作为竣工环保验收内容。本项目</w:t>
      </w:r>
      <w:r>
        <w:rPr>
          <w:rFonts w:hint="eastAsia"/>
          <w:color w:val="auto"/>
        </w:rPr>
        <w:t>建成后</w:t>
      </w:r>
      <w:r>
        <w:rPr>
          <w:color w:val="auto"/>
        </w:rPr>
        <w:t>全厂环保“三同时”验收内容见表10.8-1。</w:t>
      </w:r>
    </w:p>
    <w:p>
      <w:pPr>
        <w:jc w:val="center"/>
        <w:rPr>
          <w:rFonts w:eastAsiaTheme="minorEastAsia"/>
          <w:b/>
          <w:color w:val="auto"/>
          <w:sz w:val="24"/>
          <w:szCs w:val="24"/>
        </w:rPr>
      </w:pPr>
      <w:r>
        <w:rPr>
          <w:rFonts w:eastAsiaTheme="minorEastAsia"/>
          <w:b/>
          <w:color w:val="auto"/>
          <w:sz w:val="24"/>
          <w:szCs w:val="24"/>
        </w:rPr>
        <w:t>表10.8-1  本项目</w:t>
      </w:r>
      <w:r>
        <w:rPr>
          <w:rFonts w:hint="eastAsia" w:eastAsiaTheme="minorEastAsia"/>
          <w:b/>
          <w:color w:val="auto"/>
          <w:sz w:val="24"/>
          <w:szCs w:val="24"/>
        </w:rPr>
        <w:t>建成后</w:t>
      </w:r>
      <w:r>
        <w:rPr>
          <w:rFonts w:eastAsiaTheme="minorEastAsia"/>
          <w:b/>
          <w:color w:val="auto"/>
          <w:sz w:val="24"/>
          <w:szCs w:val="24"/>
        </w:rPr>
        <w:t>全厂环保“三同时”验收一览表</w:t>
      </w:r>
    </w:p>
    <w:tbl>
      <w:tblPr>
        <w:tblStyle w:val="74"/>
        <w:tblW w:w="872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197"/>
        <w:gridCol w:w="2477"/>
        <w:gridCol w:w="1167"/>
        <w:gridCol w:w="320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9" w:hRule="atLeast"/>
          <w:tblHeader/>
          <w:jc w:val="center"/>
        </w:trPr>
        <w:tc>
          <w:tcPr>
            <w:tcW w:w="675" w:type="dxa"/>
            <w:vAlign w:val="center"/>
          </w:tcPr>
          <w:p>
            <w:pPr>
              <w:pStyle w:val="164"/>
              <w:ind w:left="-105" w:leftChars="-50" w:right="-105" w:rightChars="-50"/>
              <w:rPr>
                <w:b/>
                <w:color w:val="auto"/>
              </w:rPr>
            </w:pPr>
            <w:r>
              <w:rPr>
                <w:b/>
                <w:color w:val="auto"/>
              </w:rPr>
              <w:t>类别</w:t>
            </w:r>
          </w:p>
        </w:tc>
        <w:tc>
          <w:tcPr>
            <w:tcW w:w="1197" w:type="dxa"/>
            <w:tcBorders>
              <w:bottom w:val="single" w:color="auto" w:sz="4" w:space="0"/>
            </w:tcBorders>
            <w:vAlign w:val="center"/>
          </w:tcPr>
          <w:p>
            <w:pPr>
              <w:pStyle w:val="164"/>
              <w:ind w:left="-105" w:leftChars="-50" w:right="-105" w:rightChars="-50"/>
              <w:rPr>
                <w:b/>
                <w:color w:val="auto"/>
              </w:rPr>
            </w:pPr>
            <w:r>
              <w:rPr>
                <w:b/>
                <w:color w:val="auto"/>
              </w:rPr>
              <w:t>项目</w:t>
            </w:r>
          </w:p>
        </w:tc>
        <w:tc>
          <w:tcPr>
            <w:tcW w:w="2477" w:type="dxa"/>
            <w:tcBorders>
              <w:bottom w:val="single" w:color="auto" w:sz="4" w:space="0"/>
            </w:tcBorders>
            <w:vAlign w:val="center"/>
          </w:tcPr>
          <w:p>
            <w:pPr>
              <w:pStyle w:val="164"/>
              <w:ind w:left="-105" w:leftChars="-50" w:right="-105" w:rightChars="-50"/>
              <w:rPr>
                <w:b/>
                <w:color w:val="auto"/>
              </w:rPr>
            </w:pPr>
            <w:r>
              <w:rPr>
                <w:b/>
                <w:color w:val="auto"/>
              </w:rPr>
              <w:t>工程内容或治理措施</w:t>
            </w:r>
          </w:p>
        </w:tc>
        <w:tc>
          <w:tcPr>
            <w:tcW w:w="1167" w:type="dxa"/>
            <w:vAlign w:val="center"/>
          </w:tcPr>
          <w:p>
            <w:pPr>
              <w:pStyle w:val="164"/>
              <w:ind w:left="-105" w:leftChars="-50" w:right="-105" w:rightChars="-50"/>
              <w:rPr>
                <w:b/>
                <w:color w:val="auto"/>
              </w:rPr>
            </w:pPr>
            <w:r>
              <w:rPr>
                <w:b/>
                <w:color w:val="auto"/>
              </w:rPr>
              <w:t>污染因子</w:t>
            </w:r>
          </w:p>
        </w:tc>
        <w:tc>
          <w:tcPr>
            <w:tcW w:w="3204" w:type="dxa"/>
            <w:vAlign w:val="center"/>
          </w:tcPr>
          <w:p>
            <w:pPr>
              <w:pStyle w:val="164"/>
              <w:ind w:left="-105" w:leftChars="-50" w:right="-105" w:rightChars="-50"/>
              <w:rPr>
                <w:b/>
                <w:color w:val="auto"/>
              </w:rPr>
            </w:pPr>
            <w:r>
              <w:rPr>
                <w:b/>
                <w:color w:val="auto"/>
              </w:rPr>
              <w:t>效果/目标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474" w:hRule="atLeast"/>
          <w:jc w:val="center"/>
        </w:trPr>
        <w:tc>
          <w:tcPr>
            <w:tcW w:w="675" w:type="dxa"/>
            <w:vMerge w:val="restart"/>
            <w:vAlign w:val="center"/>
          </w:tcPr>
          <w:p>
            <w:pPr>
              <w:pStyle w:val="164"/>
              <w:ind w:left="-105" w:leftChars="-50" w:right="-105" w:rightChars="-50"/>
              <w:rPr>
                <w:color w:val="auto"/>
              </w:rPr>
            </w:pPr>
            <w:r>
              <w:rPr>
                <w:color w:val="auto"/>
              </w:rPr>
              <w:t>废气</w:t>
            </w:r>
          </w:p>
          <w:p>
            <w:pPr>
              <w:pStyle w:val="164"/>
              <w:ind w:left="-105" w:leftChars="-50" w:right="-105" w:rightChars="-50"/>
              <w:rPr>
                <w:color w:val="auto"/>
              </w:rPr>
            </w:pPr>
            <w:r>
              <w:rPr>
                <w:color w:val="auto"/>
              </w:rPr>
              <w:t>处理</w:t>
            </w:r>
          </w:p>
        </w:tc>
        <w:tc>
          <w:tcPr>
            <w:tcW w:w="1197" w:type="dxa"/>
            <w:vAlign w:val="center"/>
          </w:tcPr>
          <w:p>
            <w:pPr>
              <w:pStyle w:val="164"/>
              <w:ind w:left="-105" w:leftChars="-50" w:right="-105" w:rightChars="-50"/>
              <w:rPr>
                <w:color w:val="auto"/>
              </w:rPr>
            </w:pPr>
            <w:r>
              <w:rPr>
                <w:color w:val="auto"/>
              </w:rPr>
              <w:t>高温蒸汽灭菌废气</w:t>
            </w:r>
          </w:p>
        </w:tc>
        <w:tc>
          <w:tcPr>
            <w:tcW w:w="2477" w:type="dxa"/>
            <w:tcBorders>
              <w:bottom w:val="single" w:color="auto" w:sz="4" w:space="0"/>
            </w:tcBorders>
            <w:vAlign w:val="center"/>
          </w:tcPr>
          <w:p>
            <w:pPr>
              <w:pStyle w:val="164"/>
              <w:ind w:left="-105" w:leftChars="-50" w:right="-105" w:rightChars="-50"/>
              <w:rPr>
                <w:color w:val="auto"/>
                <w:szCs w:val="21"/>
              </w:rPr>
            </w:pPr>
            <w:r>
              <w:rPr>
                <w:rFonts w:hint="eastAsia"/>
                <w:color w:val="auto"/>
              </w:rPr>
              <w:t>2套高温蒸汽灭菌系统废气先通过各自设备自带的生物过滤+活性炭吸附进行预处理后，同时在2台灭菌器上方及2台破碎机上方各设置2个集气罩收集废气后经过“碱洗喷淋+等离子+活性炭”工艺处理，然后通过15m高排气筒排放</w:t>
            </w:r>
            <w:r>
              <w:rPr>
                <w:color w:val="auto"/>
              </w:rPr>
              <w:t>。</w:t>
            </w:r>
          </w:p>
        </w:tc>
        <w:tc>
          <w:tcPr>
            <w:tcW w:w="1167" w:type="dxa"/>
            <w:vMerge w:val="restart"/>
            <w:vAlign w:val="center"/>
          </w:tcPr>
          <w:p>
            <w:pPr>
              <w:pStyle w:val="164"/>
              <w:ind w:left="-105" w:leftChars="-50" w:right="-105" w:rightChars="-50"/>
              <w:rPr>
                <w:color w:val="auto"/>
              </w:rPr>
            </w:pPr>
            <w:r>
              <w:rPr>
                <w:color w:val="auto"/>
              </w:rPr>
              <w:t>颗粒物</w:t>
            </w:r>
          </w:p>
          <w:p>
            <w:pPr>
              <w:pStyle w:val="164"/>
              <w:ind w:left="-105" w:leftChars="-50" w:right="-105" w:rightChars="-50"/>
              <w:rPr>
                <w:color w:val="auto"/>
              </w:rPr>
            </w:pPr>
            <w:r>
              <w:rPr>
                <w:color w:val="auto"/>
              </w:rPr>
              <w:t>氨气</w:t>
            </w:r>
          </w:p>
          <w:p>
            <w:pPr>
              <w:pStyle w:val="164"/>
              <w:ind w:left="-105" w:leftChars="-50" w:right="-105" w:rightChars="-50"/>
              <w:rPr>
                <w:color w:val="auto"/>
              </w:rPr>
            </w:pPr>
            <w:r>
              <w:rPr>
                <w:color w:val="auto"/>
              </w:rPr>
              <w:t>硫化氢</w:t>
            </w:r>
          </w:p>
          <w:p>
            <w:pPr>
              <w:pStyle w:val="164"/>
              <w:ind w:left="-105" w:leftChars="-50" w:right="-105" w:rightChars="-50"/>
              <w:rPr>
                <w:color w:val="auto"/>
              </w:rPr>
            </w:pPr>
            <w:r>
              <w:rPr>
                <w:color w:val="auto"/>
              </w:rPr>
              <w:t>VOCs</w:t>
            </w:r>
          </w:p>
          <w:p>
            <w:pPr>
              <w:pStyle w:val="164"/>
              <w:ind w:left="-105" w:leftChars="-50" w:right="-105" w:rightChars="-50"/>
              <w:rPr>
                <w:color w:val="auto"/>
              </w:rPr>
            </w:pPr>
            <w:r>
              <w:rPr>
                <w:color w:val="auto"/>
              </w:rPr>
              <w:t>臭气浓度</w:t>
            </w:r>
          </w:p>
        </w:tc>
        <w:tc>
          <w:tcPr>
            <w:tcW w:w="3204" w:type="dxa"/>
            <w:vMerge w:val="restart"/>
            <w:vAlign w:val="center"/>
          </w:tcPr>
          <w:p>
            <w:pPr>
              <w:pStyle w:val="164"/>
              <w:ind w:left="-105" w:leftChars="-50" w:right="-105" w:rightChars="-50"/>
              <w:rPr>
                <w:color w:val="auto"/>
                <w:spacing w:val="-7"/>
              </w:rPr>
            </w:pPr>
            <w:r>
              <w:rPr>
                <w:color w:val="auto"/>
              </w:rPr>
              <w:t>有组织非甲烷总烃排放满足《医疗废物处理处置污染控制标准》（GB39707-2020）中表3消毒处理设施排放废气污染物浓度限值的要求；颗粒物满足《大气污染物综合排放标准》（GB16297-1996）表2的二级标准要求；氨、硫化氢、臭气浓度（无量纲）排放满足《恶臭污染物排放标准》（GB14554-93）表2标准限值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320" w:hRule="atLeast"/>
          <w:jc w:val="center"/>
        </w:trPr>
        <w:tc>
          <w:tcPr>
            <w:tcW w:w="675" w:type="dxa"/>
            <w:vMerge w:val="continue"/>
            <w:vAlign w:val="center"/>
          </w:tcPr>
          <w:p>
            <w:pPr>
              <w:pStyle w:val="164"/>
              <w:ind w:left="-105" w:leftChars="-50" w:right="-105" w:rightChars="-50"/>
              <w:rPr>
                <w:color w:val="auto"/>
              </w:rPr>
            </w:pPr>
          </w:p>
        </w:tc>
        <w:tc>
          <w:tcPr>
            <w:tcW w:w="1197" w:type="dxa"/>
            <w:tcBorders>
              <w:bottom w:val="single" w:color="000000" w:sz="4" w:space="0"/>
            </w:tcBorders>
            <w:vAlign w:val="center"/>
          </w:tcPr>
          <w:p>
            <w:pPr>
              <w:pStyle w:val="164"/>
              <w:ind w:left="-105" w:leftChars="-50" w:right="-105" w:rightChars="-50"/>
              <w:rPr>
                <w:color w:val="auto"/>
              </w:rPr>
            </w:pPr>
            <w:r>
              <w:rPr>
                <w:color w:val="auto"/>
              </w:rPr>
              <w:t>医疗废物贮存废气</w:t>
            </w:r>
          </w:p>
        </w:tc>
        <w:tc>
          <w:tcPr>
            <w:tcW w:w="2477" w:type="dxa"/>
            <w:tcBorders>
              <w:top w:val="single" w:color="auto" w:sz="4" w:space="0"/>
              <w:bottom w:val="single" w:color="000000" w:sz="4" w:space="0"/>
            </w:tcBorders>
            <w:vAlign w:val="center"/>
          </w:tcPr>
          <w:p>
            <w:pPr>
              <w:pStyle w:val="164"/>
              <w:ind w:left="-105" w:leftChars="-50" w:right="-105" w:rightChars="-50"/>
              <w:rPr>
                <w:color w:val="auto"/>
              </w:rPr>
            </w:pPr>
            <w:r>
              <w:rPr>
                <w:color w:val="auto"/>
              </w:rPr>
              <w:t>医疗废物暂存冷库设置微负压及通风装置，排风口产生的废气经换气设施收集后引至“碱喷淋+等离子+活性炭”进行处理，处理后通过15m高排气筒排放</w:t>
            </w:r>
          </w:p>
        </w:tc>
        <w:tc>
          <w:tcPr>
            <w:tcW w:w="1167" w:type="dxa"/>
            <w:vMerge w:val="continue"/>
            <w:tcBorders>
              <w:bottom w:val="single" w:color="000000" w:sz="4" w:space="0"/>
            </w:tcBorders>
            <w:vAlign w:val="center"/>
          </w:tcPr>
          <w:p>
            <w:pPr>
              <w:pStyle w:val="164"/>
              <w:ind w:left="-105" w:leftChars="-50" w:right="-105" w:rightChars="-50"/>
              <w:rPr>
                <w:color w:val="auto"/>
              </w:rPr>
            </w:pPr>
          </w:p>
        </w:tc>
        <w:tc>
          <w:tcPr>
            <w:tcW w:w="3204" w:type="dxa"/>
            <w:vMerge w:val="continue"/>
            <w:tcBorders>
              <w:bottom w:val="single" w:color="000000" w:sz="4" w:space="0"/>
            </w:tcBorders>
            <w:vAlign w:val="center"/>
          </w:tcPr>
          <w:p>
            <w:pPr>
              <w:pStyle w:val="164"/>
              <w:ind w:left="-105" w:leftChars="-50" w:right="-105" w:rightChars="-50"/>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30" w:hRule="atLeast"/>
          <w:jc w:val="center"/>
        </w:trPr>
        <w:tc>
          <w:tcPr>
            <w:tcW w:w="675" w:type="dxa"/>
            <w:vMerge w:val="continue"/>
            <w:vAlign w:val="center"/>
          </w:tcPr>
          <w:p>
            <w:pPr>
              <w:pStyle w:val="164"/>
              <w:ind w:left="-105" w:leftChars="-50" w:right="-105" w:rightChars="-50"/>
              <w:rPr>
                <w:color w:val="auto"/>
              </w:rPr>
            </w:pPr>
          </w:p>
        </w:tc>
        <w:tc>
          <w:tcPr>
            <w:tcW w:w="1197" w:type="dxa"/>
            <w:tcBorders>
              <w:bottom w:val="single" w:color="000000" w:sz="4" w:space="0"/>
            </w:tcBorders>
            <w:vAlign w:val="center"/>
          </w:tcPr>
          <w:p>
            <w:pPr>
              <w:pStyle w:val="164"/>
              <w:ind w:left="-105" w:leftChars="-50" w:right="-105" w:rightChars="-50"/>
              <w:rPr>
                <w:color w:val="auto"/>
              </w:rPr>
            </w:pPr>
            <w:r>
              <w:rPr>
                <w:color w:val="auto"/>
              </w:rPr>
              <w:t>污水处理站</w:t>
            </w:r>
          </w:p>
        </w:tc>
        <w:tc>
          <w:tcPr>
            <w:tcW w:w="2477" w:type="dxa"/>
            <w:tcBorders>
              <w:bottom w:val="single" w:color="000000" w:sz="4" w:space="0"/>
            </w:tcBorders>
            <w:vAlign w:val="center"/>
          </w:tcPr>
          <w:p>
            <w:pPr>
              <w:pStyle w:val="164"/>
              <w:ind w:left="-105" w:leftChars="-50" w:right="-105" w:rightChars="-50"/>
              <w:rPr>
                <w:color w:val="auto"/>
              </w:rPr>
            </w:pPr>
            <w:r>
              <w:rPr>
                <w:color w:val="auto"/>
              </w:rPr>
              <w:t>加强管理，加盖密闭并喷洒除臭剂</w:t>
            </w:r>
          </w:p>
        </w:tc>
        <w:tc>
          <w:tcPr>
            <w:tcW w:w="1167" w:type="dxa"/>
            <w:tcBorders>
              <w:bottom w:val="single" w:color="000000" w:sz="4" w:space="0"/>
            </w:tcBorders>
            <w:vAlign w:val="center"/>
          </w:tcPr>
          <w:p>
            <w:pPr>
              <w:pStyle w:val="164"/>
              <w:ind w:left="-105" w:leftChars="-50" w:right="-105" w:rightChars="-50"/>
              <w:rPr>
                <w:color w:val="auto"/>
              </w:rPr>
            </w:pPr>
            <w:r>
              <w:rPr>
                <w:color w:val="auto"/>
              </w:rPr>
              <w:t>氨气</w:t>
            </w:r>
          </w:p>
          <w:p>
            <w:pPr>
              <w:pStyle w:val="164"/>
              <w:ind w:left="-105" w:leftChars="-50" w:right="-105" w:rightChars="-50"/>
              <w:rPr>
                <w:color w:val="auto"/>
              </w:rPr>
            </w:pPr>
            <w:r>
              <w:rPr>
                <w:color w:val="auto"/>
              </w:rPr>
              <w:t>硫化氢</w:t>
            </w:r>
          </w:p>
          <w:p>
            <w:pPr>
              <w:pStyle w:val="164"/>
              <w:ind w:left="-105" w:leftChars="-50" w:right="-105" w:rightChars="-50"/>
              <w:rPr>
                <w:color w:val="auto"/>
              </w:rPr>
            </w:pPr>
            <w:r>
              <w:rPr>
                <w:color w:val="auto"/>
              </w:rPr>
              <w:t>臭气浓度</w:t>
            </w:r>
          </w:p>
        </w:tc>
        <w:tc>
          <w:tcPr>
            <w:tcW w:w="3204" w:type="dxa"/>
            <w:tcBorders>
              <w:bottom w:val="single" w:color="000000" w:sz="4" w:space="0"/>
            </w:tcBorders>
            <w:vAlign w:val="center"/>
          </w:tcPr>
          <w:p>
            <w:pPr>
              <w:pStyle w:val="164"/>
              <w:ind w:left="-105" w:leftChars="-50" w:right="-105" w:rightChars="-50"/>
              <w:rPr>
                <w:color w:val="auto"/>
              </w:rPr>
            </w:pPr>
            <w:r>
              <w:rPr>
                <w:color w:val="auto"/>
              </w:rPr>
              <w:t>氨、硫化氢、臭气浓度（无量纲）排放满足《恶臭污染物排放标准》（GB14554-93）表1厂界标准限值要求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525" w:hRule="atLeast"/>
          <w:jc w:val="center"/>
        </w:trPr>
        <w:tc>
          <w:tcPr>
            <w:tcW w:w="675" w:type="dxa"/>
            <w:vMerge w:val="restart"/>
            <w:vAlign w:val="center"/>
          </w:tcPr>
          <w:p>
            <w:pPr>
              <w:pStyle w:val="164"/>
              <w:ind w:left="-105" w:leftChars="-50" w:right="-105" w:rightChars="-50"/>
              <w:rPr>
                <w:color w:val="auto"/>
              </w:rPr>
            </w:pPr>
            <w:r>
              <w:rPr>
                <w:color w:val="auto"/>
              </w:rPr>
              <w:t>废水</w:t>
            </w:r>
          </w:p>
          <w:p>
            <w:pPr>
              <w:pStyle w:val="164"/>
              <w:ind w:left="-105" w:leftChars="-50" w:right="-105" w:rightChars="-50"/>
              <w:rPr>
                <w:color w:val="auto"/>
              </w:rPr>
            </w:pPr>
            <w:r>
              <w:rPr>
                <w:color w:val="auto"/>
              </w:rPr>
              <w:t>处理</w:t>
            </w:r>
          </w:p>
        </w:tc>
        <w:tc>
          <w:tcPr>
            <w:tcW w:w="1197" w:type="dxa"/>
            <w:vAlign w:val="center"/>
          </w:tcPr>
          <w:p>
            <w:pPr>
              <w:pStyle w:val="164"/>
              <w:ind w:left="-105" w:leftChars="-50" w:right="-105" w:rightChars="-50"/>
              <w:rPr>
                <w:color w:val="auto"/>
              </w:rPr>
            </w:pPr>
            <w:r>
              <w:rPr>
                <w:color w:val="auto"/>
              </w:rPr>
              <w:t>生产废水</w:t>
            </w:r>
          </w:p>
        </w:tc>
        <w:tc>
          <w:tcPr>
            <w:tcW w:w="2477" w:type="dxa"/>
            <w:tcBorders>
              <w:bottom w:val="single" w:color="000000" w:sz="4" w:space="0"/>
            </w:tcBorders>
            <w:vAlign w:val="center"/>
          </w:tcPr>
          <w:p>
            <w:pPr>
              <w:pStyle w:val="164"/>
              <w:ind w:left="-105" w:leftChars="-50" w:right="-105" w:rightChars="-50"/>
              <w:rPr>
                <w:color w:val="auto"/>
              </w:rPr>
            </w:pPr>
            <w:r>
              <w:rPr>
                <w:color w:val="auto"/>
              </w:rPr>
              <w:t>新建一座污水处理站（调节池+A</w:t>
            </w:r>
            <w:r>
              <w:rPr>
                <w:color w:val="auto"/>
                <w:vertAlign w:val="superscript"/>
              </w:rPr>
              <w:t>2</w:t>
            </w:r>
            <w:r>
              <w:rPr>
                <w:color w:val="auto"/>
              </w:rPr>
              <w:t>O+MBR+消毒工艺，处理规模10m</w:t>
            </w:r>
            <w:r>
              <w:rPr>
                <w:color w:val="auto"/>
                <w:vertAlign w:val="superscript"/>
              </w:rPr>
              <w:t>3</w:t>
            </w:r>
            <w:r>
              <w:rPr>
                <w:color w:val="auto"/>
              </w:rPr>
              <w:t>/d）</w:t>
            </w:r>
          </w:p>
        </w:tc>
        <w:tc>
          <w:tcPr>
            <w:tcW w:w="1167" w:type="dxa"/>
            <w:tcBorders>
              <w:bottom w:val="single" w:color="000000" w:sz="4" w:space="0"/>
            </w:tcBorders>
            <w:vAlign w:val="center"/>
          </w:tcPr>
          <w:p>
            <w:pPr>
              <w:pStyle w:val="164"/>
              <w:ind w:left="-105" w:leftChars="-50" w:right="-105" w:rightChars="-50"/>
              <w:rPr>
                <w:color w:val="auto"/>
              </w:rPr>
            </w:pPr>
            <w:r>
              <w:rPr>
                <w:color w:val="auto"/>
              </w:rPr>
              <w:t>NH</w:t>
            </w:r>
            <w:r>
              <w:rPr>
                <w:color w:val="auto"/>
                <w:vertAlign w:val="subscript"/>
              </w:rPr>
              <w:t>3</w:t>
            </w:r>
            <w:r>
              <w:rPr>
                <w:color w:val="auto"/>
              </w:rPr>
              <w:t>-N</w:t>
            </w:r>
          </w:p>
          <w:p>
            <w:pPr>
              <w:pStyle w:val="164"/>
              <w:ind w:left="-105" w:leftChars="-50" w:right="-105" w:rightChars="-50"/>
              <w:rPr>
                <w:color w:val="auto"/>
              </w:rPr>
            </w:pPr>
            <w:r>
              <w:rPr>
                <w:color w:val="auto"/>
              </w:rPr>
              <w:t>BOD</w:t>
            </w:r>
            <w:r>
              <w:rPr>
                <w:color w:val="auto"/>
                <w:vertAlign w:val="subscript"/>
              </w:rPr>
              <w:t>5</w:t>
            </w:r>
          </w:p>
          <w:p>
            <w:pPr>
              <w:pStyle w:val="164"/>
              <w:ind w:left="-105" w:leftChars="-50" w:right="-105" w:rightChars="-50"/>
              <w:rPr>
                <w:color w:val="auto"/>
              </w:rPr>
            </w:pPr>
            <w:r>
              <w:rPr>
                <w:color w:val="auto"/>
              </w:rPr>
              <w:t>COD</w:t>
            </w:r>
          </w:p>
          <w:p>
            <w:pPr>
              <w:pStyle w:val="164"/>
              <w:ind w:left="-105" w:leftChars="-50" w:right="-105" w:rightChars="-50"/>
              <w:rPr>
                <w:color w:val="auto"/>
              </w:rPr>
            </w:pPr>
            <w:r>
              <w:rPr>
                <w:color w:val="auto"/>
              </w:rPr>
              <w:t>SS</w:t>
            </w:r>
          </w:p>
          <w:p>
            <w:pPr>
              <w:pStyle w:val="164"/>
              <w:ind w:left="-105" w:leftChars="-50" w:right="-105" w:rightChars="-50"/>
              <w:rPr>
                <w:color w:val="auto"/>
                <w:sz w:val="22"/>
              </w:rPr>
            </w:pPr>
            <w:r>
              <w:rPr>
                <w:color w:val="auto"/>
                <w:sz w:val="22"/>
              </w:rPr>
              <w:t>余氯</w:t>
            </w:r>
          </w:p>
          <w:p>
            <w:pPr>
              <w:pStyle w:val="164"/>
              <w:ind w:left="-105" w:leftChars="-50" w:right="-105" w:rightChars="-50"/>
              <w:rPr>
                <w:color w:val="auto"/>
                <w:lang w:val="sq-AL"/>
              </w:rPr>
            </w:pPr>
            <w:r>
              <w:rPr>
                <w:color w:val="auto"/>
                <w:sz w:val="22"/>
              </w:rPr>
              <w:t>粪大肠杆菌</w:t>
            </w:r>
          </w:p>
        </w:tc>
        <w:tc>
          <w:tcPr>
            <w:tcW w:w="3204" w:type="dxa"/>
            <w:tcBorders>
              <w:bottom w:val="single" w:color="000000" w:sz="4" w:space="0"/>
            </w:tcBorders>
            <w:vAlign w:val="center"/>
          </w:tcPr>
          <w:p>
            <w:pPr>
              <w:pStyle w:val="164"/>
              <w:ind w:left="-105" w:leftChars="-50" w:right="-105" w:rightChars="-50"/>
              <w:rPr>
                <w:color w:val="auto"/>
              </w:rPr>
            </w:pPr>
            <w:r>
              <w:rPr>
                <w:color w:val="auto"/>
              </w:rPr>
              <w:t>达到《医疗机构水污染物排放标准》（GB18466-2005）综合医疗机构和其他医疗机构水污染物排放限值及</w:t>
            </w:r>
            <w:r>
              <w:rPr>
                <w:color w:val="auto"/>
                <w:lang w:bidi="en-GB"/>
              </w:rPr>
              <w:t>《城市污水再生利用 城市杂用水水质》（GB/T18920-2020）中城市绿化、道路清扫、消防、建筑施工用水要求，处理后废水全部回用于中卫市生活垃圾填埋场道路抑尘，不外排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089" w:hRule="atLeast"/>
          <w:jc w:val="center"/>
        </w:trPr>
        <w:tc>
          <w:tcPr>
            <w:tcW w:w="675" w:type="dxa"/>
            <w:vMerge w:val="continue"/>
            <w:vAlign w:val="center"/>
          </w:tcPr>
          <w:p>
            <w:pPr>
              <w:pStyle w:val="164"/>
              <w:ind w:left="-105" w:leftChars="-50" w:right="-105" w:rightChars="-50"/>
              <w:rPr>
                <w:color w:val="auto"/>
              </w:rPr>
            </w:pPr>
          </w:p>
        </w:tc>
        <w:tc>
          <w:tcPr>
            <w:tcW w:w="1197" w:type="dxa"/>
            <w:vAlign w:val="center"/>
          </w:tcPr>
          <w:p>
            <w:pPr>
              <w:pStyle w:val="164"/>
              <w:ind w:left="-105" w:leftChars="-50" w:right="-105" w:rightChars="-50"/>
              <w:rPr>
                <w:color w:val="auto"/>
              </w:rPr>
            </w:pPr>
            <w:r>
              <w:rPr>
                <w:color w:val="auto"/>
              </w:rPr>
              <w:t>生活污水</w:t>
            </w:r>
          </w:p>
        </w:tc>
        <w:tc>
          <w:tcPr>
            <w:tcW w:w="2477" w:type="dxa"/>
            <w:tcBorders>
              <w:top w:val="single" w:color="000000" w:sz="4" w:space="0"/>
            </w:tcBorders>
            <w:vAlign w:val="center"/>
          </w:tcPr>
          <w:p>
            <w:pPr>
              <w:pStyle w:val="164"/>
              <w:ind w:left="-105" w:leftChars="-50" w:right="-105" w:rightChars="-50"/>
              <w:rPr>
                <w:color w:val="auto"/>
              </w:rPr>
            </w:pPr>
            <w:r>
              <w:rPr>
                <w:color w:val="auto"/>
              </w:rPr>
              <w:t>依托</w:t>
            </w:r>
            <w:r>
              <w:rPr>
                <w:rFonts w:hint="eastAsia"/>
                <w:color w:val="auto"/>
              </w:rPr>
              <w:t>现有工程</w:t>
            </w:r>
            <w:r>
              <w:rPr>
                <w:color w:val="auto"/>
              </w:rPr>
              <w:t>化粪池一座10m</w:t>
            </w:r>
            <w:r>
              <w:rPr>
                <w:color w:val="auto"/>
                <w:vertAlign w:val="superscript"/>
              </w:rPr>
              <w:t>3</w:t>
            </w:r>
          </w:p>
        </w:tc>
        <w:tc>
          <w:tcPr>
            <w:tcW w:w="1167" w:type="dxa"/>
            <w:tcBorders>
              <w:top w:val="single" w:color="000000" w:sz="4" w:space="0"/>
            </w:tcBorders>
            <w:vAlign w:val="center"/>
          </w:tcPr>
          <w:p>
            <w:pPr>
              <w:pStyle w:val="164"/>
              <w:ind w:left="-105" w:leftChars="-50" w:right="-105" w:rightChars="-50"/>
              <w:rPr>
                <w:color w:val="auto"/>
              </w:rPr>
            </w:pPr>
            <w:r>
              <w:rPr>
                <w:color w:val="auto"/>
              </w:rPr>
              <w:t>NH</w:t>
            </w:r>
            <w:r>
              <w:rPr>
                <w:color w:val="auto"/>
                <w:vertAlign w:val="subscript"/>
              </w:rPr>
              <w:t>3</w:t>
            </w:r>
            <w:r>
              <w:rPr>
                <w:color w:val="auto"/>
              </w:rPr>
              <w:t>-N</w:t>
            </w:r>
          </w:p>
          <w:p>
            <w:pPr>
              <w:pStyle w:val="164"/>
              <w:ind w:left="-105" w:leftChars="-50" w:right="-105" w:rightChars="-50"/>
              <w:rPr>
                <w:color w:val="auto"/>
              </w:rPr>
            </w:pPr>
            <w:r>
              <w:rPr>
                <w:color w:val="auto"/>
              </w:rPr>
              <w:t>BOD</w:t>
            </w:r>
            <w:r>
              <w:rPr>
                <w:color w:val="auto"/>
                <w:vertAlign w:val="subscript"/>
              </w:rPr>
              <w:t>5</w:t>
            </w:r>
          </w:p>
          <w:p>
            <w:pPr>
              <w:pStyle w:val="164"/>
              <w:ind w:left="-105" w:leftChars="-50" w:right="-105" w:rightChars="-50"/>
              <w:rPr>
                <w:color w:val="auto"/>
              </w:rPr>
            </w:pPr>
            <w:r>
              <w:rPr>
                <w:color w:val="auto"/>
              </w:rPr>
              <w:t>COD</w:t>
            </w:r>
          </w:p>
          <w:p>
            <w:pPr>
              <w:pStyle w:val="164"/>
              <w:ind w:left="-105" w:leftChars="-50" w:right="-105" w:rightChars="-50"/>
              <w:rPr>
                <w:color w:val="auto"/>
                <w:lang w:val="sq-AL"/>
              </w:rPr>
            </w:pPr>
            <w:r>
              <w:rPr>
                <w:color w:val="auto"/>
              </w:rPr>
              <w:t>SS</w:t>
            </w:r>
          </w:p>
        </w:tc>
        <w:tc>
          <w:tcPr>
            <w:tcW w:w="3204" w:type="dxa"/>
            <w:tcBorders>
              <w:top w:val="single" w:color="000000" w:sz="4" w:space="0"/>
            </w:tcBorders>
            <w:vAlign w:val="center"/>
          </w:tcPr>
          <w:p>
            <w:pPr>
              <w:pStyle w:val="164"/>
              <w:ind w:left="-105" w:leftChars="-50" w:right="-105" w:rightChars="-50"/>
              <w:rPr>
                <w:color w:val="auto"/>
              </w:rPr>
            </w:pPr>
            <w:r>
              <w:rPr>
                <w:color w:val="auto"/>
              </w:rPr>
              <w:t>用吸污车运送至中卫市生活垃圾填埋场的渗滤液调蓄池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75" w:type="dxa"/>
            <w:vMerge w:val="restart"/>
            <w:vAlign w:val="center"/>
          </w:tcPr>
          <w:p>
            <w:pPr>
              <w:pStyle w:val="164"/>
              <w:ind w:left="-105" w:leftChars="-50" w:right="-105" w:rightChars="-50"/>
              <w:rPr>
                <w:color w:val="auto"/>
              </w:rPr>
            </w:pPr>
            <w:r>
              <w:rPr>
                <w:color w:val="auto"/>
              </w:rPr>
              <w:t>地下水污染防治</w:t>
            </w:r>
          </w:p>
        </w:tc>
        <w:tc>
          <w:tcPr>
            <w:tcW w:w="1197" w:type="dxa"/>
            <w:vAlign w:val="center"/>
          </w:tcPr>
          <w:p>
            <w:pPr>
              <w:pStyle w:val="164"/>
              <w:ind w:left="-105" w:leftChars="-50" w:right="-105" w:rightChars="-50"/>
              <w:rPr>
                <w:color w:val="auto"/>
              </w:rPr>
            </w:pPr>
            <w:r>
              <w:rPr>
                <w:color w:val="auto"/>
              </w:rPr>
              <w:t>分区防渗</w:t>
            </w:r>
          </w:p>
        </w:tc>
        <w:tc>
          <w:tcPr>
            <w:tcW w:w="3644" w:type="dxa"/>
            <w:gridSpan w:val="2"/>
            <w:tcBorders>
              <w:right w:val="single" w:color="auto" w:sz="4" w:space="0"/>
            </w:tcBorders>
            <w:vAlign w:val="center"/>
          </w:tcPr>
          <w:p>
            <w:pPr>
              <w:pStyle w:val="164"/>
              <w:ind w:left="-105" w:leftChars="-50" w:right="-105" w:rightChars="-50"/>
              <w:rPr>
                <w:color w:val="auto"/>
              </w:rPr>
            </w:pPr>
            <w:r>
              <w:rPr>
                <w:color w:val="auto"/>
              </w:rPr>
              <w:t xml:space="preserve"> 重点防渗区防渗性能应与6.0m厚粘土层(渗透系数1.0×10</w:t>
            </w:r>
            <w:r>
              <w:rPr>
                <w:color w:val="auto"/>
                <w:vertAlign w:val="superscript"/>
              </w:rPr>
              <w:t>-7</w:t>
            </w:r>
            <w:r>
              <w:rPr>
                <w:color w:val="auto"/>
              </w:rPr>
              <w:t>cm/s)等效；一般防渗区防渗性能应与1.5m厚粘土层(渗透系数1.0×10</w:t>
            </w:r>
            <w:r>
              <w:rPr>
                <w:color w:val="auto"/>
                <w:vertAlign w:val="superscript"/>
              </w:rPr>
              <w:t>-7</w:t>
            </w:r>
            <w:r>
              <w:rPr>
                <w:color w:val="auto"/>
              </w:rPr>
              <w:t>cm/s)等效；简单防渗区一般地面硬化</w:t>
            </w:r>
          </w:p>
        </w:tc>
        <w:tc>
          <w:tcPr>
            <w:tcW w:w="3204" w:type="dxa"/>
            <w:vMerge w:val="restart"/>
            <w:tcBorders>
              <w:left w:val="single" w:color="auto" w:sz="4" w:space="0"/>
            </w:tcBorders>
            <w:vAlign w:val="center"/>
          </w:tcPr>
          <w:p>
            <w:pPr>
              <w:pStyle w:val="164"/>
              <w:ind w:left="-105" w:leftChars="-50" w:right="-105" w:rightChars="-50"/>
              <w:rPr>
                <w:color w:val="auto"/>
              </w:rPr>
            </w:pPr>
            <w:r>
              <w:rPr>
                <w:color w:val="auto"/>
              </w:rPr>
              <w:t>满足《环境影响评价技术导则 地下水环境》(HJ610-2016)要求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75" w:type="dxa"/>
            <w:vMerge w:val="continue"/>
            <w:vAlign w:val="center"/>
          </w:tcPr>
          <w:p>
            <w:pPr>
              <w:pStyle w:val="164"/>
              <w:ind w:left="-105" w:leftChars="-50" w:right="-105" w:rightChars="-50"/>
              <w:rPr>
                <w:color w:val="auto"/>
              </w:rPr>
            </w:pPr>
          </w:p>
        </w:tc>
        <w:tc>
          <w:tcPr>
            <w:tcW w:w="1197" w:type="dxa"/>
            <w:vAlign w:val="center"/>
          </w:tcPr>
          <w:p>
            <w:pPr>
              <w:pStyle w:val="164"/>
              <w:ind w:left="-105" w:leftChars="-50" w:right="-105" w:rightChars="-50"/>
              <w:rPr>
                <w:color w:val="auto"/>
              </w:rPr>
            </w:pPr>
            <w:r>
              <w:rPr>
                <w:color w:val="auto"/>
              </w:rPr>
              <w:t>地下水监测</w:t>
            </w:r>
          </w:p>
        </w:tc>
        <w:tc>
          <w:tcPr>
            <w:tcW w:w="3644" w:type="dxa"/>
            <w:gridSpan w:val="2"/>
            <w:vAlign w:val="center"/>
          </w:tcPr>
          <w:p>
            <w:pPr>
              <w:pStyle w:val="164"/>
              <w:ind w:left="-105" w:leftChars="-50" w:right="-105" w:rightChars="-50"/>
              <w:rPr>
                <w:color w:val="auto"/>
              </w:rPr>
            </w:pPr>
            <w:r>
              <w:rPr>
                <w:color w:val="auto"/>
              </w:rPr>
              <w:t>地下水监测井3个（项目厂址及上、下游各1个）</w:t>
            </w:r>
          </w:p>
        </w:tc>
        <w:tc>
          <w:tcPr>
            <w:tcW w:w="3204" w:type="dxa"/>
            <w:vMerge w:val="continue"/>
            <w:tcBorders>
              <w:left w:val="single" w:color="auto" w:sz="4" w:space="0"/>
            </w:tcBorders>
            <w:vAlign w:val="center"/>
          </w:tcPr>
          <w:p>
            <w:pPr>
              <w:pStyle w:val="164"/>
              <w:ind w:left="-105" w:leftChars="-50" w:right="-105" w:rightChars="-50"/>
              <w:rPr>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75" w:type="dxa"/>
            <w:vAlign w:val="center"/>
          </w:tcPr>
          <w:p>
            <w:pPr>
              <w:pStyle w:val="164"/>
              <w:ind w:left="-105" w:leftChars="-50" w:right="-105" w:rightChars="-50"/>
              <w:rPr>
                <w:color w:val="auto"/>
              </w:rPr>
            </w:pPr>
            <w:r>
              <w:rPr>
                <w:color w:val="auto"/>
              </w:rPr>
              <w:t>噪声</w:t>
            </w:r>
          </w:p>
          <w:p>
            <w:pPr>
              <w:pStyle w:val="164"/>
              <w:ind w:left="-105" w:leftChars="-50" w:right="-105" w:rightChars="-50"/>
              <w:rPr>
                <w:color w:val="auto"/>
              </w:rPr>
            </w:pPr>
            <w:r>
              <w:rPr>
                <w:color w:val="auto"/>
              </w:rPr>
              <w:t>处理</w:t>
            </w:r>
          </w:p>
        </w:tc>
        <w:tc>
          <w:tcPr>
            <w:tcW w:w="1197" w:type="dxa"/>
            <w:vAlign w:val="center"/>
          </w:tcPr>
          <w:p>
            <w:pPr>
              <w:pStyle w:val="164"/>
              <w:ind w:left="-105" w:leftChars="-50" w:right="-105" w:rightChars="-50"/>
              <w:rPr>
                <w:color w:val="auto"/>
              </w:rPr>
            </w:pPr>
            <w:r>
              <w:rPr>
                <w:color w:val="auto"/>
              </w:rPr>
              <w:t>噪声治理</w:t>
            </w:r>
          </w:p>
        </w:tc>
        <w:tc>
          <w:tcPr>
            <w:tcW w:w="3644" w:type="dxa"/>
            <w:gridSpan w:val="2"/>
            <w:vAlign w:val="center"/>
          </w:tcPr>
          <w:p>
            <w:pPr>
              <w:pStyle w:val="164"/>
              <w:ind w:left="-105" w:leftChars="-50" w:right="-105" w:rightChars="-50"/>
              <w:rPr>
                <w:color w:val="auto"/>
              </w:rPr>
            </w:pPr>
            <w:r>
              <w:rPr>
                <w:color w:val="auto"/>
              </w:rPr>
              <w:t>隔声门窗、各类机泵、风机进行基础减震、消声</w:t>
            </w:r>
            <w:r>
              <w:rPr>
                <w:color w:val="auto"/>
                <w:lang w:val="zh-CN"/>
              </w:rPr>
              <w:t>等</w:t>
            </w:r>
          </w:p>
        </w:tc>
        <w:tc>
          <w:tcPr>
            <w:tcW w:w="3204" w:type="dxa"/>
            <w:vAlign w:val="center"/>
          </w:tcPr>
          <w:p>
            <w:pPr>
              <w:pStyle w:val="164"/>
              <w:ind w:left="-105" w:leftChars="-50" w:right="-105" w:rightChars="-50"/>
              <w:rPr>
                <w:color w:val="auto"/>
              </w:rPr>
            </w:pPr>
            <w:r>
              <w:rPr>
                <w:color w:val="auto"/>
              </w:rPr>
              <w:t>厂界噪声达到《工业企业厂界环境噪声排放标准》（GB12348-2008）2类区标准限值要求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75" w:type="dxa"/>
            <w:vMerge w:val="restart"/>
            <w:vAlign w:val="center"/>
          </w:tcPr>
          <w:p>
            <w:pPr>
              <w:pStyle w:val="164"/>
              <w:ind w:left="-105" w:leftChars="-50" w:right="-105" w:rightChars="-50"/>
              <w:rPr>
                <w:color w:val="auto"/>
              </w:rPr>
            </w:pPr>
            <w:r>
              <w:rPr>
                <w:color w:val="auto"/>
              </w:rPr>
              <w:t>固体废物防治</w:t>
            </w:r>
          </w:p>
        </w:tc>
        <w:tc>
          <w:tcPr>
            <w:tcW w:w="1197" w:type="dxa"/>
            <w:vAlign w:val="center"/>
          </w:tcPr>
          <w:p>
            <w:pPr>
              <w:pStyle w:val="164"/>
              <w:ind w:left="-105" w:leftChars="-50" w:right="-105" w:rightChars="-50"/>
              <w:rPr>
                <w:color w:val="auto"/>
              </w:rPr>
            </w:pPr>
            <w:r>
              <w:rPr>
                <w:color w:val="auto"/>
              </w:rPr>
              <w:t>一般工业</w:t>
            </w:r>
          </w:p>
          <w:p>
            <w:pPr>
              <w:pStyle w:val="164"/>
              <w:ind w:left="-105" w:leftChars="-50" w:right="-105" w:rightChars="-50"/>
              <w:rPr>
                <w:color w:val="auto"/>
              </w:rPr>
            </w:pPr>
            <w:r>
              <w:rPr>
                <w:color w:val="auto"/>
              </w:rPr>
              <w:t>固废</w:t>
            </w:r>
          </w:p>
        </w:tc>
        <w:tc>
          <w:tcPr>
            <w:tcW w:w="3644" w:type="dxa"/>
            <w:gridSpan w:val="2"/>
            <w:vAlign w:val="center"/>
          </w:tcPr>
          <w:p>
            <w:pPr>
              <w:pStyle w:val="164"/>
              <w:ind w:left="-105" w:leftChars="-50" w:right="-105" w:rightChars="-50"/>
              <w:rPr>
                <w:color w:val="auto"/>
              </w:rPr>
            </w:pPr>
            <w:r>
              <w:rPr>
                <w:color w:val="auto"/>
              </w:rPr>
              <w:t>生活垃圾、报废周转箱和废树脂收集后清运至中卫市第二生活垃圾填埋场卫生填埋</w:t>
            </w:r>
          </w:p>
        </w:tc>
        <w:tc>
          <w:tcPr>
            <w:tcW w:w="3204" w:type="dxa"/>
            <w:vAlign w:val="center"/>
          </w:tcPr>
          <w:p>
            <w:pPr>
              <w:pStyle w:val="164"/>
              <w:ind w:left="-105" w:leftChars="-50" w:right="-105" w:rightChars="-50"/>
              <w:rPr>
                <w:color w:val="auto"/>
              </w:rPr>
            </w:pPr>
            <w:r>
              <w:rPr>
                <w:color w:val="auto"/>
              </w:rPr>
              <w:t>一般工业固体废物临时贮存满足《一般工业固体废物贮存和填埋污染控制标准》（GB18559-2020）的相关要求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478" w:hRule="atLeast"/>
          <w:jc w:val="center"/>
        </w:trPr>
        <w:tc>
          <w:tcPr>
            <w:tcW w:w="675" w:type="dxa"/>
            <w:vMerge w:val="continue"/>
            <w:vAlign w:val="center"/>
          </w:tcPr>
          <w:p>
            <w:pPr>
              <w:pStyle w:val="164"/>
              <w:ind w:left="-105" w:leftChars="-50" w:right="-105" w:rightChars="-50"/>
              <w:rPr>
                <w:color w:val="auto"/>
              </w:rPr>
            </w:pPr>
          </w:p>
        </w:tc>
        <w:tc>
          <w:tcPr>
            <w:tcW w:w="1197" w:type="dxa"/>
            <w:vAlign w:val="center"/>
          </w:tcPr>
          <w:p>
            <w:pPr>
              <w:pStyle w:val="164"/>
              <w:ind w:left="-105" w:leftChars="-50" w:right="-105" w:rightChars="-50"/>
              <w:rPr>
                <w:color w:val="auto"/>
              </w:rPr>
            </w:pPr>
            <w:r>
              <w:rPr>
                <w:color w:val="auto"/>
              </w:rPr>
              <w:t>危险废物</w:t>
            </w:r>
          </w:p>
        </w:tc>
        <w:tc>
          <w:tcPr>
            <w:tcW w:w="3644" w:type="dxa"/>
            <w:gridSpan w:val="2"/>
            <w:vAlign w:val="center"/>
          </w:tcPr>
          <w:p>
            <w:pPr>
              <w:pStyle w:val="164"/>
              <w:ind w:left="-105" w:leftChars="-50" w:right="-105" w:rightChars="-50"/>
              <w:rPr>
                <w:color w:val="auto"/>
              </w:rPr>
            </w:pPr>
            <w:r>
              <w:rPr>
                <w:color w:val="auto"/>
              </w:rPr>
              <w:t>灭菌处理后的医疗废物收集后清运至中卫市第二生活垃圾填埋场填埋；废活性炭、废滤芯收集至危废暂存间（3m</w:t>
            </w:r>
            <w:r>
              <w:rPr>
                <w:color w:val="auto"/>
                <w:vertAlign w:val="superscript"/>
              </w:rPr>
              <w:t>2</w:t>
            </w:r>
            <w:r>
              <w:rPr>
                <w:color w:val="auto"/>
              </w:rPr>
              <w:t>），污水处理站污泥收集至污泥池，委托宁夏德坤环保科技实业集团有限公司处置</w:t>
            </w:r>
          </w:p>
        </w:tc>
        <w:tc>
          <w:tcPr>
            <w:tcW w:w="3204" w:type="dxa"/>
            <w:vAlign w:val="center"/>
          </w:tcPr>
          <w:p>
            <w:pPr>
              <w:pStyle w:val="164"/>
              <w:ind w:left="-105" w:leftChars="-50" w:right="-105" w:rightChars="-50"/>
              <w:rPr>
                <w:color w:val="auto"/>
              </w:rPr>
            </w:pPr>
            <w:r>
              <w:rPr>
                <w:color w:val="auto"/>
              </w:rPr>
              <w:t>危险废物执行《危险废物贮存污染 控制标准》</w:t>
            </w:r>
            <w:r>
              <w:rPr>
                <w:rFonts w:hint="eastAsia"/>
                <w:color w:val="auto"/>
              </w:rPr>
              <w:t>（</w:t>
            </w:r>
            <w:r>
              <w:rPr>
                <w:color w:val="auto"/>
              </w:rPr>
              <w:t>GB18597-2001</w:t>
            </w:r>
            <w:r>
              <w:rPr>
                <w:rFonts w:hint="eastAsia"/>
                <w:color w:val="auto"/>
              </w:rPr>
              <w:t>）</w:t>
            </w:r>
            <w:r>
              <w:rPr>
                <w:color w:val="auto"/>
              </w:rPr>
              <w:t>及2013年修改单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90" w:hRule="atLeast"/>
          <w:jc w:val="center"/>
        </w:trPr>
        <w:tc>
          <w:tcPr>
            <w:tcW w:w="675" w:type="dxa"/>
            <w:vMerge w:val="restart"/>
            <w:vAlign w:val="center"/>
          </w:tcPr>
          <w:p>
            <w:pPr>
              <w:pStyle w:val="164"/>
              <w:ind w:left="-105" w:leftChars="-50" w:right="-105" w:rightChars="-50"/>
              <w:rPr>
                <w:color w:val="auto"/>
              </w:rPr>
            </w:pPr>
            <w:r>
              <w:rPr>
                <w:color w:val="auto"/>
              </w:rPr>
              <w:t>环境</w:t>
            </w:r>
          </w:p>
          <w:p>
            <w:pPr>
              <w:pStyle w:val="164"/>
              <w:ind w:left="-105" w:leftChars="-50" w:right="-105" w:rightChars="-50"/>
              <w:rPr>
                <w:color w:val="auto"/>
              </w:rPr>
            </w:pPr>
            <w:r>
              <w:rPr>
                <w:color w:val="auto"/>
              </w:rPr>
              <w:t>风险</w:t>
            </w:r>
          </w:p>
          <w:p>
            <w:pPr>
              <w:pStyle w:val="164"/>
              <w:ind w:left="-105" w:leftChars="-50" w:right="-105" w:rightChars="-50"/>
              <w:rPr>
                <w:color w:val="auto"/>
              </w:rPr>
            </w:pPr>
            <w:r>
              <w:rPr>
                <w:color w:val="auto"/>
              </w:rPr>
              <w:t>防范</w:t>
            </w:r>
          </w:p>
        </w:tc>
        <w:tc>
          <w:tcPr>
            <w:tcW w:w="1197" w:type="dxa"/>
            <w:vAlign w:val="center"/>
          </w:tcPr>
          <w:p>
            <w:pPr>
              <w:jc w:val="center"/>
              <w:rPr>
                <w:color w:val="auto"/>
              </w:rPr>
            </w:pPr>
            <w:r>
              <w:rPr>
                <w:color w:val="auto"/>
              </w:rPr>
              <w:t>消防系统</w:t>
            </w:r>
          </w:p>
        </w:tc>
        <w:tc>
          <w:tcPr>
            <w:tcW w:w="6848" w:type="dxa"/>
            <w:gridSpan w:val="3"/>
            <w:vAlign w:val="center"/>
          </w:tcPr>
          <w:p>
            <w:pPr>
              <w:pStyle w:val="164"/>
              <w:ind w:left="-105" w:leftChars="-50" w:right="-105" w:rightChars="-50"/>
              <w:rPr>
                <w:color w:val="auto"/>
              </w:rPr>
            </w:pPr>
            <w:r>
              <w:rPr>
                <w:color w:val="auto"/>
              </w:rPr>
              <w:t>依托原有项目消防系统（包含消防器材、防护服等）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75" w:type="dxa"/>
            <w:vMerge w:val="continue"/>
            <w:vAlign w:val="center"/>
          </w:tcPr>
          <w:p>
            <w:pPr>
              <w:pStyle w:val="164"/>
              <w:ind w:left="-105" w:leftChars="-50" w:right="-105" w:rightChars="-50"/>
              <w:rPr>
                <w:color w:val="auto"/>
              </w:rPr>
            </w:pPr>
          </w:p>
        </w:tc>
        <w:tc>
          <w:tcPr>
            <w:tcW w:w="1197" w:type="dxa"/>
            <w:vAlign w:val="center"/>
          </w:tcPr>
          <w:p>
            <w:pPr>
              <w:pStyle w:val="164"/>
              <w:ind w:left="-105" w:leftChars="-50" w:right="-105" w:rightChars="-50"/>
              <w:rPr>
                <w:color w:val="auto"/>
              </w:rPr>
            </w:pPr>
            <w:r>
              <w:rPr>
                <w:color w:val="auto"/>
              </w:rPr>
              <w:t>初期雨水</w:t>
            </w:r>
          </w:p>
          <w:p>
            <w:pPr>
              <w:pStyle w:val="164"/>
              <w:ind w:left="-105" w:leftChars="-50" w:right="-105" w:rightChars="-50"/>
              <w:rPr>
                <w:color w:val="auto"/>
              </w:rPr>
            </w:pPr>
            <w:r>
              <w:rPr>
                <w:color w:val="auto"/>
              </w:rPr>
              <w:t>收集池</w:t>
            </w:r>
          </w:p>
        </w:tc>
        <w:tc>
          <w:tcPr>
            <w:tcW w:w="6848" w:type="dxa"/>
            <w:gridSpan w:val="3"/>
            <w:vAlign w:val="center"/>
          </w:tcPr>
          <w:p>
            <w:pPr>
              <w:pStyle w:val="164"/>
              <w:ind w:left="-105" w:leftChars="-50" w:right="-105" w:rightChars="-50"/>
              <w:rPr>
                <w:color w:val="auto"/>
              </w:rPr>
            </w:pPr>
            <w:r>
              <w:rPr>
                <w:color w:val="auto"/>
              </w:rPr>
              <w:t>依托原有初期雨水收集池一座50m</w:t>
            </w:r>
            <w:r>
              <w:rPr>
                <w:color w:val="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1" w:hRule="atLeast"/>
          <w:jc w:val="center"/>
        </w:trPr>
        <w:tc>
          <w:tcPr>
            <w:tcW w:w="675" w:type="dxa"/>
            <w:vMerge w:val="continue"/>
            <w:vAlign w:val="center"/>
          </w:tcPr>
          <w:p>
            <w:pPr>
              <w:pStyle w:val="164"/>
              <w:ind w:left="-105" w:leftChars="-50" w:right="-105" w:rightChars="-50"/>
              <w:rPr>
                <w:color w:val="auto"/>
              </w:rPr>
            </w:pPr>
          </w:p>
        </w:tc>
        <w:tc>
          <w:tcPr>
            <w:tcW w:w="1197" w:type="dxa"/>
            <w:vAlign w:val="center"/>
          </w:tcPr>
          <w:p>
            <w:pPr>
              <w:pStyle w:val="164"/>
              <w:ind w:left="-105" w:leftChars="-50" w:right="-105" w:rightChars="-50"/>
              <w:rPr>
                <w:color w:val="auto"/>
              </w:rPr>
            </w:pPr>
            <w:r>
              <w:rPr>
                <w:color w:val="auto"/>
              </w:rPr>
              <w:t>事故水池</w:t>
            </w:r>
          </w:p>
        </w:tc>
        <w:tc>
          <w:tcPr>
            <w:tcW w:w="6848" w:type="dxa"/>
            <w:gridSpan w:val="3"/>
            <w:vAlign w:val="center"/>
          </w:tcPr>
          <w:p>
            <w:pPr>
              <w:pStyle w:val="164"/>
              <w:ind w:left="-105" w:leftChars="-50" w:right="-105" w:rightChars="-50"/>
              <w:rPr>
                <w:color w:val="auto"/>
              </w:rPr>
            </w:pPr>
            <w:r>
              <w:rPr>
                <w:color w:val="auto"/>
              </w:rPr>
              <w:t>事故水池一座30m</w:t>
            </w:r>
            <w:r>
              <w:rPr>
                <w:color w:val="auto"/>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72" w:hRule="atLeast"/>
          <w:jc w:val="center"/>
        </w:trPr>
        <w:tc>
          <w:tcPr>
            <w:tcW w:w="675" w:type="dxa"/>
            <w:vMerge w:val="continue"/>
            <w:vAlign w:val="center"/>
          </w:tcPr>
          <w:p>
            <w:pPr>
              <w:pStyle w:val="164"/>
              <w:ind w:left="-105" w:leftChars="-50" w:right="-105" w:rightChars="-50"/>
              <w:rPr>
                <w:color w:val="auto"/>
              </w:rPr>
            </w:pPr>
          </w:p>
        </w:tc>
        <w:tc>
          <w:tcPr>
            <w:tcW w:w="1197" w:type="dxa"/>
            <w:vAlign w:val="center"/>
          </w:tcPr>
          <w:p>
            <w:pPr>
              <w:pStyle w:val="164"/>
              <w:ind w:left="-105" w:leftChars="-50" w:right="-105" w:rightChars="-50"/>
              <w:rPr>
                <w:color w:val="auto"/>
              </w:rPr>
            </w:pPr>
            <w:r>
              <w:rPr>
                <w:color w:val="auto"/>
              </w:rPr>
              <w:t>应急预案</w:t>
            </w:r>
          </w:p>
        </w:tc>
        <w:tc>
          <w:tcPr>
            <w:tcW w:w="6848" w:type="dxa"/>
            <w:gridSpan w:val="3"/>
            <w:vAlign w:val="center"/>
          </w:tcPr>
          <w:p>
            <w:pPr>
              <w:pStyle w:val="164"/>
              <w:ind w:left="-105" w:leftChars="-50" w:right="-105" w:rightChars="-50"/>
              <w:rPr>
                <w:color w:val="auto"/>
              </w:rPr>
            </w:pPr>
            <w:r>
              <w:rPr>
                <w:color w:val="auto"/>
              </w:rPr>
              <w:t>更新编制突发环境事件应急预案并备案</w:t>
            </w:r>
          </w:p>
        </w:tc>
      </w:tr>
    </w:tbl>
    <w:p>
      <w:pPr>
        <w:jc w:val="center"/>
        <w:rPr>
          <w:rFonts w:eastAsiaTheme="minorEastAsia"/>
          <w:b/>
          <w:color w:val="auto"/>
          <w:sz w:val="24"/>
          <w:szCs w:val="24"/>
        </w:rPr>
      </w:pPr>
    </w:p>
    <w:p>
      <w:pPr>
        <w:rPr>
          <w:rFonts w:eastAsiaTheme="minorEastAsia"/>
          <w:color w:val="auto"/>
        </w:rPr>
        <w:sectPr>
          <w:pgSz w:w="11906" w:h="16838"/>
          <w:pgMar w:top="1701" w:right="1701" w:bottom="1701" w:left="1701" w:header="851" w:footer="851" w:gutter="0"/>
          <w:cols w:space="720" w:num="1"/>
          <w:docGrid w:linePitch="466" w:charSpace="0"/>
        </w:sectPr>
      </w:pPr>
      <w:bookmarkStart w:id="854" w:name="_Toc332203461"/>
      <w:bookmarkStart w:id="855" w:name="_Toc387745798"/>
      <w:bookmarkStart w:id="856" w:name="_Toc299369099"/>
    </w:p>
    <w:p>
      <w:pPr>
        <w:pStyle w:val="3"/>
        <w:numPr>
          <w:ilvl w:val="0"/>
          <w:numId w:val="0"/>
        </w:numPr>
        <w:spacing w:before="120" w:after="120"/>
        <w:jc w:val="center"/>
        <w:rPr>
          <w:rFonts w:ascii="Times New Roman" w:hAnsi="Times New Roman"/>
          <w:color w:val="auto"/>
        </w:rPr>
      </w:pPr>
      <w:bookmarkStart w:id="857" w:name="_Toc11595579"/>
      <w:bookmarkStart w:id="858" w:name="_Toc493853630"/>
      <w:bookmarkStart w:id="859" w:name="_Toc109398756"/>
      <w:r>
        <w:rPr>
          <w:rFonts w:ascii="Times New Roman" w:hAnsi="Times New Roman"/>
          <w:color w:val="auto"/>
        </w:rPr>
        <w:t>11结论与建议</w:t>
      </w:r>
      <w:bookmarkEnd w:id="854"/>
      <w:bookmarkEnd w:id="855"/>
      <w:bookmarkEnd w:id="856"/>
      <w:bookmarkEnd w:id="857"/>
      <w:bookmarkEnd w:id="858"/>
      <w:bookmarkEnd w:id="859"/>
    </w:p>
    <w:p>
      <w:pPr>
        <w:pStyle w:val="4"/>
        <w:numPr>
          <w:ilvl w:val="1"/>
          <w:numId w:val="0"/>
        </w:numPr>
        <w:spacing w:before="120"/>
        <w:rPr>
          <w:color w:val="auto"/>
        </w:rPr>
      </w:pPr>
      <w:bookmarkStart w:id="860" w:name="_Toc109398757"/>
      <w:bookmarkStart w:id="861" w:name="_Toc332203462"/>
      <w:bookmarkStart w:id="862" w:name="_Toc299369100"/>
      <w:r>
        <w:rPr>
          <w:color w:val="auto"/>
        </w:rPr>
        <w:t>11.1建设项目概况结论</w:t>
      </w:r>
      <w:bookmarkEnd w:id="860"/>
    </w:p>
    <w:p>
      <w:pPr>
        <w:pStyle w:val="130"/>
        <w:ind w:firstLine="480"/>
        <w:rPr>
          <w:color w:val="auto"/>
        </w:rPr>
      </w:pPr>
      <w:r>
        <w:rPr>
          <w:color w:val="auto"/>
        </w:rPr>
        <w:t>中卫市应理城乡市政产业（集团）有限公司建设的“中卫医疗废物处置中心改造项目”位于宁夏中卫市永康镇阳沟村中卫市生活垃圾填埋场西侧，项目中心地理坐标为东经105°15'26.87"，北纬37°26'32.17"。项目总投资1479.15万元，环保投资105万元，占总投资的7.1%。本项目主要建设内容为新建5t/d医疗废物高温蒸汽灭菌器及配套设备，10m</w:t>
      </w:r>
      <w:r>
        <w:rPr>
          <w:color w:val="auto"/>
          <w:vertAlign w:val="superscript"/>
        </w:rPr>
        <w:t>3</w:t>
      </w:r>
      <w:r>
        <w:rPr>
          <w:color w:val="auto"/>
        </w:rPr>
        <w:t>/d污水处理站一座及相关配套设施</w:t>
      </w:r>
      <w:r>
        <w:rPr>
          <w:rFonts w:hint="eastAsia"/>
          <w:color w:val="auto"/>
        </w:rPr>
        <w:t>，</w:t>
      </w:r>
      <w:r>
        <w:rPr>
          <w:color w:val="auto"/>
        </w:rPr>
        <w:t>其中：新增医疗废物高温蒸汽灭菌器、破碎系统、冷却水循环辅助单元、除臭系统、生活供暖电热水锅炉、地轨及转盘各1套，新增医疗废物灭菌小车12辆、医疗废物转运用车7辆、垃圾转运车1辆、生产用蒸汽发生器5台，新建车库一座，改造破碎机1套。保留现有工程3t/d高温蒸汽灭菌设备</w:t>
      </w:r>
      <w:r>
        <w:rPr>
          <w:rFonts w:hint="eastAsia"/>
          <w:color w:val="auto"/>
        </w:rPr>
        <w:t>，本项目建设完成后全厂医疗废物总处置能力达到8t</w:t>
      </w:r>
      <w:r>
        <w:rPr>
          <w:color w:val="auto"/>
        </w:rPr>
        <w:t>/d。</w:t>
      </w:r>
    </w:p>
    <w:p>
      <w:pPr>
        <w:pStyle w:val="4"/>
        <w:numPr>
          <w:ilvl w:val="1"/>
          <w:numId w:val="0"/>
        </w:numPr>
        <w:spacing w:before="120"/>
        <w:rPr>
          <w:color w:val="auto"/>
        </w:rPr>
      </w:pPr>
      <w:bookmarkStart w:id="863" w:name="_Toc387745799"/>
      <w:bookmarkStart w:id="864" w:name="_Toc11595580"/>
      <w:bookmarkStart w:id="865" w:name="_Toc493853631"/>
      <w:bookmarkStart w:id="866" w:name="_Toc109398758"/>
      <w:r>
        <w:rPr>
          <w:color w:val="auto"/>
        </w:rPr>
        <w:t>11.2项目与产业政策及地方相关规划的符合性</w:t>
      </w:r>
      <w:bookmarkEnd w:id="861"/>
      <w:bookmarkEnd w:id="862"/>
      <w:bookmarkEnd w:id="863"/>
      <w:bookmarkEnd w:id="864"/>
      <w:bookmarkEnd w:id="865"/>
      <w:r>
        <w:rPr>
          <w:color w:val="auto"/>
        </w:rPr>
        <w:t>结论</w:t>
      </w:r>
      <w:bookmarkEnd w:id="866"/>
    </w:p>
    <w:p>
      <w:pPr>
        <w:pStyle w:val="5"/>
        <w:numPr>
          <w:ilvl w:val="2"/>
          <w:numId w:val="0"/>
        </w:numPr>
        <w:ind w:left="-720" w:leftChars="-343" w:firstLine="723" w:firstLineChars="300"/>
        <w:rPr>
          <w:color w:val="auto"/>
        </w:rPr>
      </w:pPr>
      <w:bookmarkStart w:id="867" w:name="_Toc109398759"/>
      <w:bookmarkStart w:id="868" w:name="_Toc387745818"/>
      <w:bookmarkStart w:id="869" w:name="_Toc11595602"/>
      <w:bookmarkStart w:id="870" w:name="_Toc332203478"/>
      <w:bookmarkStart w:id="871" w:name="_Toc493853646"/>
      <w:bookmarkStart w:id="872" w:name="_Toc299369121"/>
      <w:r>
        <w:rPr>
          <w:color w:val="auto"/>
        </w:rPr>
        <w:t>11.2.1与《产业结构调整指导目录》（2019年本）相符性分析</w:t>
      </w:r>
      <w:bookmarkEnd w:id="867"/>
    </w:p>
    <w:p>
      <w:pPr>
        <w:pStyle w:val="130"/>
        <w:ind w:firstLine="480"/>
        <w:rPr>
          <w:color w:val="auto"/>
        </w:rPr>
      </w:pPr>
      <w:r>
        <w:rPr>
          <w:color w:val="auto"/>
        </w:rPr>
        <w:t>本项目属于《产业结构调整指导目录》（2019 年本）鼓励类中“四十三、环境保护与资源节约综合利用”，第8条“危险废物（医疗废物）及含重金属废物安全处置技术设备开发制造及处置中心建设及运营；放射性废物、核设施退役工程安全处置技术设备开发制造及处置中心建设”，因此本项目属于鼓励类。项目的建设符合国家现行产业政策要求。</w:t>
      </w:r>
    </w:p>
    <w:p>
      <w:pPr>
        <w:pStyle w:val="5"/>
        <w:numPr>
          <w:ilvl w:val="2"/>
          <w:numId w:val="0"/>
        </w:numPr>
        <w:ind w:left="-720" w:leftChars="-343" w:firstLine="723" w:firstLineChars="300"/>
        <w:rPr>
          <w:color w:val="auto"/>
        </w:rPr>
      </w:pPr>
      <w:bookmarkStart w:id="873" w:name="_Toc109398760"/>
      <w:r>
        <w:rPr>
          <w:color w:val="auto"/>
        </w:rPr>
        <w:t>11.2.2相关规划相符性和选址可行性分析</w:t>
      </w:r>
      <w:bookmarkEnd w:id="873"/>
    </w:p>
    <w:p>
      <w:pPr>
        <w:pStyle w:val="130"/>
        <w:ind w:firstLine="480"/>
        <w:rPr>
          <w:color w:val="auto"/>
          <w:lang w:bidi="zh-CN"/>
        </w:rPr>
      </w:pPr>
      <w:r>
        <w:rPr>
          <w:color w:val="auto"/>
        </w:rPr>
        <w:t>本项目的建设与《宁夏回族自治区生态环境保护“十四五”规划》、《中卫市生态环境保护“十四五”规划》、《宁夏回族自治区工业固体废物污染环境防治“十四五”规划》、《宁夏回族自治区危险废物处置利用设施建设方案（2020年-2025年）》、《中卫市工业固体废物污染环境防治“十四五”规划》、《医疗废物集中处置设施能力建设实施方案》</w:t>
      </w:r>
      <w:r>
        <w:rPr>
          <w:color w:val="auto"/>
          <w:lang w:bidi="zh-CN"/>
        </w:rPr>
        <w:t>等相关规划内容相符合。</w:t>
      </w:r>
    </w:p>
    <w:p>
      <w:pPr>
        <w:spacing w:line="360" w:lineRule="auto"/>
        <w:ind w:firstLine="480" w:firstLineChars="200"/>
        <w:rPr>
          <w:bCs/>
          <w:color w:val="auto"/>
          <w:kern w:val="0"/>
          <w:sz w:val="24"/>
          <w:szCs w:val="24"/>
        </w:rPr>
      </w:pPr>
      <w:r>
        <w:rPr>
          <w:bCs/>
          <w:color w:val="auto"/>
          <w:kern w:val="0"/>
          <w:sz w:val="24"/>
          <w:szCs w:val="24"/>
        </w:rPr>
        <w:t>本项目的建设符合《中卫市人民政府关于实施“三线一单”生态环境分区管控的通知》（卫政发〔2021〕31号）的相关要求。</w:t>
      </w:r>
    </w:p>
    <w:p>
      <w:pPr>
        <w:pStyle w:val="5"/>
        <w:numPr>
          <w:ilvl w:val="2"/>
          <w:numId w:val="0"/>
        </w:numPr>
        <w:ind w:left="-720" w:leftChars="-343" w:firstLine="723" w:firstLineChars="300"/>
        <w:rPr>
          <w:color w:val="auto"/>
        </w:rPr>
      </w:pPr>
      <w:bookmarkStart w:id="874" w:name="_Toc109398761"/>
      <w:r>
        <w:rPr>
          <w:color w:val="auto"/>
        </w:rPr>
        <w:t>11.2.3项目选址合理性</w:t>
      </w:r>
      <w:bookmarkEnd w:id="874"/>
    </w:p>
    <w:p>
      <w:pPr>
        <w:pStyle w:val="130"/>
        <w:ind w:firstLine="480"/>
        <w:rPr>
          <w:color w:val="auto"/>
        </w:rPr>
      </w:pPr>
      <w:r>
        <w:rPr>
          <w:color w:val="auto"/>
        </w:rPr>
        <w:t>本项目选址位于宁夏中卫市永康镇阳沟村中卫市生活垃圾填埋场西侧，不新增用地，选址不涉及生态保护红线。项目区域地势开阔、土地平坦、地理位置优越，基础设施齐全，服务功能完善。交通、供水、通讯以及其它基础条件良好，有利于项目的顺利实施。项目建设注重环境保护，以人为本，节约用地，减少对生态和环境的影响，坚持可持续发展原则。生产过程中主要将产生噪声、固废、废气等污染物，通过采取合理有效的污染防治措施，不会对周围环境产生明显的不利影响，项目区不在风景名胜区、自然保护区、水源保护区和其他需要特别保护的区域内，基本无环境制约因素。并且选址符合《医疗废物处理处置污染控制标准》（GB39707-2020）、《医疗废物高温蒸汽消毒集中处理工程技术规范》（HJ 276-2021）和《危险废物贮存污染控制标准》（GB18597-2001）及2013年修改单中的相关选址要求。因此，从环保角度讲，本项目选址合理。</w:t>
      </w:r>
    </w:p>
    <w:p>
      <w:pPr>
        <w:pStyle w:val="5"/>
        <w:numPr>
          <w:ilvl w:val="2"/>
          <w:numId w:val="0"/>
        </w:numPr>
        <w:ind w:left="-720" w:leftChars="-343" w:firstLine="723" w:firstLineChars="300"/>
        <w:rPr>
          <w:color w:val="auto"/>
        </w:rPr>
      </w:pPr>
      <w:bookmarkStart w:id="875" w:name="_Toc109398762"/>
      <w:r>
        <w:rPr>
          <w:color w:val="auto"/>
        </w:rPr>
        <w:t>11.2.4平面布置合理性分析</w:t>
      </w:r>
      <w:bookmarkEnd w:id="875"/>
    </w:p>
    <w:p>
      <w:pPr>
        <w:pStyle w:val="130"/>
        <w:ind w:firstLine="480"/>
        <w:rPr>
          <w:color w:val="auto"/>
        </w:rPr>
      </w:pPr>
      <w:r>
        <w:rPr>
          <w:color w:val="auto"/>
        </w:rPr>
        <w:t>现有工程位于宁夏中卫市永康镇阳沟村中卫市生活垃圾填埋场西侧，占地面积5570m</w:t>
      </w:r>
      <w:r>
        <w:rPr>
          <w:color w:val="auto"/>
          <w:vertAlign w:val="superscript"/>
        </w:rPr>
        <w:t>2</w:t>
      </w:r>
      <w:r>
        <w:rPr>
          <w:color w:val="auto"/>
        </w:rPr>
        <w:t>，可分为生产区和生活区两部分。其中生产区（包括高温蒸煮车间、卸料区、</w:t>
      </w:r>
      <w:r>
        <w:rPr>
          <w:color w:val="auto"/>
          <w:w w:val="110"/>
        </w:rPr>
        <w:t>医废冷藏车间及附属设施等</w:t>
      </w:r>
      <w:r>
        <w:rPr>
          <w:color w:val="auto"/>
        </w:rPr>
        <w:t>）布置在厂区南侧，生活区（包括职工办公、活动、休息的场所）布置厂区北侧。本项目新增车库位于厂区西南侧，厂区四周设有绿化隔离带，避免物流、人流交叉。中卫市常年主导风向为东风，使生活区处于常年主导风向的侧风向，降低了生产区对生活区的影响。平面布置方案考虑了整个项目的工艺流程，处理工艺顺畅，并且处理中心内交通便捷，便于管理。场前区周围建有绿化带，能有效的防止噪声污染和恶臭影响，使管理人员的身体健康有所保障，平面布置合理。</w:t>
      </w:r>
    </w:p>
    <w:p>
      <w:pPr>
        <w:pStyle w:val="4"/>
        <w:numPr>
          <w:ilvl w:val="1"/>
          <w:numId w:val="0"/>
        </w:numPr>
        <w:spacing w:before="120"/>
        <w:rPr>
          <w:color w:val="auto"/>
        </w:rPr>
      </w:pPr>
      <w:bookmarkStart w:id="876" w:name="_Toc109398763"/>
      <w:r>
        <w:rPr>
          <w:color w:val="auto"/>
        </w:rPr>
        <w:t>11.3环境质量现状结论</w:t>
      </w:r>
      <w:bookmarkEnd w:id="876"/>
    </w:p>
    <w:p>
      <w:pPr>
        <w:pStyle w:val="5"/>
        <w:numPr>
          <w:ilvl w:val="2"/>
          <w:numId w:val="0"/>
        </w:numPr>
        <w:ind w:left="-720" w:leftChars="-343" w:firstLine="723" w:firstLineChars="300"/>
        <w:rPr>
          <w:color w:val="auto"/>
        </w:rPr>
      </w:pPr>
      <w:bookmarkStart w:id="877" w:name="_Toc109398764"/>
      <w:r>
        <w:rPr>
          <w:color w:val="auto"/>
        </w:rPr>
        <w:t>11.3.1环境空气</w:t>
      </w:r>
      <w:bookmarkEnd w:id="877"/>
    </w:p>
    <w:p>
      <w:pPr>
        <w:adjustRightInd w:val="0"/>
        <w:snapToGrid w:val="0"/>
        <w:spacing w:line="360" w:lineRule="auto"/>
        <w:ind w:firstLine="480" w:firstLineChars="200"/>
        <w:rPr>
          <w:bCs/>
          <w:color w:val="auto"/>
          <w:sz w:val="24"/>
          <w:szCs w:val="24"/>
        </w:rPr>
      </w:pPr>
      <w:r>
        <w:rPr>
          <w:color w:val="auto"/>
          <w:sz w:val="24"/>
          <w:szCs w:val="24"/>
        </w:rPr>
        <w:t>基本污染物：</w:t>
      </w:r>
      <w:r>
        <w:rPr>
          <w:color w:val="auto"/>
          <w:sz w:val="24"/>
          <w:szCs w:val="24"/>
          <w:lang w:val="sq-AL"/>
        </w:rPr>
        <w:t>根据《2021年宁夏生态环境质量状况公报》中</w:t>
      </w:r>
      <w:r>
        <w:rPr>
          <w:color w:val="auto"/>
          <w:sz w:val="24"/>
          <w:szCs w:val="24"/>
        </w:rPr>
        <w:t>中卫市</w:t>
      </w:r>
      <w:r>
        <w:rPr>
          <w:color w:val="auto"/>
          <w:sz w:val="24"/>
          <w:szCs w:val="24"/>
          <w:lang w:val="sq-AL"/>
        </w:rPr>
        <w:t>环境空气质量监测数据，</w:t>
      </w:r>
      <w:r>
        <w:rPr>
          <w:color w:val="auto"/>
          <w:sz w:val="24"/>
          <w:szCs w:val="24"/>
        </w:rPr>
        <w:t>中卫</w:t>
      </w:r>
      <w:r>
        <w:rPr>
          <w:color w:val="auto"/>
          <w:sz w:val="24"/>
          <w:szCs w:val="24"/>
          <w:lang w:val="sq-AL"/>
        </w:rPr>
        <w:t>市2021年度 PM</w:t>
      </w:r>
      <w:r>
        <w:rPr>
          <w:color w:val="auto"/>
          <w:sz w:val="24"/>
          <w:szCs w:val="24"/>
          <w:vertAlign w:val="subscript"/>
          <w:lang w:val="sq-AL"/>
        </w:rPr>
        <w:t>10</w:t>
      </w:r>
      <w:r>
        <w:rPr>
          <w:color w:val="auto"/>
          <w:sz w:val="24"/>
          <w:szCs w:val="24"/>
          <w:lang w:val="sq-AL"/>
        </w:rPr>
        <w:t>、PM</w:t>
      </w:r>
      <w:r>
        <w:rPr>
          <w:color w:val="auto"/>
          <w:sz w:val="24"/>
          <w:szCs w:val="24"/>
          <w:vertAlign w:val="subscript"/>
          <w:lang w:val="sq-AL"/>
        </w:rPr>
        <w:t>2.5</w:t>
      </w:r>
      <w:r>
        <w:rPr>
          <w:rFonts w:hint="eastAsia"/>
          <w:color w:val="auto"/>
          <w:sz w:val="24"/>
          <w:szCs w:val="24"/>
          <w:lang w:val="sq-AL"/>
        </w:rPr>
        <w:t>、</w:t>
      </w:r>
      <w:r>
        <w:rPr>
          <w:color w:val="auto"/>
          <w:sz w:val="24"/>
          <w:szCs w:val="24"/>
          <w:lang w:val="sq-AL"/>
        </w:rPr>
        <w:t>SO</w:t>
      </w:r>
      <w:r>
        <w:rPr>
          <w:color w:val="auto"/>
          <w:sz w:val="24"/>
          <w:szCs w:val="24"/>
          <w:vertAlign w:val="subscript"/>
          <w:lang w:val="sq-AL"/>
        </w:rPr>
        <w:t>2</w:t>
      </w:r>
      <w:r>
        <w:rPr>
          <w:color w:val="auto"/>
          <w:sz w:val="24"/>
          <w:szCs w:val="24"/>
          <w:lang w:val="sq-AL"/>
        </w:rPr>
        <w:t>、NO</w:t>
      </w:r>
      <w:r>
        <w:rPr>
          <w:color w:val="auto"/>
          <w:sz w:val="24"/>
          <w:szCs w:val="24"/>
          <w:vertAlign w:val="subscript"/>
          <w:lang w:val="sq-AL"/>
        </w:rPr>
        <w:t>2</w:t>
      </w:r>
      <w:r>
        <w:rPr>
          <w:color w:val="auto"/>
          <w:sz w:val="24"/>
          <w:szCs w:val="24"/>
          <w:lang w:val="sq-AL"/>
        </w:rPr>
        <w:t>、CO和</w:t>
      </w:r>
      <w:r>
        <w:rPr>
          <w:color w:val="auto"/>
          <w:sz w:val="24"/>
          <w:szCs w:val="24"/>
        </w:rPr>
        <w:t>O</w:t>
      </w:r>
      <w:r>
        <w:rPr>
          <w:color w:val="auto"/>
          <w:sz w:val="24"/>
          <w:szCs w:val="24"/>
          <w:vertAlign w:val="subscript"/>
          <w:lang w:val="sq-AL"/>
        </w:rPr>
        <w:t>3</w:t>
      </w:r>
      <w:r>
        <w:rPr>
          <w:color w:val="auto"/>
          <w:sz w:val="24"/>
          <w:szCs w:val="24"/>
          <w:lang w:val="sq-AL"/>
        </w:rPr>
        <w:t>年均浓度均达到《环境空气质量标准》（GB3095-2012）中二级标准。综上所述，</w:t>
      </w:r>
      <w:r>
        <w:rPr>
          <w:color w:val="auto"/>
          <w:sz w:val="24"/>
          <w:szCs w:val="24"/>
        </w:rPr>
        <w:t>项目所在区域</w:t>
      </w:r>
      <w:r>
        <w:rPr>
          <w:color w:val="auto"/>
          <w:sz w:val="24"/>
          <w:szCs w:val="24"/>
          <w:lang w:val="sq-AL"/>
        </w:rPr>
        <w:t>属于达标区。</w:t>
      </w:r>
    </w:p>
    <w:p>
      <w:pPr>
        <w:pStyle w:val="130"/>
        <w:ind w:firstLine="480"/>
        <w:rPr>
          <w:color w:val="auto"/>
        </w:rPr>
      </w:pPr>
      <w:r>
        <w:rPr>
          <w:color w:val="auto"/>
        </w:rPr>
        <w:t>其他污染物：针对特征污染物委托宁夏华鼎环保科技有限公司监测，监测结果表明H</w:t>
      </w:r>
      <w:r>
        <w:rPr>
          <w:color w:val="auto"/>
          <w:vertAlign w:val="subscript"/>
        </w:rPr>
        <w:t>2</w:t>
      </w:r>
      <w:r>
        <w:rPr>
          <w:color w:val="auto"/>
        </w:rPr>
        <w:t>S、NH</w:t>
      </w:r>
      <w:r>
        <w:rPr>
          <w:color w:val="auto"/>
          <w:vertAlign w:val="subscript"/>
        </w:rPr>
        <w:t>3</w:t>
      </w:r>
      <w:r>
        <w:rPr>
          <w:color w:val="auto"/>
        </w:rPr>
        <w:t>1小时平均浓度及TVOC8小时平均浓度监测结果符合《环境影响评价技术导则 大气环境》(HJ2.2-2018)附录D中“其他污染物空气质量浓度参考限值”。</w:t>
      </w:r>
    </w:p>
    <w:p>
      <w:pPr>
        <w:pStyle w:val="5"/>
        <w:numPr>
          <w:ilvl w:val="2"/>
          <w:numId w:val="0"/>
        </w:numPr>
        <w:ind w:left="-720" w:leftChars="-343" w:firstLine="723" w:firstLineChars="300"/>
        <w:rPr>
          <w:color w:val="auto"/>
        </w:rPr>
      </w:pPr>
      <w:bookmarkStart w:id="878" w:name="_Toc109398765"/>
      <w:r>
        <w:rPr>
          <w:color w:val="auto"/>
        </w:rPr>
        <w:t>11.3.2地表水环境</w:t>
      </w:r>
      <w:bookmarkEnd w:id="878"/>
    </w:p>
    <w:p>
      <w:pPr>
        <w:pStyle w:val="130"/>
        <w:ind w:firstLine="480"/>
        <w:rPr>
          <w:color w:val="auto"/>
        </w:rPr>
      </w:pPr>
      <w:r>
        <w:rPr>
          <w:color w:val="auto"/>
        </w:rPr>
        <w:t>本项目所在区域内主要地表水体为黄河，位于项目北侧4.4km处。本次评价地表水环境质量现状数据引用宁夏回族自治区生态环境厅发布的《2021年宁夏生态环境质量状况公报》中黄河干流中卫下河沿断面水质状况数据进行评价。</w:t>
      </w:r>
      <w:r>
        <w:rPr>
          <w:color w:val="auto"/>
          <w:kern w:val="2"/>
          <w:szCs w:val="22"/>
        </w:rPr>
        <w:t>黄河干流（中卫下河沿断面）水质状况稳定，水质</w:t>
      </w:r>
      <w:r>
        <w:rPr>
          <w:rFonts w:hint="eastAsia"/>
          <w:color w:val="auto"/>
          <w:kern w:val="2"/>
          <w:szCs w:val="22"/>
        </w:rPr>
        <w:t>同比</w:t>
      </w:r>
      <w:r>
        <w:rPr>
          <w:color w:val="auto"/>
          <w:kern w:val="2"/>
          <w:szCs w:val="22"/>
        </w:rPr>
        <w:t>无明显变化，除2021年</w:t>
      </w:r>
      <w:r>
        <w:rPr>
          <w:rFonts w:hint="eastAsia"/>
          <w:color w:val="auto"/>
          <w:kern w:val="2"/>
          <w:szCs w:val="22"/>
        </w:rPr>
        <w:t>4月、</w:t>
      </w:r>
      <w:r>
        <w:rPr>
          <w:color w:val="auto"/>
          <w:kern w:val="2"/>
          <w:szCs w:val="22"/>
        </w:rPr>
        <w:t>7月、9月达到《地表水环境质量标准》（GB38338-2002）中的</w:t>
      </w:r>
      <w:r>
        <w:rPr>
          <w:color w:val="auto"/>
          <w:kern w:val="2"/>
          <w:szCs w:val="22"/>
        </w:rPr>
        <w:fldChar w:fldCharType="begin"/>
      </w:r>
      <w:r>
        <w:rPr>
          <w:color w:val="auto"/>
          <w:kern w:val="2"/>
          <w:szCs w:val="22"/>
        </w:rPr>
        <w:instrText xml:space="preserve"> = 3 \* ROMAN \* MERGEFORMAT </w:instrText>
      </w:r>
      <w:r>
        <w:rPr>
          <w:color w:val="auto"/>
          <w:kern w:val="2"/>
          <w:szCs w:val="22"/>
        </w:rPr>
        <w:fldChar w:fldCharType="separate"/>
      </w:r>
      <w:r>
        <w:rPr>
          <w:color w:val="auto"/>
          <w:szCs w:val="20"/>
        </w:rPr>
        <w:t>III</w:t>
      </w:r>
      <w:r>
        <w:rPr>
          <w:color w:val="auto"/>
          <w:kern w:val="2"/>
          <w:szCs w:val="22"/>
        </w:rPr>
        <w:fldChar w:fldCharType="end"/>
      </w:r>
      <w:r>
        <w:rPr>
          <w:color w:val="auto"/>
          <w:kern w:val="2"/>
          <w:szCs w:val="22"/>
        </w:rPr>
        <w:t>类标准外，其他时间段内均达到</w:t>
      </w:r>
      <w:r>
        <w:rPr>
          <w:color w:val="auto"/>
          <w:kern w:val="2"/>
          <w:szCs w:val="22"/>
        </w:rPr>
        <w:fldChar w:fldCharType="begin"/>
      </w:r>
      <w:r>
        <w:rPr>
          <w:color w:val="auto"/>
          <w:kern w:val="2"/>
          <w:szCs w:val="22"/>
        </w:rPr>
        <w:instrText xml:space="preserve"> = 2 \* ROMAN \* MERGEFORMAT </w:instrText>
      </w:r>
      <w:r>
        <w:rPr>
          <w:color w:val="auto"/>
          <w:kern w:val="2"/>
          <w:szCs w:val="22"/>
        </w:rPr>
        <w:fldChar w:fldCharType="separate"/>
      </w:r>
      <w:r>
        <w:rPr>
          <w:color w:val="auto"/>
          <w:szCs w:val="20"/>
        </w:rPr>
        <w:t>II</w:t>
      </w:r>
      <w:r>
        <w:rPr>
          <w:color w:val="auto"/>
          <w:kern w:val="2"/>
          <w:szCs w:val="22"/>
        </w:rPr>
        <w:fldChar w:fldCharType="end"/>
      </w:r>
      <w:r>
        <w:rPr>
          <w:color w:val="auto"/>
          <w:kern w:val="2"/>
          <w:szCs w:val="22"/>
        </w:rPr>
        <w:t>类及以上标准，并且2021年年均浓度可达到《地表水环境质量标准》（GB38338-2002）</w:t>
      </w:r>
      <w:r>
        <w:rPr>
          <w:color w:val="auto"/>
          <w:kern w:val="2"/>
          <w:szCs w:val="22"/>
        </w:rPr>
        <w:fldChar w:fldCharType="begin"/>
      </w:r>
      <w:r>
        <w:rPr>
          <w:color w:val="auto"/>
          <w:kern w:val="2"/>
          <w:szCs w:val="22"/>
        </w:rPr>
        <w:instrText xml:space="preserve"> = 2 \* ROMAN \* MERGEFORMAT </w:instrText>
      </w:r>
      <w:r>
        <w:rPr>
          <w:color w:val="auto"/>
          <w:kern w:val="2"/>
          <w:szCs w:val="22"/>
        </w:rPr>
        <w:fldChar w:fldCharType="separate"/>
      </w:r>
      <w:r>
        <w:rPr>
          <w:color w:val="auto"/>
          <w:szCs w:val="20"/>
        </w:rPr>
        <w:t>II</w:t>
      </w:r>
      <w:r>
        <w:rPr>
          <w:color w:val="auto"/>
          <w:kern w:val="2"/>
          <w:szCs w:val="22"/>
        </w:rPr>
        <w:fldChar w:fldCharType="end"/>
      </w:r>
      <w:r>
        <w:rPr>
          <w:color w:val="auto"/>
          <w:kern w:val="2"/>
          <w:szCs w:val="22"/>
        </w:rPr>
        <w:t>类标准要求，水质总体为优</w:t>
      </w:r>
      <w:r>
        <w:rPr>
          <w:color w:val="auto"/>
        </w:rPr>
        <w:t>。</w:t>
      </w:r>
    </w:p>
    <w:p>
      <w:pPr>
        <w:pStyle w:val="5"/>
        <w:numPr>
          <w:ilvl w:val="2"/>
          <w:numId w:val="0"/>
        </w:numPr>
        <w:ind w:left="-720" w:leftChars="-343" w:firstLine="723" w:firstLineChars="300"/>
        <w:rPr>
          <w:color w:val="auto"/>
        </w:rPr>
      </w:pPr>
      <w:bookmarkStart w:id="879" w:name="_Toc109398766"/>
      <w:r>
        <w:rPr>
          <w:color w:val="auto"/>
        </w:rPr>
        <w:t>11.3.3地下水环境</w:t>
      </w:r>
      <w:bookmarkEnd w:id="879"/>
    </w:p>
    <w:p>
      <w:pPr>
        <w:pStyle w:val="130"/>
        <w:ind w:firstLine="480"/>
        <w:rPr>
          <w:color w:val="auto"/>
        </w:rPr>
      </w:pPr>
      <w:r>
        <w:rPr>
          <w:color w:val="auto"/>
        </w:rPr>
        <w:t>根据《环境影响评价技术导则地下水环境》（HJ610-2016）中现状监测点的布点原则，本次地下水水质监测点选择5个监测点位。委托宁夏华鼎环保科技有限公司于4月16日对项目周边地下水环境进行监测。监测结果表明各地下水监测点位中，除溶解性总固体、总硬度、氟化物、氯化物，其它各监测因子的单项污染指数均﹤1，满足《地下水质量标准》（GB/T14848-2017）中的Ⅲ类水质标准限值要求，超标原因主要与本地区水文地质条件有关，本底值较高。</w:t>
      </w:r>
    </w:p>
    <w:p>
      <w:pPr>
        <w:pStyle w:val="5"/>
        <w:numPr>
          <w:ilvl w:val="2"/>
          <w:numId w:val="0"/>
        </w:numPr>
        <w:ind w:left="-720" w:leftChars="-343" w:firstLine="723" w:firstLineChars="300"/>
        <w:rPr>
          <w:color w:val="auto"/>
        </w:rPr>
      </w:pPr>
      <w:bookmarkStart w:id="880" w:name="_Toc109398767"/>
      <w:r>
        <w:rPr>
          <w:color w:val="auto"/>
        </w:rPr>
        <w:t>11.3.4声环境</w:t>
      </w:r>
      <w:bookmarkEnd w:id="880"/>
    </w:p>
    <w:p>
      <w:pPr>
        <w:pStyle w:val="130"/>
        <w:ind w:firstLine="480"/>
        <w:rPr>
          <w:color w:val="auto"/>
        </w:rPr>
      </w:pPr>
      <w:r>
        <w:rPr>
          <w:color w:val="auto"/>
        </w:rPr>
        <w:t>本次评价在项目所在地四周场界外1m和声环境敏感目标阳沟村希望小学处分别设置了1个监测点位，委托宁夏中科精科检测技术有限公司对声环境质量现状进行了监测，监测结果表明，本项目厂址区昼、夜间噪声值均满足《声环境质量标准》（GB3096-2008）2类标准，声环境敏感目标阳沟村希望小学满足《声环境质量标准》（GB3096-2008）1类标准要求，区域声环境质量现状较好。</w:t>
      </w:r>
    </w:p>
    <w:p>
      <w:pPr>
        <w:pStyle w:val="5"/>
        <w:numPr>
          <w:ilvl w:val="2"/>
          <w:numId w:val="0"/>
        </w:numPr>
        <w:ind w:left="-720" w:leftChars="-343" w:firstLine="723" w:firstLineChars="300"/>
        <w:rPr>
          <w:color w:val="auto"/>
        </w:rPr>
      </w:pPr>
      <w:bookmarkStart w:id="881" w:name="_Toc109398768"/>
      <w:r>
        <w:rPr>
          <w:color w:val="auto"/>
        </w:rPr>
        <w:t>11.3.5土壤环境</w:t>
      </w:r>
      <w:bookmarkEnd w:id="881"/>
    </w:p>
    <w:p>
      <w:pPr>
        <w:pStyle w:val="130"/>
        <w:ind w:firstLine="480"/>
        <w:rPr>
          <w:color w:val="auto"/>
        </w:rPr>
      </w:pPr>
      <w:r>
        <w:rPr>
          <w:color w:val="auto"/>
        </w:rPr>
        <w:t>根据《环境影响评价技术导则 土壤环境》（HJ 964-2018）本项目占地范围内设置5个柱状采样点（柱状样在 0~0.5m、0.5~1.5m、1.5~3m 分别取样），2个表层样点，占地范围外设置4个表层样。本次委托宁夏华鼎环保科技有限公司及宁夏盛世绿源环境检测有限责任公司对本项目土壤环境进行监，由监测结果可知，各监测点位土壤检测因子满足《土壤环境质量 建设用地土壤污染风险管控标准（试行）》（GB 36600-2018）表1第二类用地筛选值和《土壤环境质量 农用地土壤污染风险管控标准》（GB 15618-2018）表1中风险筛选值的要求。</w:t>
      </w:r>
    </w:p>
    <w:p>
      <w:pPr>
        <w:pStyle w:val="5"/>
        <w:numPr>
          <w:ilvl w:val="2"/>
          <w:numId w:val="0"/>
        </w:numPr>
        <w:ind w:left="-720" w:leftChars="-343" w:firstLine="723" w:firstLineChars="300"/>
        <w:rPr>
          <w:color w:val="auto"/>
        </w:rPr>
      </w:pPr>
      <w:bookmarkStart w:id="882" w:name="_Toc109398769"/>
      <w:r>
        <w:rPr>
          <w:color w:val="auto"/>
        </w:rPr>
        <w:t>11.3.6生态环境</w:t>
      </w:r>
      <w:bookmarkEnd w:id="882"/>
    </w:p>
    <w:p>
      <w:pPr>
        <w:pStyle w:val="130"/>
        <w:ind w:firstLine="480"/>
        <w:rPr>
          <w:color w:val="auto"/>
        </w:rPr>
      </w:pPr>
      <w:r>
        <w:rPr>
          <w:color w:val="auto"/>
        </w:rPr>
        <w:t>本项目在</w:t>
      </w:r>
      <w:r>
        <w:rPr>
          <w:rFonts w:hint="eastAsia"/>
          <w:color w:val="auto"/>
        </w:rPr>
        <w:t>现有工程</w:t>
      </w:r>
      <w:r>
        <w:rPr>
          <w:color w:val="auto"/>
        </w:rPr>
        <w:t>已征地范围内进行建设，不新增占地，该区域主要为荒漠草原沙生植被，组成区内植被的植物种有显著的旱生形态特点。大面积的荒漠草原类型，主要建群种有猫头刺、油蒿、无芒隐子草、短花针茅等。强旱生或超强旱生小灌木、小半灌木已成为群落的建群种和优势种。经现场踏勘及走访，项目区内未发现珍稀、濒危或国家及自治区级保护植物。动物种类较少，主要为鸟类、鼠类（如：田鼠、黄鼠、乌鸦、喜鹊等）等，无大型野生动物，且在现场踏勘及走访过程中，未发现珍稀、濒危或国家及自治区级保护动物栖息地及繁殖地。</w:t>
      </w:r>
    </w:p>
    <w:p>
      <w:pPr>
        <w:pStyle w:val="4"/>
        <w:numPr>
          <w:ilvl w:val="1"/>
          <w:numId w:val="0"/>
        </w:numPr>
        <w:spacing w:before="120"/>
        <w:rPr>
          <w:color w:val="auto"/>
        </w:rPr>
      </w:pPr>
      <w:bookmarkStart w:id="883" w:name="_Toc109398770"/>
      <w:r>
        <w:rPr>
          <w:color w:val="auto"/>
        </w:rPr>
        <w:t>11.4环境影响分析结论</w:t>
      </w:r>
      <w:bookmarkEnd w:id="883"/>
    </w:p>
    <w:p>
      <w:pPr>
        <w:pStyle w:val="130"/>
        <w:ind w:firstLine="480"/>
        <w:rPr>
          <w:color w:val="auto"/>
        </w:rPr>
      </w:pPr>
      <w:r>
        <w:rPr>
          <w:color w:val="auto"/>
        </w:rPr>
        <w:t>⑴废气</w:t>
      </w:r>
    </w:p>
    <w:p>
      <w:pPr>
        <w:pStyle w:val="130"/>
        <w:ind w:firstLine="480"/>
        <w:rPr>
          <w:b/>
          <w:color w:val="auto"/>
        </w:rPr>
      </w:pPr>
      <w:r>
        <w:rPr>
          <w:rFonts w:hint="eastAsia"/>
          <w:color w:val="auto"/>
        </w:rPr>
        <w:t>本项目建成后全厂2套</w:t>
      </w:r>
      <w:r>
        <w:rPr>
          <w:color w:val="auto"/>
        </w:rPr>
        <w:t>高温蒸汽灭菌</w:t>
      </w:r>
      <w:r>
        <w:rPr>
          <w:rFonts w:hint="eastAsia"/>
          <w:color w:val="auto"/>
        </w:rPr>
        <w:t>系统</w:t>
      </w:r>
      <w:r>
        <w:rPr>
          <w:color w:val="auto"/>
        </w:rPr>
        <w:t>废气先通过</w:t>
      </w:r>
      <w:r>
        <w:rPr>
          <w:rFonts w:hint="eastAsia"/>
          <w:color w:val="auto"/>
        </w:rPr>
        <w:t>各自</w:t>
      </w:r>
      <w:r>
        <w:rPr>
          <w:color w:val="auto"/>
        </w:rPr>
        <w:t>设备自带的”生物过滤+活性炭吸”附进行预处理后，汇同医疗废物贮存废气再一起通过“碱洗喷淋+等离子+活性炭”工艺处理，最终通过15m高排气筒排放。有组织非甲烷总烃排放满足《医疗废物处理处置污染控制标准》（GB39707-2020）中表3消毒处理设施排放废气污染物浓度限值的要求，厂界处非甲烷总烃满足《大气污染物综合排放标准》（GB16297-1996）表2周界外无组织排放监控浓度限值；颗粒物满足《大气污染物综合排放标准》（GB16297-1996）表2的二级标准；氨、硫化氢、臭气浓度（无量纲）排放满足《恶臭污染物排放标准》（GB14554-93）二级标准的相关要求。</w:t>
      </w:r>
    </w:p>
    <w:p>
      <w:pPr>
        <w:pStyle w:val="130"/>
        <w:ind w:firstLine="480"/>
        <w:rPr>
          <w:color w:val="auto"/>
        </w:rPr>
      </w:pPr>
      <w:r>
        <w:rPr>
          <w:color w:val="auto"/>
        </w:rPr>
        <w:t>在切实落实各项环境保护治理措施的前提下，从大气环境影响角度考虑，项目对评价区环境空气质量的影响较小，建设可行。</w:t>
      </w:r>
    </w:p>
    <w:p>
      <w:pPr>
        <w:pStyle w:val="130"/>
        <w:ind w:firstLine="480"/>
        <w:rPr>
          <w:color w:val="auto"/>
        </w:rPr>
      </w:pPr>
      <w:r>
        <w:rPr>
          <w:color w:val="auto"/>
        </w:rPr>
        <w:t>⑵地表水</w:t>
      </w:r>
    </w:p>
    <w:p>
      <w:pPr>
        <w:pStyle w:val="130"/>
        <w:ind w:firstLine="480"/>
        <w:rPr>
          <w:color w:val="auto"/>
          <w:lang w:bidi="zh-CN"/>
        </w:rPr>
      </w:pPr>
      <w:r>
        <w:rPr>
          <w:color w:val="auto"/>
        </w:rPr>
        <w:t>本项目</w:t>
      </w:r>
      <w:r>
        <w:rPr>
          <w:rFonts w:hint="eastAsia"/>
          <w:color w:val="auto"/>
        </w:rPr>
        <w:t>建成后全厂</w:t>
      </w:r>
      <w:r>
        <w:rPr>
          <w:color w:val="auto"/>
        </w:rPr>
        <w:t>废水主要包括高温蒸煮冷凝废水及渗滤液、循环冷却系统废水、场地冲洗废水、车辆冲洗废水、周转箱冲洗废水、蒸汽发生器及电锅炉软水制备废水、碱洗喷淋水箱废水和生活污水等，产生量为冬季8.92m³/d，其他季节8.6m³/d，2882.16m³/a。废水经厂区新建10m</w:t>
      </w:r>
      <w:r>
        <w:rPr>
          <w:color w:val="auto"/>
          <w:vertAlign w:val="superscript"/>
        </w:rPr>
        <w:t>3</w:t>
      </w:r>
      <w:r>
        <w:rPr>
          <w:color w:val="auto"/>
        </w:rPr>
        <w:t>/d一体化污水处理站（A²O+MBR+消毒）处理后达到《医疗机构水污染物排放标准》（GB18466-2005）综合医疗机构和其他医疗机构水污染物排放限值及《城市污水再生利用 城市杂用水水质》（GB/T18920-2020）中城市绿化、道路清扫、消防、建筑施工用水要求，处理后废水全部回用于中卫市垃圾填埋场道路抑尘，不外排。生活污水产生量为1.94m</w:t>
      </w:r>
      <w:r>
        <w:rPr>
          <w:color w:val="auto"/>
          <w:vertAlign w:val="superscript"/>
        </w:rPr>
        <w:t>3</w:t>
      </w:r>
      <w:r>
        <w:rPr>
          <w:color w:val="auto"/>
        </w:rPr>
        <w:t>/d，638.88m</w:t>
      </w:r>
      <w:r>
        <w:rPr>
          <w:color w:val="auto"/>
          <w:vertAlign w:val="superscript"/>
        </w:rPr>
        <w:t>3</w:t>
      </w:r>
      <w:r>
        <w:rPr>
          <w:color w:val="auto"/>
        </w:rPr>
        <w:t>/a。依托现有化粪池处理，化粪池满后用吸污车运送至中卫市生活垃圾填埋场的渗滤液调蓄池。</w:t>
      </w:r>
      <w:r>
        <w:rPr>
          <w:color w:val="auto"/>
          <w:lang w:bidi="zh-CN"/>
        </w:rPr>
        <w:t>由于本项目废水不直接向外环境排放，故本项目不会对周围地表水环境产生不利影响。</w:t>
      </w:r>
    </w:p>
    <w:p>
      <w:pPr>
        <w:pStyle w:val="130"/>
        <w:ind w:firstLine="480"/>
        <w:rPr>
          <w:color w:val="auto"/>
        </w:rPr>
      </w:pPr>
      <w:r>
        <w:rPr>
          <w:color w:val="auto"/>
        </w:rPr>
        <w:t>⑶地下水</w:t>
      </w:r>
    </w:p>
    <w:p>
      <w:pPr>
        <w:pStyle w:val="130"/>
        <w:ind w:firstLine="480"/>
        <w:rPr>
          <w:color w:val="auto"/>
        </w:rPr>
      </w:pPr>
      <w:r>
        <w:rPr>
          <w:color w:val="auto"/>
        </w:rPr>
        <w:t>根据现场调查可知厂址周边无民井分布，该地区属干旱区，据区域资料，场地地下水为埋深较深基岩中的裂隙水，地下水补给主要以大气降水补给为主。根据项目场地地勘报告可知实测地下水属孔隙（裂隙）水，不稳定，呈现时有时无状态，具有上层滞水性质。根据周边环境分析，场区无稳定的地下水。同时项目针对有可能产生地下水污染的各环节均采取了相应的防治措施，对有可能产生下渗部分均采取了防渗、防腐蚀处理，可将项目对下水造成污染的概率降至最低。因此本项目对区域地下水环境影响较小。</w:t>
      </w:r>
    </w:p>
    <w:p>
      <w:pPr>
        <w:pStyle w:val="130"/>
        <w:ind w:firstLine="480"/>
        <w:rPr>
          <w:color w:val="auto"/>
        </w:rPr>
      </w:pPr>
      <w:r>
        <w:rPr>
          <w:color w:val="auto"/>
        </w:rPr>
        <w:t>⑷噪声</w:t>
      </w:r>
    </w:p>
    <w:p>
      <w:pPr>
        <w:pStyle w:val="130"/>
        <w:ind w:firstLine="480"/>
        <w:rPr>
          <w:color w:val="auto"/>
        </w:rPr>
      </w:pPr>
      <w:r>
        <w:rPr>
          <w:color w:val="auto"/>
        </w:rPr>
        <w:t>本项目</w:t>
      </w:r>
      <w:r>
        <w:rPr>
          <w:rFonts w:hint="eastAsia"/>
          <w:color w:val="auto"/>
        </w:rPr>
        <w:t>建成后全厂</w:t>
      </w:r>
      <w:r>
        <w:rPr>
          <w:color w:val="auto"/>
        </w:rPr>
        <w:t>产生的噪声主要为机械动力噪声，采取减振、隔声等措施，各类水泵及风机等高噪设备置于封闭的厂房内运行，实际监测结果表明正常运行情况下，采取有效的减振降噪措施后，厂界噪声值均可以满足《工业企业厂界环境噪声排放标准》</w:t>
      </w:r>
      <w:r>
        <w:rPr>
          <w:rFonts w:eastAsia="TimesNewRomanPSMT"/>
          <w:color w:val="auto"/>
        </w:rPr>
        <w:t xml:space="preserve">2 </w:t>
      </w:r>
      <w:r>
        <w:rPr>
          <w:color w:val="auto"/>
        </w:rPr>
        <w:t>类标准要求，声环境敏感目标阳沟村希望小学满足《声环境质量标准》（GB3096-2008）1类标准要求，对周围声环境影响较小。</w:t>
      </w:r>
    </w:p>
    <w:p>
      <w:pPr>
        <w:pStyle w:val="130"/>
        <w:ind w:firstLine="480"/>
        <w:rPr>
          <w:color w:val="auto"/>
        </w:rPr>
      </w:pPr>
      <w:r>
        <w:rPr>
          <w:color w:val="auto"/>
        </w:rPr>
        <w:t>⑸固体废物</w:t>
      </w:r>
    </w:p>
    <w:p>
      <w:pPr>
        <w:pStyle w:val="130"/>
        <w:ind w:firstLine="480"/>
        <w:rPr>
          <w:color w:val="auto"/>
        </w:rPr>
      </w:pPr>
      <w:r>
        <w:rPr>
          <w:color w:val="auto"/>
        </w:rPr>
        <w:t>本项目</w:t>
      </w:r>
      <w:r>
        <w:rPr>
          <w:rFonts w:hint="eastAsia"/>
          <w:color w:val="auto"/>
        </w:rPr>
        <w:t>建成后全厂</w:t>
      </w:r>
      <w:r>
        <w:rPr>
          <w:color w:val="auto"/>
        </w:rPr>
        <w:t>产生的主要固体废物包括生活垃圾、报废周转箱、灭菌处理后的医疗废物、废活性炭、废滤芯、污水处理站污泥和废树脂。生活垃圾、报废周转箱和废树脂，收集后清运至中卫市第二生活垃圾填埋场卫生填埋；灭菌处理后的医疗废物根据《国家危险废物名录（2021）》，按照《医疗废物高温蒸汽消毒集中处理工程技术规范》（HJ 276-2021）进行处理后属于豁免类，其运输过程和处置过程不按危险废物管理，收集后清运至中卫市第二生活垃圾填埋场填埋；废活性炭产生量为0.05t/a、废滤芯产生量为0.088t/a、污水处理站污泥产生量为0.8t/a，全部要求建设单位照危险废物管理要求在危废暂存间内分类暂存、转移，收集后委托宁夏德坤环保科技实业集团有限公司处置。</w:t>
      </w:r>
    </w:p>
    <w:p>
      <w:pPr>
        <w:pStyle w:val="130"/>
        <w:ind w:firstLine="480"/>
        <w:rPr>
          <w:color w:val="auto"/>
        </w:rPr>
      </w:pPr>
      <w:r>
        <w:rPr>
          <w:color w:val="auto"/>
        </w:rPr>
        <w:t>⑹土壤</w:t>
      </w:r>
    </w:p>
    <w:p>
      <w:pPr>
        <w:pStyle w:val="130"/>
        <w:ind w:firstLine="480"/>
        <w:rPr>
          <w:color w:val="auto"/>
        </w:rPr>
      </w:pPr>
      <w:r>
        <w:rPr>
          <w:color w:val="auto"/>
        </w:rPr>
        <w:t>本项目在现有工程已征地范围内进行建设，不涉及新增用地。本项目建成后与重庆同兴医疗废物处理有限公司及本项目现有工程接收的医疗废物种类一致，采用同样的高温蒸汽灭菌处理工艺，运营期产生的“三废”种类、主要污染物因子与重庆同兴医疗废物处理有限公司及本项目现有工程一致，上述医疗废物处理项目在采取相应的污染物治理措施后，未对项目地及周边土壤造成明显的不利影响。针对运营期产生的废气、废水、固体废物等均可实现达标排放；且污水处理间、高温蒸煮厂房、医疗废物卸料间、事故水池、废水处理站及污水管网均严格按照要求进行重点防渗。因此，</w:t>
      </w:r>
      <w:r>
        <w:rPr>
          <w:rFonts w:hint="eastAsia"/>
          <w:color w:val="auto"/>
        </w:rPr>
        <w:t>本项目运营期全厂</w:t>
      </w:r>
      <w:r>
        <w:rPr>
          <w:color w:val="auto"/>
        </w:rPr>
        <w:t>在加强环境管理，保证各项污染防治措施（设施）正常运行的情况下，对区域土壤环境的影响在可接受的范围内。</w:t>
      </w:r>
    </w:p>
    <w:p>
      <w:pPr>
        <w:pStyle w:val="4"/>
        <w:numPr>
          <w:ilvl w:val="1"/>
          <w:numId w:val="0"/>
        </w:numPr>
        <w:spacing w:before="120"/>
        <w:rPr>
          <w:color w:val="auto"/>
        </w:rPr>
      </w:pPr>
      <w:bookmarkStart w:id="884" w:name="_Toc109398771"/>
      <w:r>
        <w:rPr>
          <w:color w:val="auto"/>
        </w:rPr>
        <w:t>11.5环境风险结论</w:t>
      </w:r>
      <w:bookmarkEnd w:id="884"/>
    </w:p>
    <w:p>
      <w:pPr>
        <w:pStyle w:val="130"/>
        <w:ind w:firstLine="480"/>
        <w:rPr>
          <w:color w:val="auto"/>
        </w:rPr>
      </w:pPr>
      <w:r>
        <w:rPr>
          <w:color w:val="auto"/>
        </w:rPr>
        <w:t>本项目</w:t>
      </w:r>
      <w:r>
        <w:rPr>
          <w:rFonts w:hint="eastAsia"/>
          <w:color w:val="auto"/>
        </w:rPr>
        <w:t>建成后全厂</w:t>
      </w:r>
      <w:r>
        <w:rPr>
          <w:color w:val="auto"/>
        </w:rPr>
        <w:t>发生环境风险事故的概率较小，一旦发生风险事故，建设单位必须有相应的对风险源采取各项控制的措施，加强对员工的培训和教育，提高其工作责任心，制定各项规章制度和操作规程，避免因操作失误而造成事故发生，加强对各类设备的定期检查、维护和管理，减少事故隐患，加强风险防范，编制应急预案，出现污染事故，立即启动应急预案，将环境风险消除，以降低风险事故对环境的污染及厂内职工、附近企业人员的伤害。在企业提高风险管理水平和强化风险防范措施的前提下，项目对环境的风险影响处于可以接受的范围内。</w:t>
      </w:r>
    </w:p>
    <w:p>
      <w:pPr>
        <w:pStyle w:val="4"/>
        <w:numPr>
          <w:ilvl w:val="1"/>
          <w:numId w:val="0"/>
        </w:numPr>
        <w:spacing w:before="120"/>
        <w:rPr>
          <w:color w:val="auto"/>
        </w:rPr>
      </w:pPr>
      <w:bookmarkStart w:id="885" w:name="_Toc109398772"/>
      <w:r>
        <w:rPr>
          <w:color w:val="auto"/>
        </w:rPr>
        <w:t>11.6总量控制指标结论</w:t>
      </w:r>
      <w:bookmarkEnd w:id="885"/>
    </w:p>
    <w:p>
      <w:pPr>
        <w:pStyle w:val="130"/>
        <w:ind w:firstLine="480"/>
        <w:rPr>
          <w:color w:val="auto"/>
        </w:rPr>
      </w:pPr>
      <w:r>
        <w:rPr>
          <w:color w:val="auto"/>
        </w:rPr>
        <w:t>本项目采取相应的污染防治措施后，在实现达标排放的前提下全厂总量控制建议指标</w:t>
      </w:r>
      <w:r>
        <w:rPr>
          <w:rFonts w:hint="eastAsia"/>
          <w:color w:val="auto"/>
        </w:rPr>
        <w:t>如下：</w:t>
      </w:r>
    </w:p>
    <w:p>
      <w:pPr>
        <w:pStyle w:val="130"/>
        <w:ind w:firstLine="480"/>
        <w:rPr>
          <w:color w:val="auto"/>
        </w:rPr>
      </w:pPr>
      <w:r>
        <w:rPr>
          <w:color w:val="auto"/>
        </w:rPr>
        <w:t>大气污染控制因子：VOCs0.0232t/a</w:t>
      </w:r>
      <w:r>
        <w:rPr>
          <w:rFonts w:hint="eastAsia"/>
          <w:color w:val="auto"/>
        </w:rPr>
        <w:t>（其中有组织0</w:t>
      </w:r>
      <w:r>
        <w:rPr>
          <w:color w:val="auto"/>
        </w:rPr>
        <w:t>.0193t/a</w:t>
      </w:r>
      <w:r>
        <w:rPr>
          <w:rFonts w:hint="eastAsia"/>
          <w:color w:val="auto"/>
        </w:rPr>
        <w:t>、无组织0</w:t>
      </w:r>
      <w:r>
        <w:rPr>
          <w:color w:val="auto"/>
        </w:rPr>
        <w:t>.0039t/a</w:t>
      </w:r>
      <w:r>
        <w:rPr>
          <w:rFonts w:hint="eastAsia"/>
          <w:color w:val="auto"/>
        </w:rPr>
        <w:t>）</w:t>
      </w:r>
      <w:r>
        <w:rPr>
          <w:color w:val="auto"/>
        </w:rPr>
        <w:t>、颗粒物0.0846t/a；</w:t>
      </w:r>
    </w:p>
    <w:p>
      <w:pPr>
        <w:pStyle w:val="130"/>
        <w:ind w:firstLine="480"/>
        <w:rPr>
          <w:color w:val="auto"/>
        </w:rPr>
      </w:pPr>
      <w:r>
        <w:rPr>
          <w:color w:val="auto"/>
        </w:rPr>
        <w:t>水污染控制因子：本项目废水经污水处理站进行处理达标后用于中卫市垃圾填埋场道路洒水抑尘，不外排，不设总量控制指标。</w:t>
      </w:r>
    </w:p>
    <w:p>
      <w:pPr>
        <w:pStyle w:val="4"/>
        <w:numPr>
          <w:ilvl w:val="1"/>
          <w:numId w:val="0"/>
        </w:numPr>
        <w:spacing w:before="120"/>
        <w:rPr>
          <w:color w:val="auto"/>
        </w:rPr>
      </w:pPr>
      <w:bookmarkStart w:id="886" w:name="_Toc109398773"/>
      <w:r>
        <w:rPr>
          <w:color w:val="auto"/>
        </w:rPr>
        <w:t>11.7公众参与结论</w:t>
      </w:r>
      <w:bookmarkEnd w:id="886"/>
    </w:p>
    <w:p>
      <w:pPr>
        <w:pStyle w:val="130"/>
        <w:ind w:firstLine="480"/>
        <w:rPr>
          <w:snapToGrid w:val="0"/>
          <w:color w:val="auto"/>
        </w:rPr>
      </w:pPr>
      <w:r>
        <w:rPr>
          <w:snapToGrid w:val="0"/>
          <w:color w:val="auto"/>
        </w:rPr>
        <w:t xml:space="preserve">建设单位严格按照《环境影响评价公众参与办法》（生态环境部令第4号）的要求，组织和实施公众参与。实施方式包括公众调查、网上公示和现场公示，得到当地居民和单位的积极参与和配合，使本次公众参与工作顺利完成。 </w:t>
      </w:r>
    </w:p>
    <w:p>
      <w:pPr>
        <w:pStyle w:val="130"/>
        <w:ind w:firstLine="480"/>
        <w:rPr>
          <w:color w:val="auto"/>
        </w:rPr>
      </w:pPr>
      <w:r>
        <w:rPr>
          <w:color w:val="auto"/>
        </w:rPr>
        <w:t>建设单位于2022年5月7日在宁夏鸿旭环境技术有限公司官网（http://www.nxhxhj.cn/news_view.asp?id=1482）对项目开展环境影响评价的工作信息进行了第一次公示；在环境影响报告书（征求意见稿）完成后于2022年6月1日在宁夏鸿旭环境技术有限公司官网（http://www.nxhxhj.cn/news_view.asp?id=1484）</w:t>
      </w:r>
    </w:p>
    <w:p>
      <w:pPr>
        <w:pStyle w:val="130"/>
        <w:ind w:firstLine="0" w:firstLineChars="0"/>
        <w:rPr>
          <w:color w:val="auto"/>
        </w:rPr>
      </w:pPr>
      <w:r>
        <w:rPr>
          <w:color w:val="auto"/>
        </w:rPr>
        <w:t>上进行第二次公示，公示期内同时在项目所在地现场张贴公告。</w:t>
      </w:r>
    </w:p>
    <w:p>
      <w:pPr>
        <w:pStyle w:val="130"/>
        <w:ind w:firstLine="480"/>
        <w:rPr>
          <w:color w:val="auto"/>
        </w:rPr>
      </w:pPr>
      <w:r>
        <w:rPr>
          <w:color w:val="auto"/>
        </w:rPr>
        <w:t>公示期间建设单位及评价单位未收到任何关于本项目的信件、电子邮件、电话等反馈信息，也未收到公众填写意见后的“建设项目环境影响评价公众意见表”。</w:t>
      </w:r>
    </w:p>
    <w:p>
      <w:pPr>
        <w:pStyle w:val="4"/>
        <w:numPr>
          <w:ilvl w:val="1"/>
          <w:numId w:val="0"/>
        </w:numPr>
        <w:spacing w:before="120"/>
        <w:rPr>
          <w:color w:val="auto"/>
        </w:rPr>
      </w:pPr>
      <w:bookmarkStart w:id="887" w:name="_Toc109398774"/>
      <w:r>
        <w:rPr>
          <w:color w:val="auto"/>
        </w:rPr>
        <w:t>11.8环境影响损益分析总结</w:t>
      </w:r>
      <w:bookmarkEnd w:id="887"/>
    </w:p>
    <w:p>
      <w:pPr>
        <w:pStyle w:val="130"/>
        <w:ind w:firstLine="480"/>
        <w:rPr>
          <w:color w:val="auto"/>
        </w:rPr>
      </w:pPr>
      <w:r>
        <w:rPr>
          <w:color w:val="auto"/>
        </w:rPr>
        <w:t>本项目作为城市公用设施建设，属于社会公益事业，直接经济效益不高，社会效益较高，项目建设的重要意义体现在从根本上消除医疗废物环境污染，提高中卫市城市文明水平。只要认真、确实做好环境保护工作，投入一定的资金用于污染防治和环境管理，项目造成的环境方面的负面效应在可接受范围。</w:t>
      </w:r>
    </w:p>
    <w:p>
      <w:pPr>
        <w:pStyle w:val="4"/>
        <w:numPr>
          <w:ilvl w:val="1"/>
          <w:numId w:val="0"/>
        </w:numPr>
        <w:spacing w:before="120"/>
        <w:rPr>
          <w:color w:val="auto"/>
        </w:rPr>
      </w:pPr>
      <w:bookmarkStart w:id="888" w:name="_Toc109398775"/>
      <w:bookmarkStart w:id="889" w:name="_Toc1255"/>
      <w:r>
        <w:rPr>
          <w:color w:val="auto"/>
        </w:rPr>
        <w:t>11.9环境管理与监测计划</w:t>
      </w:r>
      <w:bookmarkEnd w:id="888"/>
      <w:bookmarkEnd w:id="889"/>
    </w:p>
    <w:p>
      <w:pPr>
        <w:pStyle w:val="130"/>
        <w:ind w:firstLine="480"/>
        <w:rPr>
          <w:color w:val="auto"/>
        </w:rPr>
      </w:pPr>
      <w:r>
        <w:rPr>
          <w:color w:val="auto"/>
        </w:rPr>
        <w:t>为了保证环保措施的切实落实，项目制定了运营期环境管理计划。项目运营期环境管理项目主要包括废水、废气、噪声、土壤达标监测、固废暂存情况实施检查等。</w:t>
      </w:r>
    </w:p>
    <w:bookmarkEnd w:id="868"/>
    <w:bookmarkEnd w:id="869"/>
    <w:bookmarkEnd w:id="870"/>
    <w:bookmarkEnd w:id="871"/>
    <w:bookmarkEnd w:id="872"/>
    <w:p>
      <w:pPr>
        <w:pStyle w:val="4"/>
        <w:numPr>
          <w:ilvl w:val="1"/>
          <w:numId w:val="0"/>
        </w:numPr>
        <w:spacing w:before="120"/>
        <w:rPr>
          <w:color w:val="auto"/>
        </w:rPr>
      </w:pPr>
      <w:bookmarkStart w:id="890" w:name="_Toc109398776"/>
      <w:bookmarkStart w:id="891" w:name="_Toc493853647"/>
      <w:bookmarkStart w:id="892" w:name="_Toc299369122"/>
      <w:bookmarkStart w:id="893" w:name="_Toc11595603"/>
      <w:bookmarkStart w:id="894" w:name="_Toc387745819"/>
      <w:bookmarkStart w:id="895" w:name="_Toc332203479"/>
      <w:bookmarkStart w:id="896" w:name="_Toc318043740"/>
      <w:r>
        <w:rPr>
          <w:color w:val="auto"/>
        </w:rPr>
        <w:t>11.10总结论</w:t>
      </w:r>
      <w:bookmarkEnd w:id="890"/>
    </w:p>
    <w:p>
      <w:pPr>
        <w:pStyle w:val="130"/>
        <w:ind w:firstLine="480"/>
        <w:rPr>
          <w:color w:val="auto"/>
        </w:rPr>
      </w:pPr>
      <w:r>
        <w:rPr>
          <w:color w:val="auto"/>
        </w:rPr>
        <w:t>综上所述，本项目</w:t>
      </w:r>
      <w:r>
        <w:rPr>
          <w:rFonts w:hint="eastAsia"/>
          <w:color w:val="auto"/>
        </w:rPr>
        <w:t>的</w:t>
      </w:r>
      <w:r>
        <w:rPr>
          <w:color w:val="auto"/>
        </w:rPr>
        <w:t>建设符合国家及地方有关产业政策和相关规划的要求，选址合理。本项目在采取有效的污染控制措施后，能确保废气、废水和噪声达标排放，固体废物得到妥善处置。本项目建成投入运行后能满足项目所在区域环境功能区划的要求，在严格落实设计及环评报告书中提出的各项污染防治措施后，从环境保护角度考虑，本项目建设是可行的。</w:t>
      </w:r>
    </w:p>
    <w:p>
      <w:pPr>
        <w:pStyle w:val="4"/>
        <w:numPr>
          <w:ilvl w:val="1"/>
          <w:numId w:val="0"/>
        </w:numPr>
        <w:spacing w:before="120"/>
        <w:rPr>
          <w:color w:val="auto"/>
        </w:rPr>
      </w:pPr>
      <w:bookmarkStart w:id="897" w:name="_Toc109398777"/>
      <w:r>
        <w:rPr>
          <w:color w:val="auto"/>
        </w:rPr>
        <w:t>11.11建议</w:t>
      </w:r>
      <w:bookmarkEnd w:id="891"/>
      <w:bookmarkEnd w:id="892"/>
      <w:bookmarkEnd w:id="893"/>
      <w:bookmarkEnd w:id="894"/>
      <w:bookmarkEnd w:id="895"/>
      <w:bookmarkEnd w:id="896"/>
      <w:bookmarkEnd w:id="897"/>
    </w:p>
    <w:p>
      <w:pPr>
        <w:pStyle w:val="130"/>
        <w:ind w:firstLine="480"/>
        <w:rPr>
          <w:color w:val="auto"/>
        </w:rPr>
      </w:pPr>
      <w:r>
        <w:rPr>
          <w:color w:val="auto"/>
        </w:rPr>
        <w:t>为使建设单位更进一步搞好环境保护工作，特提出以下建议和要求：</w:t>
      </w:r>
    </w:p>
    <w:p>
      <w:pPr>
        <w:pStyle w:val="130"/>
        <w:ind w:firstLine="480"/>
        <w:rPr>
          <w:color w:val="auto"/>
        </w:rPr>
      </w:pPr>
      <w:r>
        <w:rPr>
          <w:color w:val="auto"/>
        </w:rPr>
        <w:t>(1)制定全厂环境管理和生产制度章程；设专职环境管理人员，按本报告书中的要求认真落实环境监测计划，负责开展日常的环境监测工作，统计整理有关环境监测资料，并上报地方环保部门，若发现问题，及时采取措施，防止发生环境污染；检查监督污染治理处理装置的运行、维修等管理情况；</w:t>
      </w:r>
    </w:p>
    <w:p>
      <w:pPr>
        <w:pStyle w:val="130"/>
        <w:ind w:firstLine="480"/>
        <w:rPr>
          <w:color w:val="auto"/>
        </w:rPr>
      </w:pPr>
      <w:r>
        <w:rPr>
          <w:color w:val="auto"/>
        </w:rPr>
        <w:t>(2)项目投运后，应加强生产管理，在实践中积极发现、并改进各种节能、节水措施，提高整体项目的清洁生产水平，</w:t>
      </w:r>
      <w:r>
        <w:rPr>
          <w:color w:val="auto"/>
          <w:lang w:bidi="zh-CN"/>
        </w:rPr>
        <w:t>加强各种处理设施的维修、保养及管理，同时避免各种池体有跑、冒、滴、漏现象发生</w:t>
      </w:r>
      <w:r>
        <w:rPr>
          <w:color w:val="auto"/>
        </w:rPr>
        <w:t>；</w:t>
      </w:r>
    </w:p>
    <w:p>
      <w:pPr>
        <w:pStyle w:val="130"/>
        <w:ind w:firstLine="480"/>
        <w:rPr>
          <w:color w:val="auto"/>
        </w:rPr>
      </w:pPr>
      <w:r>
        <w:rPr>
          <w:color w:val="auto"/>
        </w:rPr>
        <w:t>(3)根据行业特点，建立健全安全生产和管理制度，制订科学严谨的操作规程，同时加强职工操作技能培训，提高危险辨识、防护和保护能力，落实责任到人。应严格遵循国家规</w:t>
      </w:r>
      <w:r>
        <w:rPr>
          <w:color w:val="auto"/>
          <w:spacing w:val="-6"/>
        </w:rPr>
        <w:t>范和标准，配备必要的消防、报警和应急防护设施，消除事故隐患，杜绝事故发生。</w:t>
      </w:r>
    </w:p>
    <w:sectPr>
      <w:pgSz w:w="11906" w:h="16838"/>
      <w:pgMar w:top="1701" w:right="1701" w:bottom="1701" w:left="1701"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CG Times (W1)">
    <w:altName w:val="Times New Roman"/>
    <w:panose1 w:val="00000000000000000000"/>
    <w:charset w:val="00"/>
    <w:family w:val="roma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
    <w:altName w:val="黑体"/>
    <w:panose1 w:val="00000000000000000000"/>
    <w:charset w:val="86"/>
    <w:family w:val="roman"/>
    <w:pitch w:val="default"/>
    <w:sig w:usb0="00000000" w:usb1="00000000" w:usb2="00000000" w:usb3="00000000" w:csb0="00000000" w:csb1="00000000"/>
  </w:font>
  <w:font w:name="Verdana">
    <w:panose1 w:val="020B0604030504040204"/>
    <w:charset w:val="00"/>
    <w:family w:val="swiss"/>
    <w:pitch w:val="default"/>
    <w:sig w:usb0="A10006FF" w:usb1="4000205B" w:usb2="00000010" w:usb3="00000000" w:csb0="2000019F" w:csb1="0000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003" w:usb1="288F0000" w:usb2="0000000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MingLiU">
    <w:panose1 w:val="02020509000000000000"/>
    <w:charset w:val="88"/>
    <w:family w:val="modern"/>
    <w:pitch w:val="default"/>
    <w:sig w:usb0="A00002FF" w:usb1="28CFFCFA"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书宋简体">
    <w:altName w:val="微软雅黑"/>
    <w:panose1 w:val="00000000000000000000"/>
    <w:charset w:val="86"/>
    <w:family w:val="roman"/>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等线">
    <w:altName w:val="宋体"/>
    <w:panose1 w:val="02010600030101010101"/>
    <w:charset w:val="86"/>
    <w:family w:val="auto"/>
    <w:pitch w:val="default"/>
    <w:sig w:usb0="00000000" w:usb1="00000000" w:usb2="00000016" w:usb3="00000000" w:csb0="0004000F" w:csb1="00000000"/>
  </w:font>
  <w:font w:name="??">
    <w:altName w:val="Times New Roman"/>
    <w:panose1 w:val="00000000000000000000"/>
    <w:charset w:val="00"/>
    <w:family w:val="roman"/>
    <w:pitch w:val="default"/>
    <w:sig w:usb0="00000000" w:usb1="00000000" w:usb2="00000000" w:usb3="00000000" w:csb0="00000000" w:csb1="00000000"/>
  </w:font>
  <w:font w:name="Franklin Gothic Heavy">
    <w:altName w:val="Arial Black"/>
    <w:panose1 w:val="020B0903020102020204"/>
    <w:charset w:val="00"/>
    <w:family w:val="swiss"/>
    <w:pitch w:val="default"/>
    <w:sig w:usb0="00000000" w:usb1="00000000" w:usb2="00000000" w:usb3="00000000" w:csb0="2000009F" w:csb1="DFD70000"/>
  </w:font>
  <w:font w:name="TimesNewRomanPSMT">
    <w:altName w:val="Times New Roman"/>
    <w:panose1 w:val="00000000000000000000"/>
    <w:charset w:val="00"/>
    <w:family w:val="roman"/>
    <w:pitch w:val="default"/>
    <w:sig w:usb0="00000000" w:usb1="00000000" w:usb2="00000010" w:usb3="00000000" w:csb0="00060001" w:csb1="00000000"/>
  </w:font>
  <w:font w:name="MS Mincho">
    <w:panose1 w:val="02020609040205080304"/>
    <w:charset w:val="80"/>
    <w:family w:val="modern"/>
    <w:pitch w:val="default"/>
    <w:sig w:usb0="E00002FF" w:usb1="6AC7FDFB" w:usb2="00000012" w:usb3="00000000" w:csb0="4002009F" w:csb1="DFD70000"/>
  </w:font>
  <w:font w:name="Yu Gothic UI">
    <w:altName w:val="Meiryo UI"/>
    <w:panose1 w:val="020B0500000000000000"/>
    <w:charset w:val="80"/>
    <w:family w:val="auto"/>
    <w:pitch w:val="default"/>
    <w:sig w:usb0="00000000" w:usb1="00000000" w:usb2="00000016" w:usb3="00000000" w:csb0="2002009F" w:csb1="00000000"/>
  </w:font>
  <w:font w:name="宋体.....">
    <w:altName w:val="宋体"/>
    <w:panose1 w:val="00000000000000000000"/>
    <w:charset w:val="86"/>
    <w:family w:val="roman"/>
    <w:pitch w:val="default"/>
    <w:sig w:usb0="00000000" w:usb1="00000000" w:usb2="00000000" w:usb3="00000000" w:csb0="00000000" w:csb1="00000000"/>
  </w:font>
  <w:font w:name="宋体e眠副浡渀.">
    <w:altName w:val="宋体"/>
    <w:panose1 w:val="00000000000000000000"/>
    <w:charset w:val="86"/>
    <w:family w:val="roman"/>
    <w:pitch w:val="default"/>
    <w:sig w:usb0="00000000" w:usb1="00000000" w:usb2="00000000" w:usb3="00000000" w:csb0="00000000" w:csb1="00000000"/>
  </w:font>
  <w:font w:name="MS PGothic">
    <w:panose1 w:val="020B0600070205080204"/>
    <w:charset w:val="80"/>
    <w:family w:val="swiss"/>
    <w:pitch w:val="default"/>
    <w:sig w:usb0="E00002FF" w:usb1="6AC7FDFB" w:usb2="00000012" w:usb3="00000000" w:csb0="4002009F" w:csb1="DFD70000"/>
  </w:font>
  <w:font w:name="CIDFont+F2">
    <w:altName w:val="Segoe Print"/>
    <w:panose1 w:val="00000000000000000000"/>
    <w:charset w:val="00"/>
    <w:family w:val="roman"/>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PMingLiU">
    <w:panose1 w:val="02020500000000000000"/>
    <w:charset w:val="88"/>
    <w:family w:val="roman"/>
    <w:pitch w:val="default"/>
    <w:sig w:usb0="A00002FF" w:usb1="28CFFCFA" w:usb2="00000016" w:usb3="00000000" w:csb0="00100001" w:csb1="00000000"/>
  </w:font>
  <w:font w:name="MS Gothic">
    <w:panose1 w:val="020B0609070205080204"/>
    <w:charset w:val="80"/>
    <w:family w:val="modern"/>
    <w:pitch w:val="default"/>
    <w:sig w:usb0="E00002FF" w:usb1="6AC7FDFB" w:usb2="00000012" w:usb3="00000000" w:csb0="4002009F" w:csb1="DFD70000"/>
  </w:font>
  <w:font w:name="Wingdings 2">
    <w:altName w:val="Wingdings"/>
    <w:panose1 w:val="050201020105070707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06F" w:usb1="1200FBEF" w:usb2="0004C000" w:usb3="00000000" w:csb0="00000001" w:csb1="40000000"/>
  </w:font>
  <w:font w:name="Cambria Math">
    <w:panose1 w:val="02040503050406030204"/>
    <w:charset w:val="00"/>
    <w:family w:val="roman"/>
    <w:pitch w:val="default"/>
    <w:sig w:usb0="E00002FF" w:usb1="420024FF" w:usb2="00000000" w:usb3="00000000" w:csb0="2000019F" w:csb1="00000000"/>
  </w:font>
  <w:font w:name="TimesNewRomanPS-BoldMT">
    <w:altName w:val="Times New Roman"/>
    <w:panose1 w:val="00000000000000000000"/>
    <w:charset w:val="00"/>
    <w:family w:val="roman"/>
    <w:pitch w:val="default"/>
    <w:sig w:usb0="00000000" w:usb1="00000000" w:usb2="00000000" w:usb3="00000000" w:csb0="00040001" w:csb1="00000000"/>
  </w:font>
  <w:font w:name="Arial">
    <w:panose1 w:val="020B0604020202020204"/>
    <w:charset w:val="00"/>
    <w:family w:val="auto"/>
    <w:pitch w:val="default"/>
    <w:sig w:usb0="E0002AFF" w:usb1="C0007843" w:usb2="00000009" w:usb3="00000000" w:csb0="400001FF" w:csb1="FFFF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6928406"/>
    </w:sdtPr>
    <w:sdtEndPr>
      <w:rPr>
        <w:rFonts w:eastAsiaTheme="minorEastAsia"/>
        <w:sz w:val="21"/>
        <w:szCs w:val="21"/>
      </w:rPr>
    </w:sdtEndPr>
    <w:sdtContent>
      <w:p>
        <w:pPr>
          <w:pStyle w:val="2"/>
          <w:pBdr>
            <w:top w:val="single" w:color="auto" w:sz="6" w:space="1"/>
          </w:pBdr>
          <w:jc w:val="center"/>
          <w:rPr>
            <w:rFonts w:eastAsiaTheme="minorEastAsia"/>
            <w:sz w:val="21"/>
            <w:szCs w:val="21"/>
          </w:rPr>
        </w:pPr>
        <w:r>
          <w:rPr>
            <w:rFonts w:eastAsiaTheme="minorEastAsia"/>
            <w:sz w:val="21"/>
            <w:szCs w:val="21"/>
          </w:rPr>
          <w:fldChar w:fldCharType="begin"/>
        </w:r>
        <w:r>
          <w:rPr>
            <w:rFonts w:eastAsiaTheme="minorEastAsia"/>
            <w:sz w:val="21"/>
            <w:szCs w:val="21"/>
          </w:rPr>
          <w:instrText xml:space="preserve">PAGE   \* MERGEFORMAT</w:instrText>
        </w:r>
        <w:r>
          <w:rPr>
            <w:rFonts w:eastAsiaTheme="minorEastAsia"/>
            <w:sz w:val="21"/>
            <w:szCs w:val="21"/>
          </w:rPr>
          <w:fldChar w:fldCharType="separate"/>
        </w:r>
        <w:r>
          <w:rPr>
            <w:rFonts w:eastAsiaTheme="minorEastAsia"/>
            <w:sz w:val="21"/>
            <w:szCs w:val="21"/>
            <w:lang w:val="zh-CN"/>
          </w:rPr>
          <w:t>242</w:t>
        </w:r>
        <w:r>
          <w:rPr>
            <w:rFonts w:eastAsiaTheme="minorEastAsia"/>
            <w:sz w:val="21"/>
            <w:szCs w:val="21"/>
          </w:rP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pBdr>
        <w:bottom w:val="thinThickSmallGap" w:color="auto" w:sz="24" w:space="1"/>
      </w:pBdr>
      <w:rPr>
        <w:sz w:val="21"/>
        <w:szCs w:val="21"/>
      </w:rPr>
    </w:pPr>
    <w:r>
      <w:rPr>
        <w:rFonts w:hint="eastAsia"/>
        <w:b/>
        <w:sz w:val="21"/>
        <w:szCs w:val="21"/>
      </w:rPr>
      <w:t>中卫医疗废物处置中心改造项目</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kinsoku w:val="0"/>
      <w:overflowPunct w:val="0"/>
      <w:spacing w:line="14" w:lineRule="auto"/>
      <w:ind w:firstLine="560"/>
      <w:rPr>
        <w:sz w:val="20"/>
        <w:szCs w:val="20"/>
      </w:rPr>
    </w:pPr>
    <w:r>
      <mc:AlternateContent>
        <mc:Choice Requires="wps">
          <w:drawing>
            <wp:anchor distT="0" distB="0" distL="114300" distR="114300" simplePos="0" relativeHeight="251660288" behindDoc="1" locked="0" layoutInCell="0" allowOverlap="1">
              <wp:simplePos x="0" y="0"/>
              <wp:positionH relativeFrom="page">
                <wp:posOffset>1079500</wp:posOffset>
              </wp:positionH>
              <wp:positionV relativeFrom="page">
                <wp:posOffset>970280</wp:posOffset>
              </wp:positionV>
              <wp:extent cx="5400040" cy="0"/>
              <wp:effectExtent l="0" t="19050" r="10160" b="19050"/>
              <wp:wrapNone/>
              <wp:docPr id="8" name="任意多边形 30"/>
              <wp:cNvGraphicFramePr/>
              <a:graphic xmlns:a="http://schemas.openxmlformats.org/drawingml/2006/main">
                <a:graphicData uri="http://schemas.microsoft.com/office/word/2010/wordprocessingShape">
                  <wps:wsp>
                    <wps:cNvSpPr/>
                    <wps:spPr bwMode="auto">
                      <a:xfrm>
                        <a:off x="0" y="0"/>
                        <a:ext cx="5400040" cy="0"/>
                      </a:xfrm>
                      <a:custGeom>
                        <a:avLst/>
                        <a:gdLst>
                          <a:gd name="T0" fmla="*/ 0 w 8505"/>
                          <a:gd name="T1" fmla="*/ 0 h 20"/>
                          <a:gd name="T2" fmla="*/ 8505 w 8505"/>
                          <a:gd name="T3" fmla="*/ 0 h 20"/>
                        </a:gdLst>
                        <a:ahLst/>
                        <a:cxnLst>
                          <a:cxn ang="0">
                            <a:pos x="T0" y="T1"/>
                          </a:cxn>
                          <a:cxn ang="0">
                            <a:pos x="T2" y="T3"/>
                          </a:cxn>
                        </a:cxnLst>
                        <a:rect l="0" t="0" r="r" b="b"/>
                        <a:pathLst>
                          <a:path w="8505" h="20">
                            <a:moveTo>
                              <a:pt x="0" y="0"/>
                            </a:moveTo>
                            <a:lnTo>
                              <a:pt x="8505" y="0"/>
                            </a:lnTo>
                          </a:path>
                        </a:pathLst>
                      </a:custGeom>
                      <a:noFill/>
                      <a:ln w="38608">
                        <a:solidFill>
                          <a:srgbClr val="000000"/>
                        </a:solidFill>
                        <a:round/>
                      </a:ln>
                      <a:effectLst/>
                    </wps:spPr>
                    <wps:bodyPr rot="0" vert="horz" wrap="square" lIns="91440" tIns="45720" rIns="91440" bIns="45720" anchor="t" anchorCtr="0" upright="1">
                      <a:noAutofit/>
                    </wps:bodyPr>
                  </wps:wsp>
                </a:graphicData>
              </a:graphic>
            </wp:anchor>
          </w:drawing>
        </mc:Choice>
        <mc:Fallback>
          <w:pict>
            <v:shape id="任意多边形 30" o:spid="_x0000_s1026" o:spt="100" style="position:absolute;left:0pt;margin-left:85pt;margin-top:76.4pt;height:0pt;width:425.2pt;mso-position-horizontal-relative:page;mso-position-vertical-relative:page;z-index:-251656192;mso-width-relative:page;mso-height-relative:page;" filled="f" stroked="t" coordsize="8505,20" o:allowincell="f" o:gfxdata="UEsDBAoAAAAAAIdO4kAAAAAAAAAAAAAAAAAEAAAAZHJzL1BLAwQUAAAACACHTuJARskEadgAAAAM&#10;AQAADwAAAGRycy9kb3ducmV2LnhtbE2PS0/DMBCE70j8B2uRuFG7EY8qxKkQj0MPHFIQ7dGNlzgi&#10;XofYacq/ZytVgtvO7mh2vmJ58J3Y4xDbQBrmMwUCqQ62pUbD+9vL1QJETIas6QKhhh+MsCzPzwqT&#10;2zBRhft1agSHUMyNBpdSn0sZa4fexFnokfj2GQZvEsuhkXYwE4f7TmZK3UpvWuIPzvT46LD+Wo9e&#10;w8dzVm0m+W1W283oqGrsw+rpVevLi7m6B5HwkP7McKzP1aHkTrswko2iY32nmCXxcJMxw9GhMnUN&#10;YndaybKQ/yHKX1BLAwQUAAAACACHTuJAHzUjcJwCAACGBQAADgAAAGRycy9lMm9Eb2MueG1srVTN&#10;jtMwEL4j8Q6Wj0g06d9SqqYrtKtFSPystOUBHMdpIjkeY7tNy5k79z0iXgKt4GlYxGMwdpJutmgv&#10;iBwi2/N55ptvxrM43VWSbIWxJaiEDgcxJUJxyEq1Tuj71cXTGSXWMZUxCUokdC8sPV0+frSo9VyM&#10;oACZCUPQibLzWie0cE7Po8jyQlTMDkALhcYcTMUcbs06ygyr0Xslo1Ecn0Q1mEwb4MJaPD1vjHQZ&#10;/Oe54O5dnlvhiEwocnPhb8I/9f9ouWDztWG6KHlLg/0Di4qVCoMeXJ0zx8jGlH+5qkpuwELuBhyq&#10;CPK85CLkgNkM46NsrgqmRcgFxbH6IJP9f2752+2lIWWWUCyUYhWW6OfNza9Pn2+/Xv/+8e32+xcy&#10;DirV2s4RfKUvDWrmdxaXJK3fQIaX2MZBEGCXm8oLgamRXdB5f9BZ7BzheDidxHE8wXLwzhaxeXeR&#10;b6x7KSA4YdvX1jUlynAVBM5amiu8n1cSq/UkIjGpyWwaT9t6HjDDe5iCjLqKHxCjHsJ7eMDRuAeL&#10;SecIaa87YqzouPKdasniijD/EuKgjQbrNfHMMfHV0LNFF4jymT0ARoIePO6Dm0ttEINNftzehhJs&#10;77SRQzPnufkYfklqLLbXihQJRUH8eQVbsYKAcEdlw1h3Vqn6qMZLr4aNGW/4OCG3Q2xPuVdZBRel&#10;lKG0UnlG49lJPAtcLMgy81ZPx5p1eiYN2TL/gMPXCnEPZmCjskZNGcQU4e03FYm6bm36NoVsj51r&#10;oBkGOLxwUYD5SEmNgyCh9sOGGUGJfKXwpT0fTnyrurCZTJ+hYsT0LWnfwhRHVwl1FAvvl2eumTYb&#10;bcp1gZGGIUkFL/DF5KXv7sCvYdVu8LEH9drB5KdJfx9Qd+Nz+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BGyQRp2AAAAAwBAAAPAAAAAAAAAAEAIAAAACIAAABkcnMvZG93bnJldi54bWxQSwECFAAU&#10;AAAACACHTuJAHzUjcJwCAACGBQAADgAAAAAAAAABACAAAAAnAQAAZHJzL2Uyb0RvYy54bWxQSwUG&#10;AAAAAAYABgBZAQAANQYAAAAA&#10;" path="m0,0l8505,0e">
              <v:path o:connectlocs="0,0;5400040,0" o:connectangles="0,0"/>
              <v:fill on="f" focussize="0,0"/>
              <v:stroke weight="3.04pt" color="#000000" joinstyle="round"/>
              <v:imagedata o:title=""/>
              <o:lock v:ext="edit" aspectratio="f"/>
            </v:shape>
          </w:pict>
        </mc:Fallback>
      </mc:AlternateContent>
    </w:r>
    <w:r>
      <mc:AlternateContent>
        <mc:Choice Requires="wps">
          <w:drawing>
            <wp:anchor distT="0" distB="0" distL="114300" distR="114300" simplePos="0" relativeHeight="251661312" behindDoc="1" locked="0" layoutInCell="0" allowOverlap="1">
              <wp:simplePos x="0" y="0"/>
              <wp:positionH relativeFrom="page">
                <wp:posOffset>1079500</wp:posOffset>
              </wp:positionH>
              <wp:positionV relativeFrom="page">
                <wp:posOffset>1002665</wp:posOffset>
              </wp:positionV>
              <wp:extent cx="5400040" cy="0"/>
              <wp:effectExtent l="0" t="0" r="10160" b="19050"/>
              <wp:wrapNone/>
              <wp:docPr id="7" name="任意多边形 28"/>
              <wp:cNvGraphicFramePr/>
              <a:graphic xmlns:a="http://schemas.openxmlformats.org/drawingml/2006/main">
                <a:graphicData uri="http://schemas.microsoft.com/office/word/2010/wordprocessingShape">
                  <wps:wsp>
                    <wps:cNvSpPr/>
                    <wps:spPr bwMode="auto">
                      <a:xfrm>
                        <a:off x="0" y="0"/>
                        <a:ext cx="5400040" cy="0"/>
                      </a:xfrm>
                      <a:custGeom>
                        <a:avLst/>
                        <a:gdLst>
                          <a:gd name="T0" fmla="*/ 0 w 8505"/>
                          <a:gd name="T1" fmla="*/ 0 h 20"/>
                          <a:gd name="T2" fmla="*/ 8505 w 8505"/>
                          <a:gd name="T3" fmla="*/ 0 h 20"/>
                        </a:gdLst>
                        <a:ahLst/>
                        <a:cxnLst>
                          <a:cxn ang="0">
                            <a:pos x="T0" y="T1"/>
                          </a:cxn>
                          <a:cxn ang="0">
                            <a:pos x="T2" y="T3"/>
                          </a:cxn>
                        </a:cxnLst>
                        <a:rect l="0" t="0" r="r" b="b"/>
                        <a:pathLst>
                          <a:path w="8505" h="20">
                            <a:moveTo>
                              <a:pt x="0" y="0"/>
                            </a:moveTo>
                            <a:lnTo>
                              <a:pt x="8505" y="0"/>
                            </a:lnTo>
                          </a:path>
                        </a:pathLst>
                      </a:custGeom>
                      <a:noFill/>
                      <a:ln w="10414">
                        <a:solidFill>
                          <a:srgbClr val="000000"/>
                        </a:solidFill>
                        <a:round/>
                      </a:ln>
                      <a:effectLst/>
                    </wps:spPr>
                    <wps:bodyPr rot="0" vert="horz" wrap="square" lIns="91440" tIns="45720" rIns="91440" bIns="45720" anchor="t" anchorCtr="0" upright="1">
                      <a:noAutofit/>
                    </wps:bodyPr>
                  </wps:wsp>
                </a:graphicData>
              </a:graphic>
            </wp:anchor>
          </w:drawing>
        </mc:Choice>
        <mc:Fallback>
          <w:pict>
            <v:shape id="任意多边形 28" o:spid="_x0000_s1026" o:spt="100" style="position:absolute;left:0pt;margin-left:85pt;margin-top:78.95pt;height:0pt;width:425.2pt;mso-position-horizontal-relative:page;mso-position-vertical-relative:page;z-index:-251655168;mso-width-relative:page;mso-height-relative:page;" filled="f" stroked="t" coordsize="8505,20" o:allowincell="f" o:gfxdata="UEsDBAoAAAAAAIdO4kAAAAAAAAAAAAAAAAAEAAAAZHJzL1BLAwQUAAAACACHTuJA3y3Yi9gAAAAM&#10;AQAADwAAAGRycy9kb3ducmV2LnhtbE2PQU/DMAyF70j8h8hI3FjSCbZRmu6AhECcxgDtmqVem61x&#10;qiZdx7/Hk5DGzc9+ev5esTz5Vhyxjy6QhmyiQCDZUDmqNXx9vtwtQMRkqDJtINTwgxGW5fVVYfIq&#10;jPSBx3WqBYdQzI2GJqUulzLaBr2Jk9Ah8W0Xem8Sy76WVW9GDvetnCo1k9444g+N6fC5QXtYD17D&#10;97h5NS7bv8/2qze3Gzq7Oiir9e1Npp5AJDylixnO+IwOJTNtw0BVFC3rueIuiYeH+SOIs0NN1T2I&#10;7d9KloX8X6L8BVBLAwQUAAAACACHTuJADMzZVJ0CAACGBQAADgAAAGRycy9lMm9Eb2MueG1srVTN&#10;btQwEL4j8Q6Wj0g0yXaXllWzFWpVhMRPpS4P4HWcTSTHY2zvZsuZO/ceES+BKngaingMZpzsNi3q&#10;BZFDZHs+z3zzzXiOjjeNZmvlfA0m59leypkyEoraLHP+fn729JAzH4QphAajcn6pPD+ePX501Nqp&#10;GkEFulCOoRPjp63NeRWCnSaJl5VqhN8DqwwaS3CNCLh1y6RwokXvjU5GafosacEV1oFU3uPpaWfk&#10;s+i/LJUM78rSq8B0zpFbiH8X/wv6J7MjMV06Yata9jTEP7BoRG0w6M7VqQiCrVz9l6umlg48lGFP&#10;QpNAWdZSxRwwmyy9l81FJayKuaA43u5k8v/PrXy7PnesLnJ+wJkRDZbo5/X1r0+fb75e/f7x7eb7&#10;FzY6JJVa66cIvrDnrt95XLJF+wYKvCRWAaIAm9I1JASmxjZR58udzmoTmMTDyThN0zGWQ25tiZhu&#10;L8qVDy8VRCdi/dqHrkQFrqLARU9zjvfLRmO1niQsZS07nKSTvp47THYHU7HRtuI7xGiAIA8PONof&#10;wFK2dYS0l1tiotpylRvTk8UVE/QS0qiNBU+aEHNMfJ4RW3SBKMrsATASJPD+ENxd6oM4bPL77e04&#10;w/ZedHJYEYgbxaAla3MetWJVzlEQOm9greYQEeFe2TDWrVWbIarzMqhhZ8YbFCfmtotNlAeVNXBW&#10;ax1Lqw0xytJxNo5cPOi6ICvR8W65ONGOrQU94Pj1QtyBOViZolNTRzFVfPtdRRLqXerWrosXUFxi&#10;5zrohgEOL1xU4D5y1uIgyLn/sBJOcaZfGXxpz7MxtWqIm/HkABVjbmhZDC3CSHSV88Cx8LQ8Cd20&#10;WVlXLyuMlMUkDbzAF1PW1N2RX8eq3+Bjj+r1g4mmyXAfUbfjc/Y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3y3Yi9gAAAAMAQAADwAAAAAAAAABACAAAAAiAAAAZHJzL2Rvd25yZXYueG1sUEsBAhQA&#10;FAAAAAgAh07iQAzM2VSdAgAAhgUAAA4AAAAAAAAAAQAgAAAAJwEAAGRycy9lMm9Eb2MueG1sUEsF&#10;BgAAAAAGAAYAWQEAADYGAAAAAA==&#10;" path="m0,0l8505,0e">
              <v:path o:connectlocs="0,0;5400040,0" o:connectangles="0,0"/>
              <v:fill on="f" focussize="0,0"/>
              <v:stroke weight="0.82pt" color="#000000" joinstyle="round"/>
              <v:imagedata o:title=""/>
              <o:lock v:ext="edit" aspectratio="f"/>
            </v:shape>
          </w:pict>
        </mc:Fallback>
      </mc:AlternateContent>
    </w:r>
    <w:r>
      <mc:AlternateContent>
        <mc:Choice Requires="wps">
          <w:drawing>
            <wp:anchor distT="0" distB="0" distL="114300" distR="114300" simplePos="0" relativeHeight="251662336" behindDoc="1" locked="0" layoutInCell="0" allowOverlap="1">
              <wp:simplePos x="0" y="0"/>
              <wp:positionH relativeFrom="page">
                <wp:posOffset>1066800</wp:posOffset>
              </wp:positionH>
              <wp:positionV relativeFrom="page">
                <wp:posOffset>790575</wp:posOffset>
              </wp:positionV>
              <wp:extent cx="1287145" cy="146685"/>
              <wp:effectExtent l="0" t="0" r="8255" b="5715"/>
              <wp:wrapNone/>
              <wp:docPr id="6" name="文本框 24"/>
              <wp:cNvGraphicFramePr/>
              <a:graphic xmlns:a="http://schemas.openxmlformats.org/drawingml/2006/main">
                <a:graphicData uri="http://schemas.microsoft.com/office/word/2010/wordprocessingShape">
                  <wps:wsp>
                    <wps:cNvSpPr txBox="1">
                      <a:spLocks noChangeArrowheads="1"/>
                    </wps:cNvSpPr>
                    <wps:spPr bwMode="auto">
                      <a:xfrm>
                        <a:off x="0" y="0"/>
                        <a:ext cx="1287145" cy="146685"/>
                      </a:xfrm>
                      <a:prstGeom prst="rect">
                        <a:avLst/>
                      </a:prstGeom>
                      <a:noFill/>
                      <a:ln>
                        <a:noFill/>
                      </a:ln>
                      <a:effectLst/>
                    </wps:spPr>
                    <wps:txbx>
                      <w:txbxContent>
                        <w:p>
                          <w:pPr>
                            <w:pStyle w:val="17"/>
                            <w:kinsoku w:val="0"/>
                            <w:overflowPunct w:val="0"/>
                            <w:spacing w:line="210" w:lineRule="exact"/>
                            <w:ind w:left="20" w:firstLine="364"/>
                            <w:rPr>
                              <w:rFonts w:ascii="宋体" w:cs="宋体"/>
                              <w:sz w:val="19"/>
                              <w:szCs w:val="19"/>
                            </w:rPr>
                          </w:pPr>
                          <w:r>
                            <w:rPr>
                              <w:rFonts w:hint="eastAsia" w:ascii="宋体" w:cs="宋体"/>
                              <w:b/>
                              <w:bCs/>
                              <w:i/>
                              <w:iCs/>
                              <w:w w:val="95"/>
                              <w:sz w:val="19"/>
                              <w:szCs w:val="19"/>
                            </w:rPr>
                            <w:t>环境质量现状监测及评价</w:t>
                          </w:r>
                        </w:p>
                      </w:txbxContent>
                    </wps:txbx>
                    <wps:bodyPr rot="0" vert="horz" wrap="square" lIns="0" tIns="0" rIns="0" bIns="0" anchor="t" anchorCtr="0" upright="1">
                      <a:noAutofit/>
                    </wps:bodyPr>
                  </wps:wsp>
                </a:graphicData>
              </a:graphic>
            </wp:anchor>
          </w:drawing>
        </mc:Choice>
        <mc:Fallback>
          <w:pict>
            <v:shape id="文本框 24" o:spid="_x0000_s1026" o:spt="202" type="#_x0000_t202" style="position:absolute;left:0pt;margin-left:84pt;margin-top:62.25pt;height:11.55pt;width:101.35pt;mso-position-horizontal-relative:page;mso-position-vertical-relative:page;z-index:-251654144;mso-width-relative:page;mso-height-relative:page;" filled="f" stroked="f" coordsize="21600,21600" o:allowincell="f" o:gfxdata="UEsDBAoAAAAAAIdO4kAAAAAAAAAAAAAAAAAEAAAAZHJzL1BLAwQUAAAACACHTuJANLbvttoAAAAL&#10;AQAADwAAAGRycy9kb3ducmV2LnhtbE2PzU7DMBCE70i8g7VI3KjdUpIS4lQIwQkJkYYDRyfeJlHj&#10;dYjdH96+2xPcdnZHs9/k65MbxAGn0HvSMJ8pEEiNtz21Gr6qt7sViBANWTN4Qg2/GGBdXF/lJrP+&#10;SCUeNrEVHEIhMxq6GMdMytB06EyY+RGJb1s/ORNZTq20kzlyuBvkQqlEOtMTf+jMiC8dNrvN3ml4&#10;/qbytf/5qD/LbdlX1aOi92Sn9e3NXD2BiHiKf2a44DM6FMxU+z3ZIAbWyYq7RB4WywcQ7LhPVQqi&#10;5s0yTUAWufzfoTgDUEsDBBQAAAAIAIdO4kCTjr84+AEAAMYDAAAOAAAAZHJzL2Uyb0RvYy54bWyt&#10;U82O0zAQviPxDpbvNG3VLVXUdLXsahHS8iMtPMDUcRqLxGPGbpPyAPAGnPbCnefqczB22rLADXGx&#10;JvbMN/N982V52beN2GnyBm0hJ6OxFNoqLI3dFPLD+9tnCyl8AFtCg1YXcq+9vFw9fbLsXK6nWGNT&#10;ahIMYn3euULWIbg8y7yqdQt+hE5bfqyQWgj8SZusJOgYvW2y6Xg8zzqk0hEq7T3f3gyPcpXwq0qr&#10;8LaqvA6iKSTPFtJJ6VzHM1stId8QuNqo4xjwD1O0YCw3PUPdQACxJfMXVGsUoccqjBS2GVaVUTpx&#10;YDaT8R9s7mtwOnFhcbw7y+T/H6x6s3tHwpSFnEthoeUVHb59PTz8OHz/IqazqE/nfM5p944TQ/8C&#10;e95z4urdHaqPXli8rsFu9BURdrWGkuebxMrsUemA4yPIunuNJTeCbcAE1FfURvFYDsHovKf9eTe6&#10;D0LFltPF88nsQgrFb5PZfL64SC0gP1U78uGlxlbEoJDEu0/osLvzIU4D+SklNrN4a5om7b+xv11w&#10;4nCjk4GO1ZFLHH8gEvp1f9RmjeWeWREO5uKfgYMa6bMUHRurkP7TFkhL0byyrEx04SmgU7A+BWAV&#10;lxYySDGE12Fw69aR2dSMPGhv8YrVq0wiFkcbpjhqzmZJfI/Gjm58/J2yfv1+q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0tu+22gAAAAsBAAAPAAAAAAAAAAEAIAAAACIAAABkcnMvZG93bnJldi54&#10;bWxQSwECFAAUAAAACACHTuJAk46/OPgBAADGAwAADgAAAAAAAAABACAAAAApAQAAZHJzL2Uyb0Rv&#10;Yy54bWxQSwUGAAAAAAYABgBZAQAAkwUAAAAA&#10;">
              <v:fill on="f" focussize="0,0"/>
              <v:stroke on="f"/>
              <v:imagedata o:title=""/>
              <o:lock v:ext="edit" aspectratio="f"/>
              <v:textbox inset="0mm,0mm,0mm,0mm">
                <w:txbxContent>
                  <w:p>
                    <w:pPr>
                      <w:pStyle w:val="17"/>
                      <w:kinsoku w:val="0"/>
                      <w:overflowPunct w:val="0"/>
                      <w:spacing w:line="210" w:lineRule="exact"/>
                      <w:ind w:left="20" w:firstLine="364"/>
                      <w:rPr>
                        <w:rFonts w:ascii="宋体" w:cs="宋体"/>
                        <w:sz w:val="19"/>
                        <w:szCs w:val="19"/>
                      </w:rPr>
                    </w:pPr>
                    <w:r>
                      <w:rPr>
                        <w:rFonts w:hint="eastAsia" w:ascii="宋体" w:cs="宋体"/>
                        <w:b/>
                        <w:bCs/>
                        <w:i/>
                        <w:iCs/>
                        <w:w w:val="95"/>
                        <w:sz w:val="19"/>
                        <w:szCs w:val="19"/>
                      </w:rPr>
                      <w:t>环境质量现状监测及评价</w:t>
                    </w:r>
                  </w:p>
                </w:txbxContent>
              </v:textbox>
            </v:shape>
          </w:pict>
        </mc:Fallback>
      </mc:AlternateContent>
    </w:r>
    <w:r>
      <mc:AlternateContent>
        <mc:Choice Requires="wps">
          <w:drawing>
            <wp:anchor distT="0" distB="0" distL="114300" distR="114300" simplePos="0" relativeHeight="251663360" behindDoc="1" locked="0" layoutInCell="0" allowOverlap="1">
              <wp:simplePos x="0" y="0"/>
              <wp:positionH relativeFrom="page">
                <wp:posOffset>3928110</wp:posOffset>
              </wp:positionH>
              <wp:positionV relativeFrom="page">
                <wp:posOffset>790575</wp:posOffset>
              </wp:positionV>
              <wp:extent cx="2488565" cy="146685"/>
              <wp:effectExtent l="0" t="0" r="6985" b="5715"/>
              <wp:wrapNone/>
              <wp:docPr id="5" name="文本框 22"/>
              <wp:cNvGraphicFramePr/>
              <a:graphic xmlns:a="http://schemas.openxmlformats.org/drawingml/2006/main">
                <a:graphicData uri="http://schemas.microsoft.com/office/word/2010/wordprocessingShape">
                  <wps:wsp>
                    <wps:cNvSpPr txBox="1">
                      <a:spLocks noChangeArrowheads="1"/>
                    </wps:cNvSpPr>
                    <wps:spPr bwMode="auto">
                      <a:xfrm>
                        <a:off x="0" y="0"/>
                        <a:ext cx="2488565" cy="146685"/>
                      </a:xfrm>
                      <a:prstGeom prst="rect">
                        <a:avLst/>
                      </a:prstGeom>
                      <a:noFill/>
                      <a:ln>
                        <a:noFill/>
                      </a:ln>
                      <a:effectLst/>
                    </wps:spPr>
                    <wps:txbx>
                      <w:txbxContent>
                        <w:p>
                          <w:pPr>
                            <w:pStyle w:val="17"/>
                            <w:kinsoku w:val="0"/>
                            <w:overflowPunct w:val="0"/>
                            <w:spacing w:line="210" w:lineRule="exact"/>
                            <w:ind w:left="20" w:firstLine="312"/>
                            <w:rPr>
                              <w:rFonts w:ascii="宋体" w:cs="宋体"/>
                              <w:sz w:val="19"/>
                              <w:szCs w:val="19"/>
                            </w:rPr>
                          </w:pPr>
                          <w:r>
                            <w:rPr>
                              <w:rFonts w:hint="eastAsia" w:ascii="宋体" w:cs="宋体"/>
                              <w:b/>
                              <w:bCs/>
                              <w:i/>
                              <w:iCs/>
                              <w:spacing w:val="-13"/>
                              <w:w w:val="95"/>
                              <w:sz w:val="19"/>
                              <w:szCs w:val="19"/>
                            </w:rPr>
                            <w:t>宁夏精细化工基地总体规划（修编）环境影响报告书</w:t>
                          </w:r>
                        </w:p>
                      </w:txbxContent>
                    </wps:txbx>
                    <wps:bodyPr rot="0" vert="horz" wrap="square" lIns="0" tIns="0" rIns="0" bIns="0" anchor="t" anchorCtr="0" upright="1">
                      <a:noAutofit/>
                    </wps:bodyPr>
                  </wps:wsp>
                </a:graphicData>
              </a:graphic>
            </wp:anchor>
          </w:drawing>
        </mc:Choice>
        <mc:Fallback>
          <w:pict>
            <v:shape id="文本框 22" o:spid="_x0000_s1026" o:spt="202" type="#_x0000_t202" style="position:absolute;left:0pt;margin-left:309.3pt;margin-top:62.25pt;height:11.55pt;width:195.95pt;mso-position-horizontal-relative:page;mso-position-vertical-relative:page;z-index:-251653120;mso-width-relative:page;mso-height-relative:page;" filled="f" stroked="f" coordsize="21600,21600" o:allowincell="f" o:gfxdata="UEsDBAoAAAAAAIdO4kAAAAAAAAAAAAAAAAAEAAAAZHJzL1BLAwQUAAAACACHTuJAkUwrStkAAAAM&#10;AQAADwAAAGRycy9kb3ducmV2LnhtbE2PzU7DMBCE70i8g7WVuFE7VTEljVMhBCckRBoOHJ3YTazG&#10;6xC7P7w92xO9zWo+zc4Um7Mf2NFO0QVUkM0FMIttMA47BV/12/0KWEwajR4CWgW/NsKmvL0pdG7C&#10;CSt73KaOUQjGXCvoUxpzzmPbW6/jPIwWyduFyetE59RxM+kThfuBL4SQ3GuH9KHXo33pbbvfHryC&#10;52+sXt3PR/NZ7SpX108C3+VeqbtZJtbAkj2nfxgu9ak6lNSpCQc0kQ0KZLaShJKxWD4AuxAiE6Qa&#10;UstHCbws+PWI8g9QSwMEFAAAAAgAh07iQJXS4Qj4AQAAxgMAAA4AAABkcnMvZTJvRG9jLnhtbK1T&#10;S44TMRDdI3EHy3vSSTSJolY6o2FGg5CGjzRwgIrbnbbodpmyk+5wALgBKzbsOVfOQdmdhJlhh9hY&#10;Zbvq+b1X5eVl3zZip8kbtIWcjMZSaKuwNHZTyI8fbl8spPABbAkNWl3IvfbycvX82bJzuZ5ijU2p&#10;STCI9XnnClmH4PIs86rWLfgROm35skJqIfCWNllJ0DF622TT8XiedUilI1Taez69GS7lKuFXlVbh&#10;XVV5HURTSOYW0kppXcc1Wy0h3xC42qgjDfgHFi0Yy4+eoW4ggNiS+QuqNYrQYxVGCtsMq8oonTSw&#10;msn4iZr7GpxOWtgc7842+f8Hq97u3pMwZSFnUlhouUWH798OP34dfn4V02n0p3M+57R7x4mhf4k9&#10;9zlp9e4O1ScvLF7XYDf6igi7WkPJ/CaxMntQOuD4CLLu3mDJD8E2YALqK2qjeWyHYHTu0/7cG90H&#10;ofhwerFYzOZMUvHd5GI+X8zSE5Cfqh358EpjK2JQSOLeJ3TY3fkQ2UB+SomPWbw1TZP639hHB5w4&#10;nOg0QMfqqCXSH4SEft0fvVljuWdVhMNw8WfgoEb6IkXHg1VI/3kLpKVoXlt2Jk7hKaBTsD4FYBWX&#10;FjJIMYTXYZjWrSOzqRl58N7iFbtXmSQsUhtYHD3nYUl6j4Mdp/HhPmX9+X6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JFMK0rZAAAADAEAAA8AAAAAAAAAAQAgAAAAIgAAAGRycy9kb3ducmV2Lnht&#10;bFBLAQIUABQAAAAIAIdO4kCV0uEI+AEAAMYDAAAOAAAAAAAAAAEAIAAAACgBAABkcnMvZTJvRG9j&#10;LnhtbFBLBQYAAAAABgAGAFkBAACSBQAAAAA=&#10;">
              <v:fill on="f" focussize="0,0"/>
              <v:stroke on="f"/>
              <v:imagedata o:title=""/>
              <o:lock v:ext="edit" aspectratio="f"/>
              <v:textbox inset="0mm,0mm,0mm,0mm">
                <w:txbxContent>
                  <w:p>
                    <w:pPr>
                      <w:pStyle w:val="17"/>
                      <w:kinsoku w:val="0"/>
                      <w:overflowPunct w:val="0"/>
                      <w:spacing w:line="210" w:lineRule="exact"/>
                      <w:ind w:left="20" w:firstLine="312"/>
                      <w:rPr>
                        <w:rFonts w:ascii="宋体" w:cs="宋体"/>
                        <w:sz w:val="19"/>
                        <w:szCs w:val="19"/>
                      </w:rPr>
                    </w:pPr>
                    <w:r>
                      <w:rPr>
                        <w:rFonts w:hint="eastAsia" w:ascii="宋体" w:cs="宋体"/>
                        <w:b/>
                        <w:bCs/>
                        <w:i/>
                        <w:iCs/>
                        <w:spacing w:val="-13"/>
                        <w:w w:val="95"/>
                        <w:sz w:val="19"/>
                        <w:szCs w:val="19"/>
                      </w:rPr>
                      <w:t>宁夏精细化工基地总体规划（修编）环境影响报告书</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926C4A5"/>
    <w:multiLevelType w:val="multilevel"/>
    <w:tmpl w:val="8926C4A5"/>
    <w:lvl w:ilvl="0" w:tentative="0">
      <w:start w:val="1"/>
      <w:numFmt w:val="decimal"/>
      <w:pStyle w:val="51"/>
      <w:lvlText w:val="（%1）"/>
      <w:lvlJc w:val="left"/>
      <w:pPr>
        <w:tabs>
          <w:tab w:val="left" w:pos="0"/>
        </w:tabs>
        <w:ind w:left="0" w:firstLine="567"/>
      </w:pPr>
    </w:lvl>
    <w:lvl w:ilvl="1" w:tentative="0">
      <w:start w:val="1"/>
      <w:numFmt w:val="lowerLetter"/>
      <w:lvlText w:val="%2)"/>
      <w:lvlJc w:val="left"/>
      <w:pPr>
        <w:tabs>
          <w:tab w:val="left" w:pos="0"/>
        </w:tabs>
        <w:ind w:left="840" w:hanging="420"/>
      </w:pPr>
    </w:lvl>
    <w:lvl w:ilvl="2" w:tentative="0">
      <w:start w:val="1"/>
      <w:numFmt w:val="lowerRoman"/>
      <w:lvlText w:val="%3."/>
      <w:lvlJc w:val="right"/>
      <w:pPr>
        <w:tabs>
          <w:tab w:val="left" w:pos="0"/>
        </w:tabs>
        <w:ind w:left="1260" w:hanging="420"/>
      </w:pPr>
    </w:lvl>
    <w:lvl w:ilvl="3" w:tentative="0">
      <w:start w:val="1"/>
      <w:numFmt w:val="decimal"/>
      <w:lvlText w:val="%4."/>
      <w:lvlJc w:val="left"/>
      <w:pPr>
        <w:tabs>
          <w:tab w:val="left" w:pos="0"/>
        </w:tabs>
        <w:ind w:left="1680" w:hanging="420"/>
      </w:pPr>
    </w:lvl>
    <w:lvl w:ilvl="4" w:tentative="0">
      <w:start w:val="1"/>
      <w:numFmt w:val="lowerLetter"/>
      <w:lvlText w:val="%5)"/>
      <w:lvlJc w:val="left"/>
      <w:pPr>
        <w:tabs>
          <w:tab w:val="left" w:pos="0"/>
        </w:tabs>
        <w:ind w:left="2100" w:hanging="420"/>
      </w:pPr>
    </w:lvl>
    <w:lvl w:ilvl="5" w:tentative="0">
      <w:start w:val="1"/>
      <w:numFmt w:val="lowerRoman"/>
      <w:lvlText w:val="%6."/>
      <w:lvlJc w:val="right"/>
      <w:pPr>
        <w:tabs>
          <w:tab w:val="left" w:pos="0"/>
        </w:tabs>
        <w:ind w:left="2520" w:hanging="420"/>
      </w:pPr>
    </w:lvl>
    <w:lvl w:ilvl="6" w:tentative="0">
      <w:start w:val="1"/>
      <w:numFmt w:val="decimal"/>
      <w:lvlText w:val="%7."/>
      <w:lvlJc w:val="left"/>
      <w:pPr>
        <w:tabs>
          <w:tab w:val="left" w:pos="0"/>
        </w:tabs>
        <w:ind w:left="2940" w:hanging="420"/>
      </w:pPr>
    </w:lvl>
    <w:lvl w:ilvl="7" w:tentative="0">
      <w:start w:val="1"/>
      <w:numFmt w:val="lowerLetter"/>
      <w:lvlText w:val="%8)"/>
      <w:lvlJc w:val="left"/>
      <w:pPr>
        <w:tabs>
          <w:tab w:val="left" w:pos="0"/>
        </w:tabs>
        <w:ind w:left="3360" w:hanging="420"/>
      </w:pPr>
    </w:lvl>
    <w:lvl w:ilvl="8" w:tentative="0">
      <w:start w:val="1"/>
      <w:numFmt w:val="lowerRoman"/>
      <w:lvlText w:val="%9."/>
      <w:lvlJc w:val="right"/>
      <w:pPr>
        <w:tabs>
          <w:tab w:val="left" w:pos="0"/>
        </w:tabs>
        <w:ind w:left="3780" w:hanging="420"/>
      </w:pPr>
    </w:lvl>
  </w:abstractNum>
  <w:abstractNum w:abstractNumId="1">
    <w:nsid w:val="8B8D0399"/>
    <w:multiLevelType w:val="singleLevel"/>
    <w:tmpl w:val="8B8D0399"/>
    <w:lvl w:ilvl="0" w:tentative="0">
      <w:start w:val="2"/>
      <w:numFmt w:val="decimal"/>
      <w:suff w:val="nothing"/>
      <w:lvlText w:val="%1、"/>
      <w:lvlJc w:val="left"/>
    </w:lvl>
  </w:abstractNum>
  <w:abstractNum w:abstractNumId="2">
    <w:nsid w:val="C4252D5F"/>
    <w:multiLevelType w:val="singleLevel"/>
    <w:tmpl w:val="C4252D5F"/>
    <w:lvl w:ilvl="0" w:tentative="0">
      <w:start w:val="1"/>
      <w:numFmt w:val="lowerLetter"/>
      <w:suff w:val="nothing"/>
      <w:lvlText w:val="%1）"/>
      <w:lvlJc w:val="left"/>
    </w:lvl>
  </w:abstractNum>
  <w:abstractNum w:abstractNumId="3">
    <w:nsid w:val="C920F7CB"/>
    <w:multiLevelType w:val="singleLevel"/>
    <w:tmpl w:val="C920F7CB"/>
    <w:lvl w:ilvl="0" w:tentative="0">
      <w:start w:val="3"/>
      <w:numFmt w:val="decimal"/>
      <w:suff w:val="nothing"/>
      <w:lvlText w:val="%1、"/>
      <w:lvlJc w:val="left"/>
    </w:lvl>
  </w:abstractNum>
  <w:abstractNum w:abstractNumId="4">
    <w:nsid w:val="FFFFFF7D"/>
    <w:multiLevelType w:val="singleLevel"/>
    <w:tmpl w:val="FFFFFF7D"/>
    <w:lvl w:ilvl="0" w:tentative="0">
      <w:start w:val="1"/>
      <w:numFmt w:val="decimal"/>
      <w:pStyle w:val="38"/>
      <w:lvlText w:val="%1."/>
      <w:lvlJc w:val="left"/>
      <w:pPr>
        <w:tabs>
          <w:tab w:val="left" w:pos="1620"/>
        </w:tabs>
        <w:ind w:left="1620" w:leftChars="600" w:hanging="360" w:hangingChars="200"/>
      </w:pPr>
    </w:lvl>
  </w:abstractNum>
  <w:abstractNum w:abstractNumId="5">
    <w:nsid w:val="FFFFFF7F"/>
    <w:multiLevelType w:val="singleLevel"/>
    <w:tmpl w:val="FFFFFF7F"/>
    <w:lvl w:ilvl="0" w:tentative="0">
      <w:start w:val="1"/>
      <w:numFmt w:val="decimal"/>
      <w:pStyle w:val="18"/>
      <w:lvlText w:val="%1."/>
      <w:lvlJc w:val="left"/>
      <w:pPr>
        <w:tabs>
          <w:tab w:val="left" w:pos="780"/>
        </w:tabs>
        <w:ind w:left="780" w:leftChars="200" w:hanging="360" w:hangingChars="200"/>
      </w:pPr>
    </w:lvl>
  </w:abstractNum>
  <w:abstractNum w:abstractNumId="6">
    <w:nsid w:val="00000001"/>
    <w:multiLevelType w:val="singleLevel"/>
    <w:tmpl w:val="00000001"/>
    <w:lvl w:ilvl="0" w:tentative="0">
      <w:start w:val="8"/>
      <w:numFmt w:val="decimal"/>
      <w:pStyle w:val="424"/>
      <w:suff w:val="nothing"/>
      <w:lvlText w:val="%1、"/>
      <w:lvlJc w:val="left"/>
      <w:rPr>
        <w:rFonts w:cs="Times New Roman"/>
      </w:rPr>
    </w:lvl>
  </w:abstractNum>
  <w:abstractNum w:abstractNumId="7">
    <w:nsid w:val="00000006"/>
    <w:multiLevelType w:val="multilevel"/>
    <w:tmpl w:val="00000006"/>
    <w:lvl w:ilvl="0" w:tentative="0">
      <w:start w:val="1"/>
      <w:numFmt w:val="chineseCountingThousand"/>
      <w:pStyle w:val="140"/>
      <w:suff w:val="space"/>
      <w:lvlText w:val="%1、"/>
      <w:lvlJc w:val="left"/>
      <w:pPr>
        <w:ind w:left="0" w:firstLine="0"/>
      </w:pPr>
    </w:lvl>
    <w:lvl w:ilvl="1" w:tentative="0">
      <w:start w:val="1"/>
      <w:numFmt w:val="decimal"/>
      <w:pStyle w:val="136"/>
      <w:suff w:val="space"/>
      <w:lvlText w:val="%2."/>
      <w:lvlJc w:val="left"/>
      <w:pPr>
        <w:ind w:left="0" w:firstLine="0"/>
      </w:pPr>
    </w:lvl>
    <w:lvl w:ilvl="2" w:tentative="0">
      <w:start w:val="1"/>
      <w:numFmt w:val="decimal"/>
      <w:pStyle w:val="153"/>
      <w:suff w:val="space"/>
      <w:lvlText w:val="%2.%3"/>
      <w:lvlJc w:val="left"/>
      <w:pPr>
        <w:ind w:left="1905" w:firstLine="79"/>
      </w:pPr>
      <w:rPr>
        <w:b/>
      </w:rPr>
    </w:lvl>
    <w:lvl w:ilvl="3" w:tentative="0">
      <w:start w:val="1"/>
      <w:numFmt w:val="decimal"/>
      <w:pStyle w:val="146"/>
      <w:suff w:val="space"/>
      <w:lvlText w:val="%2.%3.%4"/>
      <w:lvlJc w:val="left"/>
      <w:pPr>
        <w:ind w:left="0" w:firstLine="79"/>
      </w:pPr>
    </w:lvl>
    <w:lvl w:ilvl="4" w:tentative="0">
      <w:start w:val="1"/>
      <w:numFmt w:val="decimal"/>
      <w:pStyle w:val="147"/>
      <w:suff w:val="space"/>
      <w:lvlText w:val="(%5)"/>
      <w:lvlJc w:val="left"/>
      <w:pPr>
        <w:ind w:left="0" w:firstLine="113"/>
      </w:pPr>
    </w:lvl>
    <w:lvl w:ilvl="5" w:tentative="0">
      <w:start w:val="1"/>
      <w:numFmt w:val="lowerLetter"/>
      <w:pStyle w:val="145"/>
      <w:suff w:val="space"/>
      <w:lvlText w:val="%6."/>
      <w:lvlJc w:val="left"/>
      <w:pPr>
        <w:ind w:left="0" w:firstLine="113"/>
      </w:pPr>
    </w:lvl>
    <w:lvl w:ilvl="6" w:tentative="0">
      <w:start w:val="1"/>
      <w:numFmt w:val="decimal"/>
      <w:lvlText w:val="%1.%2.%3.%4.%5.%6.%7"/>
      <w:lvlJc w:val="left"/>
      <w:pPr>
        <w:tabs>
          <w:tab w:val="left" w:pos="6009"/>
        </w:tabs>
        <w:ind w:left="3685" w:hanging="1276"/>
      </w:pPr>
    </w:lvl>
    <w:lvl w:ilvl="7" w:tentative="0">
      <w:start w:val="1"/>
      <w:numFmt w:val="decimal"/>
      <w:lvlText w:val="%1.%2.%3.%4.%5.%6.%7.%8"/>
      <w:lvlJc w:val="left"/>
      <w:pPr>
        <w:tabs>
          <w:tab w:val="left" w:pos="7154"/>
        </w:tabs>
        <w:ind w:left="4252" w:hanging="1418"/>
      </w:pPr>
    </w:lvl>
    <w:lvl w:ilvl="8" w:tentative="0">
      <w:start w:val="1"/>
      <w:numFmt w:val="decimal"/>
      <w:lvlText w:val="%1.%2.%3.%4.%5.%6.%7.%8.%9"/>
      <w:lvlJc w:val="left"/>
      <w:pPr>
        <w:tabs>
          <w:tab w:val="left" w:pos="7940"/>
        </w:tabs>
        <w:ind w:left="4960" w:hanging="1700"/>
      </w:pPr>
    </w:lvl>
  </w:abstractNum>
  <w:abstractNum w:abstractNumId="8">
    <w:nsid w:val="0000002C"/>
    <w:multiLevelType w:val="multilevel"/>
    <w:tmpl w:val="0000002C"/>
    <w:lvl w:ilvl="0" w:tentative="0">
      <w:start w:val="1"/>
      <w:numFmt w:val="bullet"/>
      <w:pStyle w:val="527"/>
      <w:lvlText w:val=""/>
      <w:lvlJc w:val="left"/>
      <w:pPr>
        <w:tabs>
          <w:tab w:val="left" w:pos="480"/>
        </w:tabs>
        <w:ind w:left="480" w:firstLine="0"/>
      </w:pPr>
      <w:rPr>
        <w:rFonts w:hint="default" w:ascii="Wingdings" w:hAnsi="Wingdings"/>
      </w:rPr>
    </w:lvl>
    <w:lvl w:ilvl="1" w:tentative="0">
      <w:start w:val="1"/>
      <w:numFmt w:val="decimal"/>
      <w:lvlRestart w:val="0"/>
      <w:lvlText w:val="%2."/>
      <w:lvlJc w:val="left"/>
      <w:pPr>
        <w:tabs>
          <w:tab w:val="left" w:pos="1440"/>
        </w:tabs>
        <w:ind w:left="1440" w:hanging="360"/>
      </w:pPr>
    </w:lvl>
    <w:lvl w:ilvl="2" w:tentative="0">
      <w:start w:val="1"/>
      <w:numFmt w:val="decimal"/>
      <w:lvlRestart w:val="0"/>
      <w:lvlText w:val="%3."/>
      <w:lvlJc w:val="left"/>
      <w:pPr>
        <w:tabs>
          <w:tab w:val="left" w:pos="2160"/>
        </w:tabs>
        <w:ind w:left="2160" w:hanging="360"/>
      </w:pPr>
    </w:lvl>
    <w:lvl w:ilvl="3" w:tentative="0">
      <w:start w:val="1"/>
      <w:numFmt w:val="decimal"/>
      <w:lvlRestart w:val="0"/>
      <w:lvlText w:val="%4."/>
      <w:lvlJc w:val="left"/>
      <w:pPr>
        <w:tabs>
          <w:tab w:val="left" w:pos="2880"/>
        </w:tabs>
        <w:ind w:left="2880" w:hanging="360"/>
      </w:pPr>
    </w:lvl>
    <w:lvl w:ilvl="4" w:tentative="0">
      <w:start w:val="1"/>
      <w:numFmt w:val="decimal"/>
      <w:lvlRestart w:val="0"/>
      <w:lvlText w:val="%5."/>
      <w:lvlJc w:val="left"/>
      <w:pPr>
        <w:tabs>
          <w:tab w:val="left" w:pos="3600"/>
        </w:tabs>
        <w:ind w:left="3600" w:hanging="360"/>
      </w:pPr>
    </w:lvl>
    <w:lvl w:ilvl="5" w:tentative="0">
      <w:start w:val="1"/>
      <w:numFmt w:val="decimal"/>
      <w:lvlRestart w:val="0"/>
      <w:lvlText w:val="%6."/>
      <w:lvlJc w:val="left"/>
      <w:pPr>
        <w:tabs>
          <w:tab w:val="left" w:pos="4320"/>
        </w:tabs>
        <w:ind w:left="4320" w:hanging="360"/>
      </w:pPr>
    </w:lvl>
    <w:lvl w:ilvl="6" w:tentative="0">
      <w:start w:val="1"/>
      <w:numFmt w:val="decimal"/>
      <w:lvlRestart w:val="0"/>
      <w:lvlText w:val="%7."/>
      <w:lvlJc w:val="left"/>
      <w:pPr>
        <w:tabs>
          <w:tab w:val="left" w:pos="5040"/>
        </w:tabs>
        <w:ind w:left="5040" w:hanging="360"/>
      </w:pPr>
    </w:lvl>
    <w:lvl w:ilvl="7" w:tentative="0">
      <w:start w:val="1"/>
      <w:numFmt w:val="decimal"/>
      <w:lvlRestart w:val="0"/>
      <w:lvlText w:val="%8."/>
      <w:lvlJc w:val="left"/>
      <w:pPr>
        <w:tabs>
          <w:tab w:val="left" w:pos="5760"/>
        </w:tabs>
        <w:ind w:left="5760" w:hanging="360"/>
      </w:pPr>
    </w:lvl>
    <w:lvl w:ilvl="8" w:tentative="0">
      <w:start w:val="1"/>
      <w:numFmt w:val="decimal"/>
      <w:lvlRestart w:val="0"/>
      <w:lvlText w:val="%9."/>
      <w:lvlJc w:val="left"/>
      <w:pPr>
        <w:tabs>
          <w:tab w:val="left" w:pos="6480"/>
        </w:tabs>
        <w:ind w:left="6480" w:hanging="360"/>
      </w:pPr>
    </w:lvl>
  </w:abstractNum>
  <w:abstractNum w:abstractNumId="9">
    <w:nsid w:val="02D31A49"/>
    <w:multiLevelType w:val="multilevel"/>
    <w:tmpl w:val="02D31A49"/>
    <w:lvl w:ilvl="0" w:tentative="0">
      <w:start w:val="1"/>
      <w:numFmt w:val="decimal"/>
      <w:lvlText w:val="(%1)"/>
      <w:lvlJc w:val="left"/>
      <w:pPr>
        <w:ind w:left="1272"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3DB0B53"/>
    <w:multiLevelType w:val="multilevel"/>
    <w:tmpl w:val="03DB0B53"/>
    <w:lvl w:ilvl="0" w:tentative="0">
      <w:start w:val="1"/>
      <w:numFmt w:val="lowerLetter"/>
      <w:pStyle w:val="120"/>
      <w:lvlText w:val="%1."/>
      <w:lvlJc w:val="left"/>
      <w:pPr>
        <w:tabs>
          <w:tab w:val="left" w:pos="420"/>
        </w:tabs>
        <w:ind w:left="0" w:firstLine="539"/>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093FA434"/>
    <w:multiLevelType w:val="singleLevel"/>
    <w:tmpl w:val="093FA434"/>
    <w:lvl w:ilvl="0" w:tentative="0">
      <w:start w:val="1"/>
      <w:numFmt w:val="decimal"/>
      <w:suff w:val="nothing"/>
      <w:lvlText w:val="（%1）"/>
      <w:lvlJc w:val="left"/>
    </w:lvl>
  </w:abstractNum>
  <w:abstractNum w:abstractNumId="12">
    <w:nsid w:val="113A19D7"/>
    <w:multiLevelType w:val="multilevel"/>
    <w:tmpl w:val="113A19D7"/>
    <w:lvl w:ilvl="0" w:tentative="0">
      <w:start w:val="1"/>
      <w:numFmt w:val="decimal"/>
      <w:lvlText w:val="%1.0"/>
      <w:lvlJc w:val="left"/>
      <w:pPr>
        <w:tabs>
          <w:tab w:val="left" w:pos="0"/>
        </w:tabs>
        <w:ind w:left="1134" w:hanging="1134"/>
      </w:pPr>
    </w:lvl>
    <w:lvl w:ilvl="1" w:tentative="0">
      <w:start w:val="1"/>
      <w:numFmt w:val="decimal"/>
      <w:pStyle w:val="544"/>
      <w:lvlText w:val="5.%2."/>
      <w:lvlJc w:val="left"/>
      <w:pPr>
        <w:tabs>
          <w:tab w:val="left" w:pos="0"/>
        </w:tabs>
        <w:ind w:left="1133" w:hanging="1133"/>
      </w:pPr>
    </w:lvl>
    <w:lvl w:ilvl="2" w:tentative="0">
      <w:start w:val="1"/>
      <w:numFmt w:val="decimal"/>
      <w:lvlText w:val="%1.%2.%3."/>
      <w:lvlJc w:val="left"/>
      <w:pPr>
        <w:tabs>
          <w:tab w:val="left" w:pos="0"/>
        </w:tabs>
        <w:ind w:left="1134" w:hanging="1134"/>
      </w:pPr>
    </w:lvl>
    <w:lvl w:ilvl="3" w:tentative="0">
      <w:start w:val="1"/>
      <w:numFmt w:val="decimal"/>
      <w:lvlText w:val="%1.%2.%3.%4."/>
      <w:lvlJc w:val="left"/>
      <w:pPr>
        <w:tabs>
          <w:tab w:val="left" w:pos="0"/>
        </w:tabs>
        <w:ind w:left="1134" w:hanging="1134"/>
      </w:pPr>
    </w:lvl>
    <w:lvl w:ilvl="4" w:tentative="0">
      <w:start w:val="1"/>
      <w:numFmt w:val="decimal"/>
      <w:lvlText w:val="%1.%2.%3.%4.%5."/>
      <w:lvlJc w:val="left"/>
      <w:pPr>
        <w:tabs>
          <w:tab w:val="left" w:pos="0"/>
        </w:tabs>
        <w:ind w:left="0" w:firstLine="0"/>
      </w:pPr>
    </w:lvl>
    <w:lvl w:ilvl="5" w:tentative="0">
      <w:start w:val="1"/>
      <w:numFmt w:val="decimal"/>
      <w:lvlText w:val="%1.%2.%3.%4.%5.%6."/>
      <w:lvlJc w:val="left"/>
      <w:pPr>
        <w:tabs>
          <w:tab w:val="left" w:pos="0"/>
        </w:tabs>
        <w:ind w:left="2377" w:hanging="2377"/>
      </w:pPr>
    </w:lvl>
    <w:lvl w:ilvl="6" w:tentative="0">
      <w:start w:val="1"/>
      <w:numFmt w:val="decimal"/>
      <w:lvlText w:val="%1.%2.%3.%4.%5.%6.%7."/>
      <w:lvlJc w:val="left"/>
      <w:pPr>
        <w:tabs>
          <w:tab w:val="left" w:pos="0"/>
        </w:tabs>
        <w:ind w:left="2881" w:hanging="2881"/>
      </w:pPr>
    </w:lvl>
    <w:lvl w:ilvl="7" w:tentative="0">
      <w:start w:val="1"/>
      <w:numFmt w:val="decimal"/>
      <w:lvlText w:val="%1.%2.%3.%4.%5.%6.%7.%8."/>
      <w:lvlJc w:val="left"/>
      <w:pPr>
        <w:tabs>
          <w:tab w:val="left" w:pos="0"/>
        </w:tabs>
        <w:ind w:left="3385" w:hanging="3385"/>
      </w:pPr>
    </w:lvl>
    <w:lvl w:ilvl="8" w:tentative="0">
      <w:start w:val="1"/>
      <w:numFmt w:val="decimal"/>
      <w:lvlText w:val="%1.%2.%3.%4.%5.%6.%7.%8.%9."/>
      <w:lvlJc w:val="left"/>
      <w:pPr>
        <w:tabs>
          <w:tab w:val="left" w:pos="0"/>
        </w:tabs>
        <w:ind w:left="6691" w:hanging="6691"/>
      </w:pPr>
    </w:lvl>
  </w:abstractNum>
  <w:abstractNum w:abstractNumId="13">
    <w:nsid w:val="13D8684C"/>
    <w:multiLevelType w:val="multilevel"/>
    <w:tmpl w:val="13D8684C"/>
    <w:lvl w:ilvl="0" w:tentative="0">
      <w:start w:val="1"/>
      <w:numFmt w:val="decimal"/>
      <w:lvlText w:val="%1"/>
      <w:lvlJc w:val="left"/>
      <w:pPr>
        <w:tabs>
          <w:tab w:val="left" w:pos="0"/>
        </w:tabs>
        <w:ind w:left="-1036" w:hanging="30"/>
      </w:pPr>
    </w:lvl>
    <w:lvl w:ilvl="1" w:tentative="0">
      <w:start w:val="1"/>
      <w:numFmt w:val="decimal"/>
      <w:lvlText w:val="%1.%2"/>
      <w:lvlJc w:val="left"/>
      <w:pPr>
        <w:tabs>
          <w:tab w:val="left" w:pos="0"/>
        </w:tabs>
        <w:ind w:left="-74" w:hanging="567"/>
      </w:pPr>
    </w:lvl>
    <w:lvl w:ilvl="2" w:tentative="0">
      <w:start w:val="1"/>
      <w:numFmt w:val="decimal"/>
      <w:lvlText w:val="%1.%2.%3"/>
      <w:lvlJc w:val="left"/>
      <w:pPr>
        <w:tabs>
          <w:tab w:val="left" w:pos="0"/>
        </w:tabs>
        <w:ind w:left="352" w:hanging="567"/>
      </w:pPr>
    </w:lvl>
    <w:lvl w:ilvl="3" w:tentative="0">
      <w:start w:val="1"/>
      <w:numFmt w:val="decimal"/>
      <w:pStyle w:val="550"/>
      <w:lvlText w:val="%1.%2.2.%4"/>
      <w:lvlJc w:val="left"/>
      <w:pPr>
        <w:tabs>
          <w:tab w:val="left" w:pos="0"/>
        </w:tabs>
        <w:ind w:left="182" w:firstLine="28"/>
      </w:pPr>
    </w:lvl>
    <w:lvl w:ilvl="4" w:tentative="0">
      <w:start w:val="1"/>
      <w:numFmt w:val="decimal"/>
      <w:lvlText w:val="%1.%2.%3.%4.%5"/>
      <w:lvlJc w:val="left"/>
      <w:pPr>
        <w:tabs>
          <w:tab w:val="left" w:pos="0"/>
        </w:tabs>
        <w:ind w:left="1485" w:hanging="850"/>
      </w:pPr>
    </w:lvl>
    <w:lvl w:ilvl="5" w:tentative="0">
      <w:start w:val="1"/>
      <w:numFmt w:val="decimal"/>
      <w:lvlText w:val="%1.%2.%3.%4.%5.%6"/>
      <w:lvlJc w:val="left"/>
      <w:pPr>
        <w:tabs>
          <w:tab w:val="left" w:pos="0"/>
        </w:tabs>
        <w:ind w:left="2194" w:hanging="1134"/>
      </w:pPr>
    </w:lvl>
    <w:lvl w:ilvl="6" w:tentative="0">
      <w:start w:val="1"/>
      <w:numFmt w:val="decimal"/>
      <w:lvlText w:val="%1.%2.%3.%4.%5.%6.%7"/>
      <w:lvlJc w:val="left"/>
      <w:pPr>
        <w:tabs>
          <w:tab w:val="left" w:pos="0"/>
        </w:tabs>
        <w:ind w:left="2761" w:hanging="1276"/>
      </w:pPr>
    </w:lvl>
    <w:lvl w:ilvl="7" w:tentative="0">
      <w:start w:val="1"/>
      <w:numFmt w:val="decimal"/>
      <w:lvlText w:val="%1.%2.%3.%4.%5.%6.%7.%8"/>
      <w:lvlJc w:val="left"/>
      <w:pPr>
        <w:tabs>
          <w:tab w:val="left" w:pos="0"/>
        </w:tabs>
        <w:ind w:left="3328" w:hanging="1418"/>
      </w:pPr>
    </w:lvl>
    <w:lvl w:ilvl="8" w:tentative="0">
      <w:start w:val="1"/>
      <w:numFmt w:val="decimal"/>
      <w:lvlText w:val="%1.%2.%3.%4.%5.%6.%7.%8.%9"/>
      <w:lvlJc w:val="left"/>
      <w:pPr>
        <w:tabs>
          <w:tab w:val="left" w:pos="0"/>
        </w:tabs>
        <w:ind w:left="4036" w:hanging="1700"/>
      </w:pPr>
    </w:lvl>
  </w:abstractNum>
  <w:abstractNum w:abstractNumId="14">
    <w:nsid w:val="17863549"/>
    <w:multiLevelType w:val="multilevel"/>
    <w:tmpl w:val="17863549"/>
    <w:lvl w:ilvl="0" w:tentative="0">
      <w:start w:val="0"/>
      <w:numFmt w:val="decimal"/>
      <w:pStyle w:val="3"/>
      <w:suff w:val="space"/>
      <w:lvlText w:val="%1"/>
      <w:lvlJc w:val="left"/>
      <w:pPr>
        <w:ind w:left="432" w:hanging="432"/>
      </w:pPr>
      <w:rPr>
        <w:rFonts w:hint="eastAsia"/>
      </w:rPr>
    </w:lvl>
    <w:lvl w:ilvl="1" w:tentative="0">
      <w:start w:val="1"/>
      <w:numFmt w:val="decimal"/>
      <w:pStyle w:val="4"/>
      <w:suff w:val="nothing"/>
      <w:lvlText w:val="%1.%2"/>
      <w:lvlJc w:val="left"/>
      <w:pPr>
        <w:ind w:left="576" w:hanging="576"/>
      </w:pPr>
      <w:rPr>
        <w:rFonts w:hint="eastAsia"/>
      </w:rPr>
    </w:lvl>
    <w:lvl w:ilvl="2" w:tentative="0">
      <w:start w:val="1"/>
      <w:numFmt w:val="decimal"/>
      <w:pStyle w:val="5"/>
      <w:suff w:val="nothing"/>
      <w:lvlText w:val="%1.%2.%3"/>
      <w:lvlJc w:val="left"/>
      <w:pPr>
        <w:ind w:left="2705" w:hanging="720"/>
      </w:pPr>
      <w:rPr>
        <w:rFonts w:hint="eastAsia"/>
      </w:rPr>
    </w:lvl>
    <w:lvl w:ilvl="3" w:tentative="0">
      <w:start w:val="1"/>
      <w:numFmt w:val="decimal"/>
      <w:pStyle w:val="6"/>
      <w:suff w:val="nothing"/>
      <w:lvlText w:val="%1.%2.%3.%4"/>
      <w:lvlJc w:val="left"/>
      <w:pPr>
        <w:ind w:left="864" w:hanging="864"/>
      </w:pPr>
      <w:rPr>
        <w:rFonts w:hint="eastAsia"/>
      </w:rPr>
    </w:lvl>
    <w:lvl w:ilvl="4" w:tentative="0">
      <w:start w:val="1"/>
      <w:numFmt w:val="decimal"/>
      <w:pStyle w:val="7"/>
      <w:lvlText w:val="%1.%2.%3.%4.%5"/>
      <w:lvlJc w:val="left"/>
      <w:pPr>
        <w:ind w:left="1008" w:hanging="1008"/>
      </w:pPr>
      <w:rPr>
        <w:rFonts w:hint="eastAsia"/>
      </w:rPr>
    </w:lvl>
    <w:lvl w:ilvl="5" w:tentative="0">
      <w:start w:val="1"/>
      <w:numFmt w:val="decimal"/>
      <w:pStyle w:val="8"/>
      <w:lvlText w:val="%1.%2.%3.%4.%5.%6"/>
      <w:lvlJc w:val="left"/>
      <w:pPr>
        <w:ind w:left="1152" w:hanging="1152"/>
      </w:pPr>
      <w:rPr>
        <w:rFonts w:hint="eastAsia"/>
      </w:rPr>
    </w:lvl>
    <w:lvl w:ilvl="6" w:tentative="0">
      <w:start w:val="1"/>
      <w:numFmt w:val="decimal"/>
      <w:pStyle w:val="9"/>
      <w:lvlText w:val="%1.%2.%3.%4.%5.%6.%7"/>
      <w:lvlJc w:val="left"/>
      <w:pPr>
        <w:ind w:left="1296" w:hanging="1296"/>
      </w:pPr>
      <w:rPr>
        <w:rFonts w:hint="eastAsia"/>
      </w:rPr>
    </w:lvl>
    <w:lvl w:ilvl="7" w:tentative="0">
      <w:start w:val="1"/>
      <w:numFmt w:val="decimal"/>
      <w:pStyle w:val="10"/>
      <w:lvlText w:val="%1.%2.%3.%4.%5.%6.%7.%8"/>
      <w:lvlJc w:val="left"/>
      <w:pPr>
        <w:ind w:left="1440" w:hanging="1440"/>
      </w:pPr>
      <w:rPr>
        <w:rFonts w:hint="eastAsia"/>
      </w:rPr>
    </w:lvl>
    <w:lvl w:ilvl="8" w:tentative="0">
      <w:start w:val="1"/>
      <w:numFmt w:val="decimal"/>
      <w:pStyle w:val="11"/>
      <w:lvlText w:val="%1.%2.%3.%4.%5.%6.%7.%8.%9"/>
      <w:lvlJc w:val="left"/>
      <w:pPr>
        <w:ind w:left="1584" w:hanging="1584"/>
      </w:pPr>
      <w:rPr>
        <w:rFonts w:hint="eastAsia"/>
      </w:rPr>
    </w:lvl>
  </w:abstractNum>
  <w:abstractNum w:abstractNumId="15">
    <w:nsid w:val="225262B2"/>
    <w:multiLevelType w:val="multilevel"/>
    <w:tmpl w:val="225262B2"/>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6">
    <w:nsid w:val="24674C09"/>
    <w:multiLevelType w:val="multilevel"/>
    <w:tmpl w:val="24674C09"/>
    <w:lvl w:ilvl="0" w:tentative="0">
      <w:start w:val="1"/>
      <w:numFmt w:val="decimal"/>
      <w:lvlText w:val="(%1)"/>
      <w:lvlJc w:val="left"/>
      <w:pPr>
        <w:ind w:left="1272"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27C8619A"/>
    <w:multiLevelType w:val="multilevel"/>
    <w:tmpl w:val="27C8619A"/>
    <w:lvl w:ilvl="0" w:tentative="0">
      <w:start w:val="1"/>
      <w:numFmt w:val="decimal"/>
      <w:lvlText w:val="(%1)"/>
      <w:lvlJc w:val="left"/>
      <w:pPr>
        <w:ind w:left="900" w:hanging="420"/>
      </w:pPr>
      <w:rPr>
        <w:rFonts w:hint="eastAsia"/>
      </w:rPr>
    </w:lvl>
    <w:lvl w:ilvl="1" w:tentative="0">
      <w:start w:val="1"/>
      <w:numFmt w:val="decimalEnclosedCircle"/>
      <w:lvlText w:val="%2"/>
      <w:lvlJc w:val="left"/>
      <w:pPr>
        <w:ind w:left="1260" w:hanging="360"/>
      </w:pPr>
      <w:rPr>
        <w:rFonts w:hint="default" w:ascii="宋体" w:hAnsi="宋体" w:cs="宋体"/>
      </w:rPr>
    </w:lvl>
    <w:lvl w:ilvl="2" w:tentative="0">
      <w:start w:val="1"/>
      <w:numFmt w:val="decimalEnclosedParen"/>
      <w:lvlText w:val="%3"/>
      <w:lvlJc w:val="left"/>
      <w:pPr>
        <w:ind w:left="1680" w:hanging="360"/>
      </w:pPr>
      <w:rPr>
        <w:rFonts w:hint="default" w:ascii="宋体" w:hAnsi="宋体" w:cs="宋体"/>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3977541C"/>
    <w:multiLevelType w:val="multilevel"/>
    <w:tmpl w:val="3977541C"/>
    <w:lvl w:ilvl="0" w:tentative="0">
      <w:start w:val="1"/>
      <w:numFmt w:val="chineseCountingThousand"/>
      <w:lvlText w:val="第%1章."/>
      <w:lvlJc w:val="left"/>
      <w:pPr>
        <w:tabs>
          <w:tab w:val="left" w:pos="0"/>
        </w:tabs>
        <w:ind w:left="2060" w:hanging="422"/>
      </w:pPr>
    </w:lvl>
    <w:lvl w:ilvl="1" w:tentative="0">
      <w:start w:val="1"/>
      <w:numFmt w:val="decimal"/>
      <w:lvlText w:val="7.%2."/>
      <w:lvlJc w:val="left"/>
      <w:pPr>
        <w:tabs>
          <w:tab w:val="left" w:pos="0"/>
        </w:tabs>
        <w:ind w:left="2205" w:hanging="1704"/>
      </w:pPr>
      <w:rPr>
        <w:rFonts w:hint="eastAsia" w:ascii="黑体" w:hAnsi="黑体" w:eastAsia="黑体"/>
        <w:sz w:val="24"/>
        <w:szCs w:val="24"/>
      </w:rPr>
    </w:lvl>
    <w:lvl w:ilvl="2" w:tentative="0">
      <w:start w:val="1"/>
      <w:numFmt w:val="decimal"/>
      <w:lvlText w:val="7.%2.%3."/>
      <w:lvlJc w:val="left"/>
      <w:pPr>
        <w:tabs>
          <w:tab w:val="left" w:pos="0"/>
        </w:tabs>
        <w:ind w:left="1352" w:hanging="851"/>
      </w:pPr>
      <w:rPr>
        <w:rFonts w:hint="eastAsia" w:ascii="Times New Roman" w:hAnsi="Times New Roman" w:eastAsia="黑体"/>
        <w:b w:val="0"/>
        <w:i w:val="0"/>
        <w:sz w:val="24"/>
        <w:szCs w:val="24"/>
      </w:rPr>
    </w:lvl>
    <w:lvl w:ilvl="3" w:tentative="0">
      <w:start w:val="1"/>
      <w:numFmt w:val="decimal"/>
      <w:lvlText w:val="%1.%2.%3.%4."/>
      <w:lvlJc w:val="left"/>
      <w:pPr>
        <w:tabs>
          <w:tab w:val="left" w:pos="0"/>
        </w:tabs>
        <w:ind w:left="2489" w:hanging="851"/>
      </w:pPr>
    </w:lvl>
    <w:lvl w:ilvl="4" w:tentative="0">
      <w:start w:val="1"/>
      <w:numFmt w:val="decimal"/>
      <w:lvlText w:val="%1.%2.%3.%4.%5."/>
      <w:lvlJc w:val="left"/>
      <w:pPr>
        <w:tabs>
          <w:tab w:val="left" w:pos="0"/>
        </w:tabs>
        <w:ind w:left="2630" w:hanging="992"/>
      </w:pPr>
    </w:lvl>
    <w:lvl w:ilvl="5" w:tentative="0">
      <w:start w:val="1"/>
      <w:numFmt w:val="decimal"/>
      <w:lvlText w:val="%1.%2.%3.%4.%5.%6."/>
      <w:lvlJc w:val="left"/>
      <w:pPr>
        <w:tabs>
          <w:tab w:val="left" w:pos="0"/>
        </w:tabs>
        <w:ind w:left="2772" w:hanging="1134"/>
      </w:pPr>
    </w:lvl>
    <w:lvl w:ilvl="6" w:tentative="0">
      <w:start w:val="1"/>
      <w:numFmt w:val="decimal"/>
      <w:lvlText w:val="%1.%2.%3.%4.%5.%6.%7."/>
      <w:lvlJc w:val="left"/>
      <w:pPr>
        <w:tabs>
          <w:tab w:val="left" w:pos="0"/>
        </w:tabs>
        <w:ind w:left="2914" w:hanging="1276"/>
      </w:pPr>
    </w:lvl>
    <w:lvl w:ilvl="7" w:tentative="0">
      <w:start w:val="1"/>
      <w:numFmt w:val="decimal"/>
      <w:lvlText w:val="%1.%2.%3.%4.%5.%6.%7.%8."/>
      <w:lvlJc w:val="left"/>
      <w:pPr>
        <w:tabs>
          <w:tab w:val="left" w:pos="0"/>
        </w:tabs>
        <w:ind w:left="3056" w:hanging="1418"/>
      </w:pPr>
    </w:lvl>
    <w:lvl w:ilvl="8" w:tentative="0">
      <w:start w:val="2"/>
      <w:numFmt w:val="chineseCountingThousand"/>
      <w:pStyle w:val="546"/>
      <w:lvlText w:val="第%9章"/>
      <w:lvlJc w:val="left"/>
      <w:pPr>
        <w:tabs>
          <w:tab w:val="left" w:pos="0"/>
        </w:tabs>
        <w:ind w:left="1588" w:hanging="1588"/>
      </w:pPr>
    </w:lvl>
  </w:abstractNum>
  <w:abstractNum w:abstractNumId="19">
    <w:nsid w:val="397A320D"/>
    <w:multiLevelType w:val="multilevel"/>
    <w:tmpl w:val="397A320D"/>
    <w:lvl w:ilvl="0" w:tentative="0">
      <w:start w:val="1"/>
      <w:numFmt w:val="decimal"/>
      <w:lvlText w:val="%1"/>
      <w:lvlJc w:val="left"/>
      <w:pPr>
        <w:tabs>
          <w:tab w:val="left" w:pos="0"/>
        </w:tabs>
        <w:ind w:left="-821" w:hanging="30"/>
      </w:pPr>
    </w:lvl>
    <w:lvl w:ilvl="1" w:tentative="0">
      <w:start w:val="1"/>
      <w:numFmt w:val="decimal"/>
      <w:lvlText w:val="%1.%2"/>
      <w:lvlJc w:val="left"/>
      <w:pPr>
        <w:tabs>
          <w:tab w:val="left" w:pos="0"/>
        </w:tabs>
        <w:ind w:left="141" w:hanging="567"/>
      </w:pPr>
    </w:lvl>
    <w:lvl w:ilvl="2" w:tentative="0">
      <w:start w:val="1"/>
      <w:numFmt w:val="decimal"/>
      <w:lvlText w:val="%1.%2.%3"/>
      <w:lvlJc w:val="left"/>
      <w:pPr>
        <w:tabs>
          <w:tab w:val="left" w:pos="0"/>
        </w:tabs>
        <w:ind w:left="567" w:hanging="567"/>
      </w:pPr>
    </w:lvl>
    <w:lvl w:ilvl="3" w:tentative="0">
      <w:start w:val="1"/>
      <w:numFmt w:val="decimal"/>
      <w:lvlRestart w:val="2"/>
      <w:pStyle w:val="553"/>
      <w:lvlText w:val="%1.%2.%3.%4"/>
      <w:lvlJc w:val="left"/>
      <w:pPr>
        <w:tabs>
          <w:tab w:val="left" w:pos="0"/>
        </w:tabs>
        <w:ind w:left="77" w:firstLine="28"/>
      </w:pPr>
    </w:lvl>
    <w:lvl w:ilvl="4" w:tentative="0">
      <w:start w:val="1"/>
      <w:numFmt w:val="decimal"/>
      <w:lvlText w:val="%1.%2.%3.%4.%5"/>
      <w:lvlJc w:val="left"/>
      <w:pPr>
        <w:tabs>
          <w:tab w:val="left" w:pos="0"/>
        </w:tabs>
        <w:ind w:left="1700" w:hanging="850"/>
      </w:pPr>
    </w:lvl>
    <w:lvl w:ilvl="5" w:tentative="0">
      <w:start w:val="1"/>
      <w:numFmt w:val="decimal"/>
      <w:lvlText w:val="%1.%2.%3.%4.%5.%6"/>
      <w:lvlJc w:val="left"/>
      <w:pPr>
        <w:tabs>
          <w:tab w:val="left" w:pos="0"/>
        </w:tabs>
        <w:ind w:left="2409" w:hanging="1134"/>
      </w:pPr>
    </w:lvl>
    <w:lvl w:ilvl="6" w:tentative="0">
      <w:start w:val="1"/>
      <w:numFmt w:val="decimal"/>
      <w:lvlText w:val="%1.%2.%3.%4.%5.%6.%7"/>
      <w:lvlJc w:val="left"/>
      <w:pPr>
        <w:tabs>
          <w:tab w:val="left" w:pos="0"/>
        </w:tabs>
        <w:ind w:left="2976" w:hanging="1276"/>
      </w:pPr>
    </w:lvl>
    <w:lvl w:ilvl="7" w:tentative="0">
      <w:start w:val="1"/>
      <w:numFmt w:val="decimal"/>
      <w:lvlText w:val="%1.%2.%3.%4.%5.%6.%7.%8"/>
      <w:lvlJc w:val="left"/>
      <w:pPr>
        <w:tabs>
          <w:tab w:val="left" w:pos="0"/>
        </w:tabs>
        <w:ind w:left="3543" w:hanging="1418"/>
      </w:pPr>
    </w:lvl>
    <w:lvl w:ilvl="8" w:tentative="0">
      <w:start w:val="1"/>
      <w:numFmt w:val="decimal"/>
      <w:lvlText w:val="%1.%2.%3.%4.%5.%6.%7.%8.%9"/>
      <w:lvlJc w:val="left"/>
      <w:pPr>
        <w:tabs>
          <w:tab w:val="left" w:pos="0"/>
        </w:tabs>
        <w:ind w:left="4251" w:hanging="1700"/>
      </w:pPr>
    </w:lvl>
  </w:abstractNum>
  <w:abstractNum w:abstractNumId="20">
    <w:nsid w:val="3CB36196"/>
    <w:multiLevelType w:val="multilevel"/>
    <w:tmpl w:val="3CB36196"/>
    <w:lvl w:ilvl="0" w:tentative="0">
      <w:start w:val="1"/>
      <w:numFmt w:val="decimal"/>
      <w:pStyle w:val="554"/>
      <w:lvlText w:val="第 %1 章"/>
      <w:lvlJc w:val="left"/>
      <w:pPr>
        <w:tabs>
          <w:tab w:val="left" w:pos="0"/>
        </w:tabs>
        <w:ind w:left="642" w:hanging="420"/>
      </w:pPr>
    </w:lvl>
    <w:lvl w:ilvl="1" w:tentative="0">
      <w:start w:val="1"/>
      <w:numFmt w:val="lowerLetter"/>
      <w:lvlText w:val="%2)"/>
      <w:lvlJc w:val="left"/>
      <w:pPr>
        <w:tabs>
          <w:tab w:val="left" w:pos="0"/>
        </w:tabs>
        <w:ind w:left="840" w:hanging="420"/>
      </w:pPr>
    </w:lvl>
    <w:lvl w:ilvl="2" w:tentative="0">
      <w:start w:val="1"/>
      <w:numFmt w:val="lowerRoman"/>
      <w:lvlText w:val="%3."/>
      <w:lvlJc w:val="right"/>
      <w:pPr>
        <w:tabs>
          <w:tab w:val="left" w:pos="0"/>
        </w:tabs>
        <w:ind w:left="1260" w:hanging="420"/>
      </w:pPr>
    </w:lvl>
    <w:lvl w:ilvl="3" w:tentative="0">
      <w:start w:val="1"/>
      <w:numFmt w:val="decimal"/>
      <w:lvlText w:val="%4."/>
      <w:lvlJc w:val="left"/>
      <w:pPr>
        <w:tabs>
          <w:tab w:val="left" w:pos="0"/>
        </w:tabs>
        <w:ind w:left="1680" w:hanging="420"/>
      </w:pPr>
    </w:lvl>
    <w:lvl w:ilvl="4" w:tentative="0">
      <w:start w:val="1"/>
      <w:numFmt w:val="lowerLetter"/>
      <w:lvlText w:val="%5)"/>
      <w:lvlJc w:val="left"/>
      <w:pPr>
        <w:tabs>
          <w:tab w:val="left" w:pos="0"/>
        </w:tabs>
        <w:ind w:left="2100" w:hanging="420"/>
      </w:pPr>
    </w:lvl>
    <w:lvl w:ilvl="5" w:tentative="0">
      <w:start w:val="1"/>
      <w:numFmt w:val="lowerRoman"/>
      <w:lvlText w:val="%6."/>
      <w:lvlJc w:val="right"/>
      <w:pPr>
        <w:tabs>
          <w:tab w:val="left" w:pos="0"/>
        </w:tabs>
        <w:ind w:left="2520" w:hanging="420"/>
      </w:pPr>
    </w:lvl>
    <w:lvl w:ilvl="6" w:tentative="0">
      <w:start w:val="1"/>
      <w:numFmt w:val="decimal"/>
      <w:lvlText w:val="%7."/>
      <w:lvlJc w:val="left"/>
      <w:pPr>
        <w:tabs>
          <w:tab w:val="left" w:pos="0"/>
        </w:tabs>
        <w:ind w:left="2940" w:hanging="420"/>
      </w:pPr>
    </w:lvl>
    <w:lvl w:ilvl="7" w:tentative="0">
      <w:start w:val="1"/>
      <w:numFmt w:val="lowerLetter"/>
      <w:lvlText w:val="%8)"/>
      <w:lvlJc w:val="left"/>
      <w:pPr>
        <w:tabs>
          <w:tab w:val="left" w:pos="0"/>
        </w:tabs>
        <w:ind w:left="3360" w:hanging="420"/>
      </w:pPr>
    </w:lvl>
    <w:lvl w:ilvl="8" w:tentative="0">
      <w:start w:val="1"/>
      <w:numFmt w:val="lowerRoman"/>
      <w:lvlText w:val="%9."/>
      <w:lvlJc w:val="right"/>
      <w:pPr>
        <w:tabs>
          <w:tab w:val="left" w:pos="0"/>
        </w:tabs>
        <w:ind w:left="3780" w:hanging="420"/>
      </w:pPr>
    </w:lvl>
  </w:abstractNum>
  <w:abstractNum w:abstractNumId="21">
    <w:nsid w:val="3EEEE54F"/>
    <w:multiLevelType w:val="singleLevel"/>
    <w:tmpl w:val="3EEEE54F"/>
    <w:lvl w:ilvl="0" w:tentative="0">
      <w:start w:val="1"/>
      <w:numFmt w:val="lowerLetter"/>
      <w:suff w:val="nothing"/>
      <w:lvlText w:val="%1）"/>
      <w:lvlJc w:val="left"/>
    </w:lvl>
  </w:abstractNum>
  <w:abstractNum w:abstractNumId="22">
    <w:nsid w:val="48D56405"/>
    <w:multiLevelType w:val="multilevel"/>
    <w:tmpl w:val="48D56405"/>
    <w:lvl w:ilvl="0" w:tentative="0">
      <w:start w:val="1"/>
      <w:numFmt w:val="upperLetter"/>
      <w:pStyle w:val="22"/>
      <w:lvlText w:val="%1."/>
      <w:lvlJc w:val="left"/>
      <w:pPr>
        <w:tabs>
          <w:tab w:val="left" w:pos="920"/>
        </w:tabs>
        <w:ind w:left="920" w:hanging="360"/>
      </w:pPr>
      <w:rPr>
        <w:rFonts w:hint="eastAsia"/>
        <w:b/>
      </w:r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240"/>
        </w:tabs>
        <w:ind w:left="2240" w:hanging="420"/>
      </w:p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abstractNum w:abstractNumId="23">
    <w:nsid w:val="524D1DEF"/>
    <w:multiLevelType w:val="singleLevel"/>
    <w:tmpl w:val="524D1DEF"/>
    <w:lvl w:ilvl="0" w:tentative="0">
      <w:start w:val="1"/>
      <w:numFmt w:val="lowerLetter"/>
      <w:suff w:val="nothing"/>
      <w:lvlText w:val="%1）"/>
      <w:lvlJc w:val="left"/>
    </w:lvl>
  </w:abstractNum>
  <w:abstractNum w:abstractNumId="24">
    <w:nsid w:val="539B1A15"/>
    <w:multiLevelType w:val="multilevel"/>
    <w:tmpl w:val="539B1A15"/>
    <w:lvl w:ilvl="0" w:tentative="0">
      <w:start w:val="1"/>
      <w:numFmt w:val="decimal"/>
      <w:pStyle w:val="552"/>
      <w:lvlText w:val="图2-%1"/>
      <w:lvlJc w:val="left"/>
      <w:pPr>
        <w:tabs>
          <w:tab w:val="left" w:pos="0"/>
        </w:tabs>
        <w:ind w:left="420" w:hanging="420"/>
      </w:pPr>
      <w:rPr>
        <w:color w:val="auto"/>
        <w:sz w:val="24"/>
      </w:rPr>
    </w:lvl>
    <w:lvl w:ilvl="1" w:tentative="0">
      <w:start w:val="1"/>
      <w:numFmt w:val="lowerLetter"/>
      <w:lvlText w:val="%2)"/>
      <w:lvlJc w:val="left"/>
      <w:pPr>
        <w:tabs>
          <w:tab w:val="left" w:pos="0"/>
        </w:tabs>
        <w:ind w:left="840" w:hanging="420"/>
      </w:pPr>
    </w:lvl>
    <w:lvl w:ilvl="2" w:tentative="0">
      <w:start w:val="1"/>
      <w:numFmt w:val="lowerRoman"/>
      <w:lvlText w:val="%3."/>
      <w:lvlJc w:val="right"/>
      <w:pPr>
        <w:tabs>
          <w:tab w:val="left" w:pos="0"/>
        </w:tabs>
        <w:ind w:left="1260" w:hanging="420"/>
      </w:pPr>
    </w:lvl>
    <w:lvl w:ilvl="3" w:tentative="0">
      <w:start w:val="1"/>
      <w:numFmt w:val="decimal"/>
      <w:lvlText w:val="%4."/>
      <w:lvlJc w:val="left"/>
      <w:pPr>
        <w:tabs>
          <w:tab w:val="left" w:pos="0"/>
        </w:tabs>
        <w:ind w:left="1680" w:hanging="420"/>
      </w:pPr>
    </w:lvl>
    <w:lvl w:ilvl="4" w:tentative="0">
      <w:start w:val="1"/>
      <w:numFmt w:val="lowerLetter"/>
      <w:lvlText w:val="%5)"/>
      <w:lvlJc w:val="left"/>
      <w:pPr>
        <w:tabs>
          <w:tab w:val="left" w:pos="0"/>
        </w:tabs>
        <w:ind w:left="2100" w:hanging="420"/>
      </w:pPr>
    </w:lvl>
    <w:lvl w:ilvl="5" w:tentative="0">
      <w:start w:val="1"/>
      <w:numFmt w:val="lowerRoman"/>
      <w:lvlText w:val="%6."/>
      <w:lvlJc w:val="right"/>
      <w:pPr>
        <w:tabs>
          <w:tab w:val="left" w:pos="0"/>
        </w:tabs>
        <w:ind w:left="2520" w:hanging="420"/>
      </w:pPr>
    </w:lvl>
    <w:lvl w:ilvl="6" w:tentative="0">
      <w:start w:val="1"/>
      <w:numFmt w:val="decimal"/>
      <w:lvlText w:val="%7."/>
      <w:lvlJc w:val="left"/>
      <w:pPr>
        <w:tabs>
          <w:tab w:val="left" w:pos="0"/>
        </w:tabs>
        <w:ind w:left="2940" w:hanging="420"/>
      </w:pPr>
    </w:lvl>
    <w:lvl w:ilvl="7" w:tentative="0">
      <w:start w:val="1"/>
      <w:numFmt w:val="lowerLetter"/>
      <w:lvlText w:val="%8)"/>
      <w:lvlJc w:val="left"/>
      <w:pPr>
        <w:tabs>
          <w:tab w:val="left" w:pos="0"/>
        </w:tabs>
        <w:ind w:left="3360" w:hanging="420"/>
      </w:pPr>
    </w:lvl>
    <w:lvl w:ilvl="8" w:tentative="0">
      <w:start w:val="1"/>
      <w:numFmt w:val="lowerRoman"/>
      <w:lvlText w:val="%9."/>
      <w:lvlJc w:val="right"/>
      <w:pPr>
        <w:tabs>
          <w:tab w:val="left" w:pos="0"/>
        </w:tabs>
        <w:ind w:left="3780" w:hanging="420"/>
      </w:pPr>
    </w:lvl>
  </w:abstractNum>
  <w:abstractNum w:abstractNumId="25">
    <w:nsid w:val="5B453ED0"/>
    <w:multiLevelType w:val="singleLevel"/>
    <w:tmpl w:val="5B453ED0"/>
    <w:lvl w:ilvl="0" w:tentative="0">
      <w:start w:val="1"/>
      <w:numFmt w:val="bullet"/>
      <w:pStyle w:val="25"/>
      <w:lvlText w:val=""/>
      <w:lvlJc w:val="left"/>
      <w:pPr>
        <w:tabs>
          <w:tab w:val="left" w:pos="0"/>
        </w:tabs>
        <w:ind w:left="360" w:hanging="360"/>
      </w:pPr>
      <w:rPr>
        <w:rFonts w:hint="default" w:ascii="Wingdings" w:hAnsi="Wingdings"/>
      </w:rPr>
    </w:lvl>
  </w:abstractNum>
  <w:abstractNum w:abstractNumId="26">
    <w:nsid w:val="73DC1DF3"/>
    <w:multiLevelType w:val="multilevel"/>
    <w:tmpl w:val="73DC1DF3"/>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7">
    <w:nsid w:val="74036C3D"/>
    <w:multiLevelType w:val="multilevel"/>
    <w:tmpl w:val="74036C3D"/>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8">
    <w:nsid w:val="76881AEB"/>
    <w:multiLevelType w:val="multilevel"/>
    <w:tmpl w:val="76881AEB"/>
    <w:lvl w:ilvl="0" w:tentative="0">
      <w:start w:val="1"/>
      <w:numFmt w:val="decimal"/>
      <w:pStyle w:val="545"/>
      <w:lvlText w:val="第%1章"/>
      <w:lvlJc w:val="left"/>
      <w:pPr>
        <w:tabs>
          <w:tab w:val="left" w:pos="0"/>
        </w:tabs>
        <w:ind w:left="642" w:hanging="420"/>
      </w:pPr>
    </w:lvl>
    <w:lvl w:ilvl="1" w:tentative="0">
      <w:start w:val="1"/>
      <w:numFmt w:val="lowerLetter"/>
      <w:lvlText w:val="%2)"/>
      <w:lvlJc w:val="left"/>
      <w:pPr>
        <w:tabs>
          <w:tab w:val="left" w:pos="0"/>
        </w:tabs>
        <w:ind w:left="1062" w:hanging="420"/>
      </w:pPr>
    </w:lvl>
    <w:lvl w:ilvl="2" w:tentative="0">
      <w:start w:val="1"/>
      <w:numFmt w:val="lowerRoman"/>
      <w:lvlText w:val="%3."/>
      <w:lvlJc w:val="right"/>
      <w:pPr>
        <w:tabs>
          <w:tab w:val="left" w:pos="0"/>
        </w:tabs>
        <w:ind w:left="1482" w:hanging="420"/>
      </w:pPr>
    </w:lvl>
    <w:lvl w:ilvl="3" w:tentative="0">
      <w:start w:val="1"/>
      <w:numFmt w:val="decimal"/>
      <w:lvlText w:val="%4."/>
      <w:lvlJc w:val="left"/>
      <w:pPr>
        <w:tabs>
          <w:tab w:val="left" w:pos="0"/>
        </w:tabs>
        <w:ind w:left="1902" w:hanging="420"/>
      </w:pPr>
    </w:lvl>
    <w:lvl w:ilvl="4" w:tentative="0">
      <w:start w:val="1"/>
      <w:numFmt w:val="lowerLetter"/>
      <w:lvlText w:val="%5)"/>
      <w:lvlJc w:val="left"/>
      <w:pPr>
        <w:tabs>
          <w:tab w:val="left" w:pos="0"/>
        </w:tabs>
        <w:ind w:left="2322" w:hanging="420"/>
      </w:pPr>
    </w:lvl>
    <w:lvl w:ilvl="5" w:tentative="0">
      <w:start w:val="1"/>
      <w:numFmt w:val="lowerRoman"/>
      <w:lvlText w:val="%6."/>
      <w:lvlJc w:val="right"/>
      <w:pPr>
        <w:tabs>
          <w:tab w:val="left" w:pos="0"/>
        </w:tabs>
        <w:ind w:left="2742" w:hanging="420"/>
      </w:pPr>
    </w:lvl>
    <w:lvl w:ilvl="6" w:tentative="0">
      <w:start w:val="1"/>
      <w:numFmt w:val="decimal"/>
      <w:lvlText w:val="%7."/>
      <w:lvlJc w:val="left"/>
      <w:pPr>
        <w:tabs>
          <w:tab w:val="left" w:pos="0"/>
        </w:tabs>
        <w:ind w:left="3162" w:hanging="420"/>
      </w:pPr>
    </w:lvl>
    <w:lvl w:ilvl="7" w:tentative="0">
      <w:start w:val="1"/>
      <w:numFmt w:val="lowerLetter"/>
      <w:lvlText w:val="%8)"/>
      <w:lvlJc w:val="left"/>
      <w:pPr>
        <w:tabs>
          <w:tab w:val="left" w:pos="0"/>
        </w:tabs>
        <w:ind w:left="3582" w:hanging="420"/>
      </w:pPr>
    </w:lvl>
    <w:lvl w:ilvl="8" w:tentative="0">
      <w:start w:val="1"/>
      <w:numFmt w:val="lowerRoman"/>
      <w:lvlText w:val="%9."/>
      <w:lvlJc w:val="right"/>
      <w:pPr>
        <w:tabs>
          <w:tab w:val="left" w:pos="0"/>
        </w:tabs>
        <w:ind w:left="4002" w:hanging="420"/>
      </w:pPr>
    </w:lvl>
  </w:abstractNum>
  <w:num w:numId="1">
    <w:abstractNumId w:val="14"/>
  </w:num>
  <w:num w:numId="2">
    <w:abstractNumId w:val="5"/>
  </w:num>
  <w:num w:numId="3">
    <w:abstractNumId w:val="22"/>
  </w:num>
  <w:num w:numId="4">
    <w:abstractNumId w:val="25"/>
  </w:num>
  <w:num w:numId="5">
    <w:abstractNumId w:val="4"/>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8"/>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2"/>
    </w:lvlOverride>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num>
  <w:num w:numId="19">
    <w:abstractNumId w:val="3"/>
  </w:num>
  <w:num w:numId="20">
    <w:abstractNumId w:val="23"/>
  </w:num>
  <w:num w:numId="21">
    <w:abstractNumId w:val="21"/>
  </w:num>
  <w:num w:numId="22">
    <w:abstractNumId w:val="1"/>
  </w:num>
  <w:num w:numId="23">
    <w:abstractNumId w:val="2"/>
  </w:num>
  <w:num w:numId="24">
    <w:abstractNumId w:val="16"/>
  </w:num>
  <w:num w:numId="25">
    <w:abstractNumId w:val="9"/>
  </w:num>
  <w:num w:numId="26">
    <w:abstractNumId w:val="26"/>
  </w:num>
  <w:num w:numId="27">
    <w:abstractNumId w:val="27"/>
  </w:num>
  <w:num w:numId="28">
    <w:abstractNumId w:val="15"/>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val="1"/>
  <w:bordersDoNotSurroundHeader w:val="1"/>
  <w:bordersDoNotSurroundFooter w:val="1"/>
  <w:hideSpellingErrors/>
  <w:documentProtection w:enforcement="0"/>
  <w:defaultTabStop w:val="0"/>
  <w:drawingGridHorizontalSpacing w:val="105"/>
  <w:drawingGridVerticalSpacing w:val="233"/>
  <w:noPunctuationKerning w:val="1"/>
  <w:characterSpacingControl w:val="compressPunctuation"/>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M0NDE4ZTYyNTUzZGIxOGE2Y2UyYTYwOGI0YWM4NWYifQ=="/>
  </w:docVars>
  <w:rsids>
    <w:rsidRoot w:val="000E690E"/>
    <w:rsid w:val="0000092D"/>
    <w:rsid w:val="00000963"/>
    <w:rsid w:val="00001DC1"/>
    <w:rsid w:val="00001FF9"/>
    <w:rsid w:val="00004918"/>
    <w:rsid w:val="0000493F"/>
    <w:rsid w:val="00004A05"/>
    <w:rsid w:val="00004F31"/>
    <w:rsid w:val="00005101"/>
    <w:rsid w:val="000055CC"/>
    <w:rsid w:val="0000567F"/>
    <w:rsid w:val="00005F43"/>
    <w:rsid w:val="00007409"/>
    <w:rsid w:val="0000781A"/>
    <w:rsid w:val="000117A6"/>
    <w:rsid w:val="00011830"/>
    <w:rsid w:val="0001195B"/>
    <w:rsid w:val="00011C68"/>
    <w:rsid w:val="00012768"/>
    <w:rsid w:val="00012B78"/>
    <w:rsid w:val="00012C45"/>
    <w:rsid w:val="00012E69"/>
    <w:rsid w:val="0001324F"/>
    <w:rsid w:val="0001377B"/>
    <w:rsid w:val="00013E39"/>
    <w:rsid w:val="00014161"/>
    <w:rsid w:val="00014B6D"/>
    <w:rsid w:val="00015B2C"/>
    <w:rsid w:val="00016763"/>
    <w:rsid w:val="00016BD8"/>
    <w:rsid w:val="0001720E"/>
    <w:rsid w:val="00017505"/>
    <w:rsid w:val="000177F9"/>
    <w:rsid w:val="00017C03"/>
    <w:rsid w:val="00020455"/>
    <w:rsid w:val="00020F89"/>
    <w:rsid w:val="00020FA6"/>
    <w:rsid w:val="00021354"/>
    <w:rsid w:val="0002268A"/>
    <w:rsid w:val="000232DC"/>
    <w:rsid w:val="000234B8"/>
    <w:rsid w:val="00023B39"/>
    <w:rsid w:val="00023E99"/>
    <w:rsid w:val="00024983"/>
    <w:rsid w:val="00024DD8"/>
    <w:rsid w:val="00024EE0"/>
    <w:rsid w:val="00025A81"/>
    <w:rsid w:val="00025C33"/>
    <w:rsid w:val="00025FDB"/>
    <w:rsid w:val="000269C7"/>
    <w:rsid w:val="00026EFD"/>
    <w:rsid w:val="0002705F"/>
    <w:rsid w:val="00027AA7"/>
    <w:rsid w:val="00030A33"/>
    <w:rsid w:val="00030AFE"/>
    <w:rsid w:val="00030BE6"/>
    <w:rsid w:val="00030F97"/>
    <w:rsid w:val="00030F9D"/>
    <w:rsid w:val="000312D0"/>
    <w:rsid w:val="00031616"/>
    <w:rsid w:val="0003161D"/>
    <w:rsid w:val="00031F4D"/>
    <w:rsid w:val="00032FF4"/>
    <w:rsid w:val="000338A9"/>
    <w:rsid w:val="00033B22"/>
    <w:rsid w:val="00034337"/>
    <w:rsid w:val="000349DA"/>
    <w:rsid w:val="00034DE8"/>
    <w:rsid w:val="00034E04"/>
    <w:rsid w:val="00035748"/>
    <w:rsid w:val="00035FDB"/>
    <w:rsid w:val="000361AF"/>
    <w:rsid w:val="00036761"/>
    <w:rsid w:val="00036B60"/>
    <w:rsid w:val="0004039F"/>
    <w:rsid w:val="000407AB"/>
    <w:rsid w:val="000412D5"/>
    <w:rsid w:val="00042019"/>
    <w:rsid w:val="0004262F"/>
    <w:rsid w:val="00043236"/>
    <w:rsid w:val="0004408E"/>
    <w:rsid w:val="00044493"/>
    <w:rsid w:val="000446EA"/>
    <w:rsid w:val="00044757"/>
    <w:rsid w:val="0004488A"/>
    <w:rsid w:val="00044E8A"/>
    <w:rsid w:val="00045651"/>
    <w:rsid w:val="00046E88"/>
    <w:rsid w:val="00047C36"/>
    <w:rsid w:val="0005096D"/>
    <w:rsid w:val="00052CD7"/>
    <w:rsid w:val="000542B3"/>
    <w:rsid w:val="00054F6E"/>
    <w:rsid w:val="00055067"/>
    <w:rsid w:val="00055409"/>
    <w:rsid w:val="00056989"/>
    <w:rsid w:val="00056D50"/>
    <w:rsid w:val="00056E85"/>
    <w:rsid w:val="00057757"/>
    <w:rsid w:val="0006014E"/>
    <w:rsid w:val="0006077E"/>
    <w:rsid w:val="00060EA3"/>
    <w:rsid w:val="000610D8"/>
    <w:rsid w:val="00061386"/>
    <w:rsid w:val="0006174A"/>
    <w:rsid w:val="0006268D"/>
    <w:rsid w:val="000628E9"/>
    <w:rsid w:val="00062933"/>
    <w:rsid w:val="00063063"/>
    <w:rsid w:val="00063466"/>
    <w:rsid w:val="000635E7"/>
    <w:rsid w:val="00063DE3"/>
    <w:rsid w:val="00064FD3"/>
    <w:rsid w:val="0006521C"/>
    <w:rsid w:val="000653C5"/>
    <w:rsid w:val="00065493"/>
    <w:rsid w:val="00065B78"/>
    <w:rsid w:val="0006623C"/>
    <w:rsid w:val="0006662C"/>
    <w:rsid w:val="0006690A"/>
    <w:rsid w:val="00066B23"/>
    <w:rsid w:val="00066F37"/>
    <w:rsid w:val="00066F3A"/>
    <w:rsid w:val="000673E8"/>
    <w:rsid w:val="000707CC"/>
    <w:rsid w:val="00070DA8"/>
    <w:rsid w:val="0007117F"/>
    <w:rsid w:val="00071C7B"/>
    <w:rsid w:val="000739A9"/>
    <w:rsid w:val="00073DCC"/>
    <w:rsid w:val="00073F23"/>
    <w:rsid w:val="000747EE"/>
    <w:rsid w:val="00075009"/>
    <w:rsid w:val="0007505C"/>
    <w:rsid w:val="000753AC"/>
    <w:rsid w:val="00075E35"/>
    <w:rsid w:val="00076E11"/>
    <w:rsid w:val="00076F4B"/>
    <w:rsid w:val="0007756F"/>
    <w:rsid w:val="00077856"/>
    <w:rsid w:val="0007787C"/>
    <w:rsid w:val="00077BFA"/>
    <w:rsid w:val="000808FE"/>
    <w:rsid w:val="00080A36"/>
    <w:rsid w:val="00080FA0"/>
    <w:rsid w:val="00081469"/>
    <w:rsid w:val="00081F3D"/>
    <w:rsid w:val="000822AC"/>
    <w:rsid w:val="0008272A"/>
    <w:rsid w:val="00083D48"/>
    <w:rsid w:val="00084BF1"/>
    <w:rsid w:val="00085569"/>
    <w:rsid w:val="000860A3"/>
    <w:rsid w:val="000861ED"/>
    <w:rsid w:val="000866DF"/>
    <w:rsid w:val="00086D1D"/>
    <w:rsid w:val="00087376"/>
    <w:rsid w:val="00087B21"/>
    <w:rsid w:val="00087B63"/>
    <w:rsid w:val="000900A9"/>
    <w:rsid w:val="00090441"/>
    <w:rsid w:val="00090DB8"/>
    <w:rsid w:val="00091156"/>
    <w:rsid w:val="0009269D"/>
    <w:rsid w:val="00092768"/>
    <w:rsid w:val="00092E4E"/>
    <w:rsid w:val="0009309C"/>
    <w:rsid w:val="000936B3"/>
    <w:rsid w:val="00093F23"/>
    <w:rsid w:val="00096ECD"/>
    <w:rsid w:val="000973D4"/>
    <w:rsid w:val="00097548"/>
    <w:rsid w:val="00097E42"/>
    <w:rsid w:val="00097F3E"/>
    <w:rsid w:val="000A0E63"/>
    <w:rsid w:val="000A2176"/>
    <w:rsid w:val="000A2E1F"/>
    <w:rsid w:val="000A3070"/>
    <w:rsid w:val="000A36AE"/>
    <w:rsid w:val="000A37FC"/>
    <w:rsid w:val="000A40B5"/>
    <w:rsid w:val="000A4B19"/>
    <w:rsid w:val="000A5D29"/>
    <w:rsid w:val="000A5F08"/>
    <w:rsid w:val="000A685A"/>
    <w:rsid w:val="000A6BC5"/>
    <w:rsid w:val="000A731A"/>
    <w:rsid w:val="000A73F1"/>
    <w:rsid w:val="000A74C4"/>
    <w:rsid w:val="000A79ED"/>
    <w:rsid w:val="000B031D"/>
    <w:rsid w:val="000B08AC"/>
    <w:rsid w:val="000B18F3"/>
    <w:rsid w:val="000B19C2"/>
    <w:rsid w:val="000B25ED"/>
    <w:rsid w:val="000B2B2F"/>
    <w:rsid w:val="000B2BD7"/>
    <w:rsid w:val="000B2EA1"/>
    <w:rsid w:val="000B348F"/>
    <w:rsid w:val="000B4721"/>
    <w:rsid w:val="000B4F19"/>
    <w:rsid w:val="000B5116"/>
    <w:rsid w:val="000B5C83"/>
    <w:rsid w:val="000B5EF5"/>
    <w:rsid w:val="000B6A98"/>
    <w:rsid w:val="000B7A98"/>
    <w:rsid w:val="000C001A"/>
    <w:rsid w:val="000C00C7"/>
    <w:rsid w:val="000C00CE"/>
    <w:rsid w:val="000C01EB"/>
    <w:rsid w:val="000C027C"/>
    <w:rsid w:val="000C0B79"/>
    <w:rsid w:val="000C0D28"/>
    <w:rsid w:val="000C15DD"/>
    <w:rsid w:val="000C1B9E"/>
    <w:rsid w:val="000C1E3B"/>
    <w:rsid w:val="000C23BA"/>
    <w:rsid w:val="000C2FA8"/>
    <w:rsid w:val="000C3488"/>
    <w:rsid w:val="000C3763"/>
    <w:rsid w:val="000C3B09"/>
    <w:rsid w:val="000C4D4D"/>
    <w:rsid w:val="000C4EEA"/>
    <w:rsid w:val="000C5947"/>
    <w:rsid w:val="000C6074"/>
    <w:rsid w:val="000C6A2C"/>
    <w:rsid w:val="000C7055"/>
    <w:rsid w:val="000C79DA"/>
    <w:rsid w:val="000D0390"/>
    <w:rsid w:val="000D03B2"/>
    <w:rsid w:val="000D11F0"/>
    <w:rsid w:val="000D1774"/>
    <w:rsid w:val="000D1A50"/>
    <w:rsid w:val="000D1D84"/>
    <w:rsid w:val="000D2604"/>
    <w:rsid w:val="000D3391"/>
    <w:rsid w:val="000D39D3"/>
    <w:rsid w:val="000D3C97"/>
    <w:rsid w:val="000D4160"/>
    <w:rsid w:val="000D439B"/>
    <w:rsid w:val="000D43B1"/>
    <w:rsid w:val="000D5112"/>
    <w:rsid w:val="000D5884"/>
    <w:rsid w:val="000D7306"/>
    <w:rsid w:val="000D7AB2"/>
    <w:rsid w:val="000D7F70"/>
    <w:rsid w:val="000E01BC"/>
    <w:rsid w:val="000E0D2B"/>
    <w:rsid w:val="000E1D6A"/>
    <w:rsid w:val="000E3112"/>
    <w:rsid w:val="000E3464"/>
    <w:rsid w:val="000E3FE1"/>
    <w:rsid w:val="000E446A"/>
    <w:rsid w:val="000E45EA"/>
    <w:rsid w:val="000E55CB"/>
    <w:rsid w:val="000E5716"/>
    <w:rsid w:val="000E5AD7"/>
    <w:rsid w:val="000E690E"/>
    <w:rsid w:val="000E6C61"/>
    <w:rsid w:val="000E6D6A"/>
    <w:rsid w:val="000E7CE7"/>
    <w:rsid w:val="000E7DF0"/>
    <w:rsid w:val="000F13CB"/>
    <w:rsid w:val="000F1809"/>
    <w:rsid w:val="000F1DE1"/>
    <w:rsid w:val="000F26DE"/>
    <w:rsid w:val="000F3096"/>
    <w:rsid w:val="000F3268"/>
    <w:rsid w:val="000F3B37"/>
    <w:rsid w:val="000F41E6"/>
    <w:rsid w:val="000F4C58"/>
    <w:rsid w:val="000F5173"/>
    <w:rsid w:val="000F70CE"/>
    <w:rsid w:val="000F79E6"/>
    <w:rsid w:val="000F7A30"/>
    <w:rsid w:val="000F7BCE"/>
    <w:rsid w:val="000F7C6C"/>
    <w:rsid w:val="000F7CD9"/>
    <w:rsid w:val="00100A23"/>
    <w:rsid w:val="00100A43"/>
    <w:rsid w:val="00100BCD"/>
    <w:rsid w:val="00100CD3"/>
    <w:rsid w:val="00100F1F"/>
    <w:rsid w:val="00100FF2"/>
    <w:rsid w:val="001017BB"/>
    <w:rsid w:val="00101A37"/>
    <w:rsid w:val="00101FEF"/>
    <w:rsid w:val="00102126"/>
    <w:rsid w:val="00103453"/>
    <w:rsid w:val="00103DAC"/>
    <w:rsid w:val="00104527"/>
    <w:rsid w:val="001046BB"/>
    <w:rsid w:val="00105372"/>
    <w:rsid w:val="001079F6"/>
    <w:rsid w:val="00107B53"/>
    <w:rsid w:val="00107F2F"/>
    <w:rsid w:val="00107F80"/>
    <w:rsid w:val="00110238"/>
    <w:rsid w:val="00110ECE"/>
    <w:rsid w:val="00110FB8"/>
    <w:rsid w:val="001118EB"/>
    <w:rsid w:val="00111B2F"/>
    <w:rsid w:val="00111E01"/>
    <w:rsid w:val="00113D96"/>
    <w:rsid w:val="0011426C"/>
    <w:rsid w:val="001151D7"/>
    <w:rsid w:val="001151FB"/>
    <w:rsid w:val="001159BA"/>
    <w:rsid w:val="00116093"/>
    <w:rsid w:val="0011617F"/>
    <w:rsid w:val="001174BD"/>
    <w:rsid w:val="00117548"/>
    <w:rsid w:val="0012050E"/>
    <w:rsid w:val="00120635"/>
    <w:rsid w:val="0012161C"/>
    <w:rsid w:val="001217E8"/>
    <w:rsid w:val="00121992"/>
    <w:rsid w:val="00121F48"/>
    <w:rsid w:val="001222F9"/>
    <w:rsid w:val="00122816"/>
    <w:rsid w:val="00123564"/>
    <w:rsid w:val="00124761"/>
    <w:rsid w:val="001248A9"/>
    <w:rsid w:val="00124902"/>
    <w:rsid w:val="00124FE9"/>
    <w:rsid w:val="001265F0"/>
    <w:rsid w:val="0012687F"/>
    <w:rsid w:val="00126BD3"/>
    <w:rsid w:val="00126C77"/>
    <w:rsid w:val="00126F5D"/>
    <w:rsid w:val="001270EE"/>
    <w:rsid w:val="0013050B"/>
    <w:rsid w:val="0013143E"/>
    <w:rsid w:val="00131A2A"/>
    <w:rsid w:val="00132F7B"/>
    <w:rsid w:val="00132F7F"/>
    <w:rsid w:val="00133F00"/>
    <w:rsid w:val="001346DB"/>
    <w:rsid w:val="00134A7C"/>
    <w:rsid w:val="00134B63"/>
    <w:rsid w:val="00134E9D"/>
    <w:rsid w:val="001350C9"/>
    <w:rsid w:val="00135AE2"/>
    <w:rsid w:val="001363C7"/>
    <w:rsid w:val="0013645F"/>
    <w:rsid w:val="00136C23"/>
    <w:rsid w:val="00136F77"/>
    <w:rsid w:val="00137181"/>
    <w:rsid w:val="0013741E"/>
    <w:rsid w:val="0014102D"/>
    <w:rsid w:val="0014108B"/>
    <w:rsid w:val="001414EA"/>
    <w:rsid w:val="00141824"/>
    <w:rsid w:val="00141EE5"/>
    <w:rsid w:val="001421D2"/>
    <w:rsid w:val="0014264A"/>
    <w:rsid w:val="00142A0C"/>
    <w:rsid w:val="00142A31"/>
    <w:rsid w:val="00142DF0"/>
    <w:rsid w:val="0014392A"/>
    <w:rsid w:val="001440B9"/>
    <w:rsid w:val="0014474E"/>
    <w:rsid w:val="00145B18"/>
    <w:rsid w:val="00145FB6"/>
    <w:rsid w:val="00146156"/>
    <w:rsid w:val="001473D1"/>
    <w:rsid w:val="00147778"/>
    <w:rsid w:val="0015053E"/>
    <w:rsid w:val="00150F7D"/>
    <w:rsid w:val="00150FAB"/>
    <w:rsid w:val="0015189B"/>
    <w:rsid w:val="00151D78"/>
    <w:rsid w:val="001523B4"/>
    <w:rsid w:val="001533EF"/>
    <w:rsid w:val="001537DC"/>
    <w:rsid w:val="001545B8"/>
    <w:rsid w:val="0015489D"/>
    <w:rsid w:val="00154AD6"/>
    <w:rsid w:val="001550E7"/>
    <w:rsid w:val="00155496"/>
    <w:rsid w:val="00155EC9"/>
    <w:rsid w:val="0015636C"/>
    <w:rsid w:val="001566AB"/>
    <w:rsid w:val="00157C26"/>
    <w:rsid w:val="00157EFF"/>
    <w:rsid w:val="001610FE"/>
    <w:rsid w:val="00161141"/>
    <w:rsid w:val="00161C88"/>
    <w:rsid w:val="00163595"/>
    <w:rsid w:val="001647C4"/>
    <w:rsid w:val="00165213"/>
    <w:rsid w:val="00165569"/>
    <w:rsid w:val="001655BC"/>
    <w:rsid w:val="001657C2"/>
    <w:rsid w:val="001658B8"/>
    <w:rsid w:val="0016592A"/>
    <w:rsid w:val="00166624"/>
    <w:rsid w:val="0016677D"/>
    <w:rsid w:val="00166C16"/>
    <w:rsid w:val="001671F0"/>
    <w:rsid w:val="001673C4"/>
    <w:rsid w:val="001676BD"/>
    <w:rsid w:val="00167E60"/>
    <w:rsid w:val="00170E58"/>
    <w:rsid w:val="0017191E"/>
    <w:rsid w:val="00172398"/>
    <w:rsid w:val="00172834"/>
    <w:rsid w:val="001731E5"/>
    <w:rsid w:val="00173588"/>
    <w:rsid w:val="00173EDD"/>
    <w:rsid w:val="00174672"/>
    <w:rsid w:val="00175102"/>
    <w:rsid w:val="00175E95"/>
    <w:rsid w:val="001764DF"/>
    <w:rsid w:val="00176552"/>
    <w:rsid w:val="00177000"/>
    <w:rsid w:val="00180518"/>
    <w:rsid w:val="001809B8"/>
    <w:rsid w:val="001816F4"/>
    <w:rsid w:val="00181915"/>
    <w:rsid w:val="0018226C"/>
    <w:rsid w:val="00182470"/>
    <w:rsid w:val="00182DD8"/>
    <w:rsid w:val="00183A1A"/>
    <w:rsid w:val="00183C6B"/>
    <w:rsid w:val="001843C3"/>
    <w:rsid w:val="001845C2"/>
    <w:rsid w:val="00184B40"/>
    <w:rsid w:val="00184FCF"/>
    <w:rsid w:val="001850A7"/>
    <w:rsid w:val="00185626"/>
    <w:rsid w:val="00185B6D"/>
    <w:rsid w:val="00185CF7"/>
    <w:rsid w:val="00186752"/>
    <w:rsid w:val="00186A54"/>
    <w:rsid w:val="00186FD9"/>
    <w:rsid w:val="001872EC"/>
    <w:rsid w:val="001902AC"/>
    <w:rsid w:val="001907EA"/>
    <w:rsid w:val="00190B96"/>
    <w:rsid w:val="0019164F"/>
    <w:rsid w:val="0019265C"/>
    <w:rsid w:val="00192A18"/>
    <w:rsid w:val="0019334E"/>
    <w:rsid w:val="00193A45"/>
    <w:rsid w:val="00193A81"/>
    <w:rsid w:val="00193C45"/>
    <w:rsid w:val="001946D9"/>
    <w:rsid w:val="00194826"/>
    <w:rsid w:val="00195BBB"/>
    <w:rsid w:val="00195D52"/>
    <w:rsid w:val="00195D9D"/>
    <w:rsid w:val="0019625F"/>
    <w:rsid w:val="00196737"/>
    <w:rsid w:val="00196BE3"/>
    <w:rsid w:val="00197E93"/>
    <w:rsid w:val="001A0230"/>
    <w:rsid w:val="001A146A"/>
    <w:rsid w:val="001A1617"/>
    <w:rsid w:val="001A1EDC"/>
    <w:rsid w:val="001A242D"/>
    <w:rsid w:val="001A2457"/>
    <w:rsid w:val="001A2569"/>
    <w:rsid w:val="001A2805"/>
    <w:rsid w:val="001A2B5C"/>
    <w:rsid w:val="001A2DB0"/>
    <w:rsid w:val="001A31D9"/>
    <w:rsid w:val="001A32F5"/>
    <w:rsid w:val="001A357E"/>
    <w:rsid w:val="001A36A2"/>
    <w:rsid w:val="001A37E0"/>
    <w:rsid w:val="001A3A4D"/>
    <w:rsid w:val="001A3E0E"/>
    <w:rsid w:val="001A3F5F"/>
    <w:rsid w:val="001A5692"/>
    <w:rsid w:val="001A5841"/>
    <w:rsid w:val="001A5B85"/>
    <w:rsid w:val="001A65AA"/>
    <w:rsid w:val="001A6B1D"/>
    <w:rsid w:val="001A6E45"/>
    <w:rsid w:val="001A6FA4"/>
    <w:rsid w:val="001A70A3"/>
    <w:rsid w:val="001A770D"/>
    <w:rsid w:val="001A7945"/>
    <w:rsid w:val="001B0441"/>
    <w:rsid w:val="001B068C"/>
    <w:rsid w:val="001B15F8"/>
    <w:rsid w:val="001B166F"/>
    <w:rsid w:val="001B1BCD"/>
    <w:rsid w:val="001B1CD9"/>
    <w:rsid w:val="001B2071"/>
    <w:rsid w:val="001B2146"/>
    <w:rsid w:val="001B266F"/>
    <w:rsid w:val="001B4319"/>
    <w:rsid w:val="001B4A80"/>
    <w:rsid w:val="001B5915"/>
    <w:rsid w:val="001B5EFB"/>
    <w:rsid w:val="001B64BE"/>
    <w:rsid w:val="001B6554"/>
    <w:rsid w:val="001B67D4"/>
    <w:rsid w:val="001B6ACF"/>
    <w:rsid w:val="001B6FFD"/>
    <w:rsid w:val="001B74D6"/>
    <w:rsid w:val="001B7B22"/>
    <w:rsid w:val="001B7E5D"/>
    <w:rsid w:val="001B7F88"/>
    <w:rsid w:val="001C0083"/>
    <w:rsid w:val="001C00B5"/>
    <w:rsid w:val="001C08F8"/>
    <w:rsid w:val="001C09FD"/>
    <w:rsid w:val="001C0B4A"/>
    <w:rsid w:val="001C0B5B"/>
    <w:rsid w:val="001C0CFF"/>
    <w:rsid w:val="001C1717"/>
    <w:rsid w:val="001C28F7"/>
    <w:rsid w:val="001C34A6"/>
    <w:rsid w:val="001C3700"/>
    <w:rsid w:val="001C3772"/>
    <w:rsid w:val="001C43B5"/>
    <w:rsid w:val="001C4682"/>
    <w:rsid w:val="001C4CF6"/>
    <w:rsid w:val="001C58CF"/>
    <w:rsid w:val="001C61A2"/>
    <w:rsid w:val="001C66C6"/>
    <w:rsid w:val="001C7FBF"/>
    <w:rsid w:val="001D052B"/>
    <w:rsid w:val="001D0ABD"/>
    <w:rsid w:val="001D10EC"/>
    <w:rsid w:val="001D151A"/>
    <w:rsid w:val="001D2300"/>
    <w:rsid w:val="001D2EB4"/>
    <w:rsid w:val="001D3459"/>
    <w:rsid w:val="001D3625"/>
    <w:rsid w:val="001D3A7E"/>
    <w:rsid w:val="001D3D9D"/>
    <w:rsid w:val="001D5836"/>
    <w:rsid w:val="001D5948"/>
    <w:rsid w:val="001D6203"/>
    <w:rsid w:val="001D688C"/>
    <w:rsid w:val="001D698F"/>
    <w:rsid w:val="001D6D2C"/>
    <w:rsid w:val="001D747A"/>
    <w:rsid w:val="001D76E4"/>
    <w:rsid w:val="001D7876"/>
    <w:rsid w:val="001D7B25"/>
    <w:rsid w:val="001D7B50"/>
    <w:rsid w:val="001E0B02"/>
    <w:rsid w:val="001E0BCC"/>
    <w:rsid w:val="001E10D7"/>
    <w:rsid w:val="001E121B"/>
    <w:rsid w:val="001E20FC"/>
    <w:rsid w:val="001E2641"/>
    <w:rsid w:val="001E2930"/>
    <w:rsid w:val="001E2AA3"/>
    <w:rsid w:val="001E2B0E"/>
    <w:rsid w:val="001E5F8D"/>
    <w:rsid w:val="001E67E1"/>
    <w:rsid w:val="001E6A4A"/>
    <w:rsid w:val="001E6CE0"/>
    <w:rsid w:val="001E7169"/>
    <w:rsid w:val="001E76DD"/>
    <w:rsid w:val="001E7B0E"/>
    <w:rsid w:val="001F0002"/>
    <w:rsid w:val="001F0276"/>
    <w:rsid w:val="001F050A"/>
    <w:rsid w:val="001F0D98"/>
    <w:rsid w:val="001F13A5"/>
    <w:rsid w:val="001F164D"/>
    <w:rsid w:val="001F2020"/>
    <w:rsid w:val="001F2047"/>
    <w:rsid w:val="001F2396"/>
    <w:rsid w:val="001F23F2"/>
    <w:rsid w:val="001F247B"/>
    <w:rsid w:val="001F2CB1"/>
    <w:rsid w:val="001F3288"/>
    <w:rsid w:val="001F3431"/>
    <w:rsid w:val="001F3474"/>
    <w:rsid w:val="001F380C"/>
    <w:rsid w:val="001F3E47"/>
    <w:rsid w:val="001F3EDE"/>
    <w:rsid w:val="001F4151"/>
    <w:rsid w:val="001F4E11"/>
    <w:rsid w:val="001F4EE3"/>
    <w:rsid w:val="001F5953"/>
    <w:rsid w:val="001F5D3C"/>
    <w:rsid w:val="001F5D94"/>
    <w:rsid w:val="001F652F"/>
    <w:rsid w:val="001F6A67"/>
    <w:rsid w:val="001F6AB4"/>
    <w:rsid w:val="001F6AC6"/>
    <w:rsid w:val="001F7357"/>
    <w:rsid w:val="001F7769"/>
    <w:rsid w:val="001F7B59"/>
    <w:rsid w:val="002005E1"/>
    <w:rsid w:val="002006E7"/>
    <w:rsid w:val="002009A4"/>
    <w:rsid w:val="00200AA4"/>
    <w:rsid w:val="00200ACB"/>
    <w:rsid w:val="00200C0B"/>
    <w:rsid w:val="00200D09"/>
    <w:rsid w:val="00200E7E"/>
    <w:rsid w:val="002012F1"/>
    <w:rsid w:val="00201B7D"/>
    <w:rsid w:val="00203315"/>
    <w:rsid w:val="002036F0"/>
    <w:rsid w:val="0020424F"/>
    <w:rsid w:val="0020492F"/>
    <w:rsid w:val="00204E10"/>
    <w:rsid w:val="002058BD"/>
    <w:rsid w:val="00206180"/>
    <w:rsid w:val="002066C2"/>
    <w:rsid w:val="002066FE"/>
    <w:rsid w:val="00207506"/>
    <w:rsid w:val="00210A5C"/>
    <w:rsid w:val="00210FBC"/>
    <w:rsid w:val="002112DC"/>
    <w:rsid w:val="00212A82"/>
    <w:rsid w:val="00212B93"/>
    <w:rsid w:val="00213161"/>
    <w:rsid w:val="002144A6"/>
    <w:rsid w:val="002156C2"/>
    <w:rsid w:val="00215CC5"/>
    <w:rsid w:val="002169EC"/>
    <w:rsid w:val="0022210B"/>
    <w:rsid w:val="00222638"/>
    <w:rsid w:val="00222EF6"/>
    <w:rsid w:val="002236C1"/>
    <w:rsid w:val="002237A1"/>
    <w:rsid w:val="00224804"/>
    <w:rsid w:val="00224864"/>
    <w:rsid w:val="00224C3E"/>
    <w:rsid w:val="0022557D"/>
    <w:rsid w:val="0022585C"/>
    <w:rsid w:val="00226B01"/>
    <w:rsid w:val="00227546"/>
    <w:rsid w:val="00227651"/>
    <w:rsid w:val="00227BA7"/>
    <w:rsid w:val="002304DE"/>
    <w:rsid w:val="00230650"/>
    <w:rsid w:val="002309F4"/>
    <w:rsid w:val="00231766"/>
    <w:rsid w:val="00231C06"/>
    <w:rsid w:val="002322DA"/>
    <w:rsid w:val="00233830"/>
    <w:rsid w:val="00234916"/>
    <w:rsid w:val="00234ED3"/>
    <w:rsid w:val="002352E9"/>
    <w:rsid w:val="00235435"/>
    <w:rsid w:val="00235AC6"/>
    <w:rsid w:val="00235B61"/>
    <w:rsid w:val="00235BE2"/>
    <w:rsid w:val="00236119"/>
    <w:rsid w:val="00236224"/>
    <w:rsid w:val="0023646B"/>
    <w:rsid w:val="00236D78"/>
    <w:rsid w:val="00236EF4"/>
    <w:rsid w:val="002370B2"/>
    <w:rsid w:val="00237221"/>
    <w:rsid w:val="00237230"/>
    <w:rsid w:val="00237B93"/>
    <w:rsid w:val="002401E2"/>
    <w:rsid w:val="0024154D"/>
    <w:rsid w:val="00241C17"/>
    <w:rsid w:val="002423C5"/>
    <w:rsid w:val="0024244A"/>
    <w:rsid w:val="00242B62"/>
    <w:rsid w:val="00243055"/>
    <w:rsid w:val="00243D91"/>
    <w:rsid w:val="00243F69"/>
    <w:rsid w:val="00244A99"/>
    <w:rsid w:val="00244D1E"/>
    <w:rsid w:val="00245523"/>
    <w:rsid w:val="00245959"/>
    <w:rsid w:val="00245DFC"/>
    <w:rsid w:val="002469FC"/>
    <w:rsid w:val="0024701F"/>
    <w:rsid w:val="00247193"/>
    <w:rsid w:val="0025101D"/>
    <w:rsid w:val="00251D03"/>
    <w:rsid w:val="00252CC0"/>
    <w:rsid w:val="00253507"/>
    <w:rsid w:val="0025361D"/>
    <w:rsid w:val="00253DF7"/>
    <w:rsid w:val="00254E7C"/>
    <w:rsid w:val="0025539C"/>
    <w:rsid w:val="00255DE1"/>
    <w:rsid w:val="00256778"/>
    <w:rsid w:val="00257135"/>
    <w:rsid w:val="00257507"/>
    <w:rsid w:val="00257B4F"/>
    <w:rsid w:val="00257B95"/>
    <w:rsid w:val="00257FC3"/>
    <w:rsid w:val="0026041A"/>
    <w:rsid w:val="00260898"/>
    <w:rsid w:val="002609EE"/>
    <w:rsid w:val="00260C4A"/>
    <w:rsid w:val="002610E6"/>
    <w:rsid w:val="00261484"/>
    <w:rsid w:val="002616D9"/>
    <w:rsid w:val="00261BC8"/>
    <w:rsid w:val="0026273C"/>
    <w:rsid w:val="002627B7"/>
    <w:rsid w:val="0026317C"/>
    <w:rsid w:val="00263249"/>
    <w:rsid w:val="002632F3"/>
    <w:rsid w:val="00263780"/>
    <w:rsid w:val="00263D58"/>
    <w:rsid w:val="00263EB5"/>
    <w:rsid w:val="002643A2"/>
    <w:rsid w:val="00264548"/>
    <w:rsid w:val="002657AE"/>
    <w:rsid w:val="002658CC"/>
    <w:rsid w:val="00265CDB"/>
    <w:rsid w:val="002667FE"/>
    <w:rsid w:val="00266A01"/>
    <w:rsid w:val="00266BFD"/>
    <w:rsid w:val="002674A3"/>
    <w:rsid w:val="002674EF"/>
    <w:rsid w:val="0026777E"/>
    <w:rsid w:val="00267834"/>
    <w:rsid w:val="00267851"/>
    <w:rsid w:val="00267C6D"/>
    <w:rsid w:val="00267F2D"/>
    <w:rsid w:val="0027078F"/>
    <w:rsid w:val="00270AFD"/>
    <w:rsid w:val="00270C45"/>
    <w:rsid w:val="00270EAB"/>
    <w:rsid w:val="00271563"/>
    <w:rsid w:val="0027196E"/>
    <w:rsid w:val="0027205B"/>
    <w:rsid w:val="0027219F"/>
    <w:rsid w:val="002724E7"/>
    <w:rsid w:val="0027284B"/>
    <w:rsid w:val="00274557"/>
    <w:rsid w:val="002746C3"/>
    <w:rsid w:val="00274733"/>
    <w:rsid w:val="00274823"/>
    <w:rsid w:val="00274B20"/>
    <w:rsid w:val="002751F0"/>
    <w:rsid w:val="00275601"/>
    <w:rsid w:val="002757B0"/>
    <w:rsid w:val="002757B8"/>
    <w:rsid w:val="0027617D"/>
    <w:rsid w:val="00276338"/>
    <w:rsid w:val="00280070"/>
    <w:rsid w:val="00280FB6"/>
    <w:rsid w:val="002811E1"/>
    <w:rsid w:val="00281F97"/>
    <w:rsid w:val="00281FC3"/>
    <w:rsid w:val="00282E33"/>
    <w:rsid w:val="00283115"/>
    <w:rsid w:val="0028349F"/>
    <w:rsid w:val="00283797"/>
    <w:rsid w:val="002843E6"/>
    <w:rsid w:val="00284FD0"/>
    <w:rsid w:val="002851F3"/>
    <w:rsid w:val="0028786D"/>
    <w:rsid w:val="00287DF6"/>
    <w:rsid w:val="00290D27"/>
    <w:rsid w:val="00291007"/>
    <w:rsid w:val="00291286"/>
    <w:rsid w:val="0029166F"/>
    <w:rsid w:val="00291BCB"/>
    <w:rsid w:val="00292540"/>
    <w:rsid w:val="00292736"/>
    <w:rsid w:val="00292BE4"/>
    <w:rsid w:val="00292C6E"/>
    <w:rsid w:val="00293118"/>
    <w:rsid w:val="00293363"/>
    <w:rsid w:val="0029366E"/>
    <w:rsid w:val="002942A8"/>
    <w:rsid w:val="002943DA"/>
    <w:rsid w:val="00294E1A"/>
    <w:rsid w:val="00295098"/>
    <w:rsid w:val="00295446"/>
    <w:rsid w:val="00295862"/>
    <w:rsid w:val="002958B5"/>
    <w:rsid w:val="00295985"/>
    <w:rsid w:val="00295A49"/>
    <w:rsid w:val="00296038"/>
    <w:rsid w:val="00296766"/>
    <w:rsid w:val="002968A2"/>
    <w:rsid w:val="0029751B"/>
    <w:rsid w:val="00297729"/>
    <w:rsid w:val="00297C8D"/>
    <w:rsid w:val="00297D97"/>
    <w:rsid w:val="002A007B"/>
    <w:rsid w:val="002A02B1"/>
    <w:rsid w:val="002A0D02"/>
    <w:rsid w:val="002A1531"/>
    <w:rsid w:val="002A16CA"/>
    <w:rsid w:val="002A1CB9"/>
    <w:rsid w:val="002A1D5B"/>
    <w:rsid w:val="002A21AE"/>
    <w:rsid w:val="002A2AED"/>
    <w:rsid w:val="002A2D2C"/>
    <w:rsid w:val="002A2DB5"/>
    <w:rsid w:val="002A30F7"/>
    <w:rsid w:val="002A34F7"/>
    <w:rsid w:val="002A3D8E"/>
    <w:rsid w:val="002A3E61"/>
    <w:rsid w:val="002A3EF9"/>
    <w:rsid w:val="002A401B"/>
    <w:rsid w:val="002A420D"/>
    <w:rsid w:val="002A45E7"/>
    <w:rsid w:val="002A4785"/>
    <w:rsid w:val="002A4AB6"/>
    <w:rsid w:val="002A4C08"/>
    <w:rsid w:val="002A4E7E"/>
    <w:rsid w:val="002A5021"/>
    <w:rsid w:val="002A508E"/>
    <w:rsid w:val="002A528C"/>
    <w:rsid w:val="002A5465"/>
    <w:rsid w:val="002A54ED"/>
    <w:rsid w:val="002A5B40"/>
    <w:rsid w:val="002A62E2"/>
    <w:rsid w:val="002A741E"/>
    <w:rsid w:val="002A7DC6"/>
    <w:rsid w:val="002B03B7"/>
    <w:rsid w:val="002B0C12"/>
    <w:rsid w:val="002B10E8"/>
    <w:rsid w:val="002B166C"/>
    <w:rsid w:val="002B1772"/>
    <w:rsid w:val="002B20FA"/>
    <w:rsid w:val="002B218C"/>
    <w:rsid w:val="002B2821"/>
    <w:rsid w:val="002B35E3"/>
    <w:rsid w:val="002B38FA"/>
    <w:rsid w:val="002B469E"/>
    <w:rsid w:val="002B47A3"/>
    <w:rsid w:val="002B48D7"/>
    <w:rsid w:val="002B4F42"/>
    <w:rsid w:val="002B5185"/>
    <w:rsid w:val="002B5735"/>
    <w:rsid w:val="002B573C"/>
    <w:rsid w:val="002B5AA2"/>
    <w:rsid w:val="002B5AEF"/>
    <w:rsid w:val="002B656C"/>
    <w:rsid w:val="002B660C"/>
    <w:rsid w:val="002B6831"/>
    <w:rsid w:val="002B6D5F"/>
    <w:rsid w:val="002B6DDB"/>
    <w:rsid w:val="002B6EC9"/>
    <w:rsid w:val="002B7468"/>
    <w:rsid w:val="002C0385"/>
    <w:rsid w:val="002C11F6"/>
    <w:rsid w:val="002C17B7"/>
    <w:rsid w:val="002C2660"/>
    <w:rsid w:val="002C2BFB"/>
    <w:rsid w:val="002C34E7"/>
    <w:rsid w:val="002C3856"/>
    <w:rsid w:val="002C4260"/>
    <w:rsid w:val="002C4425"/>
    <w:rsid w:val="002C510E"/>
    <w:rsid w:val="002C52AC"/>
    <w:rsid w:val="002C5302"/>
    <w:rsid w:val="002C531F"/>
    <w:rsid w:val="002C5357"/>
    <w:rsid w:val="002C54B8"/>
    <w:rsid w:val="002C58A7"/>
    <w:rsid w:val="002C5ABC"/>
    <w:rsid w:val="002C5B73"/>
    <w:rsid w:val="002C5FF7"/>
    <w:rsid w:val="002C65E1"/>
    <w:rsid w:val="002C6F71"/>
    <w:rsid w:val="002C6FD0"/>
    <w:rsid w:val="002C79B2"/>
    <w:rsid w:val="002D03CC"/>
    <w:rsid w:val="002D0585"/>
    <w:rsid w:val="002D09D2"/>
    <w:rsid w:val="002D0C93"/>
    <w:rsid w:val="002D0CC1"/>
    <w:rsid w:val="002D139F"/>
    <w:rsid w:val="002D2923"/>
    <w:rsid w:val="002D2C50"/>
    <w:rsid w:val="002D2EE6"/>
    <w:rsid w:val="002D34C8"/>
    <w:rsid w:val="002D4B4D"/>
    <w:rsid w:val="002D593D"/>
    <w:rsid w:val="002D6150"/>
    <w:rsid w:val="002D6365"/>
    <w:rsid w:val="002D639D"/>
    <w:rsid w:val="002D6BAB"/>
    <w:rsid w:val="002D707C"/>
    <w:rsid w:val="002D764B"/>
    <w:rsid w:val="002D768F"/>
    <w:rsid w:val="002D7946"/>
    <w:rsid w:val="002D799B"/>
    <w:rsid w:val="002D7A19"/>
    <w:rsid w:val="002E00E8"/>
    <w:rsid w:val="002E074F"/>
    <w:rsid w:val="002E184C"/>
    <w:rsid w:val="002E1F64"/>
    <w:rsid w:val="002E2A19"/>
    <w:rsid w:val="002E2D9E"/>
    <w:rsid w:val="002E2F64"/>
    <w:rsid w:val="002E3E26"/>
    <w:rsid w:val="002E4BA8"/>
    <w:rsid w:val="002E4CB2"/>
    <w:rsid w:val="002E4D60"/>
    <w:rsid w:val="002E5D5B"/>
    <w:rsid w:val="002E5E68"/>
    <w:rsid w:val="002E63D2"/>
    <w:rsid w:val="002E678F"/>
    <w:rsid w:val="002E6873"/>
    <w:rsid w:val="002E69B2"/>
    <w:rsid w:val="002E6FE2"/>
    <w:rsid w:val="002E7826"/>
    <w:rsid w:val="002F06E3"/>
    <w:rsid w:val="002F0A9D"/>
    <w:rsid w:val="002F0C5D"/>
    <w:rsid w:val="002F1BCD"/>
    <w:rsid w:val="002F1BE3"/>
    <w:rsid w:val="002F1BEA"/>
    <w:rsid w:val="002F263E"/>
    <w:rsid w:val="002F2704"/>
    <w:rsid w:val="002F31A1"/>
    <w:rsid w:val="002F3D26"/>
    <w:rsid w:val="002F4DA2"/>
    <w:rsid w:val="002F4E51"/>
    <w:rsid w:val="002F4EF5"/>
    <w:rsid w:val="002F50B4"/>
    <w:rsid w:val="002F55A1"/>
    <w:rsid w:val="002F5616"/>
    <w:rsid w:val="002F56B1"/>
    <w:rsid w:val="002F6403"/>
    <w:rsid w:val="002F70A3"/>
    <w:rsid w:val="002F75D6"/>
    <w:rsid w:val="003004A2"/>
    <w:rsid w:val="003009E6"/>
    <w:rsid w:val="00301327"/>
    <w:rsid w:val="00302F7C"/>
    <w:rsid w:val="003031C4"/>
    <w:rsid w:val="00303793"/>
    <w:rsid w:val="00303CEA"/>
    <w:rsid w:val="003046EE"/>
    <w:rsid w:val="00304C74"/>
    <w:rsid w:val="003052CF"/>
    <w:rsid w:val="00305DAE"/>
    <w:rsid w:val="0030635B"/>
    <w:rsid w:val="00306A97"/>
    <w:rsid w:val="00306E1D"/>
    <w:rsid w:val="00306EB9"/>
    <w:rsid w:val="00307A21"/>
    <w:rsid w:val="00307B01"/>
    <w:rsid w:val="00307E77"/>
    <w:rsid w:val="0031011B"/>
    <w:rsid w:val="0031032D"/>
    <w:rsid w:val="0031119F"/>
    <w:rsid w:val="0031130C"/>
    <w:rsid w:val="00311B5D"/>
    <w:rsid w:val="00311CA1"/>
    <w:rsid w:val="00311EBD"/>
    <w:rsid w:val="003121AF"/>
    <w:rsid w:val="003124BC"/>
    <w:rsid w:val="00312A2A"/>
    <w:rsid w:val="00312E08"/>
    <w:rsid w:val="00313F33"/>
    <w:rsid w:val="00314032"/>
    <w:rsid w:val="0031453A"/>
    <w:rsid w:val="00314A2A"/>
    <w:rsid w:val="00314C01"/>
    <w:rsid w:val="00315034"/>
    <w:rsid w:val="00315BE4"/>
    <w:rsid w:val="00315E29"/>
    <w:rsid w:val="00315F47"/>
    <w:rsid w:val="0031612A"/>
    <w:rsid w:val="0031759F"/>
    <w:rsid w:val="00317EB8"/>
    <w:rsid w:val="00320117"/>
    <w:rsid w:val="00320B07"/>
    <w:rsid w:val="00321031"/>
    <w:rsid w:val="0032184A"/>
    <w:rsid w:val="00322156"/>
    <w:rsid w:val="0032283E"/>
    <w:rsid w:val="0032372B"/>
    <w:rsid w:val="003237D6"/>
    <w:rsid w:val="00323AB6"/>
    <w:rsid w:val="00324247"/>
    <w:rsid w:val="003245CD"/>
    <w:rsid w:val="00324A29"/>
    <w:rsid w:val="00325493"/>
    <w:rsid w:val="00325767"/>
    <w:rsid w:val="003257A6"/>
    <w:rsid w:val="00325B2F"/>
    <w:rsid w:val="00325E6B"/>
    <w:rsid w:val="00326D57"/>
    <w:rsid w:val="0032700D"/>
    <w:rsid w:val="00327C1D"/>
    <w:rsid w:val="00327F3E"/>
    <w:rsid w:val="00330239"/>
    <w:rsid w:val="003305DD"/>
    <w:rsid w:val="00330975"/>
    <w:rsid w:val="00330A84"/>
    <w:rsid w:val="00330C14"/>
    <w:rsid w:val="0033188D"/>
    <w:rsid w:val="00332653"/>
    <w:rsid w:val="0033307D"/>
    <w:rsid w:val="00333382"/>
    <w:rsid w:val="00334D72"/>
    <w:rsid w:val="00334EAC"/>
    <w:rsid w:val="0033542F"/>
    <w:rsid w:val="00335826"/>
    <w:rsid w:val="00336B41"/>
    <w:rsid w:val="00336B8B"/>
    <w:rsid w:val="003371D4"/>
    <w:rsid w:val="003379D5"/>
    <w:rsid w:val="00337CEB"/>
    <w:rsid w:val="00337D79"/>
    <w:rsid w:val="003402C6"/>
    <w:rsid w:val="00340392"/>
    <w:rsid w:val="00340A36"/>
    <w:rsid w:val="003413B0"/>
    <w:rsid w:val="00341D73"/>
    <w:rsid w:val="0034210C"/>
    <w:rsid w:val="00342869"/>
    <w:rsid w:val="00342F4B"/>
    <w:rsid w:val="00343BA1"/>
    <w:rsid w:val="003447E8"/>
    <w:rsid w:val="00344A7C"/>
    <w:rsid w:val="003450EC"/>
    <w:rsid w:val="003455E1"/>
    <w:rsid w:val="0034574E"/>
    <w:rsid w:val="003469D8"/>
    <w:rsid w:val="00346B7B"/>
    <w:rsid w:val="00346C75"/>
    <w:rsid w:val="00347363"/>
    <w:rsid w:val="00347B29"/>
    <w:rsid w:val="003508F7"/>
    <w:rsid w:val="00350C6F"/>
    <w:rsid w:val="003511BD"/>
    <w:rsid w:val="00351230"/>
    <w:rsid w:val="00351763"/>
    <w:rsid w:val="003521BD"/>
    <w:rsid w:val="00352E3A"/>
    <w:rsid w:val="0035322A"/>
    <w:rsid w:val="00353281"/>
    <w:rsid w:val="0035351A"/>
    <w:rsid w:val="00353819"/>
    <w:rsid w:val="00354AB0"/>
    <w:rsid w:val="00354F93"/>
    <w:rsid w:val="00355F7A"/>
    <w:rsid w:val="0035602A"/>
    <w:rsid w:val="0035676A"/>
    <w:rsid w:val="00356B3F"/>
    <w:rsid w:val="0035771C"/>
    <w:rsid w:val="00357E70"/>
    <w:rsid w:val="0036007B"/>
    <w:rsid w:val="00361CAE"/>
    <w:rsid w:val="00362170"/>
    <w:rsid w:val="00362E0C"/>
    <w:rsid w:val="003630C3"/>
    <w:rsid w:val="00363285"/>
    <w:rsid w:val="00363A26"/>
    <w:rsid w:val="00363C32"/>
    <w:rsid w:val="00363D40"/>
    <w:rsid w:val="00364081"/>
    <w:rsid w:val="00364484"/>
    <w:rsid w:val="00364B21"/>
    <w:rsid w:val="00364CC9"/>
    <w:rsid w:val="003651C9"/>
    <w:rsid w:val="003652DD"/>
    <w:rsid w:val="00365E12"/>
    <w:rsid w:val="00366026"/>
    <w:rsid w:val="003664F5"/>
    <w:rsid w:val="0036691E"/>
    <w:rsid w:val="00366F5C"/>
    <w:rsid w:val="003702A6"/>
    <w:rsid w:val="00370783"/>
    <w:rsid w:val="00370C7F"/>
    <w:rsid w:val="00370E36"/>
    <w:rsid w:val="00371099"/>
    <w:rsid w:val="003710CC"/>
    <w:rsid w:val="00372A15"/>
    <w:rsid w:val="003731A1"/>
    <w:rsid w:val="00373720"/>
    <w:rsid w:val="00373786"/>
    <w:rsid w:val="003739AE"/>
    <w:rsid w:val="0037420D"/>
    <w:rsid w:val="00374B34"/>
    <w:rsid w:val="00374E3E"/>
    <w:rsid w:val="00374E48"/>
    <w:rsid w:val="00374E85"/>
    <w:rsid w:val="00374F70"/>
    <w:rsid w:val="00375434"/>
    <w:rsid w:val="00375840"/>
    <w:rsid w:val="0037673A"/>
    <w:rsid w:val="00376871"/>
    <w:rsid w:val="00377132"/>
    <w:rsid w:val="003772D6"/>
    <w:rsid w:val="00377B2E"/>
    <w:rsid w:val="003803B3"/>
    <w:rsid w:val="003804A1"/>
    <w:rsid w:val="003813F5"/>
    <w:rsid w:val="00381EA7"/>
    <w:rsid w:val="0038234B"/>
    <w:rsid w:val="0038272E"/>
    <w:rsid w:val="00382912"/>
    <w:rsid w:val="00382BC4"/>
    <w:rsid w:val="00382DB0"/>
    <w:rsid w:val="0038405D"/>
    <w:rsid w:val="00384258"/>
    <w:rsid w:val="003843FD"/>
    <w:rsid w:val="003846CB"/>
    <w:rsid w:val="00384F08"/>
    <w:rsid w:val="00385796"/>
    <w:rsid w:val="00385E51"/>
    <w:rsid w:val="00386491"/>
    <w:rsid w:val="00386A22"/>
    <w:rsid w:val="00386AD2"/>
    <w:rsid w:val="00386B08"/>
    <w:rsid w:val="00386EDE"/>
    <w:rsid w:val="003871DF"/>
    <w:rsid w:val="00387241"/>
    <w:rsid w:val="0038754E"/>
    <w:rsid w:val="00390188"/>
    <w:rsid w:val="003904F1"/>
    <w:rsid w:val="0039083D"/>
    <w:rsid w:val="0039118E"/>
    <w:rsid w:val="00391197"/>
    <w:rsid w:val="003915BE"/>
    <w:rsid w:val="003926E1"/>
    <w:rsid w:val="00392CEC"/>
    <w:rsid w:val="0039305B"/>
    <w:rsid w:val="00393AC8"/>
    <w:rsid w:val="00393B20"/>
    <w:rsid w:val="00394089"/>
    <w:rsid w:val="003942FB"/>
    <w:rsid w:val="00394B6F"/>
    <w:rsid w:val="00394D04"/>
    <w:rsid w:val="00395996"/>
    <w:rsid w:val="00395EB5"/>
    <w:rsid w:val="003A04A9"/>
    <w:rsid w:val="003A0606"/>
    <w:rsid w:val="003A0962"/>
    <w:rsid w:val="003A0BF7"/>
    <w:rsid w:val="003A16DC"/>
    <w:rsid w:val="003A18FD"/>
    <w:rsid w:val="003A216F"/>
    <w:rsid w:val="003A2421"/>
    <w:rsid w:val="003A2716"/>
    <w:rsid w:val="003A2A72"/>
    <w:rsid w:val="003A319F"/>
    <w:rsid w:val="003A33D7"/>
    <w:rsid w:val="003A3631"/>
    <w:rsid w:val="003A3C86"/>
    <w:rsid w:val="003A4BE4"/>
    <w:rsid w:val="003A4DF6"/>
    <w:rsid w:val="003A59B2"/>
    <w:rsid w:val="003A5ACC"/>
    <w:rsid w:val="003A5E70"/>
    <w:rsid w:val="003A5EB6"/>
    <w:rsid w:val="003A6498"/>
    <w:rsid w:val="003A64CB"/>
    <w:rsid w:val="003A6A93"/>
    <w:rsid w:val="003A76C3"/>
    <w:rsid w:val="003A770B"/>
    <w:rsid w:val="003A7D35"/>
    <w:rsid w:val="003A7F8B"/>
    <w:rsid w:val="003B1052"/>
    <w:rsid w:val="003B118B"/>
    <w:rsid w:val="003B1940"/>
    <w:rsid w:val="003B1A87"/>
    <w:rsid w:val="003B1B1E"/>
    <w:rsid w:val="003B1E06"/>
    <w:rsid w:val="003B4770"/>
    <w:rsid w:val="003B50ED"/>
    <w:rsid w:val="003B5851"/>
    <w:rsid w:val="003B5F2E"/>
    <w:rsid w:val="003B6006"/>
    <w:rsid w:val="003B636F"/>
    <w:rsid w:val="003B6F50"/>
    <w:rsid w:val="003B7069"/>
    <w:rsid w:val="003B70C7"/>
    <w:rsid w:val="003B70EE"/>
    <w:rsid w:val="003B7DB0"/>
    <w:rsid w:val="003C04F4"/>
    <w:rsid w:val="003C063D"/>
    <w:rsid w:val="003C0F40"/>
    <w:rsid w:val="003C0FA3"/>
    <w:rsid w:val="003C14B3"/>
    <w:rsid w:val="003C34AC"/>
    <w:rsid w:val="003C38E1"/>
    <w:rsid w:val="003C3DF8"/>
    <w:rsid w:val="003C5057"/>
    <w:rsid w:val="003C576F"/>
    <w:rsid w:val="003C5A22"/>
    <w:rsid w:val="003C5A94"/>
    <w:rsid w:val="003C5D12"/>
    <w:rsid w:val="003C5D61"/>
    <w:rsid w:val="003C6578"/>
    <w:rsid w:val="003C689E"/>
    <w:rsid w:val="003C6BFF"/>
    <w:rsid w:val="003C6EFB"/>
    <w:rsid w:val="003D074F"/>
    <w:rsid w:val="003D0ECC"/>
    <w:rsid w:val="003D11FE"/>
    <w:rsid w:val="003D1C1D"/>
    <w:rsid w:val="003D2627"/>
    <w:rsid w:val="003D3506"/>
    <w:rsid w:val="003D3913"/>
    <w:rsid w:val="003D3B5B"/>
    <w:rsid w:val="003D4121"/>
    <w:rsid w:val="003D43CC"/>
    <w:rsid w:val="003D4C70"/>
    <w:rsid w:val="003D50BC"/>
    <w:rsid w:val="003D557F"/>
    <w:rsid w:val="003D7752"/>
    <w:rsid w:val="003D78C4"/>
    <w:rsid w:val="003D7920"/>
    <w:rsid w:val="003D7C25"/>
    <w:rsid w:val="003D7F8C"/>
    <w:rsid w:val="003E020E"/>
    <w:rsid w:val="003E037B"/>
    <w:rsid w:val="003E0435"/>
    <w:rsid w:val="003E060A"/>
    <w:rsid w:val="003E0E67"/>
    <w:rsid w:val="003E10FD"/>
    <w:rsid w:val="003E129C"/>
    <w:rsid w:val="003E143F"/>
    <w:rsid w:val="003E1676"/>
    <w:rsid w:val="003E1C82"/>
    <w:rsid w:val="003E1F36"/>
    <w:rsid w:val="003E2C4A"/>
    <w:rsid w:val="003E2F1B"/>
    <w:rsid w:val="003E35A5"/>
    <w:rsid w:val="003E3FBD"/>
    <w:rsid w:val="003E4172"/>
    <w:rsid w:val="003E418E"/>
    <w:rsid w:val="003E4B4D"/>
    <w:rsid w:val="003E4E96"/>
    <w:rsid w:val="003E6129"/>
    <w:rsid w:val="003E6261"/>
    <w:rsid w:val="003E69CA"/>
    <w:rsid w:val="003E6B6B"/>
    <w:rsid w:val="003E6BE4"/>
    <w:rsid w:val="003E6C33"/>
    <w:rsid w:val="003E7526"/>
    <w:rsid w:val="003F0ADA"/>
    <w:rsid w:val="003F0E96"/>
    <w:rsid w:val="003F14C9"/>
    <w:rsid w:val="003F3434"/>
    <w:rsid w:val="003F38E9"/>
    <w:rsid w:val="003F417F"/>
    <w:rsid w:val="003F4205"/>
    <w:rsid w:val="003F4370"/>
    <w:rsid w:val="003F452A"/>
    <w:rsid w:val="003F4DCA"/>
    <w:rsid w:val="003F5AAD"/>
    <w:rsid w:val="003F6191"/>
    <w:rsid w:val="003F6392"/>
    <w:rsid w:val="0040029D"/>
    <w:rsid w:val="00401A54"/>
    <w:rsid w:val="00401C08"/>
    <w:rsid w:val="00402FC3"/>
    <w:rsid w:val="004038FB"/>
    <w:rsid w:val="00404F55"/>
    <w:rsid w:val="00405AFF"/>
    <w:rsid w:val="00405C87"/>
    <w:rsid w:val="0040615E"/>
    <w:rsid w:val="0040681A"/>
    <w:rsid w:val="00406A1C"/>
    <w:rsid w:val="00407609"/>
    <w:rsid w:val="004078FE"/>
    <w:rsid w:val="004103A6"/>
    <w:rsid w:val="0041049B"/>
    <w:rsid w:val="00410CD8"/>
    <w:rsid w:val="00411435"/>
    <w:rsid w:val="004116BA"/>
    <w:rsid w:val="004117B1"/>
    <w:rsid w:val="00411D97"/>
    <w:rsid w:val="00412228"/>
    <w:rsid w:val="004124E7"/>
    <w:rsid w:val="004130F6"/>
    <w:rsid w:val="00413207"/>
    <w:rsid w:val="004146BC"/>
    <w:rsid w:val="00414BB8"/>
    <w:rsid w:val="00415313"/>
    <w:rsid w:val="004157D7"/>
    <w:rsid w:val="004159F1"/>
    <w:rsid w:val="00415AB1"/>
    <w:rsid w:val="00415B7C"/>
    <w:rsid w:val="00415D8A"/>
    <w:rsid w:val="00416F2A"/>
    <w:rsid w:val="0041756D"/>
    <w:rsid w:val="00417860"/>
    <w:rsid w:val="00417C21"/>
    <w:rsid w:val="0042054A"/>
    <w:rsid w:val="004205FC"/>
    <w:rsid w:val="00420BC1"/>
    <w:rsid w:val="004216CA"/>
    <w:rsid w:val="00421D0B"/>
    <w:rsid w:val="00422988"/>
    <w:rsid w:val="004229D8"/>
    <w:rsid w:val="00422D5E"/>
    <w:rsid w:val="004232F5"/>
    <w:rsid w:val="00423BB5"/>
    <w:rsid w:val="004243F3"/>
    <w:rsid w:val="00424461"/>
    <w:rsid w:val="00424E8E"/>
    <w:rsid w:val="0042508D"/>
    <w:rsid w:val="00425223"/>
    <w:rsid w:val="00425594"/>
    <w:rsid w:val="00425CC0"/>
    <w:rsid w:val="0042614C"/>
    <w:rsid w:val="00426335"/>
    <w:rsid w:val="00426457"/>
    <w:rsid w:val="004264A8"/>
    <w:rsid w:val="004266ED"/>
    <w:rsid w:val="00426F26"/>
    <w:rsid w:val="00427210"/>
    <w:rsid w:val="00427ED2"/>
    <w:rsid w:val="004305FD"/>
    <w:rsid w:val="0043101F"/>
    <w:rsid w:val="0043174B"/>
    <w:rsid w:val="004325F8"/>
    <w:rsid w:val="00432F0A"/>
    <w:rsid w:val="00432F33"/>
    <w:rsid w:val="00432F71"/>
    <w:rsid w:val="00433197"/>
    <w:rsid w:val="00433BFF"/>
    <w:rsid w:val="00434593"/>
    <w:rsid w:val="004349EB"/>
    <w:rsid w:val="00435581"/>
    <w:rsid w:val="004355E3"/>
    <w:rsid w:val="0043774E"/>
    <w:rsid w:val="00437816"/>
    <w:rsid w:val="00437AC9"/>
    <w:rsid w:val="00437E7A"/>
    <w:rsid w:val="00440E9B"/>
    <w:rsid w:val="0044103C"/>
    <w:rsid w:val="00442419"/>
    <w:rsid w:val="00442552"/>
    <w:rsid w:val="004425D6"/>
    <w:rsid w:val="004427B2"/>
    <w:rsid w:val="00442929"/>
    <w:rsid w:val="0044463B"/>
    <w:rsid w:val="00444ECE"/>
    <w:rsid w:val="004454A2"/>
    <w:rsid w:val="0044559E"/>
    <w:rsid w:val="00445DF0"/>
    <w:rsid w:val="00446141"/>
    <w:rsid w:val="00446223"/>
    <w:rsid w:val="0044647D"/>
    <w:rsid w:val="0044725E"/>
    <w:rsid w:val="00447474"/>
    <w:rsid w:val="004476A6"/>
    <w:rsid w:val="004500FC"/>
    <w:rsid w:val="004504D4"/>
    <w:rsid w:val="00450BA3"/>
    <w:rsid w:val="00450C2B"/>
    <w:rsid w:val="00451002"/>
    <w:rsid w:val="00451C3F"/>
    <w:rsid w:val="004523E7"/>
    <w:rsid w:val="00452B68"/>
    <w:rsid w:val="00453F06"/>
    <w:rsid w:val="00453F9B"/>
    <w:rsid w:val="00454371"/>
    <w:rsid w:val="004549D9"/>
    <w:rsid w:val="00454C49"/>
    <w:rsid w:val="004552A0"/>
    <w:rsid w:val="00455716"/>
    <w:rsid w:val="00455D34"/>
    <w:rsid w:val="00455E41"/>
    <w:rsid w:val="0045620C"/>
    <w:rsid w:val="0045691D"/>
    <w:rsid w:val="004570D7"/>
    <w:rsid w:val="00457149"/>
    <w:rsid w:val="004573F8"/>
    <w:rsid w:val="00457D20"/>
    <w:rsid w:val="00460362"/>
    <w:rsid w:val="0046060A"/>
    <w:rsid w:val="00460663"/>
    <w:rsid w:val="00460868"/>
    <w:rsid w:val="00460AFB"/>
    <w:rsid w:val="00460BB1"/>
    <w:rsid w:val="00460D9E"/>
    <w:rsid w:val="004610E4"/>
    <w:rsid w:val="004615BE"/>
    <w:rsid w:val="00461C4B"/>
    <w:rsid w:val="00462530"/>
    <w:rsid w:val="00462E30"/>
    <w:rsid w:val="00463014"/>
    <w:rsid w:val="00463464"/>
    <w:rsid w:val="004636C6"/>
    <w:rsid w:val="00464366"/>
    <w:rsid w:val="00464399"/>
    <w:rsid w:val="0046474F"/>
    <w:rsid w:val="00464945"/>
    <w:rsid w:val="004652ED"/>
    <w:rsid w:val="004653DF"/>
    <w:rsid w:val="0046562D"/>
    <w:rsid w:val="00465D67"/>
    <w:rsid w:val="00466C3C"/>
    <w:rsid w:val="00466DCD"/>
    <w:rsid w:val="00466F95"/>
    <w:rsid w:val="00467162"/>
    <w:rsid w:val="004673B6"/>
    <w:rsid w:val="0046793E"/>
    <w:rsid w:val="00467A8C"/>
    <w:rsid w:val="00467C4F"/>
    <w:rsid w:val="0047075C"/>
    <w:rsid w:val="0047086C"/>
    <w:rsid w:val="00470E78"/>
    <w:rsid w:val="00471B00"/>
    <w:rsid w:val="00471E81"/>
    <w:rsid w:val="00471EB4"/>
    <w:rsid w:val="00471F1C"/>
    <w:rsid w:val="00472B27"/>
    <w:rsid w:val="00472F04"/>
    <w:rsid w:val="004733C2"/>
    <w:rsid w:val="004733EA"/>
    <w:rsid w:val="00473732"/>
    <w:rsid w:val="004738B1"/>
    <w:rsid w:val="00473AA8"/>
    <w:rsid w:val="00473ADF"/>
    <w:rsid w:val="004748CB"/>
    <w:rsid w:val="00474B84"/>
    <w:rsid w:val="00474C7A"/>
    <w:rsid w:val="00474D2E"/>
    <w:rsid w:val="004757CE"/>
    <w:rsid w:val="00475F93"/>
    <w:rsid w:val="00476240"/>
    <w:rsid w:val="0047720A"/>
    <w:rsid w:val="00477329"/>
    <w:rsid w:val="004801F9"/>
    <w:rsid w:val="00480572"/>
    <w:rsid w:val="00480CC8"/>
    <w:rsid w:val="00481510"/>
    <w:rsid w:val="0048177A"/>
    <w:rsid w:val="0048184C"/>
    <w:rsid w:val="00481A39"/>
    <w:rsid w:val="00481C41"/>
    <w:rsid w:val="00481DAB"/>
    <w:rsid w:val="00481F21"/>
    <w:rsid w:val="00482255"/>
    <w:rsid w:val="00482371"/>
    <w:rsid w:val="0048256C"/>
    <w:rsid w:val="00482FE6"/>
    <w:rsid w:val="00483B6B"/>
    <w:rsid w:val="00483C57"/>
    <w:rsid w:val="00484241"/>
    <w:rsid w:val="00484663"/>
    <w:rsid w:val="004858C1"/>
    <w:rsid w:val="004859C2"/>
    <w:rsid w:val="0048672D"/>
    <w:rsid w:val="0048705F"/>
    <w:rsid w:val="004873FA"/>
    <w:rsid w:val="0048760A"/>
    <w:rsid w:val="004878B6"/>
    <w:rsid w:val="00487AE7"/>
    <w:rsid w:val="00487C92"/>
    <w:rsid w:val="004904B5"/>
    <w:rsid w:val="00490876"/>
    <w:rsid w:val="00490AAF"/>
    <w:rsid w:val="004912DD"/>
    <w:rsid w:val="004913A7"/>
    <w:rsid w:val="00491CB2"/>
    <w:rsid w:val="004928EE"/>
    <w:rsid w:val="00493062"/>
    <w:rsid w:val="0049310A"/>
    <w:rsid w:val="00493194"/>
    <w:rsid w:val="004936B4"/>
    <w:rsid w:val="00496090"/>
    <w:rsid w:val="00496394"/>
    <w:rsid w:val="0049660E"/>
    <w:rsid w:val="00496907"/>
    <w:rsid w:val="004969F7"/>
    <w:rsid w:val="00496F33"/>
    <w:rsid w:val="004971BA"/>
    <w:rsid w:val="00497CAD"/>
    <w:rsid w:val="004A0827"/>
    <w:rsid w:val="004A0835"/>
    <w:rsid w:val="004A0CDB"/>
    <w:rsid w:val="004A12E2"/>
    <w:rsid w:val="004A178F"/>
    <w:rsid w:val="004A1912"/>
    <w:rsid w:val="004A1D89"/>
    <w:rsid w:val="004A37AA"/>
    <w:rsid w:val="004A37B8"/>
    <w:rsid w:val="004A3E91"/>
    <w:rsid w:val="004A4D47"/>
    <w:rsid w:val="004A4D8D"/>
    <w:rsid w:val="004A4ED5"/>
    <w:rsid w:val="004A5871"/>
    <w:rsid w:val="004A5930"/>
    <w:rsid w:val="004A5AEC"/>
    <w:rsid w:val="004A5D66"/>
    <w:rsid w:val="004A64DD"/>
    <w:rsid w:val="004A6604"/>
    <w:rsid w:val="004A74C5"/>
    <w:rsid w:val="004A751B"/>
    <w:rsid w:val="004A7A1E"/>
    <w:rsid w:val="004A7A8E"/>
    <w:rsid w:val="004A7AE9"/>
    <w:rsid w:val="004B066D"/>
    <w:rsid w:val="004B0C36"/>
    <w:rsid w:val="004B272D"/>
    <w:rsid w:val="004B341C"/>
    <w:rsid w:val="004B383F"/>
    <w:rsid w:val="004B3DCD"/>
    <w:rsid w:val="004B5203"/>
    <w:rsid w:val="004B59BD"/>
    <w:rsid w:val="004B6435"/>
    <w:rsid w:val="004B6C35"/>
    <w:rsid w:val="004B7235"/>
    <w:rsid w:val="004B7B62"/>
    <w:rsid w:val="004B7D3D"/>
    <w:rsid w:val="004B7DD3"/>
    <w:rsid w:val="004B7F5D"/>
    <w:rsid w:val="004C0092"/>
    <w:rsid w:val="004C06E2"/>
    <w:rsid w:val="004C09AC"/>
    <w:rsid w:val="004C0CF9"/>
    <w:rsid w:val="004C13F9"/>
    <w:rsid w:val="004C1916"/>
    <w:rsid w:val="004C23C7"/>
    <w:rsid w:val="004C2569"/>
    <w:rsid w:val="004C2885"/>
    <w:rsid w:val="004C2E8B"/>
    <w:rsid w:val="004C314A"/>
    <w:rsid w:val="004C365C"/>
    <w:rsid w:val="004C4A02"/>
    <w:rsid w:val="004C4B77"/>
    <w:rsid w:val="004C5193"/>
    <w:rsid w:val="004C51ED"/>
    <w:rsid w:val="004C52BB"/>
    <w:rsid w:val="004C5653"/>
    <w:rsid w:val="004C587C"/>
    <w:rsid w:val="004C5D4D"/>
    <w:rsid w:val="004C79D0"/>
    <w:rsid w:val="004C7AC4"/>
    <w:rsid w:val="004C7D66"/>
    <w:rsid w:val="004D0082"/>
    <w:rsid w:val="004D0C09"/>
    <w:rsid w:val="004D1960"/>
    <w:rsid w:val="004D1A6F"/>
    <w:rsid w:val="004D27A9"/>
    <w:rsid w:val="004D2D5A"/>
    <w:rsid w:val="004D3031"/>
    <w:rsid w:val="004D32E8"/>
    <w:rsid w:val="004D3938"/>
    <w:rsid w:val="004D46AA"/>
    <w:rsid w:val="004D4732"/>
    <w:rsid w:val="004D4ED0"/>
    <w:rsid w:val="004D563E"/>
    <w:rsid w:val="004D5656"/>
    <w:rsid w:val="004D6107"/>
    <w:rsid w:val="004D61A7"/>
    <w:rsid w:val="004D6498"/>
    <w:rsid w:val="004D70EB"/>
    <w:rsid w:val="004D7620"/>
    <w:rsid w:val="004E0BD6"/>
    <w:rsid w:val="004E0CF7"/>
    <w:rsid w:val="004E0DAA"/>
    <w:rsid w:val="004E134A"/>
    <w:rsid w:val="004E17CB"/>
    <w:rsid w:val="004E1A86"/>
    <w:rsid w:val="004E1F12"/>
    <w:rsid w:val="004E1FA7"/>
    <w:rsid w:val="004E2302"/>
    <w:rsid w:val="004E2BBB"/>
    <w:rsid w:val="004E2F35"/>
    <w:rsid w:val="004E37B8"/>
    <w:rsid w:val="004E435E"/>
    <w:rsid w:val="004E44BB"/>
    <w:rsid w:val="004E4B31"/>
    <w:rsid w:val="004E5585"/>
    <w:rsid w:val="004E5629"/>
    <w:rsid w:val="004E5906"/>
    <w:rsid w:val="004E6360"/>
    <w:rsid w:val="004F0180"/>
    <w:rsid w:val="004F05C6"/>
    <w:rsid w:val="004F191A"/>
    <w:rsid w:val="004F22B2"/>
    <w:rsid w:val="004F2FD3"/>
    <w:rsid w:val="004F42A3"/>
    <w:rsid w:val="004F42FE"/>
    <w:rsid w:val="004F45FC"/>
    <w:rsid w:val="004F4A99"/>
    <w:rsid w:val="004F4D77"/>
    <w:rsid w:val="004F578B"/>
    <w:rsid w:val="004F6137"/>
    <w:rsid w:val="004F63E6"/>
    <w:rsid w:val="004F6893"/>
    <w:rsid w:val="004F7A47"/>
    <w:rsid w:val="004F7DAE"/>
    <w:rsid w:val="00500DBA"/>
    <w:rsid w:val="00501084"/>
    <w:rsid w:val="005013EA"/>
    <w:rsid w:val="00501A14"/>
    <w:rsid w:val="00501A99"/>
    <w:rsid w:val="00502102"/>
    <w:rsid w:val="0050218E"/>
    <w:rsid w:val="00502214"/>
    <w:rsid w:val="00502671"/>
    <w:rsid w:val="005038AD"/>
    <w:rsid w:val="00503C9D"/>
    <w:rsid w:val="00504052"/>
    <w:rsid w:val="005048C2"/>
    <w:rsid w:val="00504B98"/>
    <w:rsid w:val="005051A9"/>
    <w:rsid w:val="005056C0"/>
    <w:rsid w:val="00505B0D"/>
    <w:rsid w:val="00507F7A"/>
    <w:rsid w:val="00510633"/>
    <w:rsid w:val="0051073E"/>
    <w:rsid w:val="00510C81"/>
    <w:rsid w:val="00511E18"/>
    <w:rsid w:val="00512663"/>
    <w:rsid w:val="0051292F"/>
    <w:rsid w:val="00512B5E"/>
    <w:rsid w:val="0051323D"/>
    <w:rsid w:val="005132FF"/>
    <w:rsid w:val="0051384C"/>
    <w:rsid w:val="00513C16"/>
    <w:rsid w:val="00513DCE"/>
    <w:rsid w:val="00513E3D"/>
    <w:rsid w:val="00514BED"/>
    <w:rsid w:val="00514EBE"/>
    <w:rsid w:val="0051503D"/>
    <w:rsid w:val="0051565A"/>
    <w:rsid w:val="005163E2"/>
    <w:rsid w:val="005165E4"/>
    <w:rsid w:val="00516A43"/>
    <w:rsid w:val="005178CB"/>
    <w:rsid w:val="00520F22"/>
    <w:rsid w:val="005214BA"/>
    <w:rsid w:val="005214C4"/>
    <w:rsid w:val="00521647"/>
    <w:rsid w:val="0052190B"/>
    <w:rsid w:val="00521AB3"/>
    <w:rsid w:val="00521D3D"/>
    <w:rsid w:val="00523168"/>
    <w:rsid w:val="005233BE"/>
    <w:rsid w:val="005238F6"/>
    <w:rsid w:val="005244F6"/>
    <w:rsid w:val="0052457C"/>
    <w:rsid w:val="00524731"/>
    <w:rsid w:val="00524F53"/>
    <w:rsid w:val="0052500B"/>
    <w:rsid w:val="00525022"/>
    <w:rsid w:val="005250D8"/>
    <w:rsid w:val="005257C6"/>
    <w:rsid w:val="00525D20"/>
    <w:rsid w:val="00526284"/>
    <w:rsid w:val="00527538"/>
    <w:rsid w:val="005278CC"/>
    <w:rsid w:val="005279E7"/>
    <w:rsid w:val="00527BBA"/>
    <w:rsid w:val="00527F3F"/>
    <w:rsid w:val="005301F8"/>
    <w:rsid w:val="00530D71"/>
    <w:rsid w:val="0053101B"/>
    <w:rsid w:val="005313EA"/>
    <w:rsid w:val="00531C69"/>
    <w:rsid w:val="0053294B"/>
    <w:rsid w:val="00533016"/>
    <w:rsid w:val="00533062"/>
    <w:rsid w:val="005330DB"/>
    <w:rsid w:val="00533306"/>
    <w:rsid w:val="00533CC1"/>
    <w:rsid w:val="00533EDD"/>
    <w:rsid w:val="0053431A"/>
    <w:rsid w:val="00534DFA"/>
    <w:rsid w:val="00534F5A"/>
    <w:rsid w:val="00535246"/>
    <w:rsid w:val="0053542E"/>
    <w:rsid w:val="005354CD"/>
    <w:rsid w:val="00535D54"/>
    <w:rsid w:val="0053617B"/>
    <w:rsid w:val="00536262"/>
    <w:rsid w:val="005366FD"/>
    <w:rsid w:val="005369EB"/>
    <w:rsid w:val="00536C2A"/>
    <w:rsid w:val="00536DF1"/>
    <w:rsid w:val="005372D4"/>
    <w:rsid w:val="00540A2F"/>
    <w:rsid w:val="0054183F"/>
    <w:rsid w:val="00541F1B"/>
    <w:rsid w:val="00542EA5"/>
    <w:rsid w:val="0054335B"/>
    <w:rsid w:val="00543C93"/>
    <w:rsid w:val="00544087"/>
    <w:rsid w:val="005443F0"/>
    <w:rsid w:val="00544CF5"/>
    <w:rsid w:val="005456CE"/>
    <w:rsid w:val="00545900"/>
    <w:rsid w:val="00545DDF"/>
    <w:rsid w:val="00546270"/>
    <w:rsid w:val="005470BE"/>
    <w:rsid w:val="00547C2B"/>
    <w:rsid w:val="005504F4"/>
    <w:rsid w:val="00550D94"/>
    <w:rsid w:val="0055121F"/>
    <w:rsid w:val="00552B7B"/>
    <w:rsid w:val="005538A3"/>
    <w:rsid w:val="00554419"/>
    <w:rsid w:val="005545B4"/>
    <w:rsid w:val="00555AC3"/>
    <w:rsid w:val="00555E45"/>
    <w:rsid w:val="00556692"/>
    <w:rsid w:val="005571D0"/>
    <w:rsid w:val="00557575"/>
    <w:rsid w:val="00557E57"/>
    <w:rsid w:val="00557F75"/>
    <w:rsid w:val="005600F4"/>
    <w:rsid w:val="005608AF"/>
    <w:rsid w:val="00560C3F"/>
    <w:rsid w:val="0056162F"/>
    <w:rsid w:val="00561F27"/>
    <w:rsid w:val="005620FE"/>
    <w:rsid w:val="00562313"/>
    <w:rsid w:val="00562805"/>
    <w:rsid w:val="00562907"/>
    <w:rsid w:val="00562E54"/>
    <w:rsid w:val="0056378F"/>
    <w:rsid w:val="00563CAF"/>
    <w:rsid w:val="00563FC1"/>
    <w:rsid w:val="00564215"/>
    <w:rsid w:val="00564553"/>
    <w:rsid w:val="0056480F"/>
    <w:rsid w:val="00564E81"/>
    <w:rsid w:val="0056678A"/>
    <w:rsid w:val="005667E8"/>
    <w:rsid w:val="00567112"/>
    <w:rsid w:val="00570279"/>
    <w:rsid w:val="0057091A"/>
    <w:rsid w:val="00570E81"/>
    <w:rsid w:val="00572FEF"/>
    <w:rsid w:val="00573901"/>
    <w:rsid w:val="005742FC"/>
    <w:rsid w:val="00574AF0"/>
    <w:rsid w:val="00575461"/>
    <w:rsid w:val="005762A7"/>
    <w:rsid w:val="00576497"/>
    <w:rsid w:val="00576C0A"/>
    <w:rsid w:val="00576D2B"/>
    <w:rsid w:val="005770AA"/>
    <w:rsid w:val="00577C76"/>
    <w:rsid w:val="00577D63"/>
    <w:rsid w:val="00580043"/>
    <w:rsid w:val="0058012B"/>
    <w:rsid w:val="005803B7"/>
    <w:rsid w:val="00580A77"/>
    <w:rsid w:val="00580F70"/>
    <w:rsid w:val="005810B6"/>
    <w:rsid w:val="005810CB"/>
    <w:rsid w:val="005811C7"/>
    <w:rsid w:val="0058130A"/>
    <w:rsid w:val="0058133B"/>
    <w:rsid w:val="0058182A"/>
    <w:rsid w:val="00581D46"/>
    <w:rsid w:val="00582142"/>
    <w:rsid w:val="005827FB"/>
    <w:rsid w:val="00582CD2"/>
    <w:rsid w:val="005832E4"/>
    <w:rsid w:val="00583715"/>
    <w:rsid w:val="00583851"/>
    <w:rsid w:val="00583AD8"/>
    <w:rsid w:val="00583D03"/>
    <w:rsid w:val="005843AE"/>
    <w:rsid w:val="00584459"/>
    <w:rsid w:val="00584CF9"/>
    <w:rsid w:val="00585197"/>
    <w:rsid w:val="0058532A"/>
    <w:rsid w:val="00585431"/>
    <w:rsid w:val="00585BEE"/>
    <w:rsid w:val="00585D8C"/>
    <w:rsid w:val="00585ED4"/>
    <w:rsid w:val="00585F2D"/>
    <w:rsid w:val="00585F5F"/>
    <w:rsid w:val="0058632F"/>
    <w:rsid w:val="005865A5"/>
    <w:rsid w:val="00586896"/>
    <w:rsid w:val="00586DBC"/>
    <w:rsid w:val="00587F52"/>
    <w:rsid w:val="00591ADE"/>
    <w:rsid w:val="00592016"/>
    <w:rsid w:val="00592AF3"/>
    <w:rsid w:val="00592E1F"/>
    <w:rsid w:val="005934F0"/>
    <w:rsid w:val="0059351C"/>
    <w:rsid w:val="00593590"/>
    <w:rsid w:val="00593ECC"/>
    <w:rsid w:val="00593F36"/>
    <w:rsid w:val="0059474E"/>
    <w:rsid w:val="00594AEE"/>
    <w:rsid w:val="00595DC4"/>
    <w:rsid w:val="00597B0A"/>
    <w:rsid w:val="00597C6B"/>
    <w:rsid w:val="005A0789"/>
    <w:rsid w:val="005A1BAF"/>
    <w:rsid w:val="005A2006"/>
    <w:rsid w:val="005A2654"/>
    <w:rsid w:val="005A301B"/>
    <w:rsid w:val="005A3281"/>
    <w:rsid w:val="005A3367"/>
    <w:rsid w:val="005A38E7"/>
    <w:rsid w:val="005A4220"/>
    <w:rsid w:val="005A4BA8"/>
    <w:rsid w:val="005A6B1B"/>
    <w:rsid w:val="005A6E94"/>
    <w:rsid w:val="005A7134"/>
    <w:rsid w:val="005A73BA"/>
    <w:rsid w:val="005B002B"/>
    <w:rsid w:val="005B045B"/>
    <w:rsid w:val="005B0C5B"/>
    <w:rsid w:val="005B10A3"/>
    <w:rsid w:val="005B152A"/>
    <w:rsid w:val="005B1CD3"/>
    <w:rsid w:val="005B1F95"/>
    <w:rsid w:val="005B202F"/>
    <w:rsid w:val="005B2679"/>
    <w:rsid w:val="005B3244"/>
    <w:rsid w:val="005B3C1A"/>
    <w:rsid w:val="005B4066"/>
    <w:rsid w:val="005B4384"/>
    <w:rsid w:val="005B4436"/>
    <w:rsid w:val="005B51A0"/>
    <w:rsid w:val="005B5350"/>
    <w:rsid w:val="005B5676"/>
    <w:rsid w:val="005B5A69"/>
    <w:rsid w:val="005B6B05"/>
    <w:rsid w:val="005B6C5C"/>
    <w:rsid w:val="005C0473"/>
    <w:rsid w:val="005C04B8"/>
    <w:rsid w:val="005C0B53"/>
    <w:rsid w:val="005C10EC"/>
    <w:rsid w:val="005C1C58"/>
    <w:rsid w:val="005C1FA6"/>
    <w:rsid w:val="005C2294"/>
    <w:rsid w:val="005C2F42"/>
    <w:rsid w:val="005C31C6"/>
    <w:rsid w:val="005C31D8"/>
    <w:rsid w:val="005C3AEA"/>
    <w:rsid w:val="005C3DB1"/>
    <w:rsid w:val="005C4B25"/>
    <w:rsid w:val="005C4E06"/>
    <w:rsid w:val="005C4E50"/>
    <w:rsid w:val="005C518A"/>
    <w:rsid w:val="005C5553"/>
    <w:rsid w:val="005C69B1"/>
    <w:rsid w:val="005C6CCA"/>
    <w:rsid w:val="005C6E0B"/>
    <w:rsid w:val="005C738F"/>
    <w:rsid w:val="005D0253"/>
    <w:rsid w:val="005D02C6"/>
    <w:rsid w:val="005D078A"/>
    <w:rsid w:val="005D0986"/>
    <w:rsid w:val="005D1A09"/>
    <w:rsid w:val="005D2EE5"/>
    <w:rsid w:val="005D3733"/>
    <w:rsid w:val="005D3ABF"/>
    <w:rsid w:val="005D3CE6"/>
    <w:rsid w:val="005D43B3"/>
    <w:rsid w:val="005D4591"/>
    <w:rsid w:val="005D48BD"/>
    <w:rsid w:val="005D5BC4"/>
    <w:rsid w:val="005D5E84"/>
    <w:rsid w:val="005D5FBD"/>
    <w:rsid w:val="005D6F2D"/>
    <w:rsid w:val="005D752D"/>
    <w:rsid w:val="005D75EA"/>
    <w:rsid w:val="005D76D4"/>
    <w:rsid w:val="005D7A39"/>
    <w:rsid w:val="005E031C"/>
    <w:rsid w:val="005E036A"/>
    <w:rsid w:val="005E0579"/>
    <w:rsid w:val="005E08E7"/>
    <w:rsid w:val="005E0C11"/>
    <w:rsid w:val="005E1EBE"/>
    <w:rsid w:val="005E2D80"/>
    <w:rsid w:val="005E3412"/>
    <w:rsid w:val="005E3B74"/>
    <w:rsid w:val="005E3E33"/>
    <w:rsid w:val="005E47BE"/>
    <w:rsid w:val="005E5345"/>
    <w:rsid w:val="005E5806"/>
    <w:rsid w:val="005E6646"/>
    <w:rsid w:val="005E6E90"/>
    <w:rsid w:val="005E7818"/>
    <w:rsid w:val="005E7BBB"/>
    <w:rsid w:val="005F0970"/>
    <w:rsid w:val="005F09CD"/>
    <w:rsid w:val="005F14EA"/>
    <w:rsid w:val="005F15CF"/>
    <w:rsid w:val="005F18F2"/>
    <w:rsid w:val="005F1F43"/>
    <w:rsid w:val="005F20B4"/>
    <w:rsid w:val="005F20BB"/>
    <w:rsid w:val="005F20D5"/>
    <w:rsid w:val="005F28CA"/>
    <w:rsid w:val="005F2FFB"/>
    <w:rsid w:val="005F44E1"/>
    <w:rsid w:val="005F5558"/>
    <w:rsid w:val="005F58DC"/>
    <w:rsid w:val="005F5F87"/>
    <w:rsid w:val="005F6040"/>
    <w:rsid w:val="005F689B"/>
    <w:rsid w:val="005F6DDC"/>
    <w:rsid w:val="00600C4D"/>
    <w:rsid w:val="006011C3"/>
    <w:rsid w:val="00601461"/>
    <w:rsid w:val="00602020"/>
    <w:rsid w:val="0060239D"/>
    <w:rsid w:val="0060246E"/>
    <w:rsid w:val="00603432"/>
    <w:rsid w:val="00603AC2"/>
    <w:rsid w:val="0060427B"/>
    <w:rsid w:val="00604EC6"/>
    <w:rsid w:val="00605677"/>
    <w:rsid w:val="00605C73"/>
    <w:rsid w:val="006061E5"/>
    <w:rsid w:val="0060737F"/>
    <w:rsid w:val="00607438"/>
    <w:rsid w:val="00607502"/>
    <w:rsid w:val="006076EC"/>
    <w:rsid w:val="00607991"/>
    <w:rsid w:val="00607AC5"/>
    <w:rsid w:val="006105C0"/>
    <w:rsid w:val="00611108"/>
    <w:rsid w:val="006116F3"/>
    <w:rsid w:val="0061193C"/>
    <w:rsid w:val="0061203F"/>
    <w:rsid w:val="00612A3D"/>
    <w:rsid w:val="00614563"/>
    <w:rsid w:val="00614EB3"/>
    <w:rsid w:val="00616EC1"/>
    <w:rsid w:val="006178D9"/>
    <w:rsid w:val="00620537"/>
    <w:rsid w:val="00621093"/>
    <w:rsid w:val="00621488"/>
    <w:rsid w:val="00621530"/>
    <w:rsid w:val="006219A7"/>
    <w:rsid w:val="006220E2"/>
    <w:rsid w:val="00622728"/>
    <w:rsid w:val="00622B22"/>
    <w:rsid w:val="00622CE9"/>
    <w:rsid w:val="0062389F"/>
    <w:rsid w:val="00624199"/>
    <w:rsid w:val="006246E2"/>
    <w:rsid w:val="00624867"/>
    <w:rsid w:val="00625281"/>
    <w:rsid w:val="00625A1F"/>
    <w:rsid w:val="00625D2F"/>
    <w:rsid w:val="00626527"/>
    <w:rsid w:val="00626A87"/>
    <w:rsid w:val="00626A9A"/>
    <w:rsid w:val="00626C7D"/>
    <w:rsid w:val="00626F74"/>
    <w:rsid w:val="00627846"/>
    <w:rsid w:val="00627FAB"/>
    <w:rsid w:val="0063020A"/>
    <w:rsid w:val="0063040B"/>
    <w:rsid w:val="0063043F"/>
    <w:rsid w:val="00630448"/>
    <w:rsid w:val="0063065E"/>
    <w:rsid w:val="00632CE4"/>
    <w:rsid w:val="00632EB7"/>
    <w:rsid w:val="00632ECF"/>
    <w:rsid w:val="00634138"/>
    <w:rsid w:val="00634503"/>
    <w:rsid w:val="00634598"/>
    <w:rsid w:val="00634A87"/>
    <w:rsid w:val="00634C62"/>
    <w:rsid w:val="00634EDA"/>
    <w:rsid w:val="0063513B"/>
    <w:rsid w:val="00635B85"/>
    <w:rsid w:val="00635F72"/>
    <w:rsid w:val="00635F77"/>
    <w:rsid w:val="00636D11"/>
    <w:rsid w:val="006371ED"/>
    <w:rsid w:val="006374E6"/>
    <w:rsid w:val="006379D0"/>
    <w:rsid w:val="00637DB8"/>
    <w:rsid w:val="006408BB"/>
    <w:rsid w:val="00640912"/>
    <w:rsid w:val="00640F38"/>
    <w:rsid w:val="00640FF5"/>
    <w:rsid w:val="006418C2"/>
    <w:rsid w:val="006419AB"/>
    <w:rsid w:val="00641EB6"/>
    <w:rsid w:val="0064208B"/>
    <w:rsid w:val="0064312D"/>
    <w:rsid w:val="00643A6F"/>
    <w:rsid w:val="00644ABD"/>
    <w:rsid w:val="006456F3"/>
    <w:rsid w:val="00645BB8"/>
    <w:rsid w:val="00650823"/>
    <w:rsid w:val="00650893"/>
    <w:rsid w:val="00650ECB"/>
    <w:rsid w:val="00650EE1"/>
    <w:rsid w:val="00650FEF"/>
    <w:rsid w:val="0065305C"/>
    <w:rsid w:val="00653102"/>
    <w:rsid w:val="00653437"/>
    <w:rsid w:val="00653481"/>
    <w:rsid w:val="006534CB"/>
    <w:rsid w:val="0065360C"/>
    <w:rsid w:val="006544CF"/>
    <w:rsid w:val="00654686"/>
    <w:rsid w:val="00655741"/>
    <w:rsid w:val="0065577E"/>
    <w:rsid w:val="006557DD"/>
    <w:rsid w:val="006560B9"/>
    <w:rsid w:val="00656985"/>
    <w:rsid w:val="00656991"/>
    <w:rsid w:val="006575A0"/>
    <w:rsid w:val="006576F2"/>
    <w:rsid w:val="00657999"/>
    <w:rsid w:val="00657B24"/>
    <w:rsid w:val="006600B6"/>
    <w:rsid w:val="006602E7"/>
    <w:rsid w:val="00660646"/>
    <w:rsid w:val="00660B04"/>
    <w:rsid w:val="00660B2E"/>
    <w:rsid w:val="00660F1C"/>
    <w:rsid w:val="00661233"/>
    <w:rsid w:val="0066138F"/>
    <w:rsid w:val="00661982"/>
    <w:rsid w:val="006620FA"/>
    <w:rsid w:val="00662D08"/>
    <w:rsid w:val="00663020"/>
    <w:rsid w:val="00663450"/>
    <w:rsid w:val="006636CD"/>
    <w:rsid w:val="00663952"/>
    <w:rsid w:val="006644EC"/>
    <w:rsid w:val="006645A6"/>
    <w:rsid w:val="00664AFB"/>
    <w:rsid w:val="006654F1"/>
    <w:rsid w:val="00665BA1"/>
    <w:rsid w:val="00665CA9"/>
    <w:rsid w:val="006676D8"/>
    <w:rsid w:val="006677E0"/>
    <w:rsid w:val="0066789B"/>
    <w:rsid w:val="006678D5"/>
    <w:rsid w:val="00667F8D"/>
    <w:rsid w:val="00670452"/>
    <w:rsid w:val="0067045B"/>
    <w:rsid w:val="00670D19"/>
    <w:rsid w:val="00671282"/>
    <w:rsid w:val="006717E9"/>
    <w:rsid w:val="00671897"/>
    <w:rsid w:val="00671B11"/>
    <w:rsid w:val="00671D50"/>
    <w:rsid w:val="00672AA3"/>
    <w:rsid w:val="00672CDD"/>
    <w:rsid w:val="006735A0"/>
    <w:rsid w:val="006735F1"/>
    <w:rsid w:val="00673994"/>
    <w:rsid w:val="00674238"/>
    <w:rsid w:val="00674BA6"/>
    <w:rsid w:val="00675394"/>
    <w:rsid w:val="0067544A"/>
    <w:rsid w:val="006757B1"/>
    <w:rsid w:val="006760A5"/>
    <w:rsid w:val="006767B0"/>
    <w:rsid w:val="00677A85"/>
    <w:rsid w:val="006808FC"/>
    <w:rsid w:val="00681960"/>
    <w:rsid w:val="0068390C"/>
    <w:rsid w:val="00683C70"/>
    <w:rsid w:val="00684B86"/>
    <w:rsid w:val="00687076"/>
    <w:rsid w:val="00687B07"/>
    <w:rsid w:val="00687EBD"/>
    <w:rsid w:val="00687FE9"/>
    <w:rsid w:val="0069001B"/>
    <w:rsid w:val="006904C2"/>
    <w:rsid w:val="00690B17"/>
    <w:rsid w:val="00691439"/>
    <w:rsid w:val="00691903"/>
    <w:rsid w:val="00691D18"/>
    <w:rsid w:val="00691F24"/>
    <w:rsid w:val="00692334"/>
    <w:rsid w:val="006924D1"/>
    <w:rsid w:val="00692676"/>
    <w:rsid w:val="0069272B"/>
    <w:rsid w:val="0069275D"/>
    <w:rsid w:val="006928C4"/>
    <w:rsid w:val="00692A3D"/>
    <w:rsid w:val="006930B5"/>
    <w:rsid w:val="00693228"/>
    <w:rsid w:val="00693471"/>
    <w:rsid w:val="0069374A"/>
    <w:rsid w:val="006937A3"/>
    <w:rsid w:val="00693B90"/>
    <w:rsid w:val="00694468"/>
    <w:rsid w:val="0069456E"/>
    <w:rsid w:val="0069460E"/>
    <w:rsid w:val="006954A2"/>
    <w:rsid w:val="00695E18"/>
    <w:rsid w:val="00696151"/>
    <w:rsid w:val="0069620A"/>
    <w:rsid w:val="0069644C"/>
    <w:rsid w:val="00696810"/>
    <w:rsid w:val="00696C25"/>
    <w:rsid w:val="00697723"/>
    <w:rsid w:val="00697D56"/>
    <w:rsid w:val="006A2329"/>
    <w:rsid w:val="006A254E"/>
    <w:rsid w:val="006A27F1"/>
    <w:rsid w:val="006A29C2"/>
    <w:rsid w:val="006A2C35"/>
    <w:rsid w:val="006A2CA3"/>
    <w:rsid w:val="006A2D5E"/>
    <w:rsid w:val="006A37FE"/>
    <w:rsid w:val="006A3D45"/>
    <w:rsid w:val="006A4075"/>
    <w:rsid w:val="006A40EB"/>
    <w:rsid w:val="006A41B7"/>
    <w:rsid w:val="006A4CEF"/>
    <w:rsid w:val="006A50A1"/>
    <w:rsid w:val="006A5244"/>
    <w:rsid w:val="006A55C9"/>
    <w:rsid w:val="006A573D"/>
    <w:rsid w:val="006A63AC"/>
    <w:rsid w:val="006A6789"/>
    <w:rsid w:val="006A6A54"/>
    <w:rsid w:val="006A709B"/>
    <w:rsid w:val="006A76E9"/>
    <w:rsid w:val="006A7836"/>
    <w:rsid w:val="006B0098"/>
    <w:rsid w:val="006B028D"/>
    <w:rsid w:val="006B044A"/>
    <w:rsid w:val="006B12D9"/>
    <w:rsid w:val="006B25FA"/>
    <w:rsid w:val="006B26FB"/>
    <w:rsid w:val="006B2987"/>
    <w:rsid w:val="006B2C8A"/>
    <w:rsid w:val="006B3826"/>
    <w:rsid w:val="006B3C61"/>
    <w:rsid w:val="006B3C6B"/>
    <w:rsid w:val="006B401F"/>
    <w:rsid w:val="006B4031"/>
    <w:rsid w:val="006B4A41"/>
    <w:rsid w:val="006B4B65"/>
    <w:rsid w:val="006B4F83"/>
    <w:rsid w:val="006B5839"/>
    <w:rsid w:val="006B5B7C"/>
    <w:rsid w:val="006B5C88"/>
    <w:rsid w:val="006B6780"/>
    <w:rsid w:val="006B68E8"/>
    <w:rsid w:val="006B712E"/>
    <w:rsid w:val="006C03B0"/>
    <w:rsid w:val="006C05C9"/>
    <w:rsid w:val="006C06D0"/>
    <w:rsid w:val="006C082D"/>
    <w:rsid w:val="006C0F61"/>
    <w:rsid w:val="006C1D35"/>
    <w:rsid w:val="006C21AB"/>
    <w:rsid w:val="006C22DA"/>
    <w:rsid w:val="006C2BB6"/>
    <w:rsid w:val="006C2E48"/>
    <w:rsid w:val="006C2F29"/>
    <w:rsid w:val="006C31A5"/>
    <w:rsid w:val="006C3995"/>
    <w:rsid w:val="006C3FD0"/>
    <w:rsid w:val="006C479A"/>
    <w:rsid w:val="006C5635"/>
    <w:rsid w:val="006C59FA"/>
    <w:rsid w:val="006C5B1F"/>
    <w:rsid w:val="006C5BE5"/>
    <w:rsid w:val="006C5C15"/>
    <w:rsid w:val="006C5CC5"/>
    <w:rsid w:val="006C6C49"/>
    <w:rsid w:val="006C6C6A"/>
    <w:rsid w:val="006C728D"/>
    <w:rsid w:val="006C73A7"/>
    <w:rsid w:val="006C73D6"/>
    <w:rsid w:val="006C7D18"/>
    <w:rsid w:val="006D0C6B"/>
    <w:rsid w:val="006D0EB3"/>
    <w:rsid w:val="006D172D"/>
    <w:rsid w:val="006D24CA"/>
    <w:rsid w:val="006D2C1A"/>
    <w:rsid w:val="006D3CA2"/>
    <w:rsid w:val="006D3D9A"/>
    <w:rsid w:val="006D4143"/>
    <w:rsid w:val="006D42AF"/>
    <w:rsid w:val="006D42FA"/>
    <w:rsid w:val="006D4F86"/>
    <w:rsid w:val="006D51E3"/>
    <w:rsid w:val="006D52AD"/>
    <w:rsid w:val="006D57C9"/>
    <w:rsid w:val="006D65AD"/>
    <w:rsid w:val="006D67AE"/>
    <w:rsid w:val="006D6AD3"/>
    <w:rsid w:val="006D7233"/>
    <w:rsid w:val="006D74DD"/>
    <w:rsid w:val="006D7504"/>
    <w:rsid w:val="006D7559"/>
    <w:rsid w:val="006D7671"/>
    <w:rsid w:val="006D7987"/>
    <w:rsid w:val="006D7A7E"/>
    <w:rsid w:val="006D7C47"/>
    <w:rsid w:val="006D7D42"/>
    <w:rsid w:val="006E00E5"/>
    <w:rsid w:val="006E0E20"/>
    <w:rsid w:val="006E11DD"/>
    <w:rsid w:val="006E11F2"/>
    <w:rsid w:val="006E1890"/>
    <w:rsid w:val="006E1A93"/>
    <w:rsid w:val="006E1C3D"/>
    <w:rsid w:val="006E20BE"/>
    <w:rsid w:val="006E2304"/>
    <w:rsid w:val="006E240A"/>
    <w:rsid w:val="006E2512"/>
    <w:rsid w:val="006E2AE2"/>
    <w:rsid w:val="006E2D61"/>
    <w:rsid w:val="006E2FA2"/>
    <w:rsid w:val="006E33F5"/>
    <w:rsid w:val="006E35F1"/>
    <w:rsid w:val="006E3696"/>
    <w:rsid w:val="006E3A51"/>
    <w:rsid w:val="006E3B2A"/>
    <w:rsid w:val="006E3FF3"/>
    <w:rsid w:val="006E45D1"/>
    <w:rsid w:val="006E4C85"/>
    <w:rsid w:val="006E5057"/>
    <w:rsid w:val="006E5164"/>
    <w:rsid w:val="006E608C"/>
    <w:rsid w:val="006E6783"/>
    <w:rsid w:val="006E682D"/>
    <w:rsid w:val="006E70A1"/>
    <w:rsid w:val="006E78A9"/>
    <w:rsid w:val="006E7EC0"/>
    <w:rsid w:val="006F0B7C"/>
    <w:rsid w:val="006F0C16"/>
    <w:rsid w:val="006F1A59"/>
    <w:rsid w:val="006F1A61"/>
    <w:rsid w:val="006F1C35"/>
    <w:rsid w:val="006F1DF4"/>
    <w:rsid w:val="006F1E98"/>
    <w:rsid w:val="006F231F"/>
    <w:rsid w:val="006F2671"/>
    <w:rsid w:val="006F2A16"/>
    <w:rsid w:val="006F30EF"/>
    <w:rsid w:val="006F3576"/>
    <w:rsid w:val="006F383D"/>
    <w:rsid w:val="006F40F7"/>
    <w:rsid w:val="006F43BD"/>
    <w:rsid w:val="006F4652"/>
    <w:rsid w:val="006F4884"/>
    <w:rsid w:val="006F4987"/>
    <w:rsid w:val="006F4DFE"/>
    <w:rsid w:val="006F6CC8"/>
    <w:rsid w:val="006F6E78"/>
    <w:rsid w:val="006F75C9"/>
    <w:rsid w:val="006F7957"/>
    <w:rsid w:val="006F79D2"/>
    <w:rsid w:val="006F7CB2"/>
    <w:rsid w:val="007006D0"/>
    <w:rsid w:val="007008C6"/>
    <w:rsid w:val="00701151"/>
    <w:rsid w:val="00701571"/>
    <w:rsid w:val="00702A2C"/>
    <w:rsid w:val="00702BEE"/>
    <w:rsid w:val="00703156"/>
    <w:rsid w:val="00703904"/>
    <w:rsid w:val="00703B87"/>
    <w:rsid w:val="00703EDB"/>
    <w:rsid w:val="00704052"/>
    <w:rsid w:val="007067CB"/>
    <w:rsid w:val="0070728F"/>
    <w:rsid w:val="007072C9"/>
    <w:rsid w:val="0070793C"/>
    <w:rsid w:val="00707C43"/>
    <w:rsid w:val="007101B8"/>
    <w:rsid w:val="007102B4"/>
    <w:rsid w:val="00710A82"/>
    <w:rsid w:val="00710CEE"/>
    <w:rsid w:val="007116B9"/>
    <w:rsid w:val="00711742"/>
    <w:rsid w:val="00711991"/>
    <w:rsid w:val="00711A3E"/>
    <w:rsid w:val="00711A60"/>
    <w:rsid w:val="00711AC1"/>
    <w:rsid w:val="00711DB0"/>
    <w:rsid w:val="00712355"/>
    <w:rsid w:val="00712580"/>
    <w:rsid w:val="00712D7E"/>
    <w:rsid w:val="00712E65"/>
    <w:rsid w:val="00713917"/>
    <w:rsid w:val="007144DC"/>
    <w:rsid w:val="00714AEC"/>
    <w:rsid w:val="00714E43"/>
    <w:rsid w:val="00714E4F"/>
    <w:rsid w:val="00714F2A"/>
    <w:rsid w:val="00717186"/>
    <w:rsid w:val="00717316"/>
    <w:rsid w:val="007178B0"/>
    <w:rsid w:val="007200DE"/>
    <w:rsid w:val="007200EC"/>
    <w:rsid w:val="0072028F"/>
    <w:rsid w:val="00720557"/>
    <w:rsid w:val="007205C3"/>
    <w:rsid w:val="00720A19"/>
    <w:rsid w:val="00720F44"/>
    <w:rsid w:val="00722189"/>
    <w:rsid w:val="0072299E"/>
    <w:rsid w:val="00722F19"/>
    <w:rsid w:val="00723067"/>
    <w:rsid w:val="007235AB"/>
    <w:rsid w:val="0072371E"/>
    <w:rsid w:val="007238EF"/>
    <w:rsid w:val="00724FF5"/>
    <w:rsid w:val="00725283"/>
    <w:rsid w:val="00725E25"/>
    <w:rsid w:val="00726303"/>
    <w:rsid w:val="0072683F"/>
    <w:rsid w:val="007269C0"/>
    <w:rsid w:val="00727618"/>
    <w:rsid w:val="00727A11"/>
    <w:rsid w:val="00727D4D"/>
    <w:rsid w:val="00727F41"/>
    <w:rsid w:val="007300F8"/>
    <w:rsid w:val="007304EF"/>
    <w:rsid w:val="00730999"/>
    <w:rsid w:val="00731422"/>
    <w:rsid w:val="00731BA5"/>
    <w:rsid w:val="00731F7C"/>
    <w:rsid w:val="00732A2C"/>
    <w:rsid w:val="00732A46"/>
    <w:rsid w:val="00732C26"/>
    <w:rsid w:val="00732F14"/>
    <w:rsid w:val="0073389D"/>
    <w:rsid w:val="00733D07"/>
    <w:rsid w:val="00733F00"/>
    <w:rsid w:val="00734707"/>
    <w:rsid w:val="007348D7"/>
    <w:rsid w:val="007356AA"/>
    <w:rsid w:val="007356EC"/>
    <w:rsid w:val="00736118"/>
    <w:rsid w:val="007364A7"/>
    <w:rsid w:val="00736D52"/>
    <w:rsid w:val="00736D85"/>
    <w:rsid w:val="00737033"/>
    <w:rsid w:val="00737A52"/>
    <w:rsid w:val="007401A8"/>
    <w:rsid w:val="00740241"/>
    <w:rsid w:val="0074048E"/>
    <w:rsid w:val="00740CCC"/>
    <w:rsid w:val="00740DD8"/>
    <w:rsid w:val="007415F4"/>
    <w:rsid w:val="007418D0"/>
    <w:rsid w:val="00741A6C"/>
    <w:rsid w:val="00741C5D"/>
    <w:rsid w:val="00741CDE"/>
    <w:rsid w:val="00742533"/>
    <w:rsid w:val="0074282C"/>
    <w:rsid w:val="007428D9"/>
    <w:rsid w:val="00742D4C"/>
    <w:rsid w:val="00742D6E"/>
    <w:rsid w:val="00743749"/>
    <w:rsid w:val="00744082"/>
    <w:rsid w:val="0074408F"/>
    <w:rsid w:val="00744224"/>
    <w:rsid w:val="007442FF"/>
    <w:rsid w:val="0074438E"/>
    <w:rsid w:val="00744C3C"/>
    <w:rsid w:val="00745162"/>
    <w:rsid w:val="00745544"/>
    <w:rsid w:val="00745608"/>
    <w:rsid w:val="00746B9F"/>
    <w:rsid w:val="0074725D"/>
    <w:rsid w:val="0074734F"/>
    <w:rsid w:val="00747ECB"/>
    <w:rsid w:val="007507BD"/>
    <w:rsid w:val="0075081D"/>
    <w:rsid w:val="00750F4F"/>
    <w:rsid w:val="00751D34"/>
    <w:rsid w:val="00752165"/>
    <w:rsid w:val="007521DD"/>
    <w:rsid w:val="0075285E"/>
    <w:rsid w:val="00752A54"/>
    <w:rsid w:val="00753063"/>
    <w:rsid w:val="007534FF"/>
    <w:rsid w:val="00753A2E"/>
    <w:rsid w:val="0075500B"/>
    <w:rsid w:val="00755245"/>
    <w:rsid w:val="0075586F"/>
    <w:rsid w:val="00755B4D"/>
    <w:rsid w:val="00756074"/>
    <w:rsid w:val="00756A34"/>
    <w:rsid w:val="00756B41"/>
    <w:rsid w:val="0075786F"/>
    <w:rsid w:val="007602A7"/>
    <w:rsid w:val="0076107F"/>
    <w:rsid w:val="00761122"/>
    <w:rsid w:val="00762163"/>
    <w:rsid w:val="007625B3"/>
    <w:rsid w:val="00762696"/>
    <w:rsid w:val="00762BC9"/>
    <w:rsid w:val="00763002"/>
    <w:rsid w:val="0076308E"/>
    <w:rsid w:val="00763473"/>
    <w:rsid w:val="0076348D"/>
    <w:rsid w:val="00763C30"/>
    <w:rsid w:val="00763F63"/>
    <w:rsid w:val="0076438E"/>
    <w:rsid w:val="007650E7"/>
    <w:rsid w:val="00765421"/>
    <w:rsid w:val="00765E93"/>
    <w:rsid w:val="0076650C"/>
    <w:rsid w:val="007672ED"/>
    <w:rsid w:val="00767776"/>
    <w:rsid w:val="00770BF2"/>
    <w:rsid w:val="00770C52"/>
    <w:rsid w:val="00771604"/>
    <w:rsid w:val="00771BF7"/>
    <w:rsid w:val="00771EED"/>
    <w:rsid w:val="007726D6"/>
    <w:rsid w:val="007728EB"/>
    <w:rsid w:val="00773067"/>
    <w:rsid w:val="007734BD"/>
    <w:rsid w:val="007734D0"/>
    <w:rsid w:val="00773838"/>
    <w:rsid w:val="007739C0"/>
    <w:rsid w:val="00773F0B"/>
    <w:rsid w:val="0077420B"/>
    <w:rsid w:val="00774613"/>
    <w:rsid w:val="0077543E"/>
    <w:rsid w:val="00775638"/>
    <w:rsid w:val="007760BA"/>
    <w:rsid w:val="00776259"/>
    <w:rsid w:val="00776CF3"/>
    <w:rsid w:val="00776D03"/>
    <w:rsid w:val="00776D24"/>
    <w:rsid w:val="007802BB"/>
    <w:rsid w:val="00780357"/>
    <w:rsid w:val="00781A74"/>
    <w:rsid w:val="00781CD5"/>
    <w:rsid w:val="007824DD"/>
    <w:rsid w:val="00782610"/>
    <w:rsid w:val="00783154"/>
    <w:rsid w:val="007831CB"/>
    <w:rsid w:val="00783C4E"/>
    <w:rsid w:val="00783E2F"/>
    <w:rsid w:val="00783E43"/>
    <w:rsid w:val="00784208"/>
    <w:rsid w:val="00784955"/>
    <w:rsid w:val="00784967"/>
    <w:rsid w:val="007849A6"/>
    <w:rsid w:val="00784B02"/>
    <w:rsid w:val="007853FF"/>
    <w:rsid w:val="007855E8"/>
    <w:rsid w:val="00785674"/>
    <w:rsid w:val="007856AF"/>
    <w:rsid w:val="0078584F"/>
    <w:rsid w:val="0078585A"/>
    <w:rsid w:val="0078630E"/>
    <w:rsid w:val="007867A8"/>
    <w:rsid w:val="00786EB5"/>
    <w:rsid w:val="00786EFC"/>
    <w:rsid w:val="007870B9"/>
    <w:rsid w:val="007875C0"/>
    <w:rsid w:val="0078761C"/>
    <w:rsid w:val="00787827"/>
    <w:rsid w:val="00790063"/>
    <w:rsid w:val="00790773"/>
    <w:rsid w:val="00790BAE"/>
    <w:rsid w:val="00791123"/>
    <w:rsid w:val="00791388"/>
    <w:rsid w:val="00791887"/>
    <w:rsid w:val="00791F0A"/>
    <w:rsid w:val="00792224"/>
    <w:rsid w:val="00792984"/>
    <w:rsid w:val="00792AB5"/>
    <w:rsid w:val="00793036"/>
    <w:rsid w:val="00793129"/>
    <w:rsid w:val="0079357B"/>
    <w:rsid w:val="0079379F"/>
    <w:rsid w:val="00794730"/>
    <w:rsid w:val="007955A0"/>
    <w:rsid w:val="00795EF5"/>
    <w:rsid w:val="0079617E"/>
    <w:rsid w:val="007962D5"/>
    <w:rsid w:val="00796BE9"/>
    <w:rsid w:val="007971DA"/>
    <w:rsid w:val="0079788E"/>
    <w:rsid w:val="00797CB2"/>
    <w:rsid w:val="007A0238"/>
    <w:rsid w:val="007A0672"/>
    <w:rsid w:val="007A0E8E"/>
    <w:rsid w:val="007A0FC0"/>
    <w:rsid w:val="007A1430"/>
    <w:rsid w:val="007A18BE"/>
    <w:rsid w:val="007A22A3"/>
    <w:rsid w:val="007A304C"/>
    <w:rsid w:val="007A30D3"/>
    <w:rsid w:val="007A40F5"/>
    <w:rsid w:val="007A4299"/>
    <w:rsid w:val="007A51BE"/>
    <w:rsid w:val="007A5916"/>
    <w:rsid w:val="007A5AC8"/>
    <w:rsid w:val="007A5C60"/>
    <w:rsid w:val="007A61EF"/>
    <w:rsid w:val="007A7722"/>
    <w:rsid w:val="007A7C93"/>
    <w:rsid w:val="007A7D09"/>
    <w:rsid w:val="007B0840"/>
    <w:rsid w:val="007B161A"/>
    <w:rsid w:val="007B1977"/>
    <w:rsid w:val="007B1D6D"/>
    <w:rsid w:val="007B2321"/>
    <w:rsid w:val="007B2411"/>
    <w:rsid w:val="007B2589"/>
    <w:rsid w:val="007B28CC"/>
    <w:rsid w:val="007B2917"/>
    <w:rsid w:val="007B337F"/>
    <w:rsid w:val="007B3688"/>
    <w:rsid w:val="007B3849"/>
    <w:rsid w:val="007B396B"/>
    <w:rsid w:val="007B3A68"/>
    <w:rsid w:val="007B4008"/>
    <w:rsid w:val="007B4E6A"/>
    <w:rsid w:val="007B5356"/>
    <w:rsid w:val="007B53FD"/>
    <w:rsid w:val="007B54DA"/>
    <w:rsid w:val="007B5932"/>
    <w:rsid w:val="007B5C8E"/>
    <w:rsid w:val="007B5EFA"/>
    <w:rsid w:val="007B69D7"/>
    <w:rsid w:val="007B6E71"/>
    <w:rsid w:val="007B7235"/>
    <w:rsid w:val="007B7524"/>
    <w:rsid w:val="007B7D55"/>
    <w:rsid w:val="007C0353"/>
    <w:rsid w:val="007C0A79"/>
    <w:rsid w:val="007C0F4D"/>
    <w:rsid w:val="007C2667"/>
    <w:rsid w:val="007C2A93"/>
    <w:rsid w:val="007C3232"/>
    <w:rsid w:val="007C38D3"/>
    <w:rsid w:val="007C3B82"/>
    <w:rsid w:val="007C3CDB"/>
    <w:rsid w:val="007C3E48"/>
    <w:rsid w:val="007C44AB"/>
    <w:rsid w:val="007C50E7"/>
    <w:rsid w:val="007C57A7"/>
    <w:rsid w:val="007C58D9"/>
    <w:rsid w:val="007C5C60"/>
    <w:rsid w:val="007C5E96"/>
    <w:rsid w:val="007C6249"/>
    <w:rsid w:val="007C6572"/>
    <w:rsid w:val="007C6782"/>
    <w:rsid w:val="007C6C5F"/>
    <w:rsid w:val="007C6E53"/>
    <w:rsid w:val="007C724B"/>
    <w:rsid w:val="007C7CB1"/>
    <w:rsid w:val="007D04DE"/>
    <w:rsid w:val="007D0758"/>
    <w:rsid w:val="007D09DD"/>
    <w:rsid w:val="007D0D46"/>
    <w:rsid w:val="007D0F3C"/>
    <w:rsid w:val="007D16E7"/>
    <w:rsid w:val="007D199D"/>
    <w:rsid w:val="007D217D"/>
    <w:rsid w:val="007D2BE9"/>
    <w:rsid w:val="007D2EBE"/>
    <w:rsid w:val="007D2FF2"/>
    <w:rsid w:val="007D3226"/>
    <w:rsid w:val="007D4209"/>
    <w:rsid w:val="007D6EBB"/>
    <w:rsid w:val="007D6FEE"/>
    <w:rsid w:val="007D7441"/>
    <w:rsid w:val="007D75AF"/>
    <w:rsid w:val="007D7B03"/>
    <w:rsid w:val="007D7F9F"/>
    <w:rsid w:val="007E0108"/>
    <w:rsid w:val="007E0916"/>
    <w:rsid w:val="007E0B82"/>
    <w:rsid w:val="007E1184"/>
    <w:rsid w:val="007E15C1"/>
    <w:rsid w:val="007E181D"/>
    <w:rsid w:val="007E1852"/>
    <w:rsid w:val="007E22F1"/>
    <w:rsid w:val="007E28C7"/>
    <w:rsid w:val="007E3A75"/>
    <w:rsid w:val="007E4BE6"/>
    <w:rsid w:val="007E5DFF"/>
    <w:rsid w:val="007E60F1"/>
    <w:rsid w:val="007E66CC"/>
    <w:rsid w:val="007E68AA"/>
    <w:rsid w:val="007E6D09"/>
    <w:rsid w:val="007E7D9F"/>
    <w:rsid w:val="007F08A8"/>
    <w:rsid w:val="007F0A4E"/>
    <w:rsid w:val="007F151C"/>
    <w:rsid w:val="007F1F80"/>
    <w:rsid w:val="007F2F00"/>
    <w:rsid w:val="007F350D"/>
    <w:rsid w:val="007F4606"/>
    <w:rsid w:val="007F4745"/>
    <w:rsid w:val="007F5059"/>
    <w:rsid w:val="007F5580"/>
    <w:rsid w:val="007F591D"/>
    <w:rsid w:val="007F7B71"/>
    <w:rsid w:val="008003B2"/>
    <w:rsid w:val="0080114B"/>
    <w:rsid w:val="00801A87"/>
    <w:rsid w:val="00801BEF"/>
    <w:rsid w:val="00801F21"/>
    <w:rsid w:val="00802115"/>
    <w:rsid w:val="008028C4"/>
    <w:rsid w:val="00802BF2"/>
    <w:rsid w:val="00803096"/>
    <w:rsid w:val="00803648"/>
    <w:rsid w:val="00803892"/>
    <w:rsid w:val="00803A48"/>
    <w:rsid w:val="00803FBE"/>
    <w:rsid w:val="008043C5"/>
    <w:rsid w:val="008046E6"/>
    <w:rsid w:val="008051C8"/>
    <w:rsid w:val="00805663"/>
    <w:rsid w:val="00805753"/>
    <w:rsid w:val="00805B1D"/>
    <w:rsid w:val="008065C2"/>
    <w:rsid w:val="00806EA9"/>
    <w:rsid w:val="00806F80"/>
    <w:rsid w:val="00806FDE"/>
    <w:rsid w:val="008078E2"/>
    <w:rsid w:val="00807D87"/>
    <w:rsid w:val="0081063C"/>
    <w:rsid w:val="008113E5"/>
    <w:rsid w:val="008115EA"/>
    <w:rsid w:val="008115F0"/>
    <w:rsid w:val="00812082"/>
    <w:rsid w:val="00812265"/>
    <w:rsid w:val="008122A7"/>
    <w:rsid w:val="008124CB"/>
    <w:rsid w:val="00812BF6"/>
    <w:rsid w:val="00813ED4"/>
    <w:rsid w:val="00813F31"/>
    <w:rsid w:val="008147F1"/>
    <w:rsid w:val="00814D50"/>
    <w:rsid w:val="00814E5F"/>
    <w:rsid w:val="00815859"/>
    <w:rsid w:val="0081606A"/>
    <w:rsid w:val="008168B9"/>
    <w:rsid w:val="00816ABA"/>
    <w:rsid w:val="00816CCE"/>
    <w:rsid w:val="0081719F"/>
    <w:rsid w:val="00817380"/>
    <w:rsid w:val="00817F00"/>
    <w:rsid w:val="00820558"/>
    <w:rsid w:val="0082117A"/>
    <w:rsid w:val="00822154"/>
    <w:rsid w:val="008222D2"/>
    <w:rsid w:val="00823B21"/>
    <w:rsid w:val="00823D46"/>
    <w:rsid w:val="008245ED"/>
    <w:rsid w:val="0082484F"/>
    <w:rsid w:val="00824970"/>
    <w:rsid w:val="00824D4A"/>
    <w:rsid w:val="00825410"/>
    <w:rsid w:val="00826301"/>
    <w:rsid w:val="008263A2"/>
    <w:rsid w:val="00826806"/>
    <w:rsid w:val="008275F4"/>
    <w:rsid w:val="00827759"/>
    <w:rsid w:val="0082779E"/>
    <w:rsid w:val="00827C74"/>
    <w:rsid w:val="00830EED"/>
    <w:rsid w:val="00831431"/>
    <w:rsid w:val="00831590"/>
    <w:rsid w:val="00831604"/>
    <w:rsid w:val="00831803"/>
    <w:rsid w:val="00831F89"/>
    <w:rsid w:val="00832194"/>
    <w:rsid w:val="0083229F"/>
    <w:rsid w:val="00832D64"/>
    <w:rsid w:val="00833655"/>
    <w:rsid w:val="008336E4"/>
    <w:rsid w:val="00833C83"/>
    <w:rsid w:val="00834201"/>
    <w:rsid w:val="00834864"/>
    <w:rsid w:val="00834C75"/>
    <w:rsid w:val="00834E05"/>
    <w:rsid w:val="00835083"/>
    <w:rsid w:val="008353BA"/>
    <w:rsid w:val="00835F66"/>
    <w:rsid w:val="00836008"/>
    <w:rsid w:val="0083660A"/>
    <w:rsid w:val="00836C65"/>
    <w:rsid w:val="008375D5"/>
    <w:rsid w:val="00840075"/>
    <w:rsid w:val="00840093"/>
    <w:rsid w:val="008403D8"/>
    <w:rsid w:val="0084050D"/>
    <w:rsid w:val="008408FF"/>
    <w:rsid w:val="00840E24"/>
    <w:rsid w:val="00841379"/>
    <w:rsid w:val="00841C3C"/>
    <w:rsid w:val="00841FDC"/>
    <w:rsid w:val="00842CE8"/>
    <w:rsid w:val="00843991"/>
    <w:rsid w:val="00843BA6"/>
    <w:rsid w:val="00843CD1"/>
    <w:rsid w:val="00843D5F"/>
    <w:rsid w:val="0084457B"/>
    <w:rsid w:val="00844936"/>
    <w:rsid w:val="008451CC"/>
    <w:rsid w:val="00845580"/>
    <w:rsid w:val="00845B27"/>
    <w:rsid w:val="0084642D"/>
    <w:rsid w:val="00846E5D"/>
    <w:rsid w:val="008470EE"/>
    <w:rsid w:val="00847972"/>
    <w:rsid w:val="008506BE"/>
    <w:rsid w:val="00851B61"/>
    <w:rsid w:val="00852009"/>
    <w:rsid w:val="008521C8"/>
    <w:rsid w:val="0085244C"/>
    <w:rsid w:val="008526F9"/>
    <w:rsid w:val="00853A9C"/>
    <w:rsid w:val="00854367"/>
    <w:rsid w:val="008545E8"/>
    <w:rsid w:val="0085464C"/>
    <w:rsid w:val="00854888"/>
    <w:rsid w:val="008548D5"/>
    <w:rsid w:val="00854B77"/>
    <w:rsid w:val="008554FE"/>
    <w:rsid w:val="00855E35"/>
    <w:rsid w:val="0085651B"/>
    <w:rsid w:val="008565FA"/>
    <w:rsid w:val="008568ED"/>
    <w:rsid w:val="00856926"/>
    <w:rsid w:val="00856F61"/>
    <w:rsid w:val="00857498"/>
    <w:rsid w:val="00857C4A"/>
    <w:rsid w:val="00857E21"/>
    <w:rsid w:val="00860639"/>
    <w:rsid w:val="00860959"/>
    <w:rsid w:val="00860FD6"/>
    <w:rsid w:val="0086155A"/>
    <w:rsid w:val="00861648"/>
    <w:rsid w:val="00861C51"/>
    <w:rsid w:val="00861C64"/>
    <w:rsid w:val="00861E73"/>
    <w:rsid w:val="00862166"/>
    <w:rsid w:val="008622D3"/>
    <w:rsid w:val="00862337"/>
    <w:rsid w:val="00862BD6"/>
    <w:rsid w:val="00862E5B"/>
    <w:rsid w:val="00863E3B"/>
    <w:rsid w:val="008643A1"/>
    <w:rsid w:val="008645C2"/>
    <w:rsid w:val="008649D7"/>
    <w:rsid w:val="00864AFE"/>
    <w:rsid w:val="008654FA"/>
    <w:rsid w:val="008658DA"/>
    <w:rsid w:val="00865C12"/>
    <w:rsid w:val="00866035"/>
    <w:rsid w:val="008666BD"/>
    <w:rsid w:val="00866871"/>
    <w:rsid w:val="00866A17"/>
    <w:rsid w:val="00866B2D"/>
    <w:rsid w:val="008670CC"/>
    <w:rsid w:val="00867371"/>
    <w:rsid w:val="0086753B"/>
    <w:rsid w:val="008675BB"/>
    <w:rsid w:val="00867E0B"/>
    <w:rsid w:val="008703D5"/>
    <w:rsid w:val="00870502"/>
    <w:rsid w:val="00870878"/>
    <w:rsid w:val="00871D76"/>
    <w:rsid w:val="00871E49"/>
    <w:rsid w:val="00871E7E"/>
    <w:rsid w:val="008731D0"/>
    <w:rsid w:val="008750AC"/>
    <w:rsid w:val="008760AC"/>
    <w:rsid w:val="008766CE"/>
    <w:rsid w:val="008766D1"/>
    <w:rsid w:val="0087681A"/>
    <w:rsid w:val="008773A0"/>
    <w:rsid w:val="008776C6"/>
    <w:rsid w:val="00877802"/>
    <w:rsid w:val="00880DBD"/>
    <w:rsid w:val="00880FD9"/>
    <w:rsid w:val="00881415"/>
    <w:rsid w:val="008816C8"/>
    <w:rsid w:val="00881A87"/>
    <w:rsid w:val="00881B55"/>
    <w:rsid w:val="00881C25"/>
    <w:rsid w:val="00881F0C"/>
    <w:rsid w:val="00882256"/>
    <w:rsid w:val="00882670"/>
    <w:rsid w:val="00883607"/>
    <w:rsid w:val="008846D9"/>
    <w:rsid w:val="008857C2"/>
    <w:rsid w:val="008868CB"/>
    <w:rsid w:val="00886BD9"/>
    <w:rsid w:val="0088730C"/>
    <w:rsid w:val="0088765C"/>
    <w:rsid w:val="00887BBD"/>
    <w:rsid w:val="00887C13"/>
    <w:rsid w:val="00887D0A"/>
    <w:rsid w:val="00890173"/>
    <w:rsid w:val="00890C88"/>
    <w:rsid w:val="00890E5E"/>
    <w:rsid w:val="00891743"/>
    <w:rsid w:val="00892194"/>
    <w:rsid w:val="008927B4"/>
    <w:rsid w:val="00892B5B"/>
    <w:rsid w:val="008933C2"/>
    <w:rsid w:val="0089344B"/>
    <w:rsid w:val="008934E2"/>
    <w:rsid w:val="00894715"/>
    <w:rsid w:val="00894A42"/>
    <w:rsid w:val="00894FEC"/>
    <w:rsid w:val="00895A96"/>
    <w:rsid w:val="00895E49"/>
    <w:rsid w:val="008961EB"/>
    <w:rsid w:val="00896270"/>
    <w:rsid w:val="00897594"/>
    <w:rsid w:val="008A02E9"/>
    <w:rsid w:val="008A075D"/>
    <w:rsid w:val="008A08AF"/>
    <w:rsid w:val="008A0B1A"/>
    <w:rsid w:val="008A1141"/>
    <w:rsid w:val="008A179A"/>
    <w:rsid w:val="008A4E3B"/>
    <w:rsid w:val="008A52EE"/>
    <w:rsid w:val="008A53A9"/>
    <w:rsid w:val="008A5B56"/>
    <w:rsid w:val="008A5CCE"/>
    <w:rsid w:val="008A60BF"/>
    <w:rsid w:val="008A628C"/>
    <w:rsid w:val="008A63A4"/>
    <w:rsid w:val="008A690D"/>
    <w:rsid w:val="008A6D34"/>
    <w:rsid w:val="008A7A64"/>
    <w:rsid w:val="008A7DE6"/>
    <w:rsid w:val="008B0F4B"/>
    <w:rsid w:val="008B15E7"/>
    <w:rsid w:val="008B180E"/>
    <w:rsid w:val="008B1CD7"/>
    <w:rsid w:val="008B1EAC"/>
    <w:rsid w:val="008B1EC1"/>
    <w:rsid w:val="008B200E"/>
    <w:rsid w:val="008B222D"/>
    <w:rsid w:val="008B2B1E"/>
    <w:rsid w:val="008B2DB6"/>
    <w:rsid w:val="008B3433"/>
    <w:rsid w:val="008B3DD2"/>
    <w:rsid w:val="008B4C43"/>
    <w:rsid w:val="008B4EEF"/>
    <w:rsid w:val="008B51C1"/>
    <w:rsid w:val="008B5581"/>
    <w:rsid w:val="008B583B"/>
    <w:rsid w:val="008B653F"/>
    <w:rsid w:val="008B6751"/>
    <w:rsid w:val="008B70DF"/>
    <w:rsid w:val="008B72E0"/>
    <w:rsid w:val="008B7954"/>
    <w:rsid w:val="008B7A19"/>
    <w:rsid w:val="008C0339"/>
    <w:rsid w:val="008C0566"/>
    <w:rsid w:val="008C0902"/>
    <w:rsid w:val="008C0C49"/>
    <w:rsid w:val="008C1190"/>
    <w:rsid w:val="008C1C09"/>
    <w:rsid w:val="008C1E27"/>
    <w:rsid w:val="008C228A"/>
    <w:rsid w:val="008C2BF3"/>
    <w:rsid w:val="008C2D2A"/>
    <w:rsid w:val="008C3DBA"/>
    <w:rsid w:val="008C3F05"/>
    <w:rsid w:val="008C4006"/>
    <w:rsid w:val="008C456C"/>
    <w:rsid w:val="008C5465"/>
    <w:rsid w:val="008C60E2"/>
    <w:rsid w:val="008C6170"/>
    <w:rsid w:val="008C6A63"/>
    <w:rsid w:val="008C6F5E"/>
    <w:rsid w:val="008C7F88"/>
    <w:rsid w:val="008D0630"/>
    <w:rsid w:val="008D06AE"/>
    <w:rsid w:val="008D0E6D"/>
    <w:rsid w:val="008D10F3"/>
    <w:rsid w:val="008D1970"/>
    <w:rsid w:val="008D1E6F"/>
    <w:rsid w:val="008D2695"/>
    <w:rsid w:val="008D2D26"/>
    <w:rsid w:val="008D2DCF"/>
    <w:rsid w:val="008D2EAE"/>
    <w:rsid w:val="008D36DF"/>
    <w:rsid w:val="008D3A37"/>
    <w:rsid w:val="008D4915"/>
    <w:rsid w:val="008D4976"/>
    <w:rsid w:val="008D4DBE"/>
    <w:rsid w:val="008D53E1"/>
    <w:rsid w:val="008D5655"/>
    <w:rsid w:val="008D58A9"/>
    <w:rsid w:val="008D599E"/>
    <w:rsid w:val="008D6DC7"/>
    <w:rsid w:val="008D762C"/>
    <w:rsid w:val="008E0402"/>
    <w:rsid w:val="008E0A97"/>
    <w:rsid w:val="008E1B03"/>
    <w:rsid w:val="008E23A9"/>
    <w:rsid w:val="008E2E98"/>
    <w:rsid w:val="008E37E1"/>
    <w:rsid w:val="008E39A7"/>
    <w:rsid w:val="008E3B24"/>
    <w:rsid w:val="008E3B8E"/>
    <w:rsid w:val="008E3D37"/>
    <w:rsid w:val="008E415C"/>
    <w:rsid w:val="008E4330"/>
    <w:rsid w:val="008E449B"/>
    <w:rsid w:val="008E469F"/>
    <w:rsid w:val="008E4F75"/>
    <w:rsid w:val="008E5130"/>
    <w:rsid w:val="008E5374"/>
    <w:rsid w:val="008E5637"/>
    <w:rsid w:val="008E57C3"/>
    <w:rsid w:val="008E5915"/>
    <w:rsid w:val="008E630B"/>
    <w:rsid w:val="008E677D"/>
    <w:rsid w:val="008E6A1B"/>
    <w:rsid w:val="008E70B4"/>
    <w:rsid w:val="008F1624"/>
    <w:rsid w:val="008F1C3B"/>
    <w:rsid w:val="008F1C53"/>
    <w:rsid w:val="008F1FC1"/>
    <w:rsid w:val="008F22C9"/>
    <w:rsid w:val="008F2543"/>
    <w:rsid w:val="008F2696"/>
    <w:rsid w:val="008F3F04"/>
    <w:rsid w:val="008F47C5"/>
    <w:rsid w:val="008F4CC3"/>
    <w:rsid w:val="008F51AD"/>
    <w:rsid w:val="008F64DF"/>
    <w:rsid w:val="008F70E1"/>
    <w:rsid w:val="008F71A4"/>
    <w:rsid w:val="008F72C5"/>
    <w:rsid w:val="008F7854"/>
    <w:rsid w:val="00900583"/>
    <w:rsid w:val="00900F88"/>
    <w:rsid w:val="009018B1"/>
    <w:rsid w:val="00901A8E"/>
    <w:rsid w:val="00901DC0"/>
    <w:rsid w:val="00902B14"/>
    <w:rsid w:val="009032C7"/>
    <w:rsid w:val="00903413"/>
    <w:rsid w:val="0090353F"/>
    <w:rsid w:val="0090365A"/>
    <w:rsid w:val="009036D3"/>
    <w:rsid w:val="00903C2A"/>
    <w:rsid w:val="00903CA8"/>
    <w:rsid w:val="00903CC0"/>
    <w:rsid w:val="00904038"/>
    <w:rsid w:val="00904741"/>
    <w:rsid w:val="00904930"/>
    <w:rsid w:val="00905192"/>
    <w:rsid w:val="009054CB"/>
    <w:rsid w:val="0090568D"/>
    <w:rsid w:val="0090641F"/>
    <w:rsid w:val="00906FC9"/>
    <w:rsid w:val="009072FB"/>
    <w:rsid w:val="00907567"/>
    <w:rsid w:val="00907757"/>
    <w:rsid w:val="00907CE2"/>
    <w:rsid w:val="0091024C"/>
    <w:rsid w:val="00910CE2"/>
    <w:rsid w:val="00911422"/>
    <w:rsid w:val="00911423"/>
    <w:rsid w:val="009123C2"/>
    <w:rsid w:val="00912622"/>
    <w:rsid w:val="00912D0F"/>
    <w:rsid w:val="009135DD"/>
    <w:rsid w:val="009153DD"/>
    <w:rsid w:val="00915871"/>
    <w:rsid w:val="0091597F"/>
    <w:rsid w:val="00915A7D"/>
    <w:rsid w:val="00917D51"/>
    <w:rsid w:val="009208D5"/>
    <w:rsid w:val="009209A2"/>
    <w:rsid w:val="00920FB5"/>
    <w:rsid w:val="00921104"/>
    <w:rsid w:val="009218F4"/>
    <w:rsid w:val="009222E4"/>
    <w:rsid w:val="009223CE"/>
    <w:rsid w:val="009225C9"/>
    <w:rsid w:val="00922C0E"/>
    <w:rsid w:val="0092329C"/>
    <w:rsid w:val="009232EB"/>
    <w:rsid w:val="00923469"/>
    <w:rsid w:val="00923529"/>
    <w:rsid w:val="009236D9"/>
    <w:rsid w:val="00923E8F"/>
    <w:rsid w:val="00924680"/>
    <w:rsid w:val="00924706"/>
    <w:rsid w:val="00924EEA"/>
    <w:rsid w:val="00925985"/>
    <w:rsid w:val="00925A97"/>
    <w:rsid w:val="00925DFF"/>
    <w:rsid w:val="00926111"/>
    <w:rsid w:val="00926439"/>
    <w:rsid w:val="00926C31"/>
    <w:rsid w:val="00927624"/>
    <w:rsid w:val="009277EA"/>
    <w:rsid w:val="00927A6B"/>
    <w:rsid w:val="00927C88"/>
    <w:rsid w:val="009304D5"/>
    <w:rsid w:val="00930549"/>
    <w:rsid w:val="0093131A"/>
    <w:rsid w:val="00931A82"/>
    <w:rsid w:val="00931FC9"/>
    <w:rsid w:val="00932288"/>
    <w:rsid w:val="00932C8A"/>
    <w:rsid w:val="00932E97"/>
    <w:rsid w:val="00932FEA"/>
    <w:rsid w:val="00933072"/>
    <w:rsid w:val="00933510"/>
    <w:rsid w:val="009338AE"/>
    <w:rsid w:val="00933D44"/>
    <w:rsid w:val="00933FE2"/>
    <w:rsid w:val="0093471B"/>
    <w:rsid w:val="00934C28"/>
    <w:rsid w:val="00934DD3"/>
    <w:rsid w:val="0093514D"/>
    <w:rsid w:val="00935622"/>
    <w:rsid w:val="0093565B"/>
    <w:rsid w:val="00935B15"/>
    <w:rsid w:val="00935CF0"/>
    <w:rsid w:val="00935D3A"/>
    <w:rsid w:val="00935E58"/>
    <w:rsid w:val="00936BB9"/>
    <w:rsid w:val="009373C2"/>
    <w:rsid w:val="00937788"/>
    <w:rsid w:val="00937FAA"/>
    <w:rsid w:val="009400F7"/>
    <w:rsid w:val="009414A4"/>
    <w:rsid w:val="009418F4"/>
    <w:rsid w:val="00941AB6"/>
    <w:rsid w:val="00942C9B"/>
    <w:rsid w:val="00943538"/>
    <w:rsid w:val="00943AE7"/>
    <w:rsid w:val="009441F5"/>
    <w:rsid w:val="009441FF"/>
    <w:rsid w:val="00944B37"/>
    <w:rsid w:val="00945C63"/>
    <w:rsid w:val="00946288"/>
    <w:rsid w:val="00946892"/>
    <w:rsid w:val="00946E1C"/>
    <w:rsid w:val="00947125"/>
    <w:rsid w:val="009474FC"/>
    <w:rsid w:val="00947816"/>
    <w:rsid w:val="00947BD7"/>
    <w:rsid w:val="00947D2B"/>
    <w:rsid w:val="00947D54"/>
    <w:rsid w:val="00947FDC"/>
    <w:rsid w:val="00950404"/>
    <w:rsid w:val="00950FCB"/>
    <w:rsid w:val="00952663"/>
    <w:rsid w:val="00953157"/>
    <w:rsid w:val="00953A56"/>
    <w:rsid w:val="00953BAF"/>
    <w:rsid w:val="00953C9B"/>
    <w:rsid w:val="00953CA7"/>
    <w:rsid w:val="009543C6"/>
    <w:rsid w:val="00954A16"/>
    <w:rsid w:val="00954D13"/>
    <w:rsid w:val="00954ECF"/>
    <w:rsid w:val="009556E4"/>
    <w:rsid w:val="009559A8"/>
    <w:rsid w:val="00956520"/>
    <w:rsid w:val="00956642"/>
    <w:rsid w:val="00956DFF"/>
    <w:rsid w:val="009577F5"/>
    <w:rsid w:val="00957ABD"/>
    <w:rsid w:val="00957C1F"/>
    <w:rsid w:val="009603B4"/>
    <w:rsid w:val="00960BC4"/>
    <w:rsid w:val="00960D93"/>
    <w:rsid w:val="00961765"/>
    <w:rsid w:val="00962692"/>
    <w:rsid w:val="00962917"/>
    <w:rsid w:val="00962CB4"/>
    <w:rsid w:val="009638BB"/>
    <w:rsid w:val="009647EB"/>
    <w:rsid w:val="009650F3"/>
    <w:rsid w:val="0096579F"/>
    <w:rsid w:val="009661D2"/>
    <w:rsid w:val="00966F75"/>
    <w:rsid w:val="00967CEB"/>
    <w:rsid w:val="00970824"/>
    <w:rsid w:val="0097095A"/>
    <w:rsid w:val="00970E78"/>
    <w:rsid w:val="0097132B"/>
    <w:rsid w:val="00971DD2"/>
    <w:rsid w:val="00971DDD"/>
    <w:rsid w:val="0097281C"/>
    <w:rsid w:val="009739B7"/>
    <w:rsid w:val="009741DF"/>
    <w:rsid w:val="00975395"/>
    <w:rsid w:val="00975C30"/>
    <w:rsid w:val="00975D9B"/>
    <w:rsid w:val="00975FCD"/>
    <w:rsid w:val="009760F1"/>
    <w:rsid w:val="009762F6"/>
    <w:rsid w:val="00976B38"/>
    <w:rsid w:val="00976BA3"/>
    <w:rsid w:val="00976E0D"/>
    <w:rsid w:val="00977F22"/>
    <w:rsid w:val="0098023F"/>
    <w:rsid w:val="00980320"/>
    <w:rsid w:val="009806A7"/>
    <w:rsid w:val="009808FA"/>
    <w:rsid w:val="009811D8"/>
    <w:rsid w:val="0098162E"/>
    <w:rsid w:val="009822F2"/>
    <w:rsid w:val="009826BD"/>
    <w:rsid w:val="00982E41"/>
    <w:rsid w:val="009831F2"/>
    <w:rsid w:val="009835DF"/>
    <w:rsid w:val="00984580"/>
    <w:rsid w:val="00984728"/>
    <w:rsid w:val="009849EB"/>
    <w:rsid w:val="00984B21"/>
    <w:rsid w:val="009850ED"/>
    <w:rsid w:val="009858C0"/>
    <w:rsid w:val="009859FB"/>
    <w:rsid w:val="00986EB6"/>
    <w:rsid w:val="00987215"/>
    <w:rsid w:val="009872D4"/>
    <w:rsid w:val="009872DD"/>
    <w:rsid w:val="00990845"/>
    <w:rsid w:val="00991449"/>
    <w:rsid w:val="00991677"/>
    <w:rsid w:val="00991DAA"/>
    <w:rsid w:val="00991EB3"/>
    <w:rsid w:val="00991FA1"/>
    <w:rsid w:val="009922CE"/>
    <w:rsid w:val="00994792"/>
    <w:rsid w:val="00994BE0"/>
    <w:rsid w:val="009954D9"/>
    <w:rsid w:val="009956B6"/>
    <w:rsid w:val="009958CB"/>
    <w:rsid w:val="00995EBD"/>
    <w:rsid w:val="00996962"/>
    <w:rsid w:val="00996C4B"/>
    <w:rsid w:val="009978ED"/>
    <w:rsid w:val="00997CC1"/>
    <w:rsid w:val="009A03FF"/>
    <w:rsid w:val="009A090C"/>
    <w:rsid w:val="009A1B38"/>
    <w:rsid w:val="009A2EA0"/>
    <w:rsid w:val="009A302A"/>
    <w:rsid w:val="009A316E"/>
    <w:rsid w:val="009A32A9"/>
    <w:rsid w:val="009A3A35"/>
    <w:rsid w:val="009A41BF"/>
    <w:rsid w:val="009A4418"/>
    <w:rsid w:val="009A4547"/>
    <w:rsid w:val="009A4560"/>
    <w:rsid w:val="009A4645"/>
    <w:rsid w:val="009A5050"/>
    <w:rsid w:val="009A525F"/>
    <w:rsid w:val="009A5B38"/>
    <w:rsid w:val="009A6226"/>
    <w:rsid w:val="009A6432"/>
    <w:rsid w:val="009A6640"/>
    <w:rsid w:val="009A7BD9"/>
    <w:rsid w:val="009B009F"/>
    <w:rsid w:val="009B036C"/>
    <w:rsid w:val="009B043F"/>
    <w:rsid w:val="009B04F6"/>
    <w:rsid w:val="009B054B"/>
    <w:rsid w:val="009B1254"/>
    <w:rsid w:val="009B12FE"/>
    <w:rsid w:val="009B1831"/>
    <w:rsid w:val="009B1A22"/>
    <w:rsid w:val="009B20E3"/>
    <w:rsid w:val="009B3081"/>
    <w:rsid w:val="009B34EF"/>
    <w:rsid w:val="009B3626"/>
    <w:rsid w:val="009B3FD6"/>
    <w:rsid w:val="009B5764"/>
    <w:rsid w:val="009B66DB"/>
    <w:rsid w:val="009B6732"/>
    <w:rsid w:val="009B6F7C"/>
    <w:rsid w:val="009C00B2"/>
    <w:rsid w:val="009C0587"/>
    <w:rsid w:val="009C08EC"/>
    <w:rsid w:val="009C0E77"/>
    <w:rsid w:val="009C196B"/>
    <w:rsid w:val="009C217A"/>
    <w:rsid w:val="009C2194"/>
    <w:rsid w:val="009C248B"/>
    <w:rsid w:val="009C26F9"/>
    <w:rsid w:val="009C313C"/>
    <w:rsid w:val="009C3AE4"/>
    <w:rsid w:val="009C4249"/>
    <w:rsid w:val="009C4250"/>
    <w:rsid w:val="009C4A81"/>
    <w:rsid w:val="009C57E7"/>
    <w:rsid w:val="009C610E"/>
    <w:rsid w:val="009C62D2"/>
    <w:rsid w:val="009C6A85"/>
    <w:rsid w:val="009C740D"/>
    <w:rsid w:val="009C77F3"/>
    <w:rsid w:val="009C7CA8"/>
    <w:rsid w:val="009D094C"/>
    <w:rsid w:val="009D097F"/>
    <w:rsid w:val="009D0FCC"/>
    <w:rsid w:val="009D1B8D"/>
    <w:rsid w:val="009D2053"/>
    <w:rsid w:val="009D25A4"/>
    <w:rsid w:val="009D32CF"/>
    <w:rsid w:val="009D330B"/>
    <w:rsid w:val="009D3D4B"/>
    <w:rsid w:val="009D3D76"/>
    <w:rsid w:val="009D3D79"/>
    <w:rsid w:val="009D4168"/>
    <w:rsid w:val="009D4414"/>
    <w:rsid w:val="009D45C1"/>
    <w:rsid w:val="009D4970"/>
    <w:rsid w:val="009D49D6"/>
    <w:rsid w:val="009D5966"/>
    <w:rsid w:val="009D5EEA"/>
    <w:rsid w:val="009D60A2"/>
    <w:rsid w:val="009D6B0B"/>
    <w:rsid w:val="009D70CE"/>
    <w:rsid w:val="009D76D0"/>
    <w:rsid w:val="009D78AA"/>
    <w:rsid w:val="009E0C3B"/>
    <w:rsid w:val="009E11F8"/>
    <w:rsid w:val="009E132A"/>
    <w:rsid w:val="009E1D6C"/>
    <w:rsid w:val="009E1E77"/>
    <w:rsid w:val="009E2213"/>
    <w:rsid w:val="009E269D"/>
    <w:rsid w:val="009E2E95"/>
    <w:rsid w:val="009E384C"/>
    <w:rsid w:val="009E3FC7"/>
    <w:rsid w:val="009E49CB"/>
    <w:rsid w:val="009E561B"/>
    <w:rsid w:val="009E5DAA"/>
    <w:rsid w:val="009E5E30"/>
    <w:rsid w:val="009E6402"/>
    <w:rsid w:val="009E640B"/>
    <w:rsid w:val="009E730C"/>
    <w:rsid w:val="009E73B9"/>
    <w:rsid w:val="009E74DE"/>
    <w:rsid w:val="009E779A"/>
    <w:rsid w:val="009F0402"/>
    <w:rsid w:val="009F10D3"/>
    <w:rsid w:val="009F120A"/>
    <w:rsid w:val="009F16A3"/>
    <w:rsid w:val="009F2213"/>
    <w:rsid w:val="009F28FC"/>
    <w:rsid w:val="009F2E42"/>
    <w:rsid w:val="009F3A44"/>
    <w:rsid w:val="009F3DAE"/>
    <w:rsid w:val="009F4020"/>
    <w:rsid w:val="009F4219"/>
    <w:rsid w:val="009F44A8"/>
    <w:rsid w:val="009F4565"/>
    <w:rsid w:val="009F523E"/>
    <w:rsid w:val="009F54F0"/>
    <w:rsid w:val="009F60C7"/>
    <w:rsid w:val="009F6350"/>
    <w:rsid w:val="009F6672"/>
    <w:rsid w:val="009F678C"/>
    <w:rsid w:val="009F6F28"/>
    <w:rsid w:val="009F7292"/>
    <w:rsid w:val="009F7342"/>
    <w:rsid w:val="009F771F"/>
    <w:rsid w:val="00A0031B"/>
    <w:rsid w:val="00A0049E"/>
    <w:rsid w:val="00A011BC"/>
    <w:rsid w:val="00A016E2"/>
    <w:rsid w:val="00A0189D"/>
    <w:rsid w:val="00A01FB5"/>
    <w:rsid w:val="00A0219F"/>
    <w:rsid w:val="00A0257E"/>
    <w:rsid w:val="00A02D36"/>
    <w:rsid w:val="00A030F7"/>
    <w:rsid w:val="00A031E7"/>
    <w:rsid w:val="00A03223"/>
    <w:rsid w:val="00A037B0"/>
    <w:rsid w:val="00A039F6"/>
    <w:rsid w:val="00A03BC9"/>
    <w:rsid w:val="00A03E17"/>
    <w:rsid w:val="00A0404F"/>
    <w:rsid w:val="00A04923"/>
    <w:rsid w:val="00A04D04"/>
    <w:rsid w:val="00A04E8A"/>
    <w:rsid w:val="00A05455"/>
    <w:rsid w:val="00A056E5"/>
    <w:rsid w:val="00A06498"/>
    <w:rsid w:val="00A06C5A"/>
    <w:rsid w:val="00A07160"/>
    <w:rsid w:val="00A07383"/>
    <w:rsid w:val="00A079BF"/>
    <w:rsid w:val="00A112B7"/>
    <w:rsid w:val="00A112D5"/>
    <w:rsid w:val="00A118BA"/>
    <w:rsid w:val="00A12322"/>
    <w:rsid w:val="00A129F8"/>
    <w:rsid w:val="00A12DE2"/>
    <w:rsid w:val="00A1310E"/>
    <w:rsid w:val="00A1488E"/>
    <w:rsid w:val="00A14C39"/>
    <w:rsid w:val="00A150B2"/>
    <w:rsid w:val="00A15529"/>
    <w:rsid w:val="00A16E08"/>
    <w:rsid w:val="00A17A65"/>
    <w:rsid w:val="00A20111"/>
    <w:rsid w:val="00A20A31"/>
    <w:rsid w:val="00A20BEF"/>
    <w:rsid w:val="00A20E48"/>
    <w:rsid w:val="00A20F6E"/>
    <w:rsid w:val="00A214D3"/>
    <w:rsid w:val="00A21813"/>
    <w:rsid w:val="00A22399"/>
    <w:rsid w:val="00A22B20"/>
    <w:rsid w:val="00A22C93"/>
    <w:rsid w:val="00A22E53"/>
    <w:rsid w:val="00A230B1"/>
    <w:rsid w:val="00A23954"/>
    <w:rsid w:val="00A239C0"/>
    <w:rsid w:val="00A239F5"/>
    <w:rsid w:val="00A23C69"/>
    <w:rsid w:val="00A24655"/>
    <w:rsid w:val="00A24BB0"/>
    <w:rsid w:val="00A24EB2"/>
    <w:rsid w:val="00A250D7"/>
    <w:rsid w:val="00A25417"/>
    <w:rsid w:val="00A25B7A"/>
    <w:rsid w:val="00A25EBF"/>
    <w:rsid w:val="00A2625A"/>
    <w:rsid w:val="00A26575"/>
    <w:rsid w:val="00A267B3"/>
    <w:rsid w:val="00A26D97"/>
    <w:rsid w:val="00A26FE2"/>
    <w:rsid w:val="00A27F9F"/>
    <w:rsid w:val="00A30657"/>
    <w:rsid w:val="00A31CC0"/>
    <w:rsid w:val="00A31F97"/>
    <w:rsid w:val="00A32A74"/>
    <w:rsid w:val="00A330A5"/>
    <w:rsid w:val="00A346E3"/>
    <w:rsid w:val="00A34F58"/>
    <w:rsid w:val="00A3679C"/>
    <w:rsid w:val="00A37177"/>
    <w:rsid w:val="00A372DA"/>
    <w:rsid w:val="00A40733"/>
    <w:rsid w:val="00A4144C"/>
    <w:rsid w:val="00A41A35"/>
    <w:rsid w:val="00A41B75"/>
    <w:rsid w:val="00A4213C"/>
    <w:rsid w:val="00A43561"/>
    <w:rsid w:val="00A4399A"/>
    <w:rsid w:val="00A442B8"/>
    <w:rsid w:val="00A44DFB"/>
    <w:rsid w:val="00A45825"/>
    <w:rsid w:val="00A45835"/>
    <w:rsid w:val="00A45FF2"/>
    <w:rsid w:val="00A469D4"/>
    <w:rsid w:val="00A47433"/>
    <w:rsid w:val="00A47C42"/>
    <w:rsid w:val="00A502F7"/>
    <w:rsid w:val="00A503CD"/>
    <w:rsid w:val="00A51463"/>
    <w:rsid w:val="00A51724"/>
    <w:rsid w:val="00A51B09"/>
    <w:rsid w:val="00A52112"/>
    <w:rsid w:val="00A5269E"/>
    <w:rsid w:val="00A5315F"/>
    <w:rsid w:val="00A539AA"/>
    <w:rsid w:val="00A54034"/>
    <w:rsid w:val="00A54715"/>
    <w:rsid w:val="00A54CF1"/>
    <w:rsid w:val="00A54E77"/>
    <w:rsid w:val="00A5558D"/>
    <w:rsid w:val="00A5587F"/>
    <w:rsid w:val="00A55C2C"/>
    <w:rsid w:val="00A55E32"/>
    <w:rsid w:val="00A55F64"/>
    <w:rsid w:val="00A5622C"/>
    <w:rsid w:val="00A56453"/>
    <w:rsid w:val="00A56E71"/>
    <w:rsid w:val="00A6032C"/>
    <w:rsid w:val="00A60ECB"/>
    <w:rsid w:val="00A616A2"/>
    <w:rsid w:val="00A6173E"/>
    <w:rsid w:val="00A6184F"/>
    <w:rsid w:val="00A61D9B"/>
    <w:rsid w:val="00A61F53"/>
    <w:rsid w:val="00A62428"/>
    <w:rsid w:val="00A6290E"/>
    <w:rsid w:val="00A63C0A"/>
    <w:rsid w:val="00A63C0D"/>
    <w:rsid w:val="00A63FAD"/>
    <w:rsid w:val="00A64008"/>
    <w:rsid w:val="00A64C5D"/>
    <w:rsid w:val="00A64EE0"/>
    <w:rsid w:val="00A65285"/>
    <w:rsid w:val="00A65B18"/>
    <w:rsid w:val="00A65EE9"/>
    <w:rsid w:val="00A65FF1"/>
    <w:rsid w:val="00A666F3"/>
    <w:rsid w:val="00A6682F"/>
    <w:rsid w:val="00A6697A"/>
    <w:rsid w:val="00A66C68"/>
    <w:rsid w:val="00A6728D"/>
    <w:rsid w:val="00A67415"/>
    <w:rsid w:val="00A677AE"/>
    <w:rsid w:val="00A67D6D"/>
    <w:rsid w:val="00A70108"/>
    <w:rsid w:val="00A704FD"/>
    <w:rsid w:val="00A714A7"/>
    <w:rsid w:val="00A72C2D"/>
    <w:rsid w:val="00A72EB0"/>
    <w:rsid w:val="00A731DD"/>
    <w:rsid w:val="00A73F94"/>
    <w:rsid w:val="00A7402B"/>
    <w:rsid w:val="00A74C52"/>
    <w:rsid w:val="00A74F4C"/>
    <w:rsid w:val="00A74F91"/>
    <w:rsid w:val="00A74FA2"/>
    <w:rsid w:val="00A755EA"/>
    <w:rsid w:val="00A763F6"/>
    <w:rsid w:val="00A767C8"/>
    <w:rsid w:val="00A768BF"/>
    <w:rsid w:val="00A768E2"/>
    <w:rsid w:val="00A76AC5"/>
    <w:rsid w:val="00A77103"/>
    <w:rsid w:val="00A77329"/>
    <w:rsid w:val="00A8079A"/>
    <w:rsid w:val="00A80A00"/>
    <w:rsid w:val="00A81E04"/>
    <w:rsid w:val="00A82654"/>
    <w:rsid w:val="00A82C28"/>
    <w:rsid w:val="00A82F6C"/>
    <w:rsid w:val="00A831E2"/>
    <w:rsid w:val="00A8399A"/>
    <w:rsid w:val="00A83B63"/>
    <w:rsid w:val="00A83C1E"/>
    <w:rsid w:val="00A8437C"/>
    <w:rsid w:val="00A8443F"/>
    <w:rsid w:val="00A8520D"/>
    <w:rsid w:val="00A86586"/>
    <w:rsid w:val="00A86D78"/>
    <w:rsid w:val="00A8732A"/>
    <w:rsid w:val="00A87C81"/>
    <w:rsid w:val="00A910A9"/>
    <w:rsid w:val="00A916DB"/>
    <w:rsid w:val="00A91B24"/>
    <w:rsid w:val="00A92154"/>
    <w:rsid w:val="00A9222B"/>
    <w:rsid w:val="00A9230C"/>
    <w:rsid w:val="00A925AC"/>
    <w:rsid w:val="00A925C7"/>
    <w:rsid w:val="00A92743"/>
    <w:rsid w:val="00A93355"/>
    <w:rsid w:val="00A93B66"/>
    <w:rsid w:val="00A94566"/>
    <w:rsid w:val="00A94600"/>
    <w:rsid w:val="00A95335"/>
    <w:rsid w:val="00A9564D"/>
    <w:rsid w:val="00A9645E"/>
    <w:rsid w:val="00A9650B"/>
    <w:rsid w:val="00A966DA"/>
    <w:rsid w:val="00A96AEA"/>
    <w:rsid w:val="00A96C76"/>
    <w:rsid w:val="00A97401"/>
    <w:rsid w:val="00A975A2"/>
    <w:rsid w:val="00A979D3"/>
    <w:rsid w:val="00AA018E"/>
    <w:rsid w:val="00AA0DCA"/>
    <w:rsid w:val="00AA0E5F"/>
    <w:rsid w:val="00AA0F43"/>
    <w:rsid w:val="00AA11C7"/>
    <w:rsid w:val="00AA12F9"/>
    <w:rsid w:val="00AA130A"/>
    <w:rsid w:val="00AA15AA"/>
    <w:rsid w:val="00AA16C5"/>
    <w:rsid w:val="00AA1830"/>
    <w:rsid w:val="00AA19D0"/>
    <w:rsid w:val="00AA2252"/>
    <w:rsid w:val="00AA2340"/>
    <w:rsid w:val="00AA46E5"/>
    <w:rsid w:val="00AA4AF3"/>
    <w:rsid w:val="00AA4D64"/>
    <w:rsid w:val="00AA5458"/>
    <w:rsid w:val="00AA5984"/>
    <w:rsid w:val="00AA606A"/>
    <w:rsid w:val="00AA63EB"/>
    <w:rsid w:val="00AA6704"/>
    <w:rsid w:val="00AA67A5"/>
    <w:rsid w:val="00AA67A7"/>
    <w:rsid w:val="00AA75E5"/>
    <w:rsid w:val="00AA76B0"/>
    <w:rsid w:val="00AA79ED"/>
    <w:rsid w:val="00AA7D2F"/>
    <w:rsid w:val="00AB081B"/>
    <w:rsid w:val="00AB0A6F"/>
    <w:rsid w:val="00AB0AB5"/>
    <w:rsid w:val="00AB1C0D"/>
    <w:rsid w:val="00AB2116"/>
    <w:rsid w:val="00AB224A"/>
    <w:rsid w:val="00AB2311"/>
    <w:rsid w:val="00AB23AA"/>
    <w:rsid w:val="00AB265B"/>
    <w:rsid w:val="00AB269D"/>
    <w:rsid w:val="00AB2AEE"/>
    <w:rsid w:val="00AB2D36"/>
    <w:rsid w:val="00AB35D9"/>
    <w:rsid w:val="00AB369F"/>
    <w:rsid w:val="00AB3D0E"/>
    <w:rsid w:val="00AB4CB6"/>
    <w:rsid w:val="00AB51AC"/>
    <w:rsid w:val="00AB56C8"/>
    <w:rsid w:val="00AB5E03"/>
    <w:rsid w:val="00AB60D2"/>
    <w:rsid w:val="00AB6187"/>
    <w:rsid w:val="00AB6DF7"/>
    <w:rsid w:val="00AB708D"/>
    <w:rsid w:val="00AB72BF"/>
    <w:rsid w:val="00AB7569"/>
    <w:rsid w:val="00AB77FA"/>
    <w:rsid w:val="00AB7C46"/>
    <w:rsid w:val="00AB7E8D"/>
    <w:rsid w:val="00AB7FD0"/>
    <w:rsid w:val="00AC1459"/>
    <w:rsid w:val="00AC1F9A"/>
    <w:rsid w:val="00AC20D2"/>
    <w:rsid w:val="00AC251E"/>
    <w:rsid w:val="00AC36E2"/>
    <w:rsid w:val="00AC3734"/>
    <w:rsid w:val="00AC3A0C"/>
    <w:rsid w:val="00AC3E8E"/>
    <w:rsid w:val="00AC4F77"/>
    <w:rsid w:val="00AC51FD"/>
    <w:rsid w:val="00AC5369"/>
    <w:rsid w:val="00AC5772"/>
    <w:rsid w:val="00AC5EBD"/>
    <w:rsid w:val="00AC5EE2"/>
    <w:rsid w:val="00AC61E6"/>
    <w:rsid w:val="00AC6747"/>
    <w:rsid w:val="00AC6DA3"/>
    <w:rsid w:val="00AC7351"/>
    <w:rsid w:val="00AC7A38"/>
    <w:rsid w:val="00AC7FF6"/>
    <w:rsid w:val="00AD0224"/>
    <w:rsid w:val="00AD11C5"/>
    <w:rsid w:val="00AD1860"/>
    <w:rsid w:val="00AD1C24"/>
    <w:rsid w:val="00AD2A1A"/>
    <w:rsid w:val="00AD317F"/>
    <w:rsid w:val="00AD3298"/>
    <w:rsid w:val="00AD32BC"/>
    <w:rsid w:val="00AD3BB2"/>
    <w:rsid w:val="00AD5108"/>
    <w:rsid w:val="00AD5F78"/>
    <w:rsid w:val="00AD60AF"/>
    <w:rsid w:val="00AD6654"/>
    <w:rsid w:val="00AD6D32"/>
    <w:rsid w:val="00AD7C7D"/>
    <w:rsid w:val="00AD7DB2"/>
    <w:rsid w:val="00AE012E"/>
    <w:rsid w:val="00AE04F7"/>
    <w:rsid w:val="00AE0AE5"/>
    <w:rsid w:val="00AE1A1F"/>
    <w:rsid w:val="00AE2896"/>
    <w:rsid w:val="00AE29C6"/>
    <w:rsid w:val="00AE2E01"/>
    <w:rsid w:val="00AE30E0"/>
    <w:rsid w:val="00AE31CB"/>
    <w:rsid w:val="00AE404B"/>
    <w:rsid w:val="00AE4B6C"/>
    <w:rsid w:val="00AE4EC2"/>
    <w:rsid w:val="00AE5375"/>
    <w:rsid w:val="00AE6131"/>
    <w:rsid w:val="00AE62B3"/>
    <w:rsid w:val="00AE68C8"/>
    <w:rsid w:val="00AE69A3"/>
    <w:rsid w:val="00AE7549"/>
    <w:rsid w:val="00AE7586"/>
    <w:rsid w:val="00AF03D1"/>
    <w:rsid w:val="00AF0997"/>
    <w:rsid w:val="00AF0EDF"/>
    <w:rsid w:val="00AF1BD2"/>
    <w:rsid w:val="00AF2207"/>
    <w:rsid w:val="00AF24D1"/>
    <w:rsid w:val="00AF31DF"/>
    <w:rsid w:val="00AF3A89"/>
    <w:rsid w:val="00AF45C6"/>
    <w:rsid w:val="00AF4A06"/>
    <w:rsid w:val="00AF533B"/>
    <w:rsid w:val="00AF5B1C"/>
    <w:rsid w:val="00AF5CDF"/>
    <w:rsid w:val="00AF5CE7"/>
    <w:rsid w:val="00AF5D3E"/>
    <w:rsid w:val="00AF5DEE"/>
    <w:rsid w:val="00AF71CF"/>
    <w:rsid w:val="00B015FC"/>
    <w:rsid w:val="00B01B3A"/>
    <w:rsid w:val="00B02B8C"/>
    <w:rsid w:val="00B032FD"/>
    <w:rsid w:val="00B036BA"/>
    <w:rsid w:val="00B03B75"/>
    <w:rsid w:val="00B04774"/>
    <w:rsid w:val="00B049AD"/>
    <w:rsid w:val="00B0580B"/>
    <w:rsid w:val="00B0642B"/>
    <w:rsid w:val="00B06AEF"/>
    <w:rsid w:val="00B07377"/>
    <w:rsid w:val="00B07636"/>
    <w:rsid w:val="00B07828"/>
    <w:rsid w:val="00B07E1D"/>
    <w:rsid w:val="00B10D08"/>
    <w:rsid w:val="00B10EA7"/>
    <w:rsid w:val="00B12420"/>
    <w:rsid w:val="00B1265D"/>
    <w:rsid w:val="00B1271D"/>
    <w:rsid w:val="00B134E5"/>
    <w:rsid w:val="00B1376B"/>
    <w:rsid w:val="00B13AE5"/>
    <w:rsid w:val="00B147A6"/>
    <w:rsid w:val="00B153DB"/>
    <w:rsid w:val="00B15986"/>
    <w:rsid w:val="00B15D7A"/>
    <w:rsid w:val="00B16025"/>
    <w:rsid w:val="00B1653D"/>
    <w:rsid w:val="00B17788"/>
    <w:rsid w:val="00B202A7"/>
    <w:rsid w:val="00B2043B"/>
    <w:rsid w:val="00B20D47"/>
    <w:rsid w:val="00B210B2"/>
    <w:rsid w:val="00B21664"/>
    <w:rsid w:val="00B21A46"/>
    <w:rsid w:val="00B22635"/>
    <w:rsid w:val="00B228CC"/>
    <w:rsid w:val="00B22B22"/>
    <w:rsid w:val="00B22C14"/>
    <w:rsid w:val="00B22D4D"/>
    <w:rsid w:val="00B2376A"/>
    <w:rsid w:val="00B249C5"/>
    <w:rsid w:val="00B24A7D"/>
    <w:rsid w:val="00B256D8"/>
    <w:rsid w:val="00B25F48"/>
    <w:rsid w:val="00B26394"/>
    <w:rsid w:val="00B26CBC"/>
    <w:rsid w:val="00B27729"/>
    <w:rsid w:val="00B27913"/>
    <w:rsid w:val="00B304AF"/>
    <w:rsid w:val="00B30557"/>
    <w:rsid w:val="00B30704"/>
    <w:rsid w:val="00B30BB6"/>
    <w:rsid w:val="00B31399"/>
    <w:rsid w:val="00B31416"/>
    <w:rsid w:val="00B3166B"/>
    <w:rsid w:val="00B31A65"/>
    <w:rsid w:val="00B31A7C"/>
    <w:rsid w:val="00B31BC1"/>
    <w:rsid w:val="00B31C3B"/>
    <w:rsid w:val="00B31F59"/>
    <w:rsid w:val="00B321C7"/>
    <w:rsid w:val="00B321FA"/>
    <w:rsid w:val="00B32350"/>
    <w:rsid w:val="00B328D5"/>
    <w:rsid w:val="00B32B87"/>
    <w:rsid w:val="00B33229"/>
    <w:rsid w:val="00B33D64"/>
    <w:rsid w:val="00B33FD6"/>
    <w:rsid w:val="00B342FC"/>
    <w:rsid w:val="00B34861"/>
    <w:rsid w:val="00B349F2"/>
    <w:rsid w:val="00B34B19"/>
    <w:rsid w:val="00B36244"/>
    <w:rsid w:val="00B36300"/>
    <w:rsid w:val="00B363A3"/>
    <w:rsid w:val="00B36559"/>
    <w:rsid w:val="00B36571"/>
    <w:rsid w:val="00B36C2F"/>
    <w:rsid w:val="00B36E93"/>
    <w:rsid w:val="00B378AD"/>
    <w:rsid w:val="00B40EA8"/>
    <w:rsid w:val="00B4130E"/>
    <w:rsid w:val="00B41422"/>
    <w:rsid w:val="00B414B1"/>
    <w:rsid w:val="00B41A19"/>
    <w:rsid w:val="00B41EE3"/>
    <w:rsid w:val="00B41FEE"/>
    <w:rsid w:val="00B42451"/>
    <w:rsid w:val="00B4305D"/>
    <w:rsid w:val="00B431D2"/>
    <w:rsid w:val="00B437E5"/>
    <w:rsid w:val="00B43B41"/>
    <w:rsid w:val="00B4404E"/>
    <w:rsid w:val="00B44369"/>
    <w:rsid w:val="00B450ED"/>
    <w:rsid w:val="00B4589D"/>
    <w:rsid w:val="00B45BA4"/>
    <w:rsid w:val="00B45BE6"/>
    <w:rsid w:val="00B46BF4"/>
    <w:rsid w:val="00B46DF3"/>
    <w:rsid w:val="00B46EF1"/>
    <w:rsid w:val="00B4713E"/>
    <w:rsid w:val="00B471DF"/>
    <w:rsid w:val="00B47A76"/>
    <w:rsid w:val="00B47B1C"/>
    <w:rsid w:val="00B47FBA"/>
    <w:rsid w:val="00B50728"/>
    <w:rsid w:val="00B50E14"/>
    <w:rsid w:val="00B51AD8"/>
    <w:rsid w:val="00B523C7"/>
    <w:rsid w:val="00B5256D"/>
    <w:rsid w:val="00B53A4F"/>
    <w:rsid w:val="00B53AFA"/>
    <w:rsid w:val="00B53D75"/>
    <w:rsid w:val="00B53E6F"/>
    <w:rsid w:val="00B5467C"/>
    <w:rsid w:val="00B54A8D"/>
    <w:rsid w:val="00B54D28"/>
    <w:rsid w:val="00B54E45"/>
    <w:rsid w:val="00B552F3"/>
    <w:rsid w:val="00B5560C"/>
    <w:rsid w:val="00B55C4A"/>
    <w:rsid w:val="00B564C0"/>
    <w:rsid w:val="00B5727D"/>
    <w:rsid w:val="00B57E0A"/>
    <w:rsid w:val="00B61F24"/>
    <w:rsid w:val="00B6221F"/>
    <w:rsid w:val="00B62664"/>
    <w:rsid w:val="00B62929"/>
    <w:rsid w:val="00B632DF"/>
    <w:rsid w:val="00B63667"/>
    <w:rsid w:val="00B63B34"/>
    <w:rsid w:val="00B64395"/>
    <w:rsid w:val="00B64450"/>
    <w:rsid w:val="00B644A3"/>
    <w:rsid w:val="00B65C20"/>
    <w:rsid w:val="00B65D62"/>
    <w:rsid w:val="00B65FE3"/>
    <w:rsid w:val="00B661CC"/>
    <w:rsid w:val="00B663D3"/>
    <w:rsid w:val="00B66EC9"/>
    <w:rsid w:val="00B66F4F"/>
    <w:rsid w:val="00B670E5"/>
    <w:rsid w:val="00B67A34"/>
    <w:rsid w:val="00B70910"/>
    <w:rsid w:val="00B70976"/>
    <w:rsid w:val="00B70B4F"/>
    <w:rsid w:val="00B71448"/>
    <w:rsid w:val="00B7194C"/>
    <w:rsid w:val="00B71965"/>
    <w:rsid w:val="00B72A5B"/>
    <w:rsid w:val="00B7381A"/>
    <w:rsid w:val="00B73B87"/>
    <w:rsid w:val="00B73F3E"/>
    <w:rsid w:val="00B74609"/>
    <w:rsid w:val="00B74A76"/>
    <w:rsid w:val="00B75176"/>
    <w:rsid w:val="00B75398"/>
    <w:rsid w:val="00B753B5"/>
    <w:rsid w:val="00B759EA"/>
    <w:rsid w:val="00B75D8D"/>
    <w:rsid w:val="00B76ED8"/>
    <w:rsid w:val="00B773B2"/>
    <w:rsid w:val="00B7799E"/>
    <w:rsid w:val="00B8041F"/>
    <w:rsid w:val="00B806B8"/>
    <w:rsid w:val="00B80D38"/>
    <w:rsid w:val="00B80F82"/>
    <w:rsid w:val="00B8154E"/>
    <w:rsid w:val="00B8191D"/>
    <w:rsid w:val="00B830B5"/>
    <w:rsid w:val="00B831B5"/>
    <w:rsid w:val="00B83B49"/>
    <w:rsid w:val="00B84759"/>
    <w:rsid w:val="00B847A9"/>
    <w:rsid w:val="00B848AB"/>
    <w:rsid w:val="00B85041"/>
    <w:rsid w:val="00B85DCF"/>
    <w:rsid w:val="00B8618E"/>
    <w:rsid w:val="00B8673E"/>
    <w:rsid w:val="00B873CE"/>
    <w:rsid w:val="00B87984"/>
    <w:rsid w:val="00B87CAA"/>
    <w:rsid w:val="00B90614"/>
    <w:rsid w:val="00B9069F"/>
    <w:rsid w:val="00B90835"/>
    <w:rsid w:val="00B90E8E"/>
    <w:rsid w:val="00B90F3B"/>
    <w:rsid w:val="00B91E0C"/>
    <w:rsid w:val="00B927BC"/>
    <w:rsid w:val="00B93EA1"/>
    <w:rsid w:val="00B953D7"/>
    <w:rsid w:val="00B95540"/>
    <w:rsid w:val="00B96786"/>
    <w:rsid w:val="00B96D9E"/>
    <w:rsid w:val="00B97788"/>
    <w:rsid w:val="00B97DD9"/>
    <w:rsid w:val="00BA0173"/>
    <w:rsid w:val="00BA0EF9"/>
    <w:rsid w:val="00BA133A"/>
    <w:rsid w:val="00BA1719"/>
    <w:rsid w:val="00BA19F3"/>
    <w:rsid w:val="00BA1C3A"/>
    <w:rsid w:val="00BA209D"/>
    <w:rsid w:val="00BA3564"/>
    <w:rsid w:val="00BA4B7B"/>
    <w:rsid w:val="00BA4FF1"/>
    <w:rsid w:val="00BA5069"/>
    <w:rsid w:val="00BA54C0"/>
    <w:rsid w:val="00BA5512"/>
    <w:rsid w:val="00BA6743"/>
    <w:rsid w:val="00BA6C05"/>
    <w:rsid w:val="00BA6CF8"/>
    <w:rsid w:val="00BA744E"/>
    <w:rsid w:val="00BA7E81"/>
    <w:rsid w:val="00BB12C4"/>
    <w:rsid w:val="00BB1C09"/>
    <w:rsid w:val="00BB1E67"/>
    <w:rsid w:val="00BB2896"/>
    <w:rsid w:val="00BB321F"/>
    <w:rsid w:val="00BB375E"/>
    <w:rsid w:val="00BB3BFD"/>
    <w:rsid w:val="00BB3C1F"/>
    <w:rsid w:val="00BB42CD"/>
    <w:rsid w:val="00BB5AE0"/>
    <w:rsid w:val="00BB5E09"/>
    <w:rsid w:val="00BB6356"/>
    <w:rsid w:val="00BB6B72"/>
    <w:rsid w:val="00BB6C90"/>
    <w:rsid w:val="00BB7326"/>
    <w:rsid w:val="00BB73BD"/>
    <w:rsid w:val="00BB7785"/>
    <w:rsid w:val="00BB7FB8"/>
    <w:rsid w:val="00BC0735"/>
    <w:rsid w:val="00BC103A"/>
    <w:rsid w:val="00BC1FA4"/>
    <w:rsid w:val="00BC1FB6"/>
    <w:rsid w:val="00BC2194"/>
    <w:rsid w:val="00BC2A0C"/>
    <w:rsid w:val="00BC349F"/>
    <w:rsid w:val="00BC34C5"/>
    <w:rsid w:val="00BC34D8"/>
    <w:rsid w:val="00BC3BB1"/>
    <w:rsid w:val="00BC3E0B"/>
    <w:rsid w:val="00BC4381"/>
    <w:rsid w:val="00BC4867"/>
    <w:rsid w:val="00BC48B2"/>
    <w:rsid w:val="00BC5737"/>
    <w:rsid w:val="00BC5D71"/>
    <w:rsid w:val="00BC6813"/>
    <w:rsid w:val="00BC796A"/>
    <w:rsid w:val="00BC7DD2"/>
    <w:rsid w:val="00BD1147"/>
    <w:rsid w:val="00BD1347"/>
    <w:rsid w:val="00BD1484"/>
    <w:rsid w:val="00BD14D1"/>
    <w:rsid w:val="00BD14E8"/>
    <w:rsid w:val="00BD1563"/>
    <w:rsid w:val="00BD1ED7"/>
    <w:rsid w:val="00BD2160"/>
    <w:rsid w:val="00BD25AD"/>
    <w:rsid w:val="00BD2794"/>
    <w:rsid w:val="00BD286A"/>
    <w:rsid w:val="00BD28A9"/>
    <w:rsid w:val="00BD2EF5"/>
    <w:rsid w:val="00BD2FF9"/>
    <w:rsid w:val="00BD37EF"/>
    <w:rsid w:val="00BD4F47"/>
    <w:rsid w:val="00BD5277"/>
    <w:rsid w:val="00BD5534"/>
    <w:rsid w:val="00BD6128"/>
    <w:rsid w:val="00BD6484"/>
    <w:rsid w:val="00BD6C49"/>
    <w:rsid w:val="00BD6EC6"/>
    <w:rsid w:val="00BD718A"/>
    <w:rsid w:val="00BD729D"/>
    <w:rsid w:val="00BD7B53"/>
    <w:rsid w:val="00BE05CC"/>
    <w:rsid w:val="00BE0B76"/>
    <w:rsid w:val="00BE0BF2"/>
    <w:rsid w:val="00BE0C7C"/>
    <w:rsid w:val="00BE0D63"/>
    <w:rsid w:val="00BE16C8"/>
    <w:rsid w:val="00BE177A"/>
    <w:rsid w:val="00BE197E"/>
    <w:rsid w:val="00BE22B2"/>
    <w:rsid w:val="00BE24A2"/>
    <w:rsid w:val="00BE2DAD"/>
    <w:rsid w:val="00BE2F09"/>
    <w:rsid w:val="00BE34C9"/>
    <w:rsid w:val="00BE3970"/>
    <w:rsid w:val="00BE4408"/>
    <w:rsid w:val="00BE6797"/>
    <w:rsid w:val="00BE688C"/>
    <w:rsid w:val="00BE7D94"/>
    <w:rsid w:val="00BF040A"/>
    <w:rsid w:val="00BF075D"/>
    <w:rsid w:val="00BF108B"/>
    <w:rsid w:val="00BF11DF"/>
    <w:rsid w:val="00BF1347"/>
    <w:rsid w:val="00BF135F"/>
    <w:rsid w:val="00BF166C"/>
    <w:rsid w:val="00BF188B"/>
    <w:rsid w:val="00BF1F08"/>
    <w:rsid w:val="00BF23CD"/>
    <w:rsid w:val="00BF23ED"/>
    <w:rsid w:val="00BF2480"/>
    <w:rsid w:val="00BF25DE"/>
    <w:rsid w:val="00BF262F"/>
    <w:rsid w:val="00BF2B4C"/>
    <w:rsid w:val="00BF2F85"/>
    <w:rsid w:val="00BF31D3"/>
    <w:rsid w:val="00BF32DB"/>
    <w:rsid w:val="00BF4590"/>
    <w:rsid w:val="00BF52C4"/>
    <w:rsid w:val="00BF59C1"/>
    <w:rsid w:val="00BF61E5"/>
    <w:rsid w:val="00BF703A"/>
    <w:rsid w:val="00BF7376"/>
    <w:rsid w:val="00BF79CE"/>
    <w:rsid w:val="00C0001A"/>
    <w:rsid w:val="00C0124D"/>
    <w:rsid w:val="00C01E0D"/>
    <w:rsid w:val="00C01E61"/>
    <w:rsid w:val="00C02373"/>
    <w:rsid w:val="00C02FAD"/>
    <w:rsid w:val="00C039CA"/>
    <w:rsid w:val="00C04425"/>
    <w:rsid w:val="00C04431"/>
    <w:rsid w:val="00C0449E"/>
    <w:rsid w:val="00C04BD7"/>
    <w:rsid w:val="00C056E9"/>
    <w:rsid w:val="00C0578A"/>
    <w:rsid w:val="00C05F17"/>
    <w:rsid w:val="00C06064"/>
    <w:rsid w:val="00C06867"/>
    <w:rsid w:val="00C07514"/>
    <w:rsid w:val="00C076B3"/>
    <w:rsid w:val="00C10BA1"/>
    <w:rsid w:val="00C11254"/>
    <w:rsid w:val="00C11B2B"/>
    <w:rsid w:val="00C11B5B"/>
    <w:rsid w:val="00C11E89"/>
    <w:rsid w:val="00C11FEB"/>
    <w:rsid w:val="00C1203A"/>
    <w:rsid w:val="00C1383D"/>
    <w:rsid w:val="00C139A2"/>
    <w:rsid w:val="00C1444A"/>
    <w:rsid w:val="00C14BB8"/>
    <w:rsid w:val="00C1511E"/>
    <w:rsid w:val="00C15278"/>
    <w:rsid w:val="00C15524"/>
    <w:rsid w:val="00C15A76"/>
    <w:rsid w:val="00C16122"/>
    <w:rsid w:val="00C17D22"/>
    <w:rsid w:val="00C205C0"/>
    <w:rsid w:val="00C209DA"/>
    <w:rsid w:val="00C20BA7"/>
    <w:rsid w:val="00C20DFC"/>
    <w:rsid w:val="00C20F7A"/>
    <w:rsid w:val="00C210BA"/>
    <w:rsid w:val="00C216E6"/>
    <w:rsid w:val="00C21D37"/>
    <w:rsid w:val="00C2261E"/>
    <w:rsid w:val="00C233E9"/>
    <w:rsid w:val="00C23555"/>
    <w:rsid w:val="00C23C0E"/>
    <w:rsid w:val="00C23D25"/>
    <w:rsid w:val="00C23D7B"/>
    <w:rsid w:val="00C25202"/>
    <w:rsid w:val="00C258B0"/>
    <w:rsid w:val="00C25B7E"/>
    <w:rsid w:val="00C269CD"/>
    <w:rsid w:val="00C26AFF"/>
    <w:rsid w:val="00C26C7D"/>
    <w:rsid w:val="00C279AB"/>
    <w:rsid w:val="00C3058F"/>
    <w:rsid w:val="00C30B08"/>
    <w:rsid w:val="00C31851"/>
    <w:rsid w:val="00C31973"/>
    <w:rsid w:val="00C32593"/>
    <w:rsid w:val="00C32C52"/>
    <w:rsid w:val="00C34069"/>
    <w:rsid w:val="00C35176"/>
    <w:rsid w:val="00C35641"/>
    <w:rsid w:val="00C3597D"/>
    <w:rsid w:val="00C35E83"/>
    <w:rsid w:val="00C36325"/>
    <w:rsid w:val="00C36401"/>
    <w:rsid w:val="00C36BC3"/>
    <w:rsid w:val="00C36D27"/>
    <w:rsid w:val="00C370C9"/>
    <w:rsid w:val="00C37DE7"/>
    <w:rsid w:val="00C37EEE"/>
    <w:rsid w:val="00C4045F"/>
    <w:rsid w:val="00C413C4"/>
    <w:rsid w:val="00C41868"/>
    <w:rsid w:val="00C418D8"/>
    <w:rsid w:val="00C42003"/>
    <w:rsid w:val="00C433F4"/>
    <w:rsid w:val="00C43FB5"/>
    <w:rsid w:val="00C4480E"/>
    <w:rsid w:val="00C45029"/>
    <w:rsid w:val="00C450DA"/>
    <w:rsid w:val="00C45974"/>
    <w:rsid w:val="00C45985"/>
    <w:rsid w:val="00C464D7"/>
    <w:rsid w:val="00C465FF"/>
    <w:rsid w:val="00C4742B"/>
    <w:rsid w:val="00C475A0"/>
    <w:rsid w:val="00C479BF"/>
    <w:rsid w:val="00C47B67"/>
    <w:rsid w:val="00C47D65"/>
    <w:rsid w:val="00C50167"/>
    <w:rsid w:val="00C504B8"/>
    <w:rsid w:val="00C50AE5"/>
    <w:rsid w:val="00C50D2D"/>
    <w:rsid w:val="00C50D5D"/>
    <w:rsid w:val="00C50E32"/>
    <w:rsid w:val="00C5144D"/>
    <w:rsid w:val="00C51855"/>
    <w:rsid w:val="00C51BD7"/>
    <w:rsid w:val="00C521F3"/>
    <w:rsid w:val="00C522E5"/>
    <w:rsid w:val="00C52616"/>
    <w:rsid w:val="00C52BE3"/>
    <w:rsid w:val="00C535FD"/>
    <w:rsid w:val="00C53A93"/>
    <w:rsid w:val="00C540C9"/>
    <w:rsid w:val="00C5556C"/>
    <w:rsid w:val="00C55A2C"/>
    <w:rsid w:val="00C55B7D"/>
    <w:rsid w:val="00C55E07"/>
    <w:rsid w:val="00C566AF"/>
    <w:rsid w:val="00C5673A"/>
    <w:rsid w:val="00C56AFF"/>
    <w:rsid w:val="00C56D63"/>
    <w:rsid w:val="00C56FA6"/>
    <w:rsid w:val="00C5756D"/>
    <w:rsid w:val="00C57754"/>
    <w:rsid w:val="00C60633"/>
    <w:rsid w:val="00C60EED"/>
    <w:rsid w:val="00C61337"/>
    <w:rsid w:val="00C61E68"/>
    <w:rsid w:val="00C62515"/>
    <w:rsid w:val="00C62598"/>
    <w:rsid w:val="00C627B2"/>
    <w:rsid w:val="00C627BB"/>
    <w:rsid w:val="00C62B97"/>
    <w:rsid w:val="00C62C74"/>
    <w:rsid w:val="00C62CCB"/>
    <w:rsid w:val="00C62E98"/>
    <w:rsid w:val="00C63E02"/>
    <w:rsid w:val="00C64128"/>
    <w:rsid w:val="00C6455C"/>
    <w:rsid w:val="00C64A83"/>
    <w:rsid w:val="00C65256"/>
    <w:rsid w:val="00C666C7"/>
    <w:rsid w:val="00C668DE"/>
    <w:rsid w:val="00C6759D"/>
    <w:rsid w:val="00C678AA"/>
    <w:rsid w:val="00C67A86"/>
    <w:rsid w:val="00C703AB"/>
    <w:rsid w:val="00C70C20"/>
    <w:rsid w:val="00C70FDA"/>
    <w:rsid w:val="00C71211"/>
    <w:rsid w:val="00C7154D"/>
    <w:rsid w:val="00C71777"/>
    <w:rsid w:val="00C7188F"/>
    <w:rsid w:val="00C72061"/>
    <w:rsid w:val="00C724AB"/>
    <w:rsid w:val="00C72976"/>
    <w:rsid w:val="00C72B8C"/>
    <w:rsid w:val="00C72C74"/>
    <w:rsid w:val="00C73A9C"/>
    <w:rsid w:val="00C73D34"/>
    <w:rsid w:val="00C73E36"/>
    <w:rsid w:val="00C73FB4"/>
    <w:rsid w:val="00C74062"/>
    <w:rsid w:val="00C7424F"/>
    <w:rsid w:val="00C74383"/>
    <w:rsid w:val="00C74D40"/>
    <w:rsid w:val="00C74E5E"/>
    <w:rsid w:val="00C751E1"/>
    <w:rsid w:val="00C75A11"/>
    <w:rsid w:val="00C75FAF"/>
    <w:rsid w:val="00C77519"/>
    <w:rsid w:val="00C778AE"/>
    <w:rsid w:val="00C77BB2"/>
    <w:rsid w:val="00C77C48"/>
    <w:rsid w:val="00C77CC3"/>
    <w:rsid w:val="00C80081"/>
    <w:rsid w:val="00C80510"/>
    <w:rsid w:val="00C80795"/>
    <w:rsid w:val="00C81B52"/>
    <w:rsid w:val="00C8207D"/>
    <w:rsid w:val="00C840DB"/>
    <w:rsid w:val="00C8473A"/>
    <w:rsid w:val="00C84D98"/>
    <w:rsid w:val="00C84F2B"/>
    <w:rsid w:val="00C84F38"/>
    <w:rsid w:val="00C852C0"/>
    <w:rsid w:val="00C85BE6"/>
    <w:rsid w:val="00C85EC2"/>
    <w:rsid w:val="00C8612B"/>
    <w:rsid w:val="00C8637B"/>
    <w:rsid w:val="00C863C4"/>
    <w:rsid w:val="00C86440"/>
    <w:rsid w:val="00C87010"/>
    <w:rsid w:val="00C876C6"/>
    <w:rsid w:val="00C8784C"/>
    <w:rsid w:val="00C87F31"/>
    <w:rsid w:val="00C87F6A"/>
    <w:rsid w:val="00C901FC"/>
    <w:rsid w:val="00C90843"/>
    <w:rsid w:val="00C90BB7"/>
    <w:rsid w:val="00C90F99"/>
    <w:rsid w:val="00C90FE4"/>
    <w:rsid w:val="00C91BAA"/>
    <w:rsid w:val="00C9258E"/>
    <w:rsid w:val="00C92737"/>
    <w:rsid w:val="00C92791"/>
    <w:rsid w:val="00C9291E"/>
    <w:rsid w:val="00C92FE5"/>
    <w:rsid w:val="00C93E41"/>
    <w:rsid w:val="00C94065"/>
    <w:rsid w:val="00C9429E"/>
    <w:rsid w:val="00C95965"/>
    <w:rsid w:val="00C9626E"/>
    <w:rsid w:val="00C964B8"/>
    <w:rsid w:val="00C97721"/>
    <w:rsid w:val="00C97A0A"/>
    <w:rsid w:val="00C97B39"/>
    <w:rsid w:val="00C97B4E"/>
    <w:rsid w:val="00C97B8A"/>
    <w:rsid w:val="00C97D54"/>
    <w:rsid w:val="00CA002A"/>
    <w:rsid w:val="00CA0382"/>
    <w:rsid w:val="00CA0759"/>
    <w:rsid w:val="00CA0A7C"/>
    <w:rsid w:val="00CA0E12"/>
    <w:rsid w:val="00CA1379"/>
    <w:rsid w:val="00CA18B1"/>
    <w:rsid w:val="00CA1AD4"/>
    <w:rsid w:val="00CA1CB7"/>
    <w:rsid w:val="00CA1FCC"/>
    <w:rsid w:val="00CA2468"/>
    <w:rsid w:val="00CA2AC9"/>
    <w:rsid w:val="00CA2D5F"/>
    <w:rsid w:val="00CA2D85"/>
    <w:rsid w:val="00CA3664"/>
    <w:rsid w:val="00CA3792"/>
    <w:rsid w:val="00CA3FD8"/>
    <w:rsid w:val="00CA4819"/>
    <w:rsid w:val="00CA4FCD"/>
    <w:rsid w:val="00CA50C2"/>
    <w:rsid w:val="00CA5100"/>
    <w:rsid w:val="00CA53B8"/>
    <w:rsid w:val="00CA57A1"/>
    <w:rsid w:val="00CA6D7E"/>
    <w:rsid w:val="00CA7A02"/>
    <w:rsid w:val="00CA7D34"/>
    <w:rsid w:val="00CB03F0"/>
    <w:rsid w:val="00CB052C"/>
    <w:rsid w:val="00CB07EC"/>
    <w:rsid w:val="00CB08CA"/>
    <w:rsid w:val="00CB08ED"/>
    <w:rsid w:val="00CB1427"/>
    <w:rsid w:val="00CB24A5"/>
    <w:rsid w:val="00CB2586"/>
    <w:rsid w:val="00CB25C0"/>
    <w:rsid w:val="00CB2672"/>
    <w:rsid w:val="00CB336A"/>
    <w:rsid w:val="00CB34D1"/>
    <w:rsid w:val="00CB4073"/>
    <w:rsid w:val="00CB430F"/>
    <w:rsid w:val="00CB4515"/>
    <w:rsid w:val="00CB4637"/>
    <w:rsid w:val="00CB475B"/>
    <w:rsid w:val="00CB49FC"/>
    <w:rsid w:val="00CB4A30"/>
    <w:rsid w:val="00CB4AAA"/>
    <w:rsid w:val="00CB5945"/>
    <w:rsid w:val="00CB5EF0"/>
    <w:rsid w:val="00CB5FCF"/>
    <w:rsid w:val="00CB6BCC"/>
    <w:rsid w:val="00CB7247"/>
    <w:rsid w:val="00CB7522"/>
    <w:rsid w:val="00CB76E7"/>
    <w:rsid w:val="00CB7A4C"/>
    <w:rsid w:val="00CC06FA"/>
    <w:rsid w:val="00CC0972"/>
    <w:rsid w:val="00CC1914"/>
    <w:rsid w:val="00CC20E1"/>
    <w:rsid w:val="00CC264B"/>
    <w:rsid w:val="00CC27B0"/>
    <w:rsid w:val="00CC2994"/>
    <w:rsid w:val="00CC3325"/>
    <w:rsid w:val="00CC34EB"/>
    <w:rsid w:val="00CC3DFA"/>
    <w:rsid w:val="00CC4707"/>
    <w:rsid w:val="00CC484F"/>
    <w:rsid w:val="00CC4F8C"/>
    <w:rsid w:val="00CC51D9"/>
    <w:rsid w:val="00CC57D3"/>
    <w:rsid w:val="00CC5EAA"/>
    <w:rsid w:val="00CC7502"/>
    <w:rsid w:val="00CC777A"/>
    <w:rsid w:val="00CC786D"/>
    <w:rsid w:val="00CD00B1"/>
    <w:rsid w:val="00CD0925"/>
    <w:rsid w:val="00CD09B6"/>
    <w:rsid w:val="00CD0DEC"/>
    <w:rsid w:val="00CD112C"/>
    <w:rsid w:val="00CD1201"/>
    <w:rsid w:val="00CD1E77"/>
    <w:rsid w:val="00CD205B"/>
    <w:rsid w:val="00CD269E"/>
    <w:rsid w:val="00CD2A7A"/>
    <w:rsid w:val="00CD316A"/>
    <w:rsid w:val="00CD3703"/>
    <w:rsid w:val="00CD3C41"/>
    <w:rsid w:val="00CD40D2"/>
    <w:rsid w:val="00CD4397"/>
    <w:rsid w:val="00CD445B"/>
    <w:rsid w:val="00CD4C0B"/>
    <w:rsid w:val="00CD4C15"/>
    <w:rsid w:val="00CD5185"/>
    <w:rsid w:val="00CD5373"/>
    <w:rsid w:val="00CD5642"/>
    <w:rsid w:val="00CD5ED7"/>
    <w:rsid w:val="00CD60B1"/>
    <w:rsid w:val="00CD61AA"/>
    <w:rsid w:val="00CD63BD"/>
    <w:rsid w:val="00CD6801"/>
    <w:rsid w:val="00CD6ED3"/>
    <w:rsid w:val="00CD6ED9"/>
    <w:rsid w:val="00CD7232"/>
    <w:rsid w:val="00CD7935"/>
    <w:rsid w:val="00CD7AC5"/>
    <w:rsid w:val="00CD7D86"/>
    <w:rsid w:val="00CE052C"/>
    <w:rsid w:val="00CE0A28"/>
    <w:rsid w:val="00CE19CB"/>
    <w:rsid w:val="00CE21B4"/>
    <w:rsid w:val="00CE2B93"/>
    <w:rsid w:val="00CE2D2D"/>
    <w:rsid w:val="00CE3CD9"/>
    <w:rsid w:val="00CE459D"/>
    <w:rsid w:val="00CE462F"/>
    <w:rsid w:val="00CE493E"/>
    <w:rsid w:val="00CE4D09"/>
    <w:rsid w:val="00CE5052"/>
    <w:rsid w:val="00CE5926"/>
    <w:rsid w:val="00CE6D1C"/>
    <w:rsid w:val="00CE715F"/>
    <w:rsid w:val="00CE72A5"/>
    <w:rsid w:val="00CE741F"/>
    <w:rsid w:val="00CE7BF6"/>
    <w:rsid w:val="00CF0863"/>
    <w:rsid w:val="00CF0CB3"/>
    <w:rsid w:val="00CF1099"/>
    <w:rsid w:val="00CF1429"/>
    <w:rsid w:val="00CF1553"/>
    <w:rsid w:val="00CF1AC6"/>
    <w:rsid w:val="00CF231D"/>
    <w:rsid w:val="00CF262D"/>
    <w:rsid w:val="00CF28D7"/>
    <w:rsid w:val="00CF3240"/>
    <w:rsid w:val="00CF3406"/>
    <w:rsid w:val="00CF353E"/>
    <w:rsid w:val="00CF35BA"/>
    <w:rsid w:val="00CF3640"/>
    <w:rsid w:val="00CF3A32"/>
    <w:rsid w:val="00CF3ABB"/>
    <w:rsid w:val="00CF4079"/>
    <w:rsid w:val="00CF48F5"/>
    <w:rsid w:val="00CF4CE9"/>
    <w:rsid w:val="00CF52DD"/>
    <w:rsid w:val="00CF54D7"/>
    <w:rsid w:val="00CF56A8"/>
    <w:rsid w:val="00CF61A6"/>
    <w:rsid w:val="00CF66AF"/>
    <w:rsid w:val="00CF66F7"/>
    <w:rsid w:val="00CF6F18"/>
    <w:rsid w:val="00CF6FE3"/>
    <w:rsid w:val="00CF7539"/>
    <w:rsid w:val="00CF756C"/>
    <w:rsid w:val="00D01262"/>
    <w:rsid w:val="00D01792"/>
    <w:rsid w:val="00D017BB"/>
    <w:rsid w:val="00D01B85"/>
    <w:rsid w:val="00D0298B"/>
    <w:rsid w:val="00D02DD5"/>
    <w:rsid w:val="00D032EA"/>
    <w:rsid w:val="00D03450"/>
    <w:rsid w:val="00D03557"/>
    <w:rsid w:val="00D038C6"/>
    <w:rsid w:val="00D03F9B"/>
    <w:rsid w:val="00D04D2B"/>
    <w:rsid w:val="00D05A44"/>
    <w:rsid w:val="00D05C78"/>
    <w:rsid w:val="00D05F5D"/>
    <w:rsid w:val="00D06169"/>
    <w:rsid w:val="00D06963"/>
    <w:rsid w:val="00D06B96"/>
    <w:rsid w:val="00D070B3"/>
    <w:rsid w:val="00D073A7"/>
    <w:rsid w:val="00D07974"/>
    <w:rsid w:val="00D1046D"/>
    <w:rsid w:val="00D105F7"/>
    <w:rsid w:val="00D106FE"/>
    <w:rsid w:val="00D10942"/>
    <w:rsid w:val="00D10D98"/>
    <w:rsid w:val="00D1286F"/>
    <w:rsid w:val="00D12B00"/>
    <w:rsid w:val="00D137DE"/>
    <w:rsid w:val="00D13928"/>
    <w:rsid w:val="00D139CB"/>
    <w:rsid w:val="00D14F89"/>
    <w:rsid w:val="00D15187"/>
    <w:rsid w:val="00D1566A"/>
    <w:rsid w:val="00D15B24"/>
    <w:rsid w:val="00D15D71"/>
    <w:rsid w:val="00D15E2E"/>
    <w:rsid w:val="00D16E2E"/>
    <w:rsid w:val="00D16E88"/>
    <w:rsid w:val="00D178B3"/>
    <w:rsid w:val="00D178CA"/>
    <w:rsid w:val="00D179DF"/>
    <w:rsid w:val="00D202DE"/>
    <w:rsid w:val="00D214EF"/>
    <w:rsid w:val="00D2189D"/>
    <w:rsid w:val="00D21A3C"/>
    <w:rsid w:val="00D21E56"/>
    <w:rsid w:val="00D21F81"/>
    <w:rsid w:val="00D2354C"/>
    <w:rsid w:val="00D23EA7"/>
    <w:rsid w:val="00D24739"/>
    <w:rsid w:val="00D257D8"/>
    <w:rsid w:val="00D25B5D"/>
    <w:rsid w:val="00D263B7"/>
    <w:rsid w:val="00D268F0"/>
    <w:rsid w:val="00D26F19"/>
    <w:rsid w:val="00D30C25"/>
    <w:rsid w:val="00D30E1A"/>
    <w:rsid w:val="00D31C65"/>
    <w:rsid w:val="00D3262A"/>
    <w:rsid w:val="00D326B4"/>
    <w:rsid w:val="00D32799"/>
    <w:rsid w:val="00D32F39"/>
    <w:rsid w:val="00D33140"/>
    <w:rsid w:val="00D332FB"/>
    <w:rsid w:val="00D34168"/>
    <w:rsid w:val="00D3489B"/>
    <w:rsid w:val="00D34BD6"/>
    <w:rsid w:val="00D34C28"/>
    <w:rsid w:val="00D3529C"/>
    <w:rsid w:val="00D358C0"/>
    <w:rsid w:val="00D36228"/>
    <w:rsid w:val="00D3634E"/>
    <w:rsid w:val="00D36595"/>
    <w:rsid w:val="00D37018"/>
    <w:rsid w:val="00D37645"/>
    <w:rsid w:val="00D3779D"/>
    <w:rsid w:val="00D37DBE"/>
    <w:rsid w:val="00D405F5"/>
    <w:rsid w:val="00D40BB8"/>
    <w:rsid w:val="00D4171E"/>
    <w:rsid w:val="00D4181B"/>
    <w:rsid w:val="00D42114"/>
    <w:rsid w:val="00D42150"/>
    <w:rsid w:val="00D4293B"/>
    <w:rsid w:val="00D42C61"/>
    <w:rsid w:val="00D43176"/>
    <w:rsid w:val="00D432B3"/>
    <w:rsid w:val="00D440B6"/>
    <w:rsid w:val="00D44744"/>
    <w:rsid w:val="00D447B2"/>
    <w:rsid w:val="00D4491F"/>
    <w:rsid w:val="00D44F09"/>
    <w:rsid w:val="00D450FB"/>
    <w:rsid w:val="00D45906"/>
    <w:rsid w:val="00D4690C"/>
    <w:rsid w:val="00D473A6"/>
    <w:rsid w:val="00D47BBD"/>
    <w:rsid w:val="00D501B4"/>
    <w:rsid w:val="00D504A5"/>
    <w:rsid w:val="00D507D7"/>
    <w:rsid w:val="00D50FF3"/>
    <w:rsid w:val="00D511A9"/>
    <w:rsid w:val="00D5253E"/>
    <w:rsid w:val="00D52A13"/>
    <w:rsid w:val="00D53045"/>
    <w:rsid w:val="00D5374B"/>
    <w:rsid w:val="00D537C9"/>
    <w:rsid w:val="00D53A36"/>
    <w:rsid w:val="00D53A5A"/>
    <w:rsid w:val="00D53FF6"/>
    <w:rsid w:val="00D54DDC"/>
    <w:rsid w:val="00D55008"/>
    <w:rsid w:val="00D55663"/>
    <w:rsid w:val="00D56016"/>
    <w:rsid w:val="00D56020"/>
    <w:rsid w:val="00D56237"/>
    <w:rsid w:val="00D56346"/>
    <w:rsid w:val="00D56655"/>
    <w:rsid w:val="00D5702C"/>
    <w:rsid w:val="00D570D4"/>
    <w:rsid w:val="00D601CE"/>
    <w:rsid w:val="00D60276"/>
    <w:rsid w:val="00D6036E"/>
    <w:rsid w:val="00D60697"/>
    <w:rsid w:val="00D60DAC"/>
    <w:rsid w:val="00D60DE2"/>
    <w:rsid w:val="00D61901"/>
    <w:rsid w:val="00D622A4"/>
    <w:rsid w:val="00D62AFA"/>
    <w:rsid w:val="00D635C1"/>
    <w:rsid w:val="00D63DF3"/>
    <w:rsid w:val="00D64E0B"/>
    <w:rsid w:val="00D66177"/>
    <w:rsid w:val="00D66953"/>
    <w:rsid w:val="00D66B01"/>
    <w:rsid w:val="00D66C6D"/>
    <w:rsid w:val="00D6722B"/>
    <w:rsid w:val="00D6735C"/>
    <w:rsid w:val="00D67581"/>
    <w:rsid w:val="00D67659"/>
    <w:rsid w:val="00D6787D"/>
    <w:rsid w:val="00D67971"/>
    <w:rsid w:val="00D67AD8"/>
    <w:rsid w:val="00D67EC4"/>
    <w:rsid w:val="00D70865"/>
    <w:rsid w:val="00D711ED"/>
    <w:rsid w:val="00D71256"/>
    <w:rsid w:val="00D713A4"/>
    <w:rsid w:val="00D713CD"/>
    <w:rsid w:val="00D716B5"/>
    <w:rsid w:val="00D717DD"/>
    <w:rsid w:val="00D72CE2"/>
    <w:rsid w:val="00D7326B"/>
    <w:rsid w:val="00D742C8"/>
    <w:rsid w:val="00D74E76"/>
    <w:rsid w:val="00D75100"/>
    <w:rsid w:val="00D751D5"/>
    <w:rsid w:val="00D763F4"/>
    <w:rsid w:val="00D765B9"/>
    <w:rsid w:val="00D76DA7"/>
    <w:rsid w:val="00D773B2"/>
    <w:rsid w:val="00D800E0"/>
    <w:rsid w:val="00D80D72"/>
    <w:rsid w:val="00D80DBA"/>
    <w:rsid w:val="00D81493"/>
    <w:rsid w:val="00D81687"/>
    <w:rsid w:val="00D81712"/>
    <w:rsid w:val="00D81ABF"/>
    <w:rsid w:val="00D8217B"/>
    <w:rsid w:val="00D828CC"/>
    <w:rsid w:val="00D82A6D"/>
    <w:rsid w:val="00D82DFB"/>
    <w:rsid w:val="00D8346E"/>
    <w:rsid w:val="00D83F4C"/>
    <w:rsid w:val="00D84D5E"/>
    <w:rsid w:val="00D85832"/>
    <w:rsid w:val="00D858F7"/>
    <w:rsid w:val="00D85A3F"/>
    <w:rsid w:val="00D85D46"/>
    <w:rsid w:val="00D8654B"/>
    <w:rsid w:val="00D867A6"/>
    <w:rsid w:val="00D86ABE"/>
    <w:rsid w:val="00D86B2B"/>
    <w:rsid w:val="00D86B40"/>
    <w:rsid w:val="00D875B2"/>
    <w:rsid w:val="00D9010B"/>
    <w:rsid w:val="00D90D2C"/>
    <w:rsid w:val="00D91AC3"/>
    <w:rsid w:val="00D91EA9"/>
    <w:rsid w:val="00D92074"/>
    <w:rsid w:val="00D9208A"/>
    <w:rsid w:val="00D9259A"/>
    <w:rsid w:val="00D92600"/>
    <w:rsid w:val="00D92C93"/>
    <w:rsid w:val="00D92FFA"/>
    <w:rsid w:val="00D93217"/>
    <w:rsid w:val="00D9322F"/>
    <w:rsid w:val="00D93AC3"/>
    <w:rsid w:val="00D94178"/>
    <w:rsid w:val="00D9475E"/>
    <w:rsid w:val="00D95C2F"/>
    <w:rsid w:val="00D95D83"/>
    <w:rsid w:val="00D96389"/>
    <w:rsid w:val="00D96592"/>
    <w:rsid w:val="00D966DC"/>
    <w:rsid w:val="00D96992"/>
    <w:rsid w:val="00D96D36"/>
    <w:rsid w:val="00D976FB"/>
    <w:rsid w:val="00D9795C"/>
    <w:rsid w:val="00D979A0"/>
    <w:rsid w:val="00DA017A"/>
    <w:rsid w:val="00DA0618"/>
    <w:rsid w:val="00DA08C1"/>
    <w:rsid w:val="00DA0E6A"/>
    <w:rsid w:val="00DA13DE"/>
    <w:rsid w:val="00DA1421"/>
    <w:rsid w:val="00DA1EBC"/>
    <w:rsid w:val="00DA2959"/>
    <w:rsid w:val="00DA2A53"/>
    <w:rsid w:val="00DA37A5"/>
    <w:rsid w:val="00DA37AC"/>
    <w:rsid w:val="00DA3B00"/>
    <w:rsid w:val="00DA4AC7"/>
    <w:rsid w:val="00DA4F28"/>
    <w:rsid w:val="00DA4FF1"/>
    <w:rsid w:val="00DA54D0"/>
    <w:rsid w:val="00DA5ACD"/>
    <w:rsid w:val="00DA5D5A"/>
    <w:rsid w:val="00DA5E26"/>
    <w:rsid w:val="00DA5E81"/>
    <w:rsid w:val="00DA5F8D"/>
    <w:rsid w:val="00DA5FEE"/>
    <w:rsid w:val="00DA6D81"/>
    <w:rsid w:val="00DA7921"/>
    <w:rsid w:val="00DA7F5D"/>
    <w:rsid w:val="00DB018D"/>
    <w:rsid w:val="00DB070C"/>
    <w:rsid w:val="00DB0C1C"/>
    <w:rsid w:val="00DB0C92"/>
    <w:rsid w:val="00DB0D5C"/>
    <w:rsid w:val="00DB199E"/>
    <w:rsid w:val="00DB208B"/>
    <w:rsid w:val="00DB25FA"/>
    <w:rsid w:val="00DB276B"/>
    <w:rsid w:val="00DB2E83"/>
    <w:rsid w:val="00DB2EBC"/>
    <w:rsid w:val="00DB42C3"/>
    <w:rsid w:val="00DB4995"/>
    <w:rsid w:val="00DB4B28"/>
    <w:rsid w:val="00DB5610"/>
    <w:rsid w:val="00DB59F7"/>
    <w:rsid w:val="00DB62B7"/>
    <w:rsid w:val="00DB64D8"/>
    <w:rsid w:val="00DB6548"/>
    <w:rsid w:val="00DB6A79"/>
    <w:rsid w:val="00DB6A83"/>
    <w:rsid w:val="00DB7517"/>
    <w:rsid w:val="00DB7CAE"/>
    <w:rsid w:val="00DC159F"/>
    <w:rsid w:val="00DC1C87"/>
    <w:rsid w:val="00DC201B"/>
    <w:rsid w:val="00DC2663"/>
    <w:rsid w:val="00DC2BAF"/>
    <w:rsid w:val="00DC2E48"/>
    <w:rsid w:val="00DC2F00"/>
    <w:rsid w:val="00DC33EB"/>
    <w:rsid w:val="00DC47C9"/>
    <w:rsid w:val="00DC4BFC"/>
    <w:rsid w:val="00DC4C73"/>
    <w:rsid w:val="00DC4F19"/>
    <w:rsid w:val="00DC527E"/>
    <w:rsid w:val="00DC52D1"/>
    <w:rsid w:val="00DC540C"/>
    <w:rsid w:val="00DC546B"/>
    <w:rsid w:val="00DC57DF"/>
    <w:rsid w:val="00DC581C"/>
    <w:rsid w:val="00DC5FEF"/>
    <w:rsid w:val="00DC61B6"/>
    <w:rsid w:val="00DC632A"/>
    <w:rsid w:val="00DC6889"/>
    <w:rsid w:val="00DC7664"/>
    <w:rsid w:val="00DC7D2F"/>
    <w:rsid w:val="00DD0186"/>
    <w:rsid w:val="00DD0C99"/>
    <w:rsid w:val="00DD148D"/>
    <w:rsid w:val="00DD19A1"/>
    <w:rsid w:val="00DD1C9F"/>
    <w:rsid w:val="00DD22C8"/>
    <w:rsid w:val="00DD22CD"/>
    <w:rsid w:val="00DD2812"/>
    <w:rsid w:val="00DD2BF3"/>
    <w:rsid w:val="00DD2F07"/>
    <w:rsid w:val="00DD3510"/>
    <w:rsid w:val="00DD4189"/>
    <w:rsid w:val="00DD47A7"/>
    <w:rsid w:val="00DD4B87"/>
    <w:rsid w:val="00DD4D21"/>
    <w:rsid w:val="00DD530C"/>
    <w:rsid w:val="00DD5744"/>
    <w:rsid w:val="00DD5A76"/>
    <w:rsid w:val="00DD5E0B"/>
    <w:rsid w:val="00DD6243"/>
    <w:rsid w:val="00DD634F"/>
    <w:rsid w:val="00DD6872"/>
    <w:rsid w:val="00DD6A70"/>
    <w:rsid w:val="00DD6F03"/>
    <w:rsid w:val="00DD7E9F"/>
    <w:rsid w:val="00DE02F4"/>
    <w:rsid w:val="00DE041D"/>
    <w:rsid w:val="00DE0858"/>
    <w:rsid w:val="00DE1E0F"/>
    <w:rsid w:val="00DE2098"/>
    <w:rsid w:val="00DE2213"/>
    <w:rsid w:val="00DE2530"/>
    <w:rsid w:val="00DE35D0"/>
    <w:rsid w:val="00DE3DF4"/>
    <w:rsid w:val="00DE463F"/>
    <w:rsid w:val="00DE4A4D"/>
    <w:rsid w:val="00DE61F6"/>
    <w:rsid w:val="00DE6529"/>
    <w:rsid w:val="00DE6C6F"/>
    <w:rsid w:val="00DE6F21"/>
    <w:rsid w:val="00DE6FC2"/>
    <w:rsid w:val="00DE7161"/>
    <w:rsid w:val="00DE7392"/>
    <w:rsid w:val="00DE7620"/>
    <w:rsid w:val="00DE7A25"/>
    <w:rsid w:val="00DF06BF"/>
    <w:rsid w:val="00DF0A8D"/>
    <w:rsid w:val="00DF1B35"/>
    <w:rsid w:val="00DF35C0"/>
    <w:rsid w:val="00DF392D"/>
    <w:rsid w:val="00DF4322"/>
    <w:rsid w:val="00DF445C"/>
    <w:rsid w:val="00DF481F"/>
    <w:rsid w:val="00DF4BFC"/>
    <w:rsid w:val="00DF4C2B"/>
    <w:rsid w:val="00DF57CF"/>
    <w:rsid w:val="00DF592D"/>
    <w:rsid w:val="00DF5C2F"/>
    <w:rsid w:val="00DF63DF"/>
    <w:rsid w:val="00DF6C8F"/>
    <w:rsid w:val="00DF6ECC"/>
    <w:rsid w:val="00E0073C"/>
    <w:rsid w:val="00E00924"/>
    <w:rsid w:val="00E00EB1"/>
    <w:rsid w:val="00E01014"/>
    <w:rsid w:val="00E01D0E"/>
    <w:rsid w:val="00E01D77"/>
    <w:rsid w:val="00E023EE"/>
    <w:rsid w:val="00E024A9"/>
    <w:rsid w:val="00E026E2"/>
    <w:rsid w:val="00E049C7"/>
    <w:rsid w:val="00E049D5"/>
    <w:rsid w:val="00E0537D"/>
    <w:rsid w:val="00E057B9"/>
    <w:rsid w:val="00E058D2"/>
    <w:rsid w:val="00E06289"/>
    <w:rsid w:val="00E064E6"/>
    <w:rsid w:val="00E06A54"/>
    <w:rsid w:val="00E076BB"/>
    <w:rsid w:val="00E07A9F"/>
    <w:rsid w:val="00E1046D"/>
    <w:rsid w:val="00E10B76"/>
    <w:rsid w:val="00E11322"/>
    <w:rsid w:val="00E113DA"/>
    <w:rsid w:val="00E1188B"/>
    <w:rsid w:val="00E11B63"/>
    <w:rsid w:val="00E11C12"/>
    <w:rsid w:val="00E11FB2"/>
    <w:rsid w:val="00E128B8"/>
    <w:rsid w:val="00E12ED1"/>
    <w:rsid w:val="00E13217"/>
    <w:rsid w:val="00E1351F"/>
    <w:rsid w:val="00E13E20"/>
    <w:rsid w:val="00E13EB8"/>
    <w:rsid w:val="00E14102"/>
    <w:rsid w:val="00E14EEA"/>
    <w:rsid w:val="00E151BB"/>
    <w:rsid w:val="00E1577E"/>
    <w:rsid w:val="00E16088"/>
    <w:rsid w:val="00E16174"/>
    <w:rsid w:val="00E16C17"/>
    <w:rsid w:val="00E17127"/>
    <w:rsid w:val="00E17BC9"/>
    <w:rsid w:val="00E17C7B"/>
    <w:rsid w:val="00E222A3"/>
    <w:rsid w:val="00E22759"/>
    <w:rsid w:val="00E22D4E"/>
    <w:rsid w:val="00E22EA9"/>
    <w:rsid w:val="00E230D3"/>
    <w:rsid w:val="00E234A5"/>
    <w:rsid w:val="00E24331"/>
    <w:rsid w:val="00E25E0B"/>
    <w:rsid w:val="00E25E2C"/>
    <w:rsid w:val="00E262C0"/>
    <w:rsid w:val="00E26378"/>
    <w:rsid w:val="00E2646E"/>
    <w:rsid w:val="00E26A2D"/>
    <w:rsid w:val="00E26DF7"/>
    <w:rsid w:val="00E2706B"/>
    <w:rsid w:val="00E2776C"/>
    <w:rsid w:val="00E2787B"/>
    <w:rsid w:val="00E27ABB"/>
    <w:rsid w:val="00E27DA7"/>
    <w:rsid w:val="00E27E6E"/>
    <w:rsid w:val="00E30D02"/>
    <w:rsid w:val="00E32429"/>
    <w:rsid w:val="00E33645"/>
    <w:rsid w:val="00E34304"/>
    <w:rsid w:val="00E34C9A"/>
    <w:rsid w:val="00E34CA7"/>
    <w:rsid w:val="00E34D33"/>
    <w:rsid w:val="00E353F9"/>
    <w:rsid w:val="00E36B4D"/>
    <w:rsid w:val="00E36D1B"/>
    <w:rsid w:val="00E402D9"/>
    <w:rsid w:val="00E4035A"/>
    <w:rsid w:val="00E40F11"/>
    <w:rsid w:val="00E41509"/>
    <w:rsid w:val="00E4227A"/>
    <w:rsid w:val="00E42CA6"/>
    <w:rsid w:val="00E42E24"/>
    <w:rsid w:val="00E43361"/>
    <w:rsid w:val="00E43D47"/>
    <w:rsid w:val="00E43E4D"/>
    <w:rsid w:val="00E43EA6"/>
    <w:rsid w:val="00E4405B"/>
    <w:rsid w:val="00E44222"/>
    <w:rsid w:val="00E444CB"/>
    <w:rsid w:val="00E45863"/>
    <w:rsid w:val="00E45A1D"/>
    <w:rsid w:val="00E4657D"/>
    <w:rsid w:val="00E4689F"/>
    <w:rsid w:val="00E46901"/>
    <w:rsid w:val="00E4690C"/>
    <w:rsid w:val="00E46C88"/>
    <w:rsid w:val="00E50195"/>
    <w:rsid w:val="00E5039E"/>
    <w:rsid w:val="00E50647"/>
    <w:rsid w:val="00E5066A"/>
    <w:rsid w:val="00E50CCB"/>
    <w:rsid w:val="00E51B63"/>
    <w:rsid w:val="00E51BB1"/>
    <w:rsid w:val="00E51C80"/>
    <w:rsid w:val="00E527B3"/>
    <w:rsid w:val="00E528AB"/>
    <w:rsid w:val="00E52B96"/>
    <w:rsid w:val="00E53050"/>
    <w:rsid w:val="00E54B70"/>
    <w:rsid w:val="00E5581D"/>
    <w:rsid w:val="00E56417"/>
    <w:rsid w:val="00E56616"/>
    <w:rsid w:val="00E56819"/>
    <w:rsid w:val="00E5706D"/>
    <w:rsid w:val="00E574E3"/>
    <w:rsid w:val="00E6026B"/>
    <w:rsid w:val="00E60FDC"/>
    <w:rsid w:val="00E615A3"/>
    <w:rsid w:val="00E620BB"/>
    <w:rsid w:val="00E621CE"/>
    <w:rsid w:val="00E63CEE"/>
    <w:rsid w:val="00E645CF"/>
    <w:rsid w:val="00E64F43"/>
    <w:rsid w:val="00E6523C"/>
    <w:rsid w:val="00E654C9"/>
    <w:rsid w:val="00E65512"/>
    <w:rsid w:val="00E65592"/>
    <w:rsid w:val="00E657FB"/>
    <w:rsid w:val="00E66048"/>
    <w:rsid w:val="00E666F3"/>
    <w:rsid w:val="00E66B09"/>
    <w:rsid w:val="00E6742E"/>
    <w:rsid w:val="00E706D2"/>
    <w:rsid w:val="00E70B77"/>
    <w:rsid w:val="00E70BA6"/>
    <w:rsid w:val="00E70DF4"/>
    <w:rsid w:val="00E713BB"/>
    <w:rsid w:val="00E7162A"/>
    <w:rsid w:val="00E71FFA"/>
    <w:rsid w:val="00E723F0"/>
    <w:rsid w:val="00E72596"/>
    <w:rsid w:val="00E725B7"/>
    <w:rsid w:val="00E72743"/>
    <w:rsid w:val="00E731DE"/>
    <w:rsid w:val="00E732B3"/>
    <w:rsid w:val="00E73C3A"/>
    <w:rsid w:val="00E763A7"/>
    <w:rsid w:val="00E76585"/>
    <w:rsid w:val="00E767F7"/>
    <w:rsid w:val="00E76983"/>
    <w:rsid w:val="00E77028"/>
    <w:rsid w:val="00E770DC"/>
    <w:rsid w:val="00E7715D"/>
    <w:rsid w:val="00E775C3"/>
    <w:rsid w:val="00E776E2"/>
    <w:rsid w:val="00E77A4C"/>
    <w:rsid w:val="00E809B4"/>
    <w:rsid w:val="00E809D9"/>
    <w:rsid w:val="00E80D2C"/>
    <w:rsid w:val="00E81484"/>
    <w:rsid w:val="00E81D39"/>
    <w:rsid w:val="00E81E3D"/>
    <w:rsid w:val="00E821D6"/>
    <w:rsid w:val="00E825A0"/>
    <w:rsid w:val="00E82F18"/>
    <w:rsid w:val="00E835B9"/>
    <w:rsid w:val="00E836B8"/>
    <w:rsid w:val="00E84216"/>
    <w:rsid w:val="00E842A4"/>
    <w:rsid w:val="00E85A3C"/>
    <w:rsid w:val="00E860C4"/>
    <w:rsid w:val="00E8693F"/>
    <w:rsid w:val="00E86C72"/>
    <w:rsid w:val="00E87695"/>
    <w:rsid w:val="00E878F8"/>
    <w:rsid w:val="00E87FBD"/>
    <w:rsid w:val="00E90333"/>
    <w:rsid w:val="00E9093D"/>
    <w:rsid w:val="00E90F69"/>
    <w:rsid w:val="00E91795"/>
    <w:rsid w:val="00E924DD"/>
    <w:rsid w:val="00E93A46"/>
    <w:rsid w:val="00E940DF"/>
    <w:rsid w:val="00E94708"/>
    <w:rsid w:val="00E949AE"/>
    <w:rsid w:val="00E954DB"/>
    <w:rsid w:val="00E95C5A"/>
    <w:rsid w:val="00E95EFD"/>
    <w:rsid w:val="00E9705D"/>
    <w:rsid w:val="00E97905"/>
    <w:rsid w:val="00E97BB5"/>
    <w:rsid w:val="00E97C0D"/>
    <w:rsid w:val="00EA038C"/>
    <w:rsid w:val="00EA186A"/>
    <w:rsid w:val="00EA2EF5"/>
    <w:rsid w:val="00EA3D9B"/>
    <w:rsid w:val="00EA4227"/>
    <w:rsid w:val="00EA4792"/>
    <w:rsid w:val="00EA4951"/>
    <w:rsid w:val="00EA4C19"/>
    <w:rsid w:val="00EA4D40"/>
    <w:rsid w:val="00EA4DC6"/>
    <w:rsid w:val="00EA51DF"/>
    <w:rsid w:val="00EA5430"/>
    <w:rsid w:val="00EA5B77"/>
    <w:rsid w:val="00EA6141"/>
    <w:rsid w:val="00EA6402"/>
    <w:rsid w:val="00EA6C58"/>
    <w:rsid w:val="00EA76FE"/>
    <w:rsid w:val="00EB2540"/>
    <w:rsid w:val="00EB2991"/>
    <w:rsid w:val="00EB2FD6"/>
    <w:rsid w:val="00EB3113"/>
    <w:rsid w:val="00EB3A66"/>
    <w:rsid w:val="00EB3DDA"/>
    <w:rsid w:val="00EB54A1"/>
    <w:rsid w:val="00EB5674"/>
    <w:rsid w:val="00EB5FE7"/>
    <w:rsid w:val="00EB6EF8"/>
    <w:rsid w:val="00EB715E"/>
    <w:rsid w:val="00EB79E0"/>
    <w:rsid w:val="00EC02B5"/>
    <w:rsid w:val="00EC079D"/>
    <w:rsid w:val="00EC0972"/>
    <w:rsid w:val="00EC0F74"/>
    <w:rsid w:val="00EC10D7"/>
    <w:rsid w:val="00EC1E2E"/>
    <w:rsid w:val="00EC1EDA"/>
    <w:rsid w:val="00EC1F0B"/>
    <w:rsid w:val="00EC2593"/>
    <w:rsid w:val="00EC293D"/>
    <w:rsid w:val="00EC2B9A"/>
    <w:rsid w:val="00EC3175"/>
    <w:rsid w:val="00EC4779"/>
    <w:rsid w:val="00EC4AD4"/>
    <w:rsid w:val="00EC4D38"/>
    <w:rsid w:val="00EC4E7A"/>
    <w:rsid w:val="00EC51DE"/>
    <w:rsid w:val="00EC56F0"/>
    <w:rsid w:val="00EC57A1"/>
    <w:rsid w:val="00EC5CBD"/>
    <w:rsid w:val="00EC6167"/>
    <w:rsid w:val="00EC6D86"/>
    <w:rsid w:val="00EC745B"/>
    <w:rsid w:val="00EC7524"/>
    <w:rsid w:val="00EC77CC"/>
    <w:rsid w:val="00EC7979"/>
    <w:rsid w:val="00EC7BD4"/>
    <w:rsid w:val="00EC7BFA"/>
    <w:rsid w:val="00EC7F43"/>
    <w:rsid w:val="00ED07A3"/>
    <w:rsid w:val="00ED0EF7"/>
    <w:rsid w:val="00ED0F9C"/>
    <w:rsid w:val="00ED1098"/>
    <w:rsid w:val="00ED2150"/>
    <w:rsid w:val="00ED21DF"/>
    <w:rsid w:val="00ED2394"/>
    <w:rsid w:val="00ED23C6"/>
    <w:rsid w:val="00ED2818"/>
    <w:rsid w:val="00ED2E69"/>
    <w:rsid w:val="00ED311A"/>
    <w:rsid w:val="00ED3524"/>
    <w:rsid w:val="00ED3665"/>
    <w:rsid w:val="00ED3B47"/>
    <w:rsid w:val="00ED5A3B"/>
    <w:rsid w:val="00ED5F68"/>
    <w:rsid w:val="00ED624C"/>
    <w:rsid w:val="00ED64D2"/>
    <w:rsid w:val="00ED668A"/>
    <w:rsid w:val="00ED6A1A"/>
    <w:rsid w:val="00ED6A53"/>
    <w:rsid w:val="00ED75AC"/>
    <w:rsid w:val="00EE03E5"/>
    <w:rsid w:val="00EE0836"/>
    <w:rsid w:val="00EE0F0B"/>
    <w:rsid w:val="00EE1665"/>
    <w:rsid w:val="00EE1E76"/>
    <w:rsid w:val="00EE3C57"/>
    <w:rsid w:val="00EE449E"/>
    <w:rsid w:val="00EE4BB2"/>
    <w:rsid w:val="00EE5BE2"/>
    <w:rsid w:val="00EE5DF0"/>
    <w:rsid w:val="00EE627F"/>
    <w:rsid w:val="00EE6489"/>
    <w:rsid w:val="00EE7BD7"/>
    <w:rsid w:val="00EF037B"/>
    <w:rsid w:val="00EF1632"/>
    <w:rsid w:val="00EF2586"/>
    <w:rsid w:val="00EF2852"/>
    <w:rsid w:val="00EF2EC7"/>
    <w:rsid w:val="00EF3440"/>
    <w:rsid w:val="00EF3A40"/>
    <w:rsid w:val="00EF3BEB"/>
    <w:rsid w:val="00EF3C09"/>
    <w:rsid w:val="00EF3CBF"/>
    <w:rsid w:val="00EF40CE"/>
    <w:rsid w:val="00EF40E2"/>
    <w:rsid w:val="00EF4743"/>
    <w:rsid w:val="00EF5403"/>
    <w:rsid w:val="00EF5A3F"/>
    <w:rsid w:val="00EF5C62"/>
    <w:rsid w:val="00EF651E"/>
    <w:rsid w:val="00EF66DB"/>
    <w:rsid w:val="00EF66EB"/>
    <w:rsid w:val="00EF68F8"/>
    <w:rsid w:val="00EF6B43"/>
    <w:rsid w:val="00EF7607"/>
    <w:rsid w:val="00EF7CA3"/>
    <w:rsid w:val="00F00087"/>
    <w:rsid w:val="00F00494"/>
    <w:rsid w:val="00F0070F"/>
    <w:rsid w:val="00F00799"/>
    <w:rsid w:val="00F00802"/>
    <w:rsid w:val="00F00A32"/>
    <w:rsid w:val="00F00A6F"/>
    <w:rsid w:val="00F00DD1"/>
    <w:rsid w:val="00F011BB"/>
    <w:rsid w:val="00F012CA"/>
    <w:rsid w:val="00F0146C"/>
    <w:rsid w:val="00F01490"/>
    <w:rsid w:val="00F022AA"/>
    <w:rsid w:val="00F02AEC"/>
    <w:rsid w:val="00F031AD"/>
    <w:rsid w:val="00F03B27"/>
    <w:rsid w:val="00F03DF2"/>
    <w:rsid w:val="00F0492A"/>
    <w:rsid w:val="00F04DD9"/>
    <w:rsid w:val="00F04F6F"/>
    <w:rsid w:val="00F057A8"/>
    <w:rsid w:val="00F0587E"/>
    <w:rsid w:val="00F05B76"/>
    <w:rsid w:val="00F05F1A"/>
    <w:rsid w:val="00F0629A"/>
    <w:rsid w:val="00F062C4"/>
    <w:rsid w:val="00F06AF9"/>
    <w:rsid w:val="00F06DB7"/>
    <w:rsid w:val="00F07108"/>
    <w:rsid w:val="00F07483"/>
    <w:rsid w:val="00F0775B"/>
    <w:rsid w:val="00F07767"/>
    <w:rsid w:val="00F11392"/>
    <w:rsid w:val="00F11519"/>
    <w:rsid w:val="00F11A8A"/>
    <w:rsid w:val="00F127A2"/>
    <w:rsid w:val="00F1330A"/>
    <w:rsid w:val="00F13395"/>
    <w:rsid w:val="00F13964"/>
    <w:rsid w:val="00F13C89"/>
    <w:rsid w:val="00F15445"/>
    <w:rsid w:val="00F15B73"/>
    <w:rsid w:val="00F15BD7"/>
    <w:rsid w:val="00F15D9D"/>
    <w:rsid w:val="00F16676"/>
    <w:rsid w:val="00F166F0"/>
    <w:rsid w:val="00F16AE4"/>
    <w:rsid w:val="00F16D32"/>
    <w:rsid w:val="00F1715A"/>
    <w:rsid w:val="00F1742E"/>
    <w:rsid w:val="00F17447"/>
    <w:rsid w:val="00F17733"/>
    <w:rsid w:val="00F177D9"/>
    <w:rsid w:val="00F17AF8"/>
    <w:rsid w:val="00F17DE3"/>
    <w:rsid w:val="00F20541"/>
    <w:rsid w:val="00F205C1"/>
    <w:rsid w:val="00F21171"/>
    <w:rsid w:val="00F21389"/>
    <w:rsid w:val="00F21752"/>
    <w:rsid w:val="00F228AE"/>
    <w:rsid w:val="00F2318F"/>
    <w:rsid w:val="00F2407E"/>
    <w:rsid w:val="00F24368"/>
    <w:rsid w:val="00F253D7"/>
    <w:rsid w:val="00F2573F"/>
    <w:rsid w:val="00F261A0"/>
    <w:rsid w:val="00F26903"/>
    <w:rsid w:val="00F27204"/>
    <w:rsid w:val="00F27243"/>
    <w:rsid w:val="00F27673"/>
    <w:rsid w:val="00F2777E"/>
    <w:rsid w:val="00F30651"/>
    <w:rsid w:val="00F307B1"/>
    <w:rsid w:val="00F3124C"/>
    <w:rsid w:val="00F31336"/>
    <w:rsid w:val="00F313AD"/>
    <w:rsid w:val="00F318C6"/>
    <w:rsid w:val="00F32A4D"/>
    <w:rsid w:val="00F33E59"/>
    <w:rsid w:val="00F3467E"/>
    <w:rsid w:val="00F34E85"/>
    <w:rsid w:val="00F35F08"/>
    <w:rsid w:val="00F36E32"/>
    <w:rsid w:val="00F40464"/>
    <w:rsid w:val="00F40720"/>
    <w:rsid w:val="00F40A28"/>
    <w:rsid w:val="00F40AC3"/>
    <w:rsid w:val="00F41820"/>
    <w:rsid w:val="00F418A2"/>
    <w:rsid w:val="00F41997"/>
    <w:rsid w:val="00F421E5"/>
    <w:rsid w:val="00F42E82"/>
    <w:rsid w:val="00F431BF"/>
    <w:rsid w:val="00F43B4C"/>
    <w:rsid w:val="00F44163"/>
    <w:rsid w:val="00F44912"/>
    <w:rsid w:val="00F454BA"/>
    <w:rsid w:val="00F457C7"/>
    <w:rsid w:val="00F45CBD"/>
    <w:rsid w:val="00F46943"/>
    <w:rsid w:val="00F472FF"/>
    <w:rsid w:val="00F478AC"/>
    <w:rsid w:val="00F47986"/>
    <w:rsid w:val="00F47E87"/>
    <w:rsid w:val="00F47EF8"/>
    <w:rsid w:val="00F50043"/>
    <w:rsid w:val="00F50D9D"/>
    <w:rsid w:val="00F51019"/>
    <w:rsid w:val="00F5108A"/>
    <w:rsid w:val="00F510E0"/>
    <w:rsid w:val="00F512D2"/>
    <w:rsid w:val="00F51527"/>
    <w:rsid w:val="00F51AFB"/>
    <w:rsid w:val="00F52BC8"/>
    <w:rsid w:val="00F5327A"/>
    <w:rsid w:val="00F534D2"/>
    <w:rsid w:val="00F5381D"/>
    <w:rsid w:val="00F53955"/>
    <w:rsid w:val="00F539B2"/>
    <w:rsid w:val="00F5501D"/>
    <w:rsid w:val="00F560DE"/>
    <w:rsid w:val="00F56236"/>
    <w:rsid w:val="00F5626F"/>
    <w:rsid w:val="00F56525"/>
    <w:rsid w:val="00F569A3"/>
    <w:rsid w:val="00F57640"/>
    <w:rsid w:val="00F577D2"/>
    <w:rsid w:val="00F57FE2"/>
    <w:rsid w:val="00F60AD0"/>
    <w:rsid w:val="00F60D0B"/>
    <w:rsid w:val="00F6133B"/>
    <w:rsid w:val="00F616A5"/>
    <w:rsid w:val="00F61B94"/>
    <w:rsid w:val="00F627B8"/>
    <w:rsid w:val="00F62C0A"/>
    <w:rsid w:val="00F62F4F"/>
    <w:rsid w:val="00F642F0"/>
    <w:rsid w:val="00F64B34"/>
    <w:rsid w:val="00F64BA3"/>
    <w:rsid w:val="00F6508E"/>
    <w:rsid w:val="00F65169"/>
    <w:rsid w:val="00F65339"/>
    <w:rsid w:val="00F6558D"/>
    <w:rsid w:val="00F66371"/>
    <w:rsid w:val="00F66860"/>
    <w:rsid w:val="00F67A85"/>
    <w:rsid w:val="00F67C8E"/>
    <w:rsid w:val="00F70601"/>
    <w:rsid w:val="00F7072A"/>
    <w:rsid w:val="00F70861"/>
    <w:rsid w:val="00F70D66"/>
    <w:rsid w:val="00F70FB6"/>
    <w:rsid w:val="00F71747"/>
    <w:rsid w:val="00F71A11"/>
    <w:rsid w:val="00F72571"/>
    <w:rsid w:val="00F73DD8"/>
    <w:rsid w:val="00F74D33"/>
    <w:rsid w:val="00F76272"/>
    <w:rsid w:val="00F76DFA"/>
    <w:rsid w:val="00F7762B"/>
    <w:rsid w:val="00F77DCB"/>
    <w:rsid w:val="00F80D1A"/>
    <w:rsid w:val="00F80D68"/>
    <w:rsid w:val="00F81C90"/>
    <w:rsid w:val="00F82618"/>
    <w:rsid w:val="00F82CB3"/>
    <w:rsid w:val="00F82D9A"/>
    <w:rsid w:val="00F83634"/>
    <w:rsid w:val="00F84886"/>
    <w:rsid w:val="00F84BA9"/>
    <w:rsid w:val="00F85306"/>
    <w:rsid w:val="00F855E9"/>
    <w:rsid w:val="00F85A88"/>
    <w:rsid w:val="00F85BE4"/>
    <w:rsid w:val="00F85D77"/>
    <w:rsid w:val="00F86714"/>
    <w:rsid w:val="00F86C4C"/>
    <w:rsid w:val="00F86D81"/>
    <w:rsid w:val="00F87812"/>
    <w:rsid w:val="00F904C1"/>
    <w:rsid w:val="00F908AC"/>
    <w:rsid w:val="00F90BA7"/>
    <w:rsid w:val="00F91AA5"/>
    <w:rsid w:val="00F921FA"/>
    <w:rsid w:val="00F925A8"/>
    <w:rsid w:val="00F93AF7"/>
    <w:rsid w:val="00F95800"/>
    <w:rsid w:val="00F95E99"/>
    <w:rsid w:val="00F96102"/>
    <w:rsid w:val="00F9667F"/>
    <w:rsid w:val="00F96DA5"/>
    <w:rsid w:val="00F96FBA"/>
    <w:rsid w:val="00F96FC9"/>
    <w:rsid w:val="00FA0316"/>
    <w:rsid w:val="00FA0ECD"/>
    <w:rsid w:val="00FA0F4E"/>
    <w:rsid w:val="00FA160A"/>
    <w:rsid w:val="00FA20AE"/>
    <w:rsid w:val="00FA2251"/>
    <w:rsid w:val="00FA2BF9"/>
    <w:rsid w:val="00FA2F1F"/>
    <w:rsid w:val="00FA339D"/>
    <w:rsid w:val="00FA357A"/>
    <w:rsid w:val="00FA38EC"/>
    <w:rsid w:val="00FA411B"/>
    <w:rsid w:val="00FA4643"/>
    <w:rsid w:val="00FA4676"/>
    <w:rsid w:val="00FA4BA5"/>
    <w:rsid w:val="00FA5779"/>
    <w:rsid w:val="00FA598B"/>
    <w:rsid w:val="00FA5B12"/>
    <w:rsid w:val="00FA5BC3"/>
    <w:rsid w:val="00FA61AC"/>
    <w:rsid w:val="00FA66EB"/>
    <w:rsid w:val="00FA753E"/>
    <w:rsid w:val="00FB028C"/>
    <w:rsid w:val="00FB0544"/>
    <w:rsid w:val="00FB0846"/>
    <w:rsid w:val="00FB0FF2"/>
    <w:rsid w:val="00FB1230"/>
    <w:rsid w:val="00FB3844"/>
    <w:rsid w:val="00FB3B73"/>
    <w:rsid w:val="00FB438E"/>
    <w:rsid w:val="00FB4438"/>
    <w:rsid w:val="00FB444B"/>
    <w:rsid w:val="00FB46C2"/>
    <w:rsid w:val="00FB5683"/>
    <w:rsid w:val="00FB5930"/>
    <w:rsid w:val="00FB598A"/>
    <w:rsid w:val="00FB5E49"/>
    <w:rsid w:val="00FB647A"/>
    <w:rsid w:val="00FB6F7E"/>
    <w:rsid w:val="00FB75D5"/>
    <w:rsid w:val="00FB7F0C"/>
    <w:rsid w:val="00FC0806"/>
    <w:rsid w:val="00FC09A7"/>
    <w:rsid w:val="00FC0B02"/>
    <w:rsid w:val="00FC1C69"/>
    <w:rsid w:val="00FC2418"/>
    <w:rsid w:val="00FC2A14"/>
    <w:rsid w:val="00FC2CA9"/>
    <w:rsid w:val="00FC37C4"/>
    <w:rsid w:val="00FC3E81"/>
    <w:rsid w:val="00FC518F"/>
    <w:rsid w:val="00FC5A2F"/>
    <w:rsid w:val="00FC5AEF"/>
    <w:rsid w:val="00FC5B5E"/>
    <w:rsid w:val="00FC60D8"/>
    <w:rsid w:val="00FC6E2A"/>
    <w:rsid w:val="00FC76DB"/>
    <w:rsid w:val="00FC7AAD"/>
    <w:rsid w:val="00FD06A0"/>
    <w:rsid w:val="00FD0C55"/>
    <w:rsid w:val="00FD1F8B"/>
    <w:rsid w:val="00FD2428"/>
    <w:rsid w:val="00FD25D3"/>
    <w:rsid w:val="00FD2D99"/>
    <w:rsid w:val="00FD2E93"/>
    <w:rsid w:val="00FD3951"/>
    <w:rsid w:val="00FD3EE8"/>
    <w:rsid w:val="00FD4069"/>
    <w:rsid w:val="00FD4CF4"/>
    <w:rsid w:val="00FD4EEA"/>
    <w:rsid w:val="00FD5DB7"/>
    <w:rsid w:val="00FD7B87"/>
    <w:rsid w:val="00FE1185"/>
    <w:rsid w:val="00FE191E"/>
    <w:rsid w:val="00FE1FB7"/>
    <w:rsid w:val="00FE2692"/>
    <w:rsid w:val="00FE38D6"/>
    <w:rsid w:val="00FE4485"/>
    <w:rsid w:val="00FE452D"/>
    <w:rsid w:val="00FE47A7"/>
    <w:rsid w:val="00FE4FD1"/>
    <w:rsid w:val="00FE60A7"/>
    <w:rsid w:val="00FE633F"/>
    <w:rsid w:val="00FE69F2"/>
    <w:rsid w:val="00FE6B9D"/>
    <w:rsid w:val="00FE709C"/>
    <w:rsid w:val="00FE77A9"/>
    <w:rsid w:val="00FE79FB"/>
    <w:rsid w:val="00FE7E3C"/>
    <w:rsid w:val="00FF065B"/>
    <w:rsid w:val="00FF2380"/>
    <w:rsid w:val="00FF2E24"/>
    <w:rsid w:val="00FF3046"/>
    <w:rsid w:val="00FF346F"/>
    <w:rsid w:val="00FF3496"/>
    <w:rsid w:val="00FF3844"/>
    <w:rsid w:val="00FF3BFC"/>
    <w:rsid w:val="00FF4687"/>
    <w:rsid w:val="00FF4816"/>
    <w:rsid w:val="00FF4B15"/>
    <w:rsid w:val="00FF54B4"/>
    <w:rsid w:val="00FF580E"/>
    <w:rsid w:val="00FF5D64"/>
    <w:rsid w:val="00FF6A0D"/>
    <w:rsid w:val="00FF6A83"/>
    <w:rsid w:val="00FF6BB2"/>
    <w:rsid w:val="00FF6C5B"/>
    <w:rsid w:val="00FF73C8"/>
    <w:rsid w:val="00FF7A17"/>
    <w:rsid w:val="01111167"/>
    <w:rsid w:val="01263A26"/>
    <w:rsid w:val="012A4E2C"/>
    <w:rsid w:val="01722330"/>
    <w:rsid w:val="01875990"/>
    <w:rsid w:val="01895066"/>
    <w:rsid w:val="020A0426"/>
    <w:rsid w:val="02403C5E"/>
    <w:rsid w:val="029C58B6"/>
    <w:rsid w:val="02A6409E"/>
    <w:rsid w:val="02B20C36"/>
    <w:rsid w:val="036D64BE"/>
    <w:rsid w:val="038B483B"/>
    <w:rsid w:val="03A1159F"/>
    <w:rsid w:val="040B7857"/>
    <w:rsid w:val="043A7A9A"/>
    <w:rsid w:val="044204CB"/>
    <w:rsid w:val="046468C3"/>
    <w:rsid w:val="04817C45"/>
    <w:rsid w:val="04A627EF"/>
    <w:rsid w:val="04FA0C07"/>
    <w:rsid w:val="05105B44"/>
    <w:rsid w:val="055C0538"/>
    <w:rsid w:val="056A3D21"/>
    <w:rsid w:val="05B45176"/>
    <w:rsid w:val="05C173E2"/>
    <w:rsid w:val="05D22899"/>
    <w:rsid w:val="05D47115"/>
    <w:rsid w:val="05F35163"/>
    <w:rsid w:val="063C4B5A"/>
    <w:rsid w:val="068745A2"/>
    <w:rsid w:val="06A95B17"/>
    <w:rsid w:val="06C7258F"/>
    <w:rsid w:val="07222102"/>
    <w:rsid w:val="073169B4"/>
    <w:rsid w:val="074E7498"/>
    <w:rsid w:val="074F00EF"/>
    <w:rsid w:val="07775F92"/>
    <w:rsid w:val="078046A1"/>
    <w:rsid w:val="07807CB4"/>
    <w:rsid w:val="078B58BC"/>
    <w:rsid w:val="07DC43EB"/>
    <w:rsid w:val="07F35166"/>
    <w:rsid w:val="08420CAE"/>
    <w:rsid w:val="08495B27"/>
    <w:rsid w:val="0868072A"/>
    <w:rsid w:val="087D1CE6"/>
    <w:rsid w:val="0891753F"/>
    <w:rsid w:val="08A61507"/>
    <w:rsid w:val="08C90A87"/>
    <w:rsid w:val="090A7CFB"/>
    <w:rsid w:val="09483F4F"/>
    <w:rsid w:val="09616F54"/>
    <w:rsid w:val="097B159D"/>
    <w:rsid w:val="0A047FAA"/>
    <w:rsid w:val="0A2A1F67"/>
    <w:rsid w:val="0A3D632C"/>
    <w:rsid w:val="0A542C86"/>
    <w:rsid w:val="0A876E4C"/>
    <w:rsid w:val="0A8A5B70"/>
    <w:rsid w:val="0AC017C4"/>
    <w:rsid w:val="0B0001A8"/>
    <w:rsid w:val="0B027444"/>
    <w:rsid w:val="0B0E46B2"/>
    <w:rsid w:val="0B951388"/>
    <w:rsid w:val="0BC02D85"/>
    <w:rsid w:val="0BC35C62"/>
    <w:rsid w:val="0BC612DE"/>
    <w:rsid w:val="0BE944B9"/>
    <w:rsid w:val="0C1E0B62"/>
    <w:rsid w:val="0C3B2D4C"/>
    <w:rsid w:val="0C49791E"/>
    <w:rsid w:val="0C5117C7"/>
    <w:rsid w:val="0CA515B9"/>
    <w:rsid w:val="0CA63777"/>
    <w:rsid w:val="0CD12600"/>
    <w:rsid w:val="0CE9794A"/>
    <w:rsid w:val="0D18150D"/>
    <w:rsid w:val="0D674748"/>
    <w:rsid w:val="0D6B4449"/>
    <w:rsid w:val="0D79669F"/>
    <w:rsid w:val="0DA7583D"/>
    <w:rsid w:val="0DAE533D"/>
    <w:rsid w:val="0DAF5709"/>
    <w:rsid w:val="0E06638E"/>
    <w:rsid w:val="0E4932FD"/>
    <w:rsid w:val="0E4F0F9D"/>
    <w:rsid w:val="0E554B4B"/>
    <w:rsid w:val="0E7D01F4"/>
    <w:rsid w:val="0E8E1FF0"/>
    <w:rsid w:val="0EB70BBE"/>
    <w:rsid w:val="0EB83A78"/>
    <w:rsid w:val="0EC63A5C"/>
    <w:rsid w:val="0F1A1821"/>
    <w:rsid w:val="0F39623B"/>
    <w:rsid w:val="0F53554E"/>
    <w:rsid w:val="0F580DB7"/>
    <w:rsid w:val="0FB37F33"/>
    <w:rsid w:val="0FB57406"/>
    <w:rsid w:val="0FD655EE"/>
    <w:rsid w:val="103337CC"/>
    <w:rsid w:val="105351AB"/>
    <w:rsid w:val="105960BA"/>
    <w:rsid w:val="106E792D"/>
    <w:rsid w:val="1093444C"/>
    <w:rsid w:val="10AF4D43"/>
    <w:rsid w:val="10B67883"/>
    <w:rsid w:val="10F928D6"/>
    <w:rsid w:val="110132E2"/>
    <w:rsid w:val="113C03CA"/>
    <w:rsid w:val="115519B9"/>
    <w:rsid w:val="11772B78"/>
    <w:rsid w:val="119C142F"/>
    <w:rsid w:val="11A75E5D"/>
    <w:rsid w:val="11FA794E"/>
    <w:rsid w:val="120A693B"/>
    <w:rsid w:val="120C74A1"/>
    <w:rsid w:val="12160742"/>
    <w:rsid w:val="123260C6"/>
    <w:rsid w:val="128F2FCF"/>
    <w:rsid w:val="12931B0E"/>
    <w:rsid w:val="12A16CD2"/>
    <w:rsid w:val="12BE53D5"/>
    <w:rsid w:val="13003E71"/>
    <w:rsid w:val="13090A4D"/>
    <w:rsid w:val="133631BD"/>
    <w:rsid w:val="13465927"/>
    <w:rsid w:val="134860C8"/>
    <w:rsid w:val="136B3B45"/>
    <w:rsid w:val="13EE7DF5"/>
    <w:rsid w:val="1421732F"/>
    <w:rsid w:val="14314B4D"/>
    <w:rsid w:val="14962415"/>
    <w:rsid w:val="149A5EC8"/>
    <w:rsid w:val="150D70A7"/>
    <w:rsid w:val="1526671F"/>
    <w:rsid w:val="15347BD0"/>
    <w:rsid w:val="15406ADE"/>
    <w:rsid w:val="1557386E"/>
    <w:rsid w:val="15593924"/>
    <w:rsid w:val="159442C1"/>
    <w:rsid w:val="15AA2780"/>
    <w:rsid w:val="15B46919"/>
    <w:rsid w:val="15D1049B"/>
    <w:rsid w:val="15E74C42"/>
    <w:rsid w:val="16225D6B"/>
    <w:rsid w:val="162645DF"/>
    <w:rsid w:val="16380F8F"/>
    <w:rsid w:val="164A1ED5"/>
    <w:rsid w:val="16535F2E"/>
    <w:rsid w:val="16774157"/>
    <w:rsid w:val="169C6C9A"/>
    <w:rsid w:val="16D17A4B"/>
    <w:rsid w:val="16DD7FA9"/>
    <w:rsid w:val="17247864"/>
    <w:rsid w:val="17524C74"/>
    <w:rsid w:val="179E28B4"/>
    <w:rsid w:val="17DE55A1"/>
    <w:rsid w:val="17F4622F"/>
    <w:rsid w:val="18231A0E"/>
    <w:rsid w:val="182808E1"/>
    <w:rsid w:val="18297794"/>
    <w:rsid w:val="184B770B"/>
    <w:rsid w:val="185B1889"/>
    <w:rsid w:val="1868486B"/>
    <w:rsid w:val="186A76B2"/>
    <w:rsid w:val="18776F47"/>
    <w:rsid w:val="18900BC2"/>
    <w:rsid w:val="18952734"/>
    <w:rsid w:val="18C92265"/>
    <w:rsid w:val="18D24660"/>
    <w:rsid w:val="18FC0A05"/>
    <w:rsid w:val="19184ED7"/>
    <w:rsid w:val="1949053F"/>
    <w:rsid w:val="196A744A"/>
    <w:rsid w:val="19780092"/>
    <w:rsid w:val="19BC42B4"/>
    <w:rsid w:val="19DB334F"/>
    <w:rsid w:val="1A341559"/>
    <w:rsid w:val="1A534654"/>
    <w:rsid w:val="1A772A39"/>
    <w:rsid w:val="1AD15F36"/>
    <w:rsid w:val="1AF37BE5"/>
    <w:rsid w:val="1B014C7A"/>
    <w:rsid w:val="1B4C35A6"/>
    <w:rsid w:val="1B8D003A"/>
    <w:rsid w:val="1BC83917"/>
    <w:rsid w:val="1BCD69CF"/>
    <w:rsid w:val="1BD91BBF"/>
    <w:rsid w:val="1C0320AA"/>
    <w:rsid w:val="1C4D4163"/>
    <w:rsid w:val="1C5B78C4"/>
    <w:rsid w:val="1C6D680C"/>
    <w:rsid w:val="1C8A6C21"/>
    <w:rsid w:val="1CA029EF"/>
    <w:rsid w:val="1CA7512B"/>
    <w:rsid w:val="1CE07DF8"/>
    <w:rsid w:val="1CE95744"/>
    <w:rsid w:val="1D035DBE"/>
    <w:rsid w:val="1D5C1FAA"/>
    <w:rsid w:val="1D6D4A68"/>
    <w:rsid w:val="1DA1156F"/>
    <w:rsid w:val="1DB61957"/>
    <w:rsid w:val="1DB8084B"/>
    <w:rsid w:val="1DC53EB8"/>
    <w:rsid w:val="1DDA6E3B"/>
    <w:rsid w:val="1DFE5CD2"/>
    <w:rsid w:val="1E1A1B5D"/>
    <w:rsid w:val="1E4F227A"/>
    <w:rsid w:val="1E5544A3"/>
    <w:rsid w:val="1EB91365"/>
    <w:rsid w:val="1ECA1864"/>
    <w:rsid w:val="1EED5728"/>
    <w:rsid w:val="1EF763EE"/>
    <w:rsid w:val="1EFF072C"/>
    <w:rsid w:val="1F0D7AE0"/>
    <w:rsid w:val="1F2B1A4C"/>
    <w:rsid w:val="1F2B4A9D"/>
    <w:rsid w:val="1F80696D"/>
    <w:rsid w:val="1FC55BA1"/>
    <w:rsid w:val="1FD2718E"/>
    <w:rsid w:val="1FFA17DD"/>
    <w:rsid w:val="20053DE8"/>
    <w:rsid w:val="20690247"/>
    <w:rsid w:val="20847BAA"/>
    <w:rsid w:val="209A6BDD"/>
    <w:rsid w:val="20BB6D44"/>
    <w:rsid w:val="210448FA"/>
    <w:rsid w:val="210A7A37"/>
    <w:rsid w:val="21211623"/>
    <w:rsid w:val="21335EE3"/>
    <w:rsid w:val="2139745F"/>
    <w:rsid w:val="21804733"/>
    <w:rsid w:val="21B2512C"/>
    <w:rsid w:val="21C85928"/>
    <w:rsid w:val="21F44FD4"/>
    <w:rsid w:val="21F574D7"/>
    <w:rsid w:val="22031F94"/>
    <w:rsid w:val="22641B98"/>
    <w:rsid w:val="22665141"/>
    <w:rsid w:val="2268661C"/>
    <w:rsid w:val="227F6765"/>
    <w:rsid w:val="2281628E"/>
    <w:rsid w:val="22886399"/>
    <w:rsid w:val="22A241DC"/>
    <w:rsid w:val="235F00D4"/>
    <w:rsid w:val="235F3575"/>
    <w:rsid w:val="23883EF2"/>
    <w:rsid w:val="23B03AF2"/>
    <w:rsid w:val="23B55136"/>
    <w:rsid w:val="23CC34AF"/>
    <w:rsid w:val="23DA7B95"/>
    <w:rsid w:val="23E201C6"/>
    <w:rsid w:val="23F46EA8"/>
    <w:rsid w:val="23FC1A32"/>
    <w:rsid w:val="246A3E30"/>
    <w:rsid w:val="24BF7917"/>
    <w:rsid w:val="24D72CF2"/>
    <w:rsid w:val="250E0906"/>
    <w:rsid w:val="251601F2"/>
    <w:rsid w:val="25766D22"/>
    <w:rsid w:val="259A582D"/>
    <w:rsid w:val="25A03C5B"/>
    <w:rsid w:val="261E66BD"/>
    <w:rsid w:val="26325A66"/>
    <w:rsid w:val="2637307C"/>
    <w:rsid w:val="263837FA"/>
    <w:rsid w:val="26486798"/>
    <w:rsid w:val="266E518D"/>
    <w:rsid w:val="269235A8"/>
    <w:rsid w:val="26DD339B"/>
    <w:rsid w:val="26F052F5"/>
    <w:rsid w:val="27015EA6"/>
    <w:rsid w:val="2702368A"/>
    <w:rsid w:val="27076508"/>
    <w:rsid w:val="277347AA"/>
    <w:rsid w:val="27886765"/>
    <w:rsid w:val="279817AC"/>
    <w:rsid w:val="27E060C5"/>
    <w:rsid w:val="27F2043E"/>
    <w:rsid w:val="2836388A"/>
    <w:rsid w:val="285A4BE2"/>
    <w:rsid w:val="28950FE6"/>
    <w:rsid w:val="28982FEF"/>
    <w:rsid w:val="28A226FB"/>
    <w:rsid w:val="28B3667D"/>
    <w:rsid w:val="28EC5BE2"/>
    <w:rsid w:val="290342EC"/>
    <w:rsid w:val="29037B8D"/>
    <w:rsid w:val="290A5C6F"/>
    <w:rsid w:val="29234143"/>
    <w:rsid w:val="29433BFA"/>
    <w:rsid w:val="29681846"/>
    <w:rsid w:val="29730D42"/>
    <w:rsid w:val="297516AE"/>
    <w:rsid w:val="2985264C"/>
    <w:rsid w:val="29C81EB1"/>
    <w:rsid w:val="29FB0865"/>
    <w:rsid w:val="2A423D36"/>
    <w:rsid w:val="2A43454F"/>
    <w:rsid w:val="2A5D7877"/>
    <w:rsid w:val="2A751903"/>
    <w:rsid w:val="2A916108"/>
    <w:rsid w:val="2AA72AC9"/>
    <w:rsid w:val="2B190EEE"/>
    <w:rsid w:val="2B1E0CAF"/>
    <w:rsid w:val="2B5D5B53"/>
    <w:rsid w:val="2B621F19"/>
    <w:rsid w:val="2B966A97"/>
    <w:rsid w:val="2BA66AA7"/>
    <w:rsid w:val="2BC03B14"/>
    <w:rsid w:val="2BEF2FFA"/>
    <w:rsid w:val="2C054070"/>
    <w:rsid w:val="2C1F4CDE"/>
    <w:rsid w:val="2C3E38E8"/>
    <w:rsid w:val="2C497689"/>
    <w:rsid w:val="2C7D517D"/>
    <w:rsid w:val="2C7F39CF"/>
    <w:rsid w:val="2C80355B"/>
    <w:rsid w:val="2C97093C"/>
    <w:rsid w:val="2CBC08C1"/>
    <w:rsid w:val="2CC15EAD"/>
    <w:rsid w:val="2CD15A50"/>
    <w:rsid w:val="2D3647B7"/>
    <w:rsid w:val="2D4A5F2A"/>
    <w:rsid w:val="2D544AB8"/>
    <w:rsid w:val="2D564FFD"/>
    <w:rsid w:val="2D5C6381"/>
    <w:rsid w:val="2DAE0518"/>
    <w:rsid w:val="2DB32C12"/>
    <w:rsid w:val="2DCC0F81"/>
    <w:rsid w:val="2DD213DE"/>
    <w:rsid w:val="2DFD44B7"/>
    <w:rsid w:val="2E3F51C4"/>
    <w:rsid w:val="2E7C2D3D"/>
    <w:rsid w:val="2EA03568"/>
    <w:rsid w:val="2EBC6814"/>
    <w:rsid w:val="2EFE5F88"/>
    <w:rsid w:val="2F013C21"/>
    <w:rsid w:val="2F0A3A24"/>
    <w:rsid w:val="2F745E32"/>
    <w:rsid w:val="2F8320D1"/>
    <w:rsid w:val="2FAC69BE"/>
    <w:rsid w:val="306B0209"/>
    <w:rsid w:val="3071664A"/>
    <w:rsid w:val="30740A04"/>
    <w:rsid w:val="307B1947"/>
    <w:rsid w:val="30A27C8C"/>
    <w:rsid w:val="30AF30DB"/>
    <w:rsid w:val="30B52EED"/>
    <w:rsid w:val="30C01930"/>
    <w:rsid w:val="30DD33CA"/>
    <w:rsid w:val="30DF0FA6"/>
    <w:rsid w:val="30FD2179"/>
    <w:rsid w:val="310E590B"/>
    <w:rsid w:val="31246509"/>
    <w:rsid w:val="31347173"/>
    <w:rsid w:val="314523BC"/>
    <w:rsid w:val="32451A16"/>
    <w:rsid w:val="324E6731"/>
    <w:rsid w:val="32717F31"/>
    <w:rsid w:val="32B769D8"/>
    <w:rsid w:val="32DF7445"/>
    <w:rsid w:val="32F827B3"/>
    <w:rsid w:val="33061317"/>
    <w:rsid w:val="33200AB0"/>
    <w:rsid w:val="338E71EC"/>
    <w:rsid w:val="338F0C4E"/>
    <w:rsid w:val="338F7669"/>
    <w:rsid w:val="33912449"/>
    <w:rsid w:val="33CB74FA"/>
    <w:rsid w:val="33E06556"/>
    <w:rsid w:val="33EF2883"/>
    <w:rsid w:val="340B78F6"/>
    <w:rsid w:val="342D0021"/>
    <w:rsid w:val="342F2E94"/>
    <w:rsid w:val="345134E8"/>
    <w:rsid w:val="34A24565"/>
    <w:rsid w:val="352E3C58"/>
    <w:rsid w:val="35370364"/>
    <w:rsid w:val="3559796D"/>
    <w:rsid w:val="35753BC1"/>
    <w:rsid w:val="358D7C7C"/>
    <w:rsid w:val="35BC765C"/>
    <w:rsid w:val="35CD4D46"/>
    <w:rsid w:val="35F74605"/>
    <w:rsid w:val="35FC5BCD"/>
    <w:rsid w:val="35FC7FC3"/>
    <w:rsid w:val="360B7EF1"/>
    <w:rsid w:val="361231BE"/>
    <w:rsid w:val="3613214E"/>
    <w:rsid w:val="365D04A4"/>
    <w:rsid w:val="367B5207"/>
    <w:rsid w:val="36BC4D5F"/>
    <w:rsid w:val="36C01682"/>
    <w:rsid w:val="36CE74B1"/>
    <w:rsid w:val="370B500F"/>
    <w:rsid w:val="37192AB7"/>
    <w:rsid w:val="3721772A"/>
    <w:rsid w:val="37342D2A"/>
    <w:rsid w:val="373919BF"/>
    <w:rsid w:val="373B6744"/>
    <w:rsid w:val="37475806"/>
    <w:rsid w:val="378A0220"/>
    <w:rsid w:val="37AF33BA"/>
    <w:rsid w:val="37B42C4A"/>
    <w:rsid w:val="380D1E8F"/>
    <w:rsid w:val="381C0324"/>
    <w:rsid w:val="38523D46"/>
    <w:rsid w:val="385B05E9"/>
    <w:rsid w:val="38FE7422"/>
    <w:rsid w:val="390E4390"/>
    <w:rsid w:val="39203E44"/>
    <w:rsid w:val="392F06E3"/>
    <w:rsid w:val="39470B76"/>
    <w:rsid w:val="3951760D"/>
    <w:rsid w:val="397C39E8"/>
    <w:rsid w:val="397D24EB"/>
    <w:rsid w:val="39B2192F"/>
    <w:rsid w:val="39C447DE"/>
    <w:rsid w:val="39D96C03"/>
    <w:rsid w:val="39F52F79"/>
    <w:rsid w:val="39FF1CAB"/>
    <w:rsid w:val="3A157C54"/>
    <w:rsid w:val="3A2321AA"/>
    <w:rsid w:val="3A232212"/>
    <w:rsid w:val="3A681968"/>
    <w:rsid w:val="3A733DA9"/>
    <w:rsid w:val="3AA71132"/>
    <w:rsid w:val="3B157A3A"/>
    <w:rsid w:val="3B24644D"/>
    <w:rsid w:val="3B783AC3"/>
    <w:rsid w:val="3B805D78"/>
    <w:rsid w:val="3B826852"/>
    <w:rsid w:val="3B8701F4"/>
    <w:rsid w:val="3BBB3B5F"/>
    <w:rsid w:val="3BEC7FC6"/>
    <w:rsid w:val="3C192C93"/>
    <w:rsid w:val="3C45322E"/>
    <w:rsid w:val="3C892115"/>
    <w:rsid w:val="3CD71ECC"/>
    <w:rsid w:val="3CE06494"/>
    <w:rsid w:val="3CFF43FE"/>
    <w:rsid w:val="3D016C21"/>
    <w:rsid w:val="3D2D705F"/>
    <w:rsid w:val="3D606F05"/>
    <w:rsid w:val="3D8C7749"/>
    <w:rsid w:val="3DAA55D9"/>
    <w:rsid w:val="3DBA723E"/>
    <w:rsid w:val="3DF77869"/>
    <w:rsid w:val="3DFC561F"/>
    <w:rsid w:val="3E5432A3"/>
    <w:rsid w:val="3E6B3DB3"/>
    <w:rsid w:val="3E826CD8"/>
    <w:rsid w:val="3ED454B4"/>
    <w:rsid w:val="3ED87B8C"/>
    <w:rsid w:val="3EF25D30"/>
    <w:rsid w:val="3F3D5750"/>
    <w:rsid w:val="3F466090"/>
    <w:rsid w:val="3F9F3D14"/>
    <w:rsid w:val="3FB64B63"/>
    <w:rsid w:val="3FD042A6"/>
    <w:rsid w:val="3FD251A0"/>
    <w:rsid w:val="3FDD65EB"/>
    <w:rsid w:val="3FFE48D8"/>
    <w:rsid w:val="40090768"/>
    <w:rsid w:val="40127C87"/>
    <w:rsid w:val="4065146E"/>
    <w:rsid w:val="407B3177"/>
    <w:rsid w:val="40D10BED"/>
    <w:rsid w:val="40FB7B99"/>
    <w:rsid w:val="41181881"/>
    <w:rsid w:val="41562AF9"/>
    <w:rsid w:val="41A95D0C"/>
    <w:rsid w:val="41AE1BD6"/>
    <w:rsid w:val="41E308B2"/>
    <w:rsid w:val="424946DE"/>
    <w:rsid w:val="427F1BDB"/>
    <w:rsid w:val="42A24CA2"/>
    <w:rsid w:val="42B631EC"/>
    <w:rsid w:val="42B75819"/>
    <w:rsid w:val="42DC0DDB"/>
    <w:rsid w:val="433C7ACC"/>
    <w:rsid w:val="43496B57"/>
    <w:rsid w:val="438455DC"/>
    <w:rsid w:val="43D65374"/>
    <w:rsid w:val="43E30CD8"/>
    <w:rsid w:val="440D1B64"/>
    <w:rsid w:val="44182B72"/>
    <w:rsid w:val="44190B72"/>
    <w:rsid w:val="443E2DD9"/>
    <w:rsid w:val="448B7B2B"/>
    <w:rsid w:val="44EB09BC"/>
    <w:rsid w:val="45593668"/>
    <w:rsid w:val="456F4189"/>
    <w:rsid w:val="457D171F"/>
    <w:rsid w:val="457D5305"/>
    <w:rsid w:val="45891A3F"/>
    <w:rsid w:val="45987F3D"/>
    <w:rsid w:val="45A429FE"/>
    <w:rsid w:val="45D57CCA"/>
    <w:rsid w:val="45E768BF"/>
    <w:rsid w:val="45F8342E"/>
    <w:rsid w:val="461B7C2C"/>
    <w:rsid w:val="462E30B3"/>
    <w:rsid w:val="463840AD"/>
    <w:rsid w:val="46426583"/>
    <w:rsid w:val="467475A8"/>
    <w:rsid w:val="46D4486F"/>
    <w:rsid w:val="46E62EC5"/>
    <w:rsid w:val="47076994"/>
    <w:rsid w:val="471C67CE"/>
    <w:rsid w:val="47283A28"/>
    <w:rsid w:val="477426B9"/>
    <w:rsid w:val="47AB55D7"/>
    <w:rsid w:val="47C84024"/>
    <w:rsid w:val="47CA04B4"/>
    <w:rsid w:val="480F422C"/>
    <w:rsid w:val="48106929"/>
    <w:rsid w:val="48394753"/>
    <w:rsid w:val="4846755A"/>
    <w:rsid w:val="487B7F94"/>
    <w:rsid w:val="48853CC3"/>
    <w:rsid w:val="48B071AF"/>
    <w:rsid w:val="48C34378"/>
    <w:rsid w:val="48F06A89"/>
    <w:rsid w:val="48F31245"/>
    <w:rsid w:val="48FE6010"/>
    <w:rsid w:val="495C6607"/>
    <w:rsid w:val="496960BC"/>
    <w:rsid w:val="49821833"/>
    <w:rsid w:val="498B43A9"/>
    <w:rsid w:val="49AE519A"/>
    <w:rsid w:val="49C12A7C"/>
    <w:rsid w:val="49FB423D"/>
    <w:rsid w:val="4A304A25"/>
    <w:rsid w:val="4A387F45"/>
    <w:rsid w:val="4A3E6555"/>
    <w:rsid w:val="4A57684F"/>
    <w:rsid w:val="4A857762"/>
    <w:rsid w:val="4A985ECF"/>
    <w:rsid w:val="4A9F62A6"/>
    <w:rsid w:val="4AA40A5C"/>
    <w:rsid w:val="4ABF34BD"/>
    <w:rsid w:val="4AC54E73"/>
    <w:rsid w:val="4AD4737D"/>
    <w:rsid w:val="4AE022B7"/>
    <w:rsid w:val="4AFA2747"/>
    <w:rsid w:val="4B3E552C"/>
    <w:rsid w:val="4B736055"/>
    <w:rsid w:val="4BF11F43"/>
    <w:rsid w:val="4BFB6D5E"/>
    <w:rsid w:val="4C3A3E54"/>
    <w:rsid w:val="4C676779"/>
    <w:rsid w:val="4C7C3002"/>
    <w:rsid w:val="4C8678B3"/>
    <w:rsid w:val="4CC97F26"/>
    <w:rsid w:val="4CDB38BA"/>
    <w:rsid w:val="4D035FC8"/>
    <w:rsid w:val="4D206361"/>
    <w:rsid w:val="4D2B308B"/>
    <w:rsid w:val="4D4C674B"/>
    <w:rsid w:val="4DCB5846"/>
    <w:rsid w:val="4DEF69A1"/>
    <w:rsid w:val="4E0672DA"/>
    <w:rsid w:val="4E150C61"/>
    <w:rsid w:val="4E4C45FC"/>
    <w:rsid w:val="4E6208DF"/>
    <w:rsid w:val="4E8D3473"/>
    <w:rsid w:val="4E8E47CB"/>
    <w:rsid w:val="4EF80419"/>
    <w:rsid w:val="4EFE6BDF"/>
    <w:rsid w:val="4F2E6277"/>
    <w:rsid w:val="4F5234D0"/>
    <w:rsid w:val="4F636F30"/>
    <w:rsid w:val="4F8B564D"/>
    <w:rsid w:val="4F912F4E"/>
    <w:rsid w:val="4F9A413F"/>
    <w:rsid w:val="4FC64006"/>
    <w:rsid w:val="4FD221F1"/>
    <w:rsid w:val="50061B6A"/>
    <w:rsid w:val="50106736"/>
    <w:rsid w:val="50432AA1"/>
    <w:rsid w:val="50666648"/>
    <w:rsid w:val="50A75FB0"/>
    <w:rsid w:val="50C11FD8"/>
    <w:rsid w:val="50EF7DC1"/>
    <w:rsid w:val="51326522"/>
    <w:rsid w:val="514E2871"/>
    <w:rsid w:val="51551F7B"/>
    <w:rsid w:val="51635195"/>
    <w:rsid w:val="51786173"/>
    <w:rsid w:val="517B1808"/>
    <w:rsid w:val="517C15DF"/>
    <w:rsid w:val="51B86EB8"/>
    <w:rsid w:val="51C841AF"/>
    <w:rsid w:val="51E2581F"/>
    <w:rsid w:val="520F3BF8"/>
    <w:rsid w:val="52367C51"/>
    <w:rsid w:val="523D5600"/>
    <w:rsid w:val="523E212F"/>
    <w:rsid w:val="525363DC"/>
    <w:rsid w:val="52613006"/>
    <w:rsid w:val="5264702A"/>
    <w:rsid w:val="526B3F2A"/>
    <w:rsid w:val="52713C07"/>
    <w:rsid w:val="52923E5F"/>
    <w:rsid w:val="52A1182A"/>
    <w:rsid w:val="52AE25AC"/>
    <w:rsid w:val="52C20029"/>
    <w:rsid w:val="52E635B0"/>
    <w:rsid w:val="52E67747"/>
    <w:rsid w:val="537B4521"/>
    <w:rsid w:val="53CF72B2"/>
    <w:rsid w:val="53D32A25"/>
    <w:rsid w:val="53D5112A"/>
    <w:rsid w:val="53DE497C"/>
    <w:rsid w:val="53E106AF"/>
    <w:rsid w:val="53F965C2"/>
    <w:rsid w:val="540E215B"/>
    <w:rsid w:val="541B7304"/>
    <w:rsid w:val="542C68CB"/>
    <w:rsid w:val="544D7D0A"/>
    <w:rsid w:val="546F09F8"/>
    <w:rsid w:val="54972D4C"/>
    <w:rsid w:val="54A20968"/>
    <w:rsid w:val="54B60477"/>
    <w:rsid w:val="54D60B1D"/>
    <w:rsid w:val="55081F04"/>
    <w:rsid w:val="550B72FE"/>
    <w:rsid w:val="551A7182"/>
    <w:rsid w:val="552D0253"/>
    <w:rsid w:val="55311979"/>
    <w:rsid w:val="5533124C"/>
    <w:rsid w:val="56002BDB"/>
    <w:rsid w:val="560721BC"/>
    <w:rsid w:val="56133B1A"/>
    <w:rsid w:val="561669E8"/>
    <w:rsid w:val="56372A8F"/>
    <w:rsid w:val="56702A5D"/>
    <w:rsid w:val="56BC4D54"/>
    <w:rsid w:val="56D12C35"/>
    <w:rsid w:val="56F50EFE"/>
    <w:rsid w:val="57215673"/>
    <w:rsid w:val="572A6162"/>
    <w:rsid w:val="573219DA"/>
    <w:rsid w:val="5739064C"/>
    <w:rsid w:val="57732947"/>
    <w:rsid w:val="57870D33"/>
    <w:rsid w:val="57C669AB"/>
    <w:rsid w:val="57DC00EE"/>
    <w:rsid w:val="583A62E1"/>
    <w:rsid w:val="585A7245"/>
    <w:rsid w:val="589D4181"/>
    <w:rsid w:val="58A44011"/>
    <w:rsid w:val="58E50928"/>
    <w:rsid w:val="592D1808"/>
    <w:rsid w:val="594220D0"/>
    <w:rsid w:val="594A6F82"/>
    <w:rsid w:val="59882D07"/>
    <w:rsid w:val="599124C8"/>
    <w:rsid w:val="59D5139A"/>
    <w:rsid w:val="59DA44C7"/>
    <w:rsid w:val="5A237A37"/>
    <w:rsid w:val="5A294A30"/>
    <w:rsid w:val="5A303D4D"/>
    <w:rsid w:val="5A345F33"/>
    <w:rsid w:val="5A4A6C24"/>
    <w:rsid w:val="5AC2396A"/>
    <w:rsid w:val="5AC531DA"/>
    <w:rsid w:val="5AFA7489"/>
    <w:rsid w:val="5AFF16B3"/>
    <w:rsid w:val="5B24522A"/>
    <w:rsid w:val="5B254AF2"/>
    <w:rsid w:val="5B3A6B8F"/>
    <w:rsid w:val="5B5211DD"/>
    <w:rsid w:val="5B6A7475"/>
    <w:rsid w:val="5BCB5E61"/>
    <w:rsid w:val="5BCE2C90"/>
    <w:rsid w:val="5C1B1AE2"/>
    <w:rsid w:val="5C1E47A6"/>
    <w:rsid w:val="5C1F5A65"/>
    <w:rsid w:val="5C360BEE"/>
    <w:rsid w:val="5C657C3C"/>
    <w:rsid w:val="5C8E2CEF"/>
    <w:rsid w:val="5CEE527D"/>
    <w:rsid w:val="5D427125"/>
    <w:rsid w:val="5D7D48AD"/>
    <w:rsid w:val="5DB37EE1"/>
    <w:rsid w:val="5DD06B1F"/>
    <w:rsid w:val="5E2507EE"/>
    <w:rsid w:val="5E537ADD"/>
    <w:rsid w:val="5ED8014D"/>
    <w:rsid w:val="5F48187B"/>
    <w:rsid w:val="5F4E2C09"/>
    <w:rsid w:val="5F6F56CE"/>
    <w:rsid w:val="5F722959"/>
    <w:rsid w:val="5F761D46"/>
    <w:rsid w:val="5F9C1BC7"/>
    <w:rsid w:val="5FC71FB1"/>
    <w:rsid w:val="5FC8476A"/>
    <w:rsid w:val="60067040"/>
    <w:rsid w:val="60436713"/>
    <w:rsid w:val="60800A0F"/>
    <w:rsid w:val="60814C29"/>
    <w:rsid w:val="60922AD0"/>
    <w:rsid w:val="60C407E0"/>
    <w:rsid w:val="60D97FC9"/>
    <w:rsid w:val="61271B17"/>
    <w:rsid w:val="613B0FAE"/>
    <w:rsid w:val="613D7711"/>
    <w:rsid w:val="615F2BFE"/>
    <w:rsid w:val="616E30EF"/>
    <w:rsid w:val="61BF0E4D"/>
    <w:rsid w:val="61DE0274"/>
    <w:rsid w:val="620B00EE"/>
    <w:rsid w:val="621C0038"/>
    <w:rsid w:val="62871D7E"/>
    <w:rsid w:val="629B51D0"/>
    <w:rsid w:val="630930CF"/>
    <w:rsid w:val="637A3B85"/>
    <w:rsid w:val="63AE198F"/>
    <w:rsid w:val="63D80B22"/>
    <w:rsid w:val="63ED2939"/>
    <w:rsid w:val="63EF6311"/>
    <w:rsid w:val="63F05FA2"/>
    <w:rsid w:val="64095946"/>
    <w:rsid w:val="642420B1"/>
    <w:rsid w:val="642E1CE1"/>
    <w:rsid w:val="644134F7"/>
    <w:rsid w:val="647E7622"/>
    <w:rsid w:val="64817C06"/>
    <w:rsid w:val="64E740F3"/>
    <w:rsid w:val="65136895"/>
    <w:rsid w:val="652F0DE7"/>
    <w:rsid w:val="654B470C"/>
    <w:rsid w:val="655A4317"/>
    <w:rsid w:val="655B508A"/>
    <w:rsid w:val="65735178"/>
    <w:rsid w:val="660F27DC"/>
    <w:rsid w:val="66B4446C"/>
    <w:rsid w:val="66E76C6C"/>
    <w:rsid w:val="672524A2"/>
    <w:rsid w:val="67A27F96"/>
    <w:rsid w:val="67DC3E2E"/>
    <w:rsid w:val="67ED56C7"/>
    <w:rsid w:val="681E0EB3"/>
    <w:rsid w:val="68EB3DB7"/>
    <w:rsid w:val="69074555"/>
    <w:rsid w:val="690B6DDE"/>
    <w:rsid w:val="692A0EE9"/>
    <w:rsid w:val="692A4617"/>
    <w:rsid w:val="692E2278"/>
    <w:rsid w:val="69945039"/>
    <w:rsid w:val="69C630B7"/>
    <w:rsid w:val="69FA4268"/>
    <w:rsid w:val="69FD14B4"/>
    <w:rsid w:val="6A971FB5"/>
    <w:rsid w:val="6A9C166E"/>
    <w:rsid w:val="6AA771B0"/>
    <w:rsid w:val="6AB4237B"/>
    <w:rsid w:val="6AC74B47"/>
    <w:rsid w:val="6ACE3652"/>
    <w:rsid w:val="6AEC77C0"/>
    <w:rsid w:val="6AEF1157"/>
    <w:rsid w:val="6AFF22E6"/>
    <w:rsid w:val="6B43691D"/>
    <w:rsid w:val="6B493837"/>
    <w:rsid w:val="6B7746BD"/>
    <w:rsid w:val="6B8877F0"/>
    <w:rsid w:val="6BC43C09"/>
    <w:rsid w:val="6C2E533A"/>
    <w:rsid w:val="6C6C3E2D"/>
    <w:rsid w:val="6C83626C"/>
    <w:rsid w:val="6CA85335"/>
    <w:rsid w:val="6D305661"/>
    <w:rsid w:val="6D5A3D43"/>
    <w:rsid w:val="6D9D15C9"/>
    <w:rsid w:val="6DCA3150"/>
    <w:rsid w:val="6DF70E73"/>
    <w:rsid w:val="6E3C2BCA"/>
    <w:rsid w:val="6E3F147A"/>
    <w:rsid w:val="6E4A5DE9"/>
    <w:rsid w:val="6E67428B"/>
    <w:rsid w:val="6E6A509F"/>
    <w:rsid w:val="6E6F0172"/>
    <w:rsid w:val="6E7B36BE"/>
    <w:rsid w:val="6E96294B"/>
    <w:rsid w:val="6ED92ABF"/>
    <w:rsid w:val="6ED97964"/>
    <w:rsid w:val="6EDC5B3C"/>
    <w:rsid w:val="6F2E1B22"/>
    <w:rsid w:val="6F2E6BEE"/>
    <w:rsid w:val="6F5B7FE6"/>
    <w:rsid w:val="6F6C6B08"/>
    <w:rsid w:val="6F8F5EEC"/>
    <w:rsid w:val="6F952F2F"/>
    <w:rsid w:val="6FEB39C4"/>
    <w:rsid w:val="6FEE0A89"/>
    <w:rsid w:val="70D867D7"/>
    <w:rsid w:val="70DA254F"/>
    <w:rsid w:val="70E433CD"/>
    <w:rsid w:val="710B6BAC"/>
    <w:rsid w:val="71117E32"/>
    <w:rsid w:val="71125845"/>
    <w:rsid w:val="71257C6E"/>
    <w:rsid w:val="713D7A09"/>
    <w:rsid w:val="715D46EB"/>
    <w:rsid w:val="717908E0"/>
    <w:rsid w:val="71B974C0"/>
    <w:rsid w:val="71D35F3A"/>
    <w:rsid w:val="72211FE4"/>
    <w:rsid w:val="723B0DCB"/>
    <w:rsid w:val="72675C5E"/>
    <w:rsid w:val="729055BB"/>
    <w:rsid w:val="729B56B1"/>
    <w:rsid w:val="72DD3274"/>
    <w:rsid w:val="73262FAB"/>
    <w:rsid w:val="7344657D"/>
    <w:rsid w:val="738108E5"/>
    <w:rsid w:val="739265A1"/>
    <w:rsid w:val="73DE70EA"/>
    <w:rsid w:val="73E44759"/>
    <w:rsid w:val="73E70AF7"/>
    <w:rsid w:val="741C570D"/>
    <w:rsid w:val="74202ECF"/>
    <w:rsid w:val="7420303D"/>
    <w:rsid w:val="74406B6D"/>
    <w:rsid w:val="74A454EB"/>
    <w:rsid w:val="751920A0"/>
    <w:rsid w:val="756A03D7"/>
    <w:rsid w:val="757A3155"/>
    <w:rsid w:val="75B504EA"/>
    <w:rsid w:val="75B65746"/>
    <w:rsid w:val="76133B2A"/>
    <w:rsid w:val="76142CC4"/>
    <w:rsid w:val="762453A0"/>
    <w:rsid w:val="76595971"/>
    <w:rsid w:val="766A2849"/>
    <w:rsid w:val="768B167E"/>
    <w:rsid w:val="76AF3E8C"/>
    <w:rsid w:val="76CD4B73"/>
    <w:rsid w:val="77001D9E"/>
    <w:rsid w:val="77185FAF"/>
    <w:rsid w:val="775143E8"/>
    <w:rsid w:val="775F03C6"/>
    <w:rsid w:val="777D59E2"/>
    <w:rsid w:val="77A65802"/>
    <w:rsid w:val="78075FDB"/>
    <w:rsid w:val="78134132"/>
    <w:rsid w:val="781A5362"/>
    <w:rsid w:val="78453E99"/>
    <w:rsid w:val="785D70F1"/>
    <w:rsid w:val="787566B1"/>
    <w:rsid w:val="78797156"/>
    <w:rsid w:val="78AC20D6"/>
    <w:rsid w:val="78AF2513"/>
    <w:rsid w:val="78C84A42"/>
    <w:rsid w:val="78EC3509"/>
    <w:rsid w:val="78FD2560"/>
    <w:rsid w:val="79451117"/>
    <w:rsid w:val="795F1843"/>
    <w:rsid w:val="7968653A"/>
    <w:rsid w:val="79797BAC"/>
    <w:rsid w:val="79A731EA"/>
    <w:rsid w:val="79ED1EA2"/>
    <w:rsid w:val="79ED6A68"/>
    <w:rsid w:val="7A134A46"/>
    <w:rsid w:val="7A26595F"/>
    <w:rsid w:val="7A41719B"/>
    <w:rsid w:val="7A616483"/>
    <w:rsid w:val="7AB91427"/>
    <w:rsid w:val="7ADC6EC3"/>
    <w:rsid w:val="7AF91823"/>
    <w:rsid w:val="7B333F83"/>
    <w:rsid w:val="7B3B62E0"/>
    <w:rsid w:val="7B3F4E0B"/>
    <w:rsid w:val="7B42766E"/>
    <w:rsid w:val="7B4A6988"/>
    <w:rsid w:val="7B6840D2"/>
    <w:rsid w:val="7B6969A9"/>
    <w:rsid w:val="7B94176D"/>
    <w:rsid w:val="7B965A38"/>
    <w:rsid w:val="7BB2488A"/>
    <w:rsid w:val="7BB8496B"/>
    <w:rsid w:val="7BCD1390"/>
    <w:rsid w:val="7C244693"/>
    <w:rsid w:val="7C4C5ED6"/>
    <w:rsid w:val="7C6236B1"/>
    <w:rsid w:val="7CF858B7"/>
    <w:rsid w:val="7D2875F0"/>
    <w:rsid w:val="7D3733AB"/>
    <w:rsid w:val="7D3A01C6"/>
    <w:rsid w:val="7D4D7BF4"/>
    <w:rsid w:val="7D6352AE"/>
    <w:rsid w:val="7D802C80"/>
    <w:rsid w:val="7D8141CA"/>
    <w:rsid w:val="7DB6501D"/>
    <w:rsid w:val="7E1535D8"/>
    <w:rsid w:val="7E301A00"/>
    <w:rsid w:val="7E53749D"/>
    <w:rsid w:val="7EB10D93"/>
    <w:rsid w:val="7F1F0BCA"/>
    <w:rsid w:val="7F30558E"/>
    <w:rsid w:val="7F337441"/>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qFormat="1" w:unhideWhenUsed="0" w:uiPriority="0" w:name="index 1"/>
    <w:lsdException w:uiPriority="99" w:name="index 2"/>
    <w:lsdException w:qFormat="1" w:unhideWhenUsed="0" w:uiPriority="0" w:name="index 3"/>
    <w:lsdException w:uiPriority="0" w:name="index 4"/>
    <w:lsdException w:uiPriority="99" w:name="index 5"/>
    <w:lsdException w:uiPriority="99" w:name="index 6"/>
    <w:lsdException w:uiPriority="99" w:name="index 7"/>
    <w:lsdException w:qFormat="1" w:unhideWhenUsed="0" w:uiPriority="0" w:semiHidden="0"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iPriority="0" w:name="footnote text"/>
    <w:lsdException w:qFormat="1" w:unhideWhenUsed="0" w:uiPriority="99"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qFormat="1" w:unhideWhenUsed="0" w:uiPriority="0" w:name="table of figures"/>
    <w:lsdException w:qFormat="1" w:unhideWhenUsed="0" w:uiPriority="0" w:semiHidden="0" w:name="envelope address"/>
    <w:lsdException w:uiPriority="0" w:name="envelope return"/>
    <w:lsdException w:uiPriority="0" w:name="footnote reference"/>
    <w:lsdException w:qFormat="1" w:unhideWhenUsed="0" w:uiPriority="0"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qFormat="1" w:unhideWhenUsed="0" w:uiPriority="0" w:semiHidden="0" w:name="toa heading"/>
    <w:lsdException w:qFormat="1" w:unhideWhenUsed="0" w:uiPriority="99" w:semiHidden="0" w:name="List"/>
    <w:lsdException w:qFormat="1" w:uiPriority="0" w:name="List Bullet"/>
    <w:lsdException w:qFormat="1" w:unhideWhenUsed="0" w:uiPriority="0" w:semiHidden="0" w:name="List Number"/>
    <w:lsdException w:uiPriority="0" w:name="List 2"/>
    <w:lsdException w:qFormat="1" w:unhideWhenUsed="0" w:uiPriority="0" w:semiHidden="0" w:name="List 3"/>
    <w:lsdException w:qFormat="1" w:unhideWhenUsed="0" w:uiPriority="0" w:semiHidden="0" w:name="List 4"/>
    <w:lsdException w:uiPriority="0" w:name="List 5"/>
    <w:lsdException w:qFormat="1" w:unhideWhenUsed="0" w:uiPriority="0" w:semiHidden="0" w:name="List Bullet 2"/>
    <w:lsdException w:uiPriority="99" w:name="List Bullet 3"/>
    <w:lsdException w:uiPriority="99" w:name="List Bullet 4"/>
    <w:lsdException w:uiPriority="99" w:name="List Bullet 5"/>
    <w:lsdException w:qFormat="1" w:unhideWhenUsed="0" w:uiPriority="0" w:semiHidden="0" w:name="List Number 2"/>
    <w:lsdException w:uiPriority="99" w:name="List Number 3"/>
    <w:lsdException w:qFormat="1" w:unhideWhenUsed="0" w:uiPriority="0" w:semiHidden="0" w:name="List Number 4"/>
    <w:lsdException w:qFormat="1" w:uiPriority="0" w:name="List Number 5"/>
    <w:lsdException w:qFormat="1" w:unhideWhenUsed="0" w:uiPriority="0" w:semiHidden="0" w:name="Title"/>
    <w:lsdException w:qFormat="1" w:unhideWhenUsed="0" w:uiPriority="0" w:semiHidden="0" w:name="Closing"/>
    <w:lsdException w:qFormat="1" w:uiPriority="0" w:name="Signature"/>
    <w:lsdException w:qFormat="1" w:uiPriority="1" w:name="Default Paragraph Font"/>
    <w:lsdException w:qFormat="1" w:uiPriority="1" w:semiHidden="0" w:name="Body Text"/>
    <w:lsdException w:qFormat="1" w:uiPriority="99" w:semiHidden="0" w:name="Body Text Indent"/>
    <w:lsdException w:uiPriority="0" w:name="List Continue"/>
    <w:lsdException w:uiPriority="99" w:name="List Continue 2"/>
    <w:lsdException w:uiPriority="0" w:name="List Continue 3"/>
    <w:lsdException w:uiPriority="99" w:name="List Continue 4"/>
    <w:lsdException w:uiPriority="99" w:name="List Continue 5"/>
    <w:lsdException w:qFormat="1" w:uiPriority="0" w:name="Message Header"/>
    <w:lsdException w:qFormat="1" w:unhideWhenUsed="0" w:uiPriority="0" w:semiHidden="0" w:name="Subtitle"/>
    <w:lsdException w:qFormat="1" w:uiPriority="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qFormat="1" w:unhideWhenUsed="0" w:uiPriority="0" w:semiHidden="0" w:name="Note Heading"/>
    <w:lsdException w:qFormat="1" w:uiPriority="0" w:semiHidden="0" w:name="Body Text 2"/>
    <w:lsdException w:qFormat="1" w:unhideWhenUsed="0" w:uiPriority="0" w:semiHidden="0" w:name="Body Text 3"/>
    <w:lsdException w:qFormat="1" w:uiPriority="99" w:semiHidden="0" w:name="Body Text Indent 2"/>
    <w:lsdException w:qFormat="1" w:uiPriority="0" w:semiHidden="0" w:name="Body Text Indent 3"/>
    <w:lsdException w:uiPriority="0" w:name="Block Text"/>
    <w:lsdException w:qFormat="1"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qFormat="1" w:unhideWhenUsed="0" w:uiPriority="0" w:semiHidden="0" w:name="Plain Text"/>
    <w:lsdException w:qFormat="1" w:uiPriority="0" w:name="E-mail Signature"/>
    <w:lsdException w:qFormat="1" w:unhideWhenUsed="0" w:uiPriority="0" w:semiHidden="0" w:name="Normal (Web)"/>
    <w:lsdException w:uiPriority="99" w:name="HTML Acronym"/>
    <w:lsdException w:qFormat="1" w:uiPriority="0"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3">
    <w:name w:val="heading 1"/>
    <w:basedOn w:val="1"/>
    <w:next w:val="1"/>
    <w:link w:val="78"/>
    <w:qFormat/>
    <w:uiPriority w:val="0"/>
    <w:pPr>
      <w:keepNext/>
      <w:keepLines/>
      <w:numPr>
        <w:ilvl w:val="0"/>
        <w:numId w:val="1"/>
      </w:numPr>
      <w:spacing w:beforeLines="50" w:afterLines="50" w:line="360" w:lineRule="auto"/>
      <w:outlineLvl w:val="0"/>
    </w:pPr>
    <w:rPr>
      <w:rFonts w:ascii="Calibri" w:hAnsi="Calibri"/>
      <w:b/>
      <w:bCs/>
      <w:kern w:val="44"/>
      <w:sz w:val="36"/>
      <w:szCs w:val="44"/>
    </w:rPr>
  </w:style>
  <w:style w:type="paragraph" w:styleId="4">
    <w:name w:val="heading 2"/>
    <w:basedOn w:val="1"/>
    <w:next w:val="1"/>
    <w:link w:val="79"/>
    <w:qFormat/>
    <w:uiPriority w:val="0"/>
    <w:pPr>
      <w:keepNext/>
      <w:keepLines/>
      <w:numPr>
        <w:ilvl w:val="1"/>
        <w:numId w:val="1"/>
      </w:numPr>
      <w:spacing w:before="50" w:beforeLines="50" w:line="360" w:lineRule="auto"/>
      <w:ind w:left="578" w:hanging="578"/>
      <w:outlineLvl w:val="1"/>
    </w:pPr>
    <w:rPr>
      <w:b/>
      <w:bCs/>
      <w:kern w:val="0"/>
      <w:sz w:val="30"/>
      <w:szCs w:val="32"/>
    </w:rPr>
  </w:style>
  <w:style w:type="paragraph" w:styleId="5">
    <w:name w:val="heading 3"/>
    <w:basedOn w:val="1"/>
    <w:next w:val="1"/>
    <w:link w:val="80"/>
    <w:qFormat/>
    <w:uiPriority w:val="0"/>
    <w:pPr>
      <w:keepNext/>
      <w:keepLines/>
      <w:numPr>
        <w:ilvl w:val="2"/>
        <w:numId w:val="1"/>
      </w:numPr>
      <w:spacing w:line="360" w:lineRule="auto"/>
      <w:ind w:left="0" w:hanging="343" w:hangingChars="343"/>
      <w:outlineLvl w:val="2"/>
    </w:pPr>
    <w:rPr>
      <w:b/>
      <w:bCs/>
      <w:sz w:val="24"/>
      <w:szCs w:val="32"/>
    </w:rPr>
  </w:style>
  <w:style w:type="paragraph" w:styleId="6">
    <w:name w:val="heading 4"/>
    <w:basedOn w:val="1"/>
    <w:next w:val="1"/>
    <w:link w:val="81"/>
    <w:qFormat/>
    <w:uiPriority w:val="0"/>
    <w:pPr>
      <w:keepNext/>
      <w:keepLines/>
      <w:numPr>
        <w:ilvl w:val="3"/>
        <w:numId w:val="1"/>
      </w:numPr>
      <w:spacing w:line="360" w:lineRule="auto"/>
      <w:ind w:left="0" w:hanging="862" w:hangingChars="410"/>
      <w:outlineLvl w:val="3"/>
    </w:pPr>
    <w:rPr>
      <w:b/>
      <w:bCs/>
      <w:sz w:val="24"/>
      <w:szCs w:val="28"/>
    </w:rPr>
  </w:style>
  <w:style w:type="paragraph" w:styleId="7">
    <w:name w:val="heading 5"/>
    <w:basedOn w:val="1"/>
    <w:next w:val="1"/>
    <w:link w:val="82"/>
    <w:qFormat/>
    <w:uiPriority w:val="0"/>
    <w:pPr>
      <w:keepNext/>
      <w:keepLines/>
      <w:numPr>
        <w:ilvl w:val="4"/>
        <w:numId w:val="1"/>
      </w:numPr>
      <w:snapToGrid w:val="0"/>
      <w:spacing w:line="360" w:lineRule="auto"/>
      <w:outlineLvl w:val="4"/>
    </w:pPr>
    <w:rPr>
      <w:b/>
      <w:bCs/>
      <w:sz w:val="24"/>
      <w:szCs w:val="28"/>
    </w:rPr>
  </w:style>
  <w:style w:type="paragraph" w:styleId="8">
    <w:name w:val="heading 6"/>
    <w:basedOn w:val="1"/>
    <w:next w:val="1"/>
    <w:link w:val="83"/>
    <w:qFormat/>
    <w:uiPriority w:val="9"/>
    <w:pPr>
      <w:keepNext/>
      <w:keepLines/>
      <w:numPr>
        <w:ilvl w:val="5"/>
        <w:numId w:val="1"/>
      </w:numPr>
      <w:spacing w:before="240" w:after="64" w:line="320" w:lineRule="auto"/>
      <w:outlineLvl w:val="5"/>
    </w:pPr>
    <w:rPr>
      <w:rFonts w:ascii="Cambria" w:hAnsi="Cambria"/>
      <w:b/>
      <w:bCs/>
      <w:sz w:val="24"/>
      <w:szCs w:val="24"/>
    </w:rPr>
  </w:style>
  <w:style w:type="paragraph" w:styleId="9">
    <w:name w:val="heading 7"/>
    <w:basedOn w:val="1"/>
    <w:next w:val="1"/>
    <w:link w:val="84"/>
    <w:qFormat/>
    <w:uiPriority w:val="9"/>
    <w:pPr>
      <w:keepNext/>
      <w:keepLines/>
      <w:numPr>
        <w:ilvl w:val="6"/>
        <w:numId w:val="1"/>
      </w:numPr>
      <w:spacing w:before="240" w:after="64" w:line="320" w:lineRule="auto"/>
      <w:outlineLvl w:val="6"/>
    </w:pPr>
    <w:rPr>
      <w:b/>
      <w:bCs/>
      <w:sz w:val="24"/>
      <w:szCs w:val="24"/>
    </w:rPr>
  </w:style>
  <w:style w:type="paragraph" w:styleId="10">
    <w:name w:val="heading 8"/>
    <w:basedOn w:val="1"/>
    <w:next w:val="1"/>
    <w:link w:val="85"/>
    <w:qFormat/>
    <w:uiPriority w:val="9"/>
    <w:pPr>
      <w:keepNext/>
      <w:keepLines/>
      <w:numPr>
        <w:ilvl w:val="7"/>
        <w:numId w:val="1"/>
      </w:numPr>
      <w:spacing w:before="240" w:after="64" w:line="320" w:lineRule="auto"/>
      <w:outlineLvl w:val="7"/>
    </w:pPr>
    <w:rPr>
      <w:rFonts w:ascii="Cambria" w:hAnsi="Cambria"/>
      <w:sz w:val="24"/>
      <w:szCs w:val="24"/>
    </w:rPr>
  </w:style>
  <w:style w:type="paragraph" w:styleId="11">
    <w:name w:val="heading 9"/>
    <w:basedOn w:val="1"/>
    <w:next w:val="1"/>
    <w:link w:val="86"/>
    <w:qFormat/>
    <w:uiPriority w:val="9"/>
    <w:pPr>
      <w:keepNext/>
      <w:keepLines/>
      <w:numPr>
        <w:ilvl w:val="8"/>
        <w:numId w:val="1"/>
      </w:numPr>
      <w:spacing w:before="240" w:after="64" w:line="320" w:lineRule="auto"/>
      <w:outlineLvl w:val="8"/>
    </w:pPr>
    <w:rPr>
      <w:rFonts w:ascii="Cambria" w:hAnsi="Cambria"/>
      <w:szCs w:val="21"/>
    </w:rPr>
  </w:style>
  <w:style w:type="character" w:default="1" w:styleId="66">
    <w:name w:val="Default Paragraph Font"/>
    <w:unhideWhenUsed/>
    <w:qFormat/>
    <w:uiPriority w:val="1"/>
  </w:style>
  <w:style w:type="table" w:default="1" w:styleId="74">
    <w:name w:val="Normal Table"/>
    <w:unhideWhenUsed/>
    <w:qFormat/>
    <w:uiPriority w:val="99"/>
    <w:tblPr>
      <w:tblLayout w:type="fixed"/>
      <w:tblCellMar>
        <w:top w:w="0" w:type="dxa"/>
        <w:left w:w="108" w:type="dxa"/>
        <w:bottom w:w="0" w:type="dxa"/>
        <w:right w:w="108" w:type="dxa"/>
      </w:tblCellMar>
    </w:tblPr>
  </w:style>
  <w:style w:type="paragraph" w:styleId="2">
    <w:name w:val="footer"/>
    <w:basedOn w:val="1"/>
    <w:link w:val="103"/>
    <w:unhideWhenUsed/>
    <w:qFormat/>
    <w:uiPriority w:val="99"/>
    <w:pPr>
      <w:tabs>
        <w:tab w:val="center" w:pos="4153"/>
        <w:tab w:val="right" w:pos="8306"/>
      </w:tabs>
      <w:snapToGrid w:val="0"/>
      <w:jc w:val="left"/>
    </w:pPr>
    <w:rPr>
      <w:kern w:val="0"/>
      <w:sz w:val="18"/>
      <w:szCs w:val="18"/>
    </w:rPr>
  </w:style>
  <w:style w:type="paragraph" w:styleId="12">
    <w:name w:val="List 3"/>
    <w:basedOn w:val="1"/>
    <w:qFormat/>
    <w:uiPriority w:val="0"/>
    <w:pPr>
      <w:ind w:left="100" w:leftChars="400" w:hanging="200" w:hangingChars="200"/>
    </w:pPr>
    <w:rPr>
      <w:szCs w:val="24"/>
    </w:rPr>
  </w:style>
  <w:style w:type="paragraph" w:styleId="13">
    <w:name w:val="annotation subject"/>
    <w:basedOn w:val="14"/>
    <w:next w:val="14"/>
    <w:link w:val="88"/>
    <w:unhideWhenUsed/>
    <w:qFormat/>
    <w:uiPriority w:val="99"/>
    <w:rPr>
      <w:b/>
      <w:bCs/>
    </w:rPr>
  </w:style>
  <w:style w:type="paragraph" w:styleId="14">
    <w:name w:val="annotation text"/>
    <w:basedOn w:val="1"/>
    <w:link w:val="87"/>
    <w:qFormat/>
    <w:uiPriority w:val="99"/>
    <w:pPr>
      <w:jc w:val="left"/>
    </w:pPr>
    <w:rPr>
      <w:kern w:val="0"/>
      <w:sz w:val="20"/>
      <w:szCs w:val="24"/>
    </w:rPr>
  </w:style>
  <w:style w:type="paragraph" w:styleId="15">
    <w:name w:val="toc 7"/>
    <w:basedOn w:val="1"/>
    <w:next w:val="1"/>
    <w:unhideWhenUsed/>
    <w:qFormat/>
    <w:uiPriority w:val="39"/>
    <w:pPr>
      <w:ind w:left="2520" w:leftChars="1200"/>
    </w:pPr>
  </w:style>
  <w:style w:type="paragraph" w:styleId="16">
    <w:name w:val="Body Text First Indent"/>
    <w:basedOn w:val="17"/>
    <w:link w:val="90"/>
    <w:qFormat/>
    <w:uiPriority w:val="0"/>
    <w:pPr>
      <w:ind w:firstLine="420" w:firstLineChars="100"/>
    </w:pPr>
    <w:rPr>
      <w:rFonts w:ascii="Arial" w:hAnsi="Arial"/>
      <w:sz w:val="24"/>
      <w:szCs w:val="20"/>
    </w:rPr>
  </w:style>
  <w:style w:type="paragraph" w:styleId="17">
    <w:name w:val="Body Text"/>
    <w:basedOn w:val="1"/>
    <w:link w:val="89"/>
    <w:unhideWhenUsed/>
    <w:qFormat/>
    <w:uiPriority w:val="1"/>
    <w:pPr>
      <w:spacing w:after="120"/>
    </w:pPr>
  </w:style>
  <w:style w:type="paragraph" w:styleId="18">
    <w:name w:val="List Number 2"/>
    <w:basedOn w:val="1"/>
    <w:qFormat/>
    <w:uiPriority w:val="0"/>
    <w:pPr>
      <w:keepNext/>
      <w:numPr>
        <w:ilvl w:val="0"/>
        <w:numId w:val="2"/>
      </w:numPr>
      <w:spacing w:line="360" w:lineRule="auto"/>
      <w:jc w:val="left"/>
    </w:pPr>
    <w:rPr>
      <w:rFonts w:ascii="Arial" w:hAnsi="Arial" w:cs="Arial"/>
      <w:color w:val="000000"/>
      <w:sz w:val="28"/>
      <w:szCs w:val="28"/>
    </w:rPr>
  </w:style>
  <w:style w:type="paragraph" w:styleId="19">
    <w:name w:val="Note Heading"/>
    <w:basedOn w:val="1"/>
    <w:next w:val="1"/>
    <w:link w:val="91"/>
    <w:qFormat/>
    <w:uiPriority w:val="0"/>
    <w:pPr>
      <w:jc w:val="center"/>
    </w:pPr>
    <w:rPr>
      <w:szCs w:val="24"/>
    </w:rPr>
  </w:style>
  <w:style w:type="paragraph" w:styleId="20">
    <w:name w:val="index 8"/>
    <w:basedOn w:val="1"/>
    <w:next w:val="1"/>
    <w:qFormat/>
    <w:uiPriority w:val="0"/>
    <w:pPr>
      <w:ind w:left="2940"/>
    </w:pPr>
    <w:rPr>
      <w:szCs w:val="24"/>
    </w:rPr>
  </w:style>
  <w:style w:type="paragraph" w:styleId="21">
    <w:name w:val="E-mail Signature"/>
    <w:basedOn w:val="1"/>
    <w:link w:val="543"/>
    <w:unhideWhenUsed/>
    <w:qFormat/>
    <w:uiPriority w:val="0"/>
    <w:rPr>
      <w:rFonts w:ascii="宋体" w:hAnsi="Calibri"/>
      <w:kern w:val="0"/>
      <w:sz w:val="24"/>
      <w:szCs w:val="20"/>
    </w:rPr>
  </w:style>
  <w:style w:type="paragraph" w:styleId="22">
    <w:name w:val="List Number"/>
    <w:basedOn w:val="1"/>
    <w:qFormat/>
    <w:uiPriority w:val="0"/>
    <w:pPr>
      <w:widowControl/>
      <w:numPr>
        <w:ilvl w:val="0"/>
        <w:numId w:val="3"/>
      </w:numPr>
      <w:jc w:val="left"/>
    </w:pPr>
    <w:rPr>
      <w:rFonts w:ascii="宋体" w:hAnsi="宋体" w:cs="宋体"/>
      <w:kern w:val="0"/>
      <w:sz w:val="24"/>
      <w:szCs w:val="20"/>
    </w:rPr>
  </w:style>
  <w:style w:type="paragraph" w:styleId="23">
    <w:name w:val="Normal Indent"/>
    <w:basedOn w:val="1"/>
    <w:link w:val="92"/>
    <w:qFormat/>
    <w:uiPriority w:val="0"/>
    <w:pPr>
      <w:ind w:firstLine="420" w:firstLineChars="200"/>
    </w:pPr>
    <w:rPr>
      <w:kern w:val="0"/>
      <w:sz w:val="20"/>
      <w:szCs w:val="20"/>
    </w:rPr>
  </w:style>
  <w:style w:type="paragraph" w:styleId="24">
    <w:name w:val="caption"/>
    <w:basedOn w:val="1"/>
    <w:next w:val="1"/>
    <w:link w:val="93"/>
    <w:qFormat/>
    <w:uiPriority w:val="0"/>
    <w:rPr>
      <w:rFonts w:ascii="Arial" w:hAnsi="Arial" w:eastAsia="黑体" w:cs="Arial"/>
      <w:sz w:val="20"/>
      <w:szCs w:val="20"/>
    </w:rPr>
  </w:style>
  <w:style w:type="paragraph" w:styleId="25">
    <w:name w:val="List Bullet"/>
    <w:basedOn w:val="1"/>
    <w:unhideWhenUsed/>
    <w:qFormat/>
    <w:uiPriority w:val="0"/>
    <w:pPr>
      <w:numPr>
        <w:ilvl w:val="0"/>
        <w:numId w:val="4"/>
      </w:numPr>
    </w:pPr>
    <w:rPr>
      <w:rFonts w:ascii="Calibri" w:hAnsi="Calibri" w:cs="Arial"/>
      <w:szCs w:val="24"/>
    </w:rPr>
  </w:style>
  <w:style w:type="paragraph" w:styleId="26">
    <w:name w:val="envelope address"/>
    <w:basedOn w:val="1"/>
    <w:qFormat/>
    <w:uiPriority w:val="0"/>
    <w:pPr>
      <w:framePr w:w="7920" w:h="1980" w:hRule="exact" w:hSpace="180" w:wrap="around" w:vAnchor="margin" w:hAnchor="page" w:xAlign="center" w:yAlign="bottom"/>
      <w:adjustRightInd w:val="0"/>
      <w:snapToGrid w:val="0"/>
      <w:spacing w:line="312" w:lineRule="atLeast"/>
      <w:ind w:left="2880"/>
      <w:textAlignment w:val="baseline"/>
    </w:pPr>
    <w:rPr>
      <w:rFonts w:ascii="Arial" w:hAnsi="Arial" w:eastAsia="仿宋_GB2312"/>
      <w:kern w:val="0"/>
      <w:sz w:val="24"/>
      <w:szCs w:val="20"/>
    </w:rPr>
  </w:style>
  <w:style w:type="paragraph" w:styleId="27">
    <w:name w:val="Document Map"/>
    <w:basedOn w:val="1"/>
    <w:link w:val="94"/>
    <w:semiHidden/>
    <w:qFormat/>
    <w:uiPriority w:val="0"/>
    <w:pPr>
      <w:shd w:val="clear" w:color="auto" w:fill="000080"/>
    </w:pPr>
  </w:style>
  <w:style w:type="paragraph" w:styleId="28">
    <w:name w:val="toa heading"/>
    <w:basedOn w:val="1"/>
    <w:next w:val="1"/>
    <w:qFormat/>
    <w:uiPriority w:val="0"/>
    <w:pPr>
      <w:spacing w:before="120"/>
    </w:pPr>
    <w:rPr>
      <w:rFonts w:ascii="Arial" w:hAnsi="Arial" w:cs="Arial"/>
      <w:kern w:val="0"/>
      <w:sz w:val="24"/>
      <w:szCs w:val="24"/>
    </w:rPr>
  </w:style>
  <w:style w:type="paragraph" w:styleId="29">
    <w:name w:val="Salutation"/>
    <w:basedOn w:val="1"/>
    <w:next w:val="1"/>
    <w:link w:val="542"/>
    <w:unhideWhenUsed/>
    <w:qFormat/>
    <w:uiPriority w:val="0"/>
    <w:rPr>
      <w:rFonts w:cs="Arial"/>
      <w:sz w:val="24"/>
    </w:rPr>
  </w:style>
  <w:style w:type="paragraph" w:styleId="30">
    <w:name w:val="Body Text 3"/>
    <w:basedOn w:val="1"/>
    <w:link w:val="95"/>
    <w:qFormat/>
    <w:uiPriority w:val="0"/>
    <w:pPr>
      <w:adjustRightInd w:val="0"/>
      <w:jc w:val="center"/>
      <w:textAlignment w:val="baseline"/>
    </w:pPr>
    <w:rPr>
      <w:rFonts w:eastAsia="Times New Roman"/>
      <w:kern w:val="0"/>
      <w:szCs w:val="20"/>
    </w:rPr>
  </w:style>
  <w:style w:type="paragraph" w:styleId="31">
    <w:name w:val="Closing"/>
    <w:basedOn w:val="1"/>
    <w:link w:val="96"/>
    <w:qFormat/>
    <w:uiPriority w:val="0"/>
    <w:pPr>
      <w:widowControl/>
      <w:spacing w:line="360" w:lineRule="auto"/>
      <w:ind w:left="100" w:leftChars="2100" w:firstLine="200" w:firstLineChars="200"/>
      <w:jc w:val="left"/>
    </w:pPr>
    <w:rPr>
      <w:rFonts w:ascii="仿宋_GB2312" w:eastAsia="仿宋_GB2312"/>
      <w:bCs/>
      <w:sz w:val="28"/>
      <w:szCs w:val="24"/>
    </w:rPr>
  </w:style>
  <w:style w:type="paragraph" w:styleId="32">
    <w:name w:val="Body Text Indent"/>
    <w:basedOn w:val="1"/>
    <w:link w:val="97"/>
    <w:unhideWhenUsed/>
    <w:qFormat/>
    <w:uiPriority w:val="99"/>
    <w:pPr>
      <w:spacing w:after="120"/>
      <w:ind w:left="420" w:leftChars="200"/>
    </w:pPr>
  </w:style>
  <w:style w:type="paragraph" w:styleId="33">
    <w:name w:val="List Bullet 2"/>
    <w:basedOn w:val="1"/>
    <w:qFormat/>
    <w:uiPriority w:val="0"/>
    <w:pPr>
      <w:adjustRightInd w:val="0"/>
      <w:spacing w:line="312" w:lineRule="auto"/>
      <w:ind w:left="980" w:hanging="420"/>
      <w:textAlignment w:val="baseline"/>
    </w:pPr>
    <w:rPr>
      <w:kern w:val="0"/>
      <w:sz w:val="28"/>
      <w:szCs w:val="20"/>
    </w:rPr>
  </w:style>
  <w:style w:type="paragraph" w:styleId="34">
    <w:name w:val="HTML Address"/>
    <w:basedOn w:val="1"/>
    <w:link w:val="537"/>
    <w:unhideWhenUsed/>
    <w:qFormat/>
    <w:uiPriority w:val="0"/>
    <w:rPr>
      <w:rFonts w:cs="Arial"/>
      <w:i/>
      <w:iCs/>
      <w:szCs w:val="24"/>
    </w:rPr>
  </w:style>
  <w:style w:type="paragraph" w:styleId="35">
    <w:name w:val="toc 5"/>
    <w:basedOn w:val="1"/>
    <w:next w:val="1"/>
    <w:unhideWhenUsed/>
    <w:qFormat/>
    <w:uiPriority w:val="39"/>
    <w:pPr>
      <w:ind w:left="1680" w:leftChars="800"/>
    </w:pPr>
  </w:style>
  <w:style w:type="paragraph" w:styleId="36">
    <w:name w:val="toc 3"/>
    <w:basedOn w:val="1"/>
    <w:next w:val="1"/>
    <w:unhideWhenUsed/>
    <w:qFormat/>
    <w:uiPriority w:val="39"/>
    <w:pPr>
      <w:ind w:left="840" w:leftChars="400"/>
    </w:pPr>
  </w:style>
  <w:style w:type="paragraph" w:styleId="37">
    <w:name w:val="Plain Text"/>
    <w:basedOn w:val="1"/>
    <w:link w:val="98"/>
    <w:qFormat/>
    <w:uiPriority w:val="0"/>
    <w:rPr>
      <w:rFonts w:ascii="宋体" w:hAnsi="Courier New"/>
      <w:kern w:val="0"/>
      <w:sz w:val="20"/>
      <w:szCs w:val="21"/>
    </w:rPr>
  </w:style>
  <w:style w:type="paragraph" w:styleId="38">
    <w:name w:val="List Number 4"/>
    <w:basedOn w:val="1"/>
    <w:qFormat/>
    <w:uiPriority w:val="0"/>
    <w:pPr>
      <w:keepNext/>
      <w:numPr>
        <w:ilvl w:val="0"/>
        <w:numId w:val="5"/>
      </w:numPr>
      <w:spacing w:line="360" w:lineRule="auto"/>
      <w:jc w:val="left"/>
    </w:pPr>
    <w:rPr>
      <w:rFonts w:ascii="Arial" w:hAnsi="Arial" w:cs="Arial"/>
      <w:color w:val="000000"/>
      <w:sz w:val="28"/>
      <w:szCs w:val="28"/>
    </w:rPr>
  </w:style>
  <w:style w:type="paragraph" w:styleId="39">
    <w:name w:val="toc 8"/>
    <w:basedOn w:val="1"/>
    <w:next w:val="1"/>
    <w:unhideWhenUsed/>
    <w:qFormat/>
    <w:uiPriority w:val="39"/>
    <w:pPr>
      <w:ind w:left="2940" w:leftChars="1400"/>
    </w:pPr>
  </w:style>
  <w:style w:type="paragraph" w:styleId="40">
    <w:name w:val="index 3"/>
    <w:basedOn w:val="1"/>
    <w:next w:val="1"/>
    <w:semiHidden/>
    <w:qFormat/>
    <w:uiPriority w:val="0"/>
    <w:pPr>
      <w:ind w:left="400" w:leftChars="400"/>
    </w:pPr>
    <w:rPr>
      <w:szCs w:val="24"/>
    </w:rPr>
  </w:style>
  <w:style w:type="paragraph" w:styleId="41">
    <w:name w:val="Date"/>
    <w:basedOn w:val="1"/>
    <w:next w:val="1"/>
    <w:link w:val="99"/>
    <w:qFormat/>
    <w:uiPriority w:val="0"/>
    <w:rPr>
      <w:rFonts w:ascii="Arial" w:hAnsi="Arial"/>
      <w:sz w:val="24"/>
      <w:szCs w:val="20"/>
    </w:rPr>
  </w:style>
  <w:style w:type="paragraph" w:styleId="42">
    <w:name w:val="Body Text Indent 2"/>
    <w:basedOn w:val="1"/>
    <w:link w:val="100"/>
    <w:unhideWhenUsed/>
    <w:qFormat/>
    <w:uiPriority w:val="99"/>
    <w:pPr>
      <w:spacing w:after="120" w:line="480" w:lineRule="auto"/>
      <w:ind w:left="420" w:leftChars="200"/>
    </w:pPr>
  </w:style>
  <w:style w:type="paragraph" w:styleId="43">
    <w:name w:val="endnote text"/>
    <w:basedOn w:val="1"/>
    <w:link w:val="101"/>
    <w:qFormat/>
    <w:uiPriority w:val="0"/>
    <w:pPr>
      <w:snapToGrid w:val="0"/>
      <w:jc w:val="left"/>
    </w:pPr>
    <w:rPr>
      <w:szCs w:val="24"/>
    </w:rPr>
  </w:style>
  <w:style w:type="paragraph" w:styleId="44">
    <w:name w:val="Balloon Text"/>
    <w:basedOn w:val="1"/>
    <w:link w:val="102"/>
    <w:unhideWhenUsed/>
    <w:qFormat/>
    <w:uiPriority w:val="99"/>
    <w:rPr>
      <w:kern w:val="0"/>
      <w:sz w:val="18"/>
      <w:szCs w:val="18"/>
    </w:rPr>
  </w:style>
  <w:style w:type="paragraph" w:styleId="45">
    <w:name w:val="Body Text First Indent 2"/>
    <w:basedOn w:val="32"/>
    <w:link w:val="104"/>
    <w:qFormat/>
    <w:uiPriority w:val="99"/>
    <w:pPr>
      <w:ind w:firstLine="420" w:firstLineChars="200"/>
    </w:pPr>
    <w:rPr>
      <w:kern w:val="0"/>
      <w:sz w:val="20"/>
      <w:szCs w:val="24"/>
    </w:rPr>
  </w:style>
  <w:style w:type="paragraph" w:styleId="46">
    <w:name w:val="header"/>
    <w:basedOn w:val="1"/>
    <w:link w:val="105"/>
    <w:unhideWhenUsed/>
    <w:qFormat/>
    <w:uiPriority w:val="99"/>
    <w:pPr>
      <w:pBdr>
        <w:bottom w:val="single" w:color="auto" w:sz="6" w:space="1"/>
      </w:pBdr>
      <w:tabs>
        <w:tab w:val="center" w:pos="4153"/>
        <w:tab w:val="right" w:pos="8306"/>
      </w:tabs>
      <w:snapToGrid w:val="0"/>
      <w:jc w:val="center"/>
    </w:pPr>
    <w:rPr>
      <w:rFonts w:ascii="Calibri" w:hAnsi="Calibri"/>
      <w:kern w:val="0"/>
      <w:sz w:val="18"/>
      <w:szCs w:val="18"/>
    </w:rPr>
  </w:style>
  <w:style w:type="paragraph" w:styleId="47">
    <w:name w:val="Signature"/>
    <w:basedOn w:val="1"/>
    <w:link w:val="540"/>
    <w:unhideWhenUsed/>
    <w:qFormat/>
    <w:uiPriority w:val="0"/>
    <w:pPr>
      <w:ind w:left="2100" w:leftChars="2100"/>
    </w:pPr>
    <w:rPr>
      <w:rFonts w:ascii="宋体" w:hAnsi="Calibri"/>
      <w:kern w:val="0"/>
      <w:sz w:val="24"/>
      <w:szCs w:val="20"/>
    </w:rPr>
  </w:style>
  <w:style w:type="paragraph" w:styleId="48">
    <w:name w:val="toc 1"/>
    <w:basedOn w:val="1"/>
    <w:next w:val="1"/>
    <w:unhideWhenUsed/>
    <w:qFormat/>
    <w:uiPriority w:val="39"/>
  </w:style>
  <w:style w:type="paragraph" w:styleId="49">
    <w:name w:val="toc 4"/>
    <w:basedOn w:val="1"/>
    <w:next w:val="1"/>
    <w:unhideWhenUsed/>
    <w:qFormat/>
    <w:uiPriority w:val="39"/>
    <w:pPr>
      <w:ind w:left="1260" w:leftChars="600"/>
    </w:pPr>
  </w:style>
  <w:style w:type="paragraph" w:styleId="50">
    <w:name w:val="Subtitle"/>
    <w:basedOn w:val="1"/>
    <w:next w:val="1"/>
    <w:link w:val="106"/>
    <w:qFormat/>
    <w:uiPriority w:val="0"/>
    <w:pPr>
      <w:spacing w:before="240" w:after="60" w:line="312" w:lineRule="auto"/>
      <w:jc w:val="center"/>
      <w:outlineLvl w:val="1"/>
    </w:pPr>
    <w:rPr>
      <w:rFonts w:ascii="Cambria" w:hAnsi="Cambria"/>
      <w:b/>
      <w:bCs/>
      <w:kern w:val="28"/>
      <w:sz w:val="32"/>
      <w:szCs w:val="32"/>
    </w:rPr>
  </w:style>
  <w:style w:type="paragraph" w:styleId="51">
    <w:name w:val="List Number 5"/>
    <w:basedOn w:val="1"/>
    <w:unhideWhenUsed/>
    <w:qFormat/>
    <w:uiPriority w:val="0"/>
    <w:pPr>
      <w:numPr>
        <w:ilvl w:val="0"/>
        <w:numId w:val="6"/>
      </w:numPr>
    </w:pPr>
    <w:rPr>
      <w:rFonts w:ascii="宋体" w:hAnsi="Calibri"/>
      <w:kern w:val="0"/>
      <w:sz w:val="24"/>
      <w:szCs w:val="20"/>
    </w:rPr>
  </w:style>
  <w:style w:type="paragraph" w:styleId="52">
    <w:name w:val="List"/>
    <w:basedOn w:val="1"/>
    <w:link w:val="107"/>
    <w:qFormat/>
    <w:uiPriority w:val="99"/>
    <w:pPr>
      <w:ind w:left="200" w:hanging="200" w:hangingChars="200"/>
    </w:pPr>
    <w:rPr>
      <w:szCs w:val="24"/>
    </w:rPr>
  </w:style>
  <w:style w:type="paragraph" w:styleId="53">
    <w:name w:val="footnote text"/>
    <w:basedOn w:val="1"/>
    <w:link w:val="538"/>
    <w:unhideWhenUsed/>
    <w:qFormat/>
    <w:uiPriority w:val="0"/>
    <w:pPr>
      <w:snapToGrid w:val="0"/>
      <w:jc w:val="left"/>
    </w:pPr>
    <w:rPr>
      <w:rFonts w:cs="Arial"/>
      <w:sz w:val="18"/>
      <w:szCs w:val="18"/>
    </w:rPr>
  </w:style>
  <w:style w:type="paragraph" w:styleId="54">
    <w:name w:val="toc 6"/>
    <w:basedOn w:val="1"/>
    <w:next w:val="1"/>
    <w:unhideWhenUsed/>
    <w:qFormat/>
    <w:uiPriority w:val="39"/>
    <w:pPr>
      <w:ind w:left="2100" w:leftChars="1000"/>
    </w:pPr>
  </w:style>
  <w:style w:type="paragraph" w:styleId="55">
    <w:name w:val="Body Text Indent 3"/>
    <w:basedOn w:val="1"/>
    <w:link w:val="108"/>
    <w:unhideWhenUsed/>
    <w:qFormat/>
    <w:uiPriority w:val="0"/>
    <w:pPr>
      <w:spacing w:after="120"/>
      <w:ind w:left="420" w:leftChars="200"/>
    </w:pPr>
    <w:rPr>
      <w:sz w:val="16"/>
      <w:szCs w:val="16"/>
    </w:rPr>
  </w:style>
  <w:style w:type="paragraph" w:styleId="56">
    <w:name w:val="table of figures"/>
    <w:basedOn w:val="1"/>
    <w:next w:val="1"/>
    <w:semiHidden/>
    <w:qFormat/>
    <w:uiPriority w:val="0"/>
    <w:pPr>
      <w:ind w:left="200" w:leftChars="200" w:hanging="200" w:hangingChars="200"/>
    </w:pPr>
    <w:rPr>
      <w:szCs w:val="24"/>
    </w:rPr>
  </w:style>
  <w:style w:type="paragraph" w:styleId="57">
    <w:name w:val="toc 2"/>
    <w:basedOn w:val="1"/>
    <w:next w:val="1"/>
    <w:unhideWhenUsed/>
    <w:qFormat/>
    <w:uiPriority w:val="39"/>
    <w:pPr>
      <w:ind w:left="420" w:leftChars="200"/>
    </w:pPr>
  </w:style>
  <w:style w:type="paragraph" w:styleId="58">
    <w:name w:val="toc 9"/>
    <w:basedOn w:val="1"/>
    <w:next w:val="1"/>
    <w:unhideWhenUsed/>
    <w:qFormat/>
    <w:uiPriority w:val="39"/>
    <w:pPr>
      <w:ind w:left="3360" w:leftChars="1600"/>
    </w:pPr>
  </w:style>
  <w:style w:type="paragraph" w:styleId="59">
    <w:name w:val="Body Text 2"/>
    <w:basedOn w:val="1"/>
    <w:link w:val="109"/>
    <w:unhideWhenUsed/>
    <w:qFormat/>
    <w:uiPriority w:val="0"/>
    <w:pPr>
      <w:spacing w:after="120" w:line="480" w:lineRule="auto"/>
    </w:pPr>
  </w:style>
  <w:style w:type="paragraph" w:styleId="60">
    <w:name w:val="List 4"/>
    <w:basedOn w:val="1"/>
    <w:qFormat/>
    <w:uiPriority w:val="0"/>
    <w:pPr>
      <w:ind w:left="1680" w:hanging="420"/>
    </w:pPr>
    <w:rPr>
      <w:szCs w:val="20"/>
    </w:rPr>
  </w:style>
  <w:style w:type="paragraph" w:styleId="61">
    <w:name w:val="Message Header"/>
    <w:basedOn w:val="1"/>
    <w:link w:val="541"/>
    <w:unhideWhenUsed/>
    <w:qFormat/>
    <w:uiPriority w:val="0"/>
    <w:pPr>
      <w:pBdr>
        <w:top w:val="single" w:color="auto" w:sz="6" w:space="1"/>
        <w:left w:val="single" w:color="auto" w:sz="6" w:space="1"/>
        <w:bottom w:val="single" w:color="auto" w:sz="6" w:space="1"/>
        <w:right w:val="single" w:color="auto" w:sz="6" w:space="1"/>
      </w:pBdr>
      <w:shd w:val="pct20" w:color="auto" w:fill="auto"/>
      <w:ind w:left="1000" w:leftChars="500" w:hanging="500" w:hangingChars="500"/>
    </w:pPr>
    <w:rPr>
      <w:rFonts w:ascii="Arial" w:hAnsi="Arial" w:cs="Arial"/>
      <w:kern w:val="0"/>
      <w:sz w:val="24"/>
      <w:szCs w:val="20"/>
    </w:rPr>
  </w:style>
  <w:style w:type="paragraph" w:styleId="62">
    <w:name w:val="HTML Preformatted"/>
    <w:basedOn w:val="1"/>
    <w:link w:val="110"/>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szCs w:val="24"/>
    </w:rPr>
  </w:style>
  <w:style w:type="paragraph" w:styleId="63">
    <w:name w:val="Normal (Web)"/>
    <w:basedOn w:val="1"/>
    <w:link w:val="111"/>
    <w:qFormat/>
    <w:uiPriority w:val="0"/>
    <w:pPr>
      <w:widowControl/>
      <w:spacing w:before="100" w:beforeAutospacing="1" w:after="100" w:afterAutospacing="1" w:line="360" w:lineRule="auto"/>
      <w:jc w:val="left"/>
    </w:pPr>
    <w:rPr>
      <w:rFonts w:ascii="宋体" w:hAnsi="宋体" w:cs="宋体"/>
      <w:color w:val="000000"/>
      <w:kern w:val="0"/>
      <w:sz w:val="24"/>
      <w:szCs w:val="24"/>
    </w:rPr>
  </w:style>
  <w:style w:type="paragraph" w:styleId="64">
    <w:name w:val="index 1"/>
    <w:basedOn w:val="1"/>
    <w:next w:val="1"/>
    <w:semiHidden/>
    <w:qFormat/>
    <w:uiPriority w:val="0"/>
    <w:rPr>
      <w:szCs w:val="24"/>
    </w:rPr>
  </w:style>
  <w:style w:type="paragraph" w:styleId="65">
    <w:name w:val="Title"/>
    <w:basedOn w:val="1"/>
    <w:next w:val="1"/>
    <w:link w:val="539"/>
    <w:qFormat/>
    <w:uiPriority w:val="0"/>
    <w:pPr>
      <w:spacing w:before="240" w:after="60"/>
      <w:jc w:val="center"/>
      <w:outlineLvl w:val="0"/>
    </w:pPr>
    <w:rPr>
      <w:rFonts w:ascii="Cambria" w:hAnsi="Cambria"/>
      <w:b/>
      <w:bCs/>
      <w:sz w:val="32"/>
      <w:szCs w:val="32"/>
    </w:rPr>
  </w:style>
  <w:style w:type="character" w:styleId="67">
    <w:name w:val="Strong"/>
    <w:qFormat/>
    <w:uiPriority w:val="0"/>
    <w:rPr>
      <w:b/>
      <w:bCs/>
    </w:rPr>
  </w:style>
  <w:style w:type="character" w:styleId="68">
    <w:name w:val="endnote reference"/>
    <w:qFormat/>
    <w:uiPriority w:val="0"/>
    <w:rPr>
      <w:vertAlign w:val="superscript"/>
    </w:rPr>
  </w:style>
  <w:style w:type="character" w:styleId="69">
    <w:name w:val="page number"/>
    <w:basedOn w:val="66"/>
    <w:qFormat/>
    <w:uiPriority w:val="0"/>
  </w:style>
  <w:style w:type="character" w:styleId="70">
    <w:name w:val="FollowedHyperlink"/>
    <w:qFormat/>
    <w:uiPriority w:val="99"/>
    <w:rPr>
      <w:color w:val="800080"/>
      <w:u w:val="single"/>
    </w:rPr>
  </w:style>
  <w:style w:type="character" w:styleId="71">
    <w:name w:val="Emphasis"/>
    <w:basedOn w:val="66"/>
    <w:qFormat/>
    <w:uiPriority w:val="20"/>
  </w:style>
  <w:style w:type="character" w:styleId="72">
    <w:name w:val="Hyperlink"/>
    <w:unhideWhenUsed/>
    <w:qFormat/>
    <w:uiPriority w:val="99"/>
    <w:rPr>
      <w:color w:val="0000FF"/>
      <w:u w:val="single"/>
    </w:rPr>
  </w:style>
  <w:style w:type="character" w:styleId="73">
    <w:name w:val="annotation reference"/>
    <w:qFormat/>
    <w:uiPriority w:val="0"/>
    <w:rPr>
      <w:sz w:val="21"/>
      <w:szCs w:val="21"/>
    </w:rPr>
  </w:style>
  <w:style w:type="table" w:styleId="75">
    <w:name w:val="Table Grid"/>
    <w:basedOn w:val="7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76">
    <w:name w:val="Table Theme"/>
    <w:basedOn w:val="74"/>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77">
    <w:name w:val="Table Elegant"/>
    <w:basedOn w:val="74"/>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cPr>
      <w:shd w:val="clear" w:color="auto" w:fill="auto"/>
    </w:tcPr>
    <w:tblStylePr w:type="firstRow">
      <w:rPr>
        <w:caps/>
        <w:color w:val="auto"/>
      </w:rPr>
      <w:tblPr>
        <w:tblLayout w:type="fixed"/>
      </w:tblPr>
      <w:tcPr>
        <w:tcBorders>
          <w:tl2br w:val="nil"/>
          <w:tr2bl w:val="nil"/>
        </w:tcBorders>
      </w:tcPr>
    </w:tblStylePr>
  </w:style>
  <w:style w:type="character" w:customStyle="1" w:styleId="78">
    <w:name w:val="标题 1 字符"/>
    <w:link w:val="3"/>
    <w:qFormat/>
    <w:uiPriority w:val="0"/>
    <w:rPr>
      <w:rFonts w:ascii="Calibri" w:hAnsi="Calibri"/>
      <w:b/>
      <w:bCs/>
      <w:kern w:val="44"/>
      <w:sz w:val="36"/>
      <w:szCs w:val="44"/>
    </w:rPr>
  </w:style>
  <w:style w:type="character" w:customStyle="1" w:styleId="79">
    <w:name w:val="标题 2 字符"/>
    <w:link w:val="4"/>
    <w:qFormat/>
    <w:uiPriority w:val="0"/>
    <w:rPr>
      <w:b/>
      <w:bCs/>
      <w:sz w:val="30"/>
      <w:szCs w:val="32"/>
    </w:rPr>
  </w:style>
  <w:style w:type="character" w:customStyle="1" w:styleId="80">
    <w:name w:val="标题 3 字符"/>
    <w:link w:val="5"/>
    <w:qFormat/>
    <w:uiPriority w:val="0"/>
    <w:rPr>
      <w:b/>
      <w:bCs/>
      <w:kern w:val="2"/>
      <w:sz w:val="24"/>
      <w:szCs w:val="32"/>
    </w:rPr>
  </w:style>
  <w:style w:type="character" w:customStyle="1" w:styleId="81">
    <w:name w:val="标题 4 字符"/>
    <w:link w:val="6"/>
    <w:qFormat/>
    <w:uiPriority w:val="0"/>
    <w:rPr>
      <w:b/>
      <w:bCs/>
      <w:kern w:val="2"/>
      <w:sz w:val="24"/>
      <w:szCs w:val="28"/>
    </w:rPr>
  </w:style>
  <w:style w:type="character" w:customStyle="1" w:styleId="82">
    <w:name w:val="标题 5 字符"/>
    <w:link w:val="7"/>
    <w:qFormat/>
    <w:uiPriority w:val="1"/>
    <w:rPr>
      <w:b/>
      <w:bCs/>
      <w:kern w:val="2"/>
      <w:sz w:val="24"/>
      <w:szCs w:val="28"/>
    </w:rPr>
  </w:style>
  <w:style w:type="character" w:customStyle="1" w:styleId="83">
    <w:name w:val="标题 6 字符"/>
    <w:link w:val="8"/>
    <w:qFormat/>
    <w:uiPriority w:val="9"/>
    <w:rPr>
      <w:rFonts w:ascii="Cambria" w:hAnsi="Cambria"/>
      <w:b/>
      <w:bCs/>
      <w:kern w:val="2"/>
      <w:sz w:val="24"/>
      <w:szCs w:val="24"/>
    </w:rPr>
  </w:style>
  <w:style w:type="character" w:customStyle="1" w:styleId="84">
    <w:name w:val="标题 7 字符"/>
    <w:link w:val="9"/>
    <w:qFormat/>
    <w:uiPriority w:val="9"/>
    <w:rPr>
      <w:b/>
      <w:bCs/>
      <w:kern w:val="2"/>
      <w:sz w:val="24"/>
      <w:szCs w:val="24"/>
    </w:rPr>
  </w:style>
  <w:style w:type="character" w:customStyle="1" w:styleId="85">
    <w:name w:val="标题 8 字符"/>
    <w:link w:val="10"/>
    <w:qFormat/>
    <w:uiPriority w:val="9"/>
    <w:rPr>
      <w:rFonts w:ascii="Cambria" w:hAnsi="Cambria"/>
      <w:kern w:val="2"/>
      <w:sz w:val="24"/>
      <w:szCs w:val="24"/>
    </w:rPr>
  </w:style>
  <w:style w:type="character" w:customStyle="1" w:styleId="86">
    <w:name w:val="标题 9 字符"/>
    <w:link w:val="11"/>
    <w:qFormat/>
    <w:uiPriority w:val="9"/>
    <w:rPr>
      <w:rFonts w:ascii="Cambria" w:hAnsi="Cambria"/>
      <w:kern w:val="2"/>
      <w:sz w:val="21"/>
      <w:szCs w:val="21"/>
    </w:rPr>
  </w:style>
  <w:style w:type="character" w:customStyle="1" w:styleId="87">
    <w:name w:val="批注文字 字符"/>
    <w:link w:val="14"/>
    <w:qFormat/>
    <w:uiPriority w:val="99"/>
    <w:rPr>
      <w:szCs w:val="24"/>
    </w:rPr>
  </w:style>
  <w:style w:type="character" w:customStyle="1" w:styleId="88">
    <w:name w:val="批注主题 字符"/>
    <w:link w:val="13"/>
    <w:qFormat/>
    <w:uiPriority w:val="99"/>
    <w:rPr>
      <w:b/>
      <w:bCs/>
      <w:szCs w:val="24"/>
    </w:rPr>
  </w:style>
  <w:style w:type="character" w:customStyle="1" w:styleId="89">
    <w:name w:val="正文文本 字符"/>
    <w:link w:val="17"/>
    <w:qFormat/>
    <w:uiPriority w:val="1"/>
    <w:rPr>
      <w:kern w:val="2"/>
      <w:sz w:val="21"/>
      <w:szCs w:val="22"/>
    </w:rPr>
  </w:style>
  <w:style w:type="character" w:customStyle="1" w:styleId="90">
    <w:name w:val="正文文本首行缩进 字符"/>
    <w:link w:val="16"/>
    <w:qFormat/>
    <w:uiPriority w:val="0"/>
    <w:rPr>
      <w:rFonts w:ascii="Arial" w:hAnsi="Arial"/>
      <w:kern w:val="2"/>
      <w:sz w:val="24"/>
      <w:szCs w:val="22"/>
    </w:rPr>
  </w:style>
  <w:style w:type="character" w:customStyle="1" w:styleId="91">
    <w:name w:val="注释标题 字符"/>
    <w:link w:val="19"/>
    <w:qFormat/>
    <w:uiPriority w:val="0"/>
    <w:rPr>
      <w:kern w:val="2"/>
      <w:sz w:val="21"/>
      <w:szCs w:val="24"/>
    </w:rPr>
  </w:style>
  <w:style w:type="character" w:customStyle="1" w:styleId="92">
    <w:name w:val="正文缩进 字符"/>
    <w:link w:val="23"/>
    <w:qFormat/>
    <w:uiPriority w:val="0"/>
    <w:rPr>
      <w:rFonts w:eastAsia="宋体"/>
    </w:rPr>
  </w:style>
  <w:style w:type="character" w:customStyle="1" w:styleId="93">
    <w:name w:val="题注 字符"/>
    <w:link w:val="24"/>
    <w:qFormat/>
    <w:uiPriority w:val="0"/>
    <w:rPr>
      <w:rFonts w:ascii="Arial" w:hAnsi="Arial" w:eastAsia="黑体" w:cs="Arial"/>
      <w:kern w:val="2"/>
    </w:rPr>
  </w:style>
  <w:style w:type="character" w:customStyle="1" w:styleId="94">
    <w:name w:val="文档结构图 字符"/>
    <w:basedOn w:val="66"/>
    <w:link w:val="27"/>
    <w:semiHidden/>
    <w:qFormat/>
    <w:uiPriority w:val="0"/>
    <w:rPr>
      <w:kern w:val="2"/>
      <w:sz w:val="21"/>
      <w:szCs w:val="22"/>
      <w:shd w:val="clear" w:color="auto" w:fill="000080"/>
    </w:rPr>
  </w:style>
  <w:style w:type="character" w:customStyle="1" w:styleId="95">
    <w:name w:val="正文文本 3 字符"/>
    <w:link w:val="30"/>
    <w:qFormat/>
    <w:uiPriority w:val="0"/>
    <w:rPr>
      <w:rFonts w:eastAsia="Times New Roman"/>
      <w:sz w:val="21"/>
      <w:lang w:val="en-US" w:eastAsia="zh-CN"/>
    </w:rPr>
  </w:style>
  <w:style w:type="character" w:customStyle="1" w:styleId="96">
    <w:name w:val="结束语 字符"/>
    <w:link w:val="31"/>
    <w:qFormat/>
    <w:uiPriority w:val="0"/>
    <w:rPr>
      <w:rFonts w:ascii="仿宋_GB2312" w:eastAsia="仿宋_GB2312"/>
      <w:bCs/>
      <w:kern w:val="2"/>
      <w:sz w:val="28"/>
      <w:szCs w:val="24"/>
    </w:rPr>
  </w:style>
  <w:style w:type="character" w:customStyle="1" w:styleId="97">
    <w:name w:val="正文文本缩进 字符"/>
    <w:basedOn w:val="66"/>
    <w:link w:val="32"/>
    <w:qFormat/>
    <w:uiPriority w:val="99"/>
  </w:style>
  <w:style w:type="character" w:customStyle="1" w:styleId="98">
    <w:name w:val="纯文本 字符"/>
    <w:link w:val="37"/>
    <w:qFormat/>
    <w:uiPriority w:val="0"/>
    <w:rPr>
      <w:rFonts w:ascii="宋体" w:hAnsi="Courier New" w:eastAsia="宋体" w:cs="Courier New"/>
      <w:szCs w:val="21"/>
    </w:rPr>
  </w:style>
  <w:style w:type="character" w:customStyle="1" w:styleId="99">
    <w:name w:val="日期 字符"/>
    <w:link w:val="41"/>
    <w:qFormat/>
    <w:uiPriority w:val="0"/>
    <w:rPr>
      <w:rFonts w:ascii="Arial" w:hAnsi="Arial"/>
      <w:kern w:val="2"/>
      <w:sz w:val="24"/>
    </w:rPr>
  </w:style>
  <w:style w:type="character" w:customStyle="1" w:styleId="100">
    <w:name w:val="正文文本缩进 2 字符"/>
    <w:link w:val="42"/>
    <w:qFormat/>
    <w:uiPriority w:val="99"/>
    <w:rPr>
      <w:kern w:val="2"/>
      <w:sz w:val="21"/>
      <w:szCs w:val="22"/>
    </w:rPr>
  </w:style>
  <w:style w:type="character" w:customStyle="1" w:styleId="101">
    <w:name w:val="尾注文本 字符"/>
    <w:link w:val="43"/>
    <w:qFormat/>
    <w:uiPriority w:val="0"/>
    <w:rPr>
      <w:kern w:val="2"/>
      <w:sz w:val="21"/>
      <w:szCs w:val="24"/>
    </w:rPr>
  </w:style>
  <w:style w:type="character" w:customStyle="1" w:styleId="102">
    <w:name w:val="批注框文本 字符"/>
    <w:link w:val="44"/>
    <w:qFormat/>
    <w:uiPriority w:val="99"/>
    <w:rPr>
      <w:sz w:val="18"/>
      <w:szCs w:val="18"/>
    </w:rPr>
  </w:style>
  <w:style w:type="character" w:customStyle="1" w:styleId="103">
    <w:name w:val="页脚 字符"/>
    <w:link w:val="2"/>
    <w:qFormat/>
    <w:uiPriority w:val="99"/>
    <w:rPr>
      <w:sz w:val="18"/>
      <w:szCs w:val="18"/>
    </w:rPr>
  </w:style>
  <w:style w:type="character" w:customStyle="1" w:styleId="104">
    <w:name w:val="正文文本首行缩进 2 字符"/>
    <w:link w:val="45"/>
    <w:qFormat/>
    <w:uiPriority w:val="99"/>
    <w:rPr>
      <w:rFonts w:eastAsia="宋体"/>
      <w:szCs w:val="24"/>
    </w:rPr>
  </w:style>
  <w:style w:type="character" w:customStyle="1" w:styleId="105">
    <w:name w:val="页眉 字符"/>
    <w:link w:val="46"/>
    <w:qFormat/>
    <w:uiPriority w:val="99"/>
    <w:rPr>
      <w:rFonts w:ascii="Calibri" w:hAnsi="Calibri" w:eastAsia="宋体" w:cs="Times New Roman"/>
      <w:kern w:val="0"/>
      <w:sz w:val="18"/>
      <w:szCs w:val="18"/>
    </w:rPr>
  </w:style>
  <w:style w:type="character" w:customStyle="1" w:styleId="106">
    <w:name w:val="副标题 字符"/>
    <w:link w:val="50"/>
    <w:qFormat/>
    <w:uiPriority w:val="0"/>
    <w:rPr>
      <w:rFonts w:ascii="Cambria" w:hAnsi="Cambria"/>
      <w:b/>
      <w:bCs/>
      <w:kern w:val="28"/>
      <w:sz w:val="32"/>
      <w:szCs w:val="32"/>
    </w:rPr>
  </w:style>
  <w:style w:type="character" w:customStyle="1" w:styleId="107">
    <w:name w:val="列表 字符"/>
    <w:link w:val="52"/>
    <w:qFormat/>
    <w:uiPriority w:val="0"/>
    <w:rPr>
      <w:kern w:val="2"/>
      <w:sz w:val="21"/>
      <w:szCs w:val="24"/>
    </w:rPr>
  </w:style>
  <w:style w:type="character" w:customStyle="1" w:styleId="108">
    <w:name w:val="正文文本缩进 3 字符"/>
    <w:link w:val="55"/>
    <w:semiHidden/>
    <w:qFormat/>
    <w:uiPriority w:val="0"/>
    <w:rPr>
      <w:kern w:val="2"/>
      <w:sz w:val="16"/>
      <w:szCs w:val="16"/>
    </w:rPr>
  </w:style>
  <w:style w:type="character" w:customStyle="1" w:styleId="109">
    <w:name w:val="正文文本 2 字符"/>
    <w:link w:val="59"/>
    <w:qFormat/>
    <w:uiPriority w:val="0"/>
    <w:rPr>
      <w:kern w:val="2"/>
      <w:sz w:val="21"/>
      <w:szCs w:val="22"/>
    </w:rPr>
  </w:style>
  <w:style w:type="character" w:customStyle="1" w:styleId="110">
    <w:name w:val="HTML 预设格式 字符"/>
    <w:link w:val="62"/>
    <w:semiHidden/>
    <w:qFormat/>
    <w:uiPriority w:val="0"/>
    <w:rPr>
      <w:rFonts w:ascii="宋体" w:hAnsi="宋体" w:cs="宋体"/>
      <w:sz w:val="24"/>
      <w:szCs w:val="24"/>
    </w:rPr>
  </w:style>
  <w:style w:type="character" w:customStyle="1" w:styleId="111">
    <w:name w:val="普通(网站) 字符"/>
    <w:link w:val="63"/>
    <w:qFormat/>
    <w:uiPriority w:val="0"/>
    <w:rPr>
      <w:rFonts w:ascii="宋体" w:hAnsi="宋体" w:cs="宋体"/>
      <w:color w:val="000000"/>
      <w:sz w:val="24"/>
      <w:szCs w:val="24"/>
    </w:rPr>
  </w:style>
  <w:style w:type="paragraph" w:customStyle="1" w:styleId="112">
    <w:name w:val="正文 文字"/>
    <w:basedOn w:val="1"/>
    <w:link w:val="113"/>
    <w:qFormat/>
    <w:uiPriority w:val="0"/>
    <w:pPr>
      <w:spacing w:line="500" w:lineRule="exact"/>
      <w:ind w:firstLine="200" w:firstLineChars="200"/>
      <w:jc w:val="left"/>
    </w:pPr>
    <w:rPr>
      <w:rFonts w:eastAsia="仿宋_GB2312"/>
      <w:sz w:val="28"/>
      <w:szCs w:val="24"/>
    </w:rPr>
  </w:style>
  <w:style w:type="character" w:customStyle="1" w:styleId="113">
    <w:name w:val="正文 文字 Char"/>
    <w:link w:val="112"/>
    <w:qFormat/>
    <w:uiPriority w:val="0"/>
    <w:rPr>
      <w:rFonts w:eastAsia="仿宋_GB2312"/>
      <w:kern w:val="2"/>
      <w:sz w:val="28"/>
      <w:szCs w:val="24"/>
    </w:rPr>
  </w:style>
  <w:style w:type="paragraph" w:customStyle="1" w:styleId="114">
    <w:name w:val="表格 标题"/>
    <w:basedOn w:val="112"/>
    <w:link w:val="115"/>
    <w:qFormat/>
    <w:uiPriority w:val="0"/>
    <w:pPr>
      <w:spacing w:before="50" w:beforeLines="50" w:line="240" w:lineRule="auto"/>
      <w:ind w:firstLine="0" w:firstLineChars="0"/>
      <w:jc w:val="center"/>
    </w:pPr>
    <w:rPr>
      <w:rFonts w:eastAsia="宋体"/>
      <w:b/>
      <w:sz w:val="24"/>
    </w:rPr>
  </w:style>
  <w:style w:type="character" w:customStyle="1" w:styleId="115">
    <w:name w:val="表格 标题 Char"/>
    <w:link w:val="114"/>
    <w:qFormat/>
    <w:uiPriority w:val="0"/>
    <w:rPr>
      <w:b/>
      <w:kern w:val="2"/>
      <w:sz w:val="24"/>
      <w:szCs w:val="24"/>
    </w:rPr>
  </w:style>
  <w:style w:type="paragraph" w:customStyle="1" w:styleId="116">
    <w:name w:val="列出段落1"/>
    <w:basedOn w:val="1"/>
    <w:link w:val="117"/>
    <w:qFormat/>
    <w:uiPriority w:val="0"/>
    <w:pPr>
      <w:ind w:firstLine="420" w:firstLineChars="200"/>
    </w:pPr>
  </w:style>
  <w:style w:type="character" w:customStyle="1" w:styleId="117">
    <w:name w:val="列出段落 Char"/>
    <w:link w:val="116"/>
    <w:qFormat/>
    <w:uiPriority w:val="34"/>
  </w:style>
  <w:style w:type="paragraph" w:customStyle="1" w:styleId="118">
    <w:name w:val="正文首行缩进2个字"/>
    <w:basedOn w:val="1"/>
    <w:link w:val="119"/>
    <w:qFormat/>
    <w:uiPriority w:val="0"/>
    <w:pPr>
      <w:spacing w:line="360" w:lineRule="auto"/>
      <w:ind w:firstLine="200" w:firstLineChars="200"/>
    </w:pPr>
    <w:rPr>
      <w:kern w:val="0"/>
      <w:sz w:val="24"/>
      <w:szCs w:val="24"/>
    </w:rPr>
  </w:style>
  <w:style w:type="character" w:customStyle="1" w:styleId="119">
    <w:name w:val="正文首行缩进2个字 Char"/>
    <w:link w:val="118"/>
    <w:qFormat/>
    <w:uiPriority w:val="0"/>
    <w:rPr>
      <w:sz w:val="24"/>
      <w:szCs w:val="24"/>
    </w:rPr>
  </w:style>
  <w:style w:type="paragraph" w:customStyle="1" w:styleId="120">
    <w:name w:val="我的样式7 Char"/>
    <w:basedOn w:val="1"/>
    <w:next w:val="1"/>
    <w:link w:val="121"/>
    <w:qFormat/>
    <w:uiPriority w:val="0"/>
    <w:pPr>
      <w:numPr>
        <w:ilvl w:val="0"/>
        <w:numId w:val="7"/>
      </w:numPr>
      <w:spacing w:line="520" w:lineRule="exact"/>
    </w:pPr>
    <w:rPr>
      <w:sz w:val="24"/>
      <w:szCs w:val="24"/>
    </w:rPr>
  </w:style>
  <w:style w:type="character" w:customStyle="1" w:styleId="121">
    <w:name w:val="我的样式7 Char Char"/>
    <w:link w:val="120"/>
    <w:qFormat/>
    <w:uiPriority w:val="0"/>
    <w:rPr>
      <w:kern w:val="2"/>
      <w:sz w:val="24"/>
      <w:szCs w:val="24"/>
    </w:rPr>
  </w:style>
  <w:style w:type="paragraph" w:customStyle="1" w:styleId="122">
    <w:name w:val="cauc-0"/>
    <w:link w:val="123"/>
    <w:qFormat/>
    <w:uiPriority w:val="0"/>
    <w:pPr>
      <w:spacing w:line="360" w:lineRule="auto"/>
      <w:ind w:firstLine="480" w:firstLineChars="200"/>
      <w:jc w:val="both"/>
    </w:pPr>
    <w:rPr>
      <w:rFonts w:ascii="Times New Roman" w:hAnsi="Times New Roman" w:eastAsia="宋体" w:cs="Times New Roman"/>
      <w:sz w:val="24"/>
      <w:szCs w:val="24"/>
      <w:lang w:val="en-US" w:eastAsia="zh-CN" w:bidi="ar-SA"/>
    </w:rPr>
  </w:style>
  <w:style w:type="character" w:customStyle="1" w:styleId="123">
    <w:name w:val="cauc-0 Char"/>
    <w:link w:val="122"/>
    <w:qFormat/>
    <w:uiPriority w:val="0"/>
    <w:rPr>
      <w:sz w:val="24"/>
      <w:szCs w:val="24"/>
    </w:rPr>
  </w:style>
  <w:style w:type="paragraph" w:customStyle="1" w:styleId="124">
    <w:name w:val="正文01"/>
    <w:basedOn w:val="1"/>
    <w:link w:val="125"/>
    <w:qFormat/>
    <w:uiPriority w:val="0"/>
    <w:pPr>
      <w:spacing w:before="60" w:line="460" w:lineRule="exact"/>
      <w:ind w:firstLine="200" w:firstLineChars="200"/>
    </w:pPr>
    <w:rPr>
      <w:kern w:val="0"/>
      <w:sz w:val="24"/>
      <w:szCs w:val="24"/>
    </w:rPr>
  </w:style>
  <w:style w:type="character" w:customStyle="1" w:styleId="125">
    <w:name w:val="正文01 Char"/>
    <w:link w:val="124"/>
    <w:qFormat/>
    <w:uiPriority w:val="0"/>
    <w:rPr>
      <w:rFonts w:ascii="Times New Roman" w:hAnsi="Times New Roman" w:eastAsia="宋体" w:cs="Times New Roman"/>
      <w:kern w:val="0"/>
      <w:sz w:val="24"/>
      <w:szCs w:val="24"/>
    </w:rPr>
  </w:style>
  <w:style w:type="paragraph" w:customStyle="1" w:styleId="126">
    <w:name w:val="cucd-0"/>
    <w:link w:val="127"/>
    <w:qFormat/>
    <w:uiPriority w:val="0"/>
    <w:pPr>
      <w:spacing w:line="360" w:lineRule="auto"/>
      <w:ind w:firstLine="480" w:firstLineChars="200"/>
    </w:pPr>
    <w:rPr>
      <w:rFonts w:ascii="Times New Roman" w:hAnsi="Times New Roman" w:eastAsia="宋体" w:cs="Times New Roman"/>
      <w:sz w:val="24"/>
      <w:szCs w:val="24"/>
      <w:lang w:val="en-US" w:eastAsia="zh-CN" w:bidi="ar-SA"/>
    </w:rPr>
  </w:style>
  <w:style w:type="character" w:customStyle="1" w:styleId="127">
    <w:name w:val="cucd-0 Char"/>
    <w:link w:val="126"/>
    <w:qFormat/>
    <w:uiPriority w:val="0"/>
    <w:rPr>
      <w:sz w:val="24"/>
      <w:szCs w:val="24"/>
      <w:lang w:val="en-US" w:eastAsia="zh-CN" w:bidi="ar-SA"/>
    </w:rPr>
  </w:style>
  <w:style w:type="paragraph" w:customStyle="1" w:styleId="128">
    <w:name w:val="4级（小）标题"/>
    <w:basedOn w:val="1"/>
    <w:link w:val="129"/>
    <w:qFormat/>
    <w:uiPriority w:val="0"/>
    <w:pPr>
      <w:spacing w:before="60" w:line="360" w:lineRule="auto"/>
      <w:ind w:firstLine="150" w:firstLineChars="150"/>
      <w:outlineLvl w:val="3"/>
    </w:pPr>
    <w:rPr>
      <w:b/>
      <w:kern w:val="0"/>
      <w:sz w:val="24"/>
      <w:szCs w:val="24"/>
    </w:rPr>
  </w:style>
  <w:style w:type="character" w:customStyle="1" w:styleId="129">
    <w:name w:val="4级（小）标题 Char"/>
    <w:link w:val="128"/>
    <w:qFormat/>
    <w:uiPriority w:val="0"/>
    <w:rPr>
      <w:rFonts w:ascii="Times New Roman" w:hAnsi="Times New Roman" w:eastAsia="宋体" w:cs="Times New Roman"/>
      <w:b/>
      <w:sz w:val="24"/>
      <w:szCs w:val="24"/>
    </w:rPr>
  </w:style>
  <w:style w:type="paragraph" w:customStyle="1" w:styleId="130">
    <w:name w:val="环评正文"/>
    <w:basedOn w:val="1"/>
    <w:next w:val="1"/>
    <w:link w:val="131"/>
    <w:qFormat/>
    <w:uiPriority w:val="0"/>
    <w:pPr>
      <w:widowControl/>
      <w:spacing w:line="360" w:lineRule="auto"/>
      <w:ind w:firstLine="200" w:firstLineChars="200"/>
    </w:pPr>
    <w:rPr>
      <w:bCs/>
      <w:kern w:val="0"/>
      <w:sz w:val="24"/>
      <w:szCs w:val="24"/>
    </w:rPr>
  </w:style>
  <w:style w:type="character" w:customStyle="1" w:styleId="131">
    <w:name w:val="环评正文 Char"/>
    <w:link w:val="130"/>
    <w:qFormat/>
    <w:uiPriority w:val="0"/>
    <w:rPr>
      <w:bCs/>
      <w:sz w:val="24"/>
      <w:szCs w:val="24"/>
    </w:rPr>
  </w:style>
  <w:style w:type="paragraph" w:customStyle="1" w:styleId="132">
    <w:name w:val="Char Char1"/>
    <w:basedOn w:val="1"/>
    <w:link w:val="133"/>
    <w:qFormat/>
    <w:uiPriority w:val="0"/>
    <w:pPr>
      <w:spacing w:line="360" w:lineRule="auto"/>
      <w:ind w:firstLine="200" w:firstLineChars="200"/>
    </w:pPr>
    <w:rPr>
      <w:rFonts w:ascii="宋体" w:hAnsi="宋体"/>
      <w:kern w:val="0"/>
      <w:sz w:val="24"/>
      <w:szCs w:val="24"/>
    </w:rPr>
  </w:style>
  <w:style w:type="character" w:customStyle="1" w:styleId="133">
    <w:name w:val="Char Char1 Char"/>
    <w:link w:val="132"/>
    <w:qFormat/>
    <w:uiPriority w:val="0"/>
    <w:rPr>
      <w:rFonts w:ascii="宋体" w:hAnsi="宋体" w:eastAsia="宋体" w:cs="宋体"/>
      <w:sz w:val="24"/>
      <w:szCs w:val="24"/>
    </w:rPr>
  </w:style>
  <w:style w:type="paragraph" w:customStyle="1" w:styleId="134">
    <w:name w:val="表格内容"/>
    <w:basedOn w:val="1"/>
    <w:link w:val="135"/>
    <w:qFormat/>
    <w:uiPriority w:val="0"/>
    <w:pPr>
      <w:overflowPunct w:val="0"/>
      <w:adjustRightInd w:val="0"/>
      <w:snapToGrid w:val="0"/>
      <w:spacing w:line="240" w:lineRule="exact"/>
      <w:jc w:val="center"/>
      <w:textAlignment w:val="baseline"/>
    </w:pPr>
    <w:rPr>
      <w:rFonts w:ascii="宋体" w:hAnsi="宋体"/>
      <w:kern w:val="0"/>
      <w:sz w:val="18"/>
      <w:szCs w:val="20"/>
    </w:rPr>
  </w:style>
  <w:style w:type="character" w:customStyle="1" w:styleId="135">
    <w:name w:val="表格内容 Char"/>
    <w:link w:val="134"/>
    <w:qFormat/>
    <w:uiPriority w:val="0"/>
    <w:rPr>
      <w:rFonts w:ascii="宋体" w:hAnsi="宋体" w:eastAsia="宋体" w:cs="Times New Roman"/>
      <w:kern w:val="0"/>
      <w:sz w:val="18"/>
      <w:szCs w:val="20"/>
    </w:rPr>
  </w:style>
  <w:style w:type="paragraph" w:customStyle="1" w:styleId="136">
    <w:name w:val="b-b2"/>
    <w:basedOn w:val="1"/>
    <w:next w:val="1"/>
    <w:qFormat/>
    <w:uiPriority w:val="0"/>
    <w:pPr>
      <w:numPr>
        <w:ilvl w:val="1"/>
        <w:numId w:val="8"/>
      </w:numPr>
      <w:spacing w:before="120" w:after="120" w:line="400" w:lineRule="exact"/>
      <w:outlineLvl w:val="1"/>
    </w:pPr>
    <w:rPr>
      <w:rFonts w:eastAsia="黑体"/>
      <w:sz w:val="30"/>
      <w:szCs w:val="20"/>
    </w:rPr>
  </w:style>
  <w:style w:type="paragraph" w:customStyle="1" w:styleId="137">
    <w:name w:val="彭阳油田标题3"/>
    <w:basedOn w:val="5"/>
    <w:qFormat/>
    <w:uiPriority w:val="0"/>
    <w:pPr>
      <w:numPr>
        <w:ilvl w:val="0"/>
        <w:numId w:val="0"/>
      </w:numPr>
      <w:spacing w:beforeLines="10" w:line="500" w:lineRule="exact"/>
      <w:jc w:val="left"/>
    </w:pPr>
    <w:rPr>
      <w:szCs w:val="24"/>
    </w:rPr>
  </w:style>
  <w:style w:type="paragraph" w:customStyle="1" w:styleId="138">
    <w:name w:val="默认段落字体 Para Char Char Char Char"/>
    <w:basedOn w:val="1"/>
    <w:qFormat/>
    <w:uiPriority w:val="0"/>
    <w:rPr>
      <w:szCs w:val="24"/>
    </w:rPr>
  </w:style>
  <w:style w:type="paragraph" w:customStyle="1" w:styleId="139">
    <w:name w:val="Default"/>
    <w:qFormat/>
    <w:uiPriority w:val="0"/>
    <w:pPr>
      <w:widowControl w:val="0"/>
      <w:autoSpaceDE w:val="0"/>
      <w:autoSpaceDN w:val="0"/>
      <w:adjustRightInd w:val="0"/>
    </w:pPr>
    <w:rPr>
      <w:rFonts w:ascii="仿宋_GB2312" w:hAnsi="仿宋_GB2312" w:eastAsia="宋体" w:cs="仿宋_GB2312"/>
      <w:color w:val="000000"/>
      <w:sz w:val="24"/>
      <w:szCs w:val="24"/>
      <w:lang w:val="en-US" w:eastAsia="zh-CN" w:bidi="ar-SA"/>
    </w:rPr>
  </w:style>
  <w:style w:type="paragraph" w:customStyle="1" w:styleId="140">
    <w:name w:val="b-b1"/>
    <w:basedOn w:val="1"/>
    <w:next w:val="1"/>
    <w:qFormat/>
    <w:uiPriority w:val="0"/>
    <w:pPr>
      <w:numPr>
        <w:ilvl w:val="0"/>
        <w:numId w:val="8"/>
      </w:numPr>
      <w:spacing w:before="160" w:after="160" w:line="400" w:lineRule="exact"/>
      <w:outlineLvl w:val="0"/>
    </w:pPr>
    <w:rPr>
      <w:rFonts w:eastAsia="黑体"/>
      <w:sz w:val="36"/>
      <w:szCs w:val="20"/>
    </w:rPr>
  </w:style>
  <w:style w:type="paragraph" w:customStyle="1" w:styleId="141">
    <w:name w:val="－列表2"/>
    <w:basedOn w:val="1"/>
    <w:semiHidden/>
    <w:qFormat/>
    <w:uiPriority w:val="0"/>
    <w:pPr>
      <w:jc w:val="center"/>
    </w:pPr>
    <w:rPr>
      <w:szCs w:val="21"/>
    </w:rPr>
  </w:style>
  <w:style w:type="paragraph" w:customStyle="1" w:styleId="142">
    <w:name w:val="Char Char Char Char Char2 Char"/>
    <w:basedOn w:val="1"/>
    <w:semiHidden/>
    <w:qFormat/>
    <w:uiPriority w:val="0"/>
    <w:pPr>
      <w:adjustRightInd w:val="0"/>
      <w:snapToGrid w:val="0"/>
      <w:spacing w:line="360" w:lineRule="auto"/>
      <w:ind w:firstLine="200" w:firstLineChars="200"/>
    </w:pPr>
    <w:rPr>
      <w:rFonts w:ascii="宋体" w:hAnsi="宋体" w:cs="宋体"/>
      <w:sz w:val="24"/>
      <w:szCs w:val="26"/>
    </w:rPr>
  </w:style>
  <w:style w:type="paragraph" w:customStyle="1" w:styleId="143">
    <w:name w:val="表格"/>
    <w:basedOn w:val="1"/>
    <w:next w:val="59"/>
    <w:link w:val="144"/>
    <w:qFormat/>
    <w:uiPriority w:val="0"/>
    <w:pPr>
      <w:widowControl/>
      <w:jc w:val="center"/>
    </w:pPr>
    <w:rPr>
      <w:rFonts w:ascii="CG Times (W1)" w:hAnsi="CG Times (W1)"/>
      <w:color w:val="000000"/>
      <w:kern w:val="0"/>
      <w:sz w:val="24"/>
      <w:szCs w:val="20"/>
    </w:rPr>
  </w:style>
  <w:style w:type="character" w:customStyle="1" w:styleId="144">
    <w:name w:val="表格 Char Char"/>
    <w:link w:val="143"/>
    <w:qFormat/>
    <w:uiPriority w:val="0"/>
    <w:rPr>
      <w:rFonts w:ascii="CG Times (W1)" w:hAnsi="CG Times (W1)"/>
      <w:color w:val="000000"/>
      <w:sz w:val="24"/>
    </w:rPr>
  </w:style>
  <w:style w:type="paragraph" w:customStyle="1" w:styleId="145">
    <w:name w:val="b-b6"/>
    <w:basedOn w:val="1"/>
    <w:next w:val="1"/>
    <w:qFormat/>
    <w:uiPriority w:val="0"/>
    <w:pPr>
      <w:numPr>
        <w:ilvl w:val="5"/>
        <w:numId w:val="8"/>
      </w:numPr>
      <w:spacing w:line="400" w:lineRule="exact"/>
      <w:outlineLvl w:val="5"/>
    </w:pPr>
    <w:rPr>
      <w:sz w:val="24"/>
      <w:szCs w:val="20"/>
    </w:rPr>
  </w:style>
  <w:style w:type="paragraph" w:customStyle="1" w:styleId="146">
    <w:name w:val="b-b4"/>
    <w:basedOn w:val="1"/>
    <w:next w:val="1"/>
    <w:qFormat/>
    <w:uiPriority w:val="0"/>
    <w:pPr>
      <w:numPr>
        <w:ilvl w:val="3"/>
        <w:numId w:val="8"/>
      </w:numPr>
      <w:spacing w:before="60" w:after="60" w:line="400" w:lineRule="exact"/>
      <w:outlineLvl w:val="3"/>
    </w:pPr>
    <w:rPr>
      <w:rFonts w:eastAsia="黑体"/>
      <w:sz w:val="24"/>
      <w:szCs w:val="20"/>
    </w:rPr>
  </w:style>
  <w:style w:type="paragraph" w:customStyle="1" w:styleId="147">
    <w:name w:val="b-b5"/>
    <w:basedOn w:val="1"/>
    <w:next w:val="1"/>
    <w:qFormat/>
    <w:uiPriority w:val="0"/>
    <w:pPr>
      <w:numPr>
        <w:ilvl w:val="4"/>
        <w:numId w:val="8"/>
      </w:numPr>
      <w:spacing w:before="40" w:after="40" w:line="400" w:lineRule="exact"/>
      <w:outlineLvl w:val="4"/>
    </w:pPr>
    <w:rPr>
      <w:rFonts w:eastAsia="黑体"/>
      <w:sz w:val="24"/>
      <w:szCs w:val="20"/>
    </w:rPr>
  </w:style>
  <w:style w:type="paragraph" w:customStyle="1" w:styleId="148">
    <w:name w:val="样式 正文格式 + 首行缩进:  2 字符"/>
    <w:basedOn w:val="1"/>
    <w:qFormat/>
    <w:uiPriority w:val="0"/>
    <w:pPr>
      <w:spacing w:line="360" w:lineRule="auto"/>
      <w:ind w:firstLine="480" w:firstLineChars="200"/>
    </w:pPr>
    <w:rPr>
      <w:rFonts w:cs="宋体"/>
      <w:sz w:val="24"/>
      <w:szCs w:val="20"/>
    </w:rPr>
  </w:style>
  <w:style w:type="paragraph" w:customStyle="1" w:styleId="149">
    <w:name w:val="Char Char Char Char Char Char Char"/>
    <w:basedOn w:val="1"/>
    <w:qFormat/>
    <w:uiPriority w:val="0"/>
    <w:rPr>
      <w:rFonts w:ascii="Tahoma" w:hAnsi="Tahoma"/>
      <w:sz w:val="24"/>
      <w:szCs w:val="20"/>
    </w:rPr>
  </w:style>
  <w:style w:type="paragraph" w:customStyle="1" w:styleId="150">
    <w:name w:val="列出段落2"/>
    <w:basedOn w:val="1"/>
    <w:qFormat/>
    <w:uiPriority w:val="0"/>
    <w:pPr>
      <w:ind w:firstLine="420" w:firstLineChars="200"/>
    </w:pPr>
  </w:style>
  <w:style w:type="paragraph" w:customStyle="1" w:styleId="151">
    <w:name w:val="样式 样式 正文 行距: 固定值 25 磅 + 首行缩进:  2 字符1"/>
    <w:basedOn w:val="1"/>
    <w:qFormat/>
    <w:uiPriority w:val="0"/>
    <w:pPr>
      <w:adjustRightInd w:val="0"/>
      <w:spacing w:line="500" w:lineRule="exact"/>
      <w:ind w:firstLine="480" w:firstLineChars="200"/>
    </w:pPr>
    <w:rPr>
      <w:rFonts w:cs="宋体"/>
      <w:sz w:val="24"/>
      <w:szCs w:val="20"/>
    </w:rPr>
  </w:style>
  <w:style w:type="paragraph" w:customStyle="1" w:styleId="152">
    <w:name w:val="样式 首行缩进:  2 字符"/>
    <w:basedOn w:val="1"/>
    <w:qFormat/>
    <w:uiPriority w:val="0"/>
    <w:pPr>
      <w:ind w:firstLine="560"/>
    </w:pPr>
    <w:rPr>
      <w:rFonts w:cs="宋体"/>
      <w:sz w:val="28"/>
      <w:szCs w:val="20"/>
    </w:rPr>
  </w:style>
  <w:style w:type="paragraph" w:customStyle="1" w:styleId="153">
    <w:name w:val="b-b3"/>
    <w:basedOn w:val="1"/>
    <w:next w:val="1"/>
    <w:qFormat/>
    <w:uiPriority w:val="0"/>
    <w:pPr>
      <w:numPr>
        <w:ilvl w:val="2"/>
        <w:numId w:val="8"/>
      </w:numPr>
      <w:spacing w:before="80" w:after="80" w:line="400" w:lineRule="exact"/>
      <w:ind w:left="63"/>
      <w:outlineLvl w:val="2"/>
    </w:pPr>
    <w:rPr>
      <w:rFonts w:eastAsia="黑体"/>
      <w:sz w:val="28"/>
      <w:szCs w:val="20"/>
    </w:rPr>
  </w:style>
  <w:style w:type="paragraph" w:customStyle="1" w:styleId="154">
    <w:name w:val="表"/>
    <w:basedOn w:val="1"/>
    <w:qFormat/>
    <w:uiPriority w:val="0"/>
    <w:pPr>
      <w:snapToGrid w:val="0"/>
      <w:spacing w:line="400" w:lineRule="exact"/>
      <w:jc w:val="center"/>
    </w:pPr>
    <w:rPr>
      <w:spacing w:val="2"/>
      <w:szCs w:val="20"/>
    </w:rPr>
  </w:style>
  <w:style w:type="paragraph" w:customStyle="1" w:styleId="155">
    <w:name w:val="书 正文"/>
    <w:basedOn w:val="1"/>
    <w:link w:val="156"/>
    <w:qFormat/>
    <w:uiPriority w:val="0"/>
    <w:pPr>
      <w:ind w:firstLine="200" w:firstLineChars="200"/>
    </w:pPr>
    <w:rPr>
      <w:kern w:val="24"/>
      <w:sz w:val="24"/>
      <w:szCs w:val="24"/>
    </w:rPr>
  </w:style>
  <w:style w:type="character" w:customStyle="1" w:styleId="156">
    <w:name w:val="书 正文 Char"/>
    <w:link w:val="155"/>
    <w:qFormat/>
    <w:uiPriority w:val="0"/>
    <w:rPr>
      <w:kern w:val="24"/>
      <w:sz w:val="24"/>
      <w:szCs w:val="24"/>
    </w:rPr>
  </w:style>
  <w:style w:type="paragraph" w:customStyle="1" w:styleId="157">
    <w:name w:val="Char Char Char1 Char"/>
    <w:basedOn w:val="1"/>
    <w:qFormat/>
    <w:uiPriority w:val="0"/>
    <w:rPr>
      <w:szCs w:val="24"/>
    </w:rPr>
  </w:style>
  <w:style w:type="paragraph" w:customStyle="1" w:styleId="158">
    <w:name w:val="段落"/>
    <w:basedOn w:val="1"/>
    <w:link w:val="159"/>
    <w:qFormat/>
    <w:uiPriority w:val="0"/>
    <w:pPr>
      <w:topLinePunct/>
      <w:ind w:firstLine="200" w:firstLineChars="200"/>
      <w:jc w:val="left"/>
    </w:pPr>
    <w:rPr>
      <w:kern w:val="0"/>
      <w:sz w:val="24"/>
      <w:szCs w:val="24"/>
      <w:lang w:val="zh-CN"/>
    </w:rPr>
  </w:style>
  <w:style w:type="character" w:customStyle="1" w:styleId="159">
    <w:name w:val="段落 Char Char"/>
    <w:link w:val="158"/>
    <w:qFormat/>
    <w:uiPriority w:val="0"/>
    <w:rPr>
      <w:sz w:val="24"/>
      <w:szCs w:val="24"/>
      <w:lang w:val="zh-CN"/>
    </w:rPr>
  </w:style>
  <w:style w:type="paragraph" w:customStyle="1" w:styleId="160">
    <w:name w:val="三级条标题"/>
    <w:basedOn w:val="1"/>
    <w:next w:val="1"/>
    <w:qFormat/>
    <w:uiPriority w:val="0"/>
    <w:pPr>
      <w:widowControl/>
      <w:tabs>
        <w:tab w:val="left" w:pos="360"/>
        <w:tab w:val="left" w:pos="903"/>
      </w:tabs>
      <w:outlineLvl w:val="4"/>
    </w:pPr>
    <w:rPr>
      <w:rFonts w:ascii="黑体" w:eastAsia="黑体"/>
      <w:kern w:val="0"/>
      <w:szCs w:val="20"/>
    </w:rPr>
  </w:style>
  <w:style w:type="paragraph" w:customStyle="1" w:styleId="161">
    <w:name w:val="Table Paragraph"/>
    <w:basedOn w:val="1"/>
    <w:qFormat/>
    <w:uiPriority w:val="1"/>
    <w:rPr>
      <w:szCs w:val="24"/>
    </w:rPr>
  </w:style>
  <w:style w:type="paragraph" w:customStyle="1" w:styleId="162">
    <w:name w:val="正文王"/>
    <w:basedOn w:val="37"/>
    <w:link w:val="163"/>
    <w:qFormat/>
    <w:uiPriority w:val="0"/>
    <w:pPr>
      <w:spacing w:line="500" w:lineRule="exact"/>
    </w:pPr>
    <w:rPr>
      <w:rFonts w:ascii="Arial" w:hAnsi="Arial"/>
      <w:sz w:val="24"/>
      <w:szCs w:val="20"/>
    </w:rPr>
  </w:style>
  <w:style w:type="character" w:customStyle="1" w:styleId="163">
    <w:name w:val="正文王 Char"/>
    <w:link w:val="162"/>
    <w:qFormat/>
    <w:uiPriority w:val="0"/>
    <w:rPr>
      <w:rFonts w:ascii="Arial" w:hAnsi="Arial"/>
      <w:snapToGrid/>
      <w:sz w:val="24"/>
    </w:rPr>
  </w:style>
  <w:style w:type="paragraph" w:customStyle="1" w:styleId="164">
    <w:name w:val="表格文字"/>
    <w:basedOn w:val="1"/>
    <w:link w:val="165"/>
    <w:qFormat/>
    <w:uiPriority w:val="99"/>
    <w:pPr>
      <w:adjustRightInd w:val="0"/>
      <w:snapToGrid w:val="0"/>
      <w:spacing w:line="0" w:lineRule="atLeast"/>
      <w:jc w:val="center"/>
    </w:pPr>
    <w:rPr>
      <w:color w:val="000000"/>
      <w:szCs w:val="24"/>
    </w:rPr>
  </w:style>
  <w:style w:type="character" w:customStyle="1" w:styleId="165">
    <w:name w:val="表格文字 Char"/>
    <w:link w:val="164"/>
    <w:qFormat/>
    <w:uiPriority w:val="99"/>
    <w:rPr>
      <w:color w:val="000000"/>
      <w:kern w:val="2"/>
      <w:sz w:val="21"/>
      <w:szCs w:val="24"/>
    </w:rPr>
  </w:style>
  <w:style w:type="paragraph" w:customStyle="1" w:styleId="166">
    <w:name w:val="表内容@"/>
    <w:basedOn w:val="1"/>
    <w:qFormat/>
    <w:uiPriority w:val="0"/>
    <w:pPr>
      <w:adjustRightInd w:val="0"/>
      <w:jc w:val="center"/>
    </w:pPr>
    <w:rPr>
      <w:rFonts w:ascii="宋体" w:hAnsi="宋体" w:cs="Arial"/>
      <w:szCs w:val="21"/>
    </w:rPr>
  </w:style>
  <w:style w:type="paragraph" w:customStyle="1" w:styleId="167">
    <w:name w:val="样式4"/>
    <w:basedOn w:val="23"/>
    <w:qFormat/>
    <w:uiPriority w:val="0"/>
    <w:pPr>
      <w:spacing w:line="460" w:lineRule="exact"/>
      <w:ind w:firstLine="0" w:firstLineChars="0"/>
    </w:pPr>
    <w:rPr>
      <w:rFonts w:ascii="Arial" w:hAnsi="Arial"/>
      <w:kern w:val="2"/>
      <w:sz w:val="24"/>
      <w:szCs w:val="24"/>
    </w:rPr>
  </w:style>
  <w:style w:type="paragraph" w:customStyle="1" w:styleId="168">
    <w:name w:val="我的正文"/>
    <w:basedOn w:val="1"/>
    <w:link w:val="169"/>
    <w:qFormat/>
    <w:uiPriority w:val="0"/>
    <w:pPr>
      <w:adjustRightInd w:val="0"/>
      <w:snapToGrid w:val="0"/>
      <w:spacing w:line="360" w:lineRule="auto"/>
      <w:ind w:firstLine="200" w:firstLineChars="200"/>
    </w:pPr>
    <w:rPr>
      <w:rFonts w:eastAsia="仿宋_GB2312"/>
      <w:kern w:val="0"/>
      <w:sz w:val="28"/>
      <w:szCs w:val="28"/>
    </w:rPr>
  </w:style>
  <w:style w:type="character" w:customStyle="1" w:styleId="169">
    <w:name w:val="我的正文 Char Char"/>
    <w:basedOn w:val="66"/>
    <w:link w:val="168"/>
    <w:qFormat/>
    <w:locked/>
    <w:uiPriority w:val="0"/>
    <w:rPr>
      <w:rFonts w:eastAsia="仿宋_GB2312"/>
      <w:sz w:val="28"/>
      <w:szCs w:val="28"/>
    </w:rPr>
  </w:style>
  <w:style w:type="paragraph" w:customStyle="1" w:styleId="170">
    <w:name w:val="CM27"/>
    <w:basedOn w:val="139"/>
    <w:next w:val="139"/>
    <w:qFormat/>
    <w:uiPriority w:val="0"/>
    <w:pPr>
      <w:spacing w:line="468" w:lineRule="atLeast"/>
    </w:pPr>
    <w:rPr>
      <w:rFonts w:ascii="·..." w:hAnsi="Times New Roman" w:eastAsia="·..." w:cs="·..."/>
      <w:color w:val="auto"/>
    </w:rPr>
  </w:style>
  <w:style w:type="paragraph" w:customStyle="1" w:styleId="171">
    <w:name w:val="报告正文"/>
    <w:basedOn w:val="1"/>
    <w:link w:val="172"/>
    <w:qFormat/>
    <w:uiPriority w:val="0"/>
    <w:pPr>
      <w:adjustRightInd w:val="0"/>
      <w:snapToGrid w:val="0"/>
      <w:spacing w:line="300" w:lineRule="auto"/>
    </w:pPr>
    <w:rPr>
      <w:rFonts w:ascii="宋体"/>
      <w:sz w:val="28"/>
      <w:szCs w:val="20"/>
    </w:rPr>
  </w:style>
  <w:style w:type="character" w:customStyle="1" w:styleId="172">
    <w:name w:val="报告正文 Char"/>
    <w:link w:val="171"/>
    <w:semiHidden/>
    <w:qFormat/>
    <w:uiPriority w:val="0"/>
    <w:rPr>
      <w:rFonts w:ascii="宋体"/>
      <w:kern w:val="2"/>
      <w:sz w:val="28"/>
    </w:rPr>
  </w:style>
  <w:style w:type="paragraph" w:customStyle="1" w:styleId="173">
    <w:name w:val="正文-lg"/>
    <w:basedOn w:val="1"/>
    <w:link w:val="174"/>
    <w:qFormat/>
    <w:uiPriority w:val="0"/>
    <w:pPr>
      <w:ind w:firstLine="200" w:firstLineChars="200"/>
    </w:pPr>
    <w:rPr>
      <w:kern w:val="0"/>
      <w:sz w:val="24"/>
    </w:rPr>
  </w:style>
  <w:style w:type="character" w:customStyle="1" w:styleId="174">
    <w:name w:val="正文-lg Char Char"/>
    <w:link w:val="173"/>
    <w:qFormat/>
    <w:uiPriority w:val="0"/>
    <w:rPr>
      <w:sz w:val="24"/>
      <w:szCs w:val="22"/>
    </w:rPr>
  </w:style>
  <w:style w:type="paragraph" w:customStyle="1" w:styleId="175">
    <w:name w:val="表头1"/>
    <w:basedOn w:val="23"/>
    <w:link w:val="176"/>
    <w:qFormat/>
    <w:uiPriority w:val="0"/>
    <w:pPr>
      <w:ind w:firstLine="0" w:firstLineChars="0"/>
      <w:jc w:val="left"/>
    </w:pPr>
    <w:rPr>
      <w:kern w:val="2"/>
      <w:sz w:val="21"/>
      <w:szCs w:val="24"/>
    </w:rPr>
  </w:style>
  <w:style w:type="character" w:customStyle="1" w:styleId="176">
    <w:name w:val="表头1 Char"/>
    <w:link w:val="175"/>
    <w:qFormat/>
    <w:uiPriority w:val="0"/>
    <w:rPr>
      <w:kern w:val="2"/>
      <w:sz w:val="21"/>
      <w:szCs w:val="24"/>
    </w:rPr>
  </w:style>
  <w:style w:type="paragraph" w:customStyle="1" w:styleId="177">
    <w:name w:val="样式2533"/>
    <w:basedOn w:val="1"/>
    <w:link w:val="178"/>
    <w:qFormat/>
    <w:uiPriority w:val="0"/>
    <w:pPr>
      <w:spacing w:line="440" w:lineRule="exact"/>
      <w:ind w:firstLine="480" w:firstLineChars="200"/>
    </w:pPr>
    <w:rPr>
      <w:rFonts w:hAnsi="宋体"/>
      <w:kern w:val="0"/>
      <w:sz w:val="24"/>
      <w:szCs w:val="24"/>
    </w:rPr>
  </w:style>
  <w:style w:type="character" w:customStyle="1" w:styleId="178">
    <w:name w:val="样式2533 Char"/>
    <w:link w:val="177"/>
    <w:qFormat/>
    <w:locked/>
    <w:uiPriority w:val="0"/>
    <w:rPr>
      <w:rFonts w:hAnsi="宋体"/>
      <w:sz w:val="24"/>
      <w:szCs w:val="24"/>
    </w:rPr>
  </w:style>
  <w:style w:type="paragraph" w:customStyle="1" w:styleId="179">
    <w:name w:val="Char Char Char Char Char Char Char Char Char Char Char Char Char Char Char Char Char Char Char Char Char Char Char Char Char Char Char Char Char Char Char Char Char"/>
    <w:basedOn w:val="1"/>
    <w:qFormat/>
    <w:uiPriority w:val="0"/>
    <w:pPr>
      <w:widowControl/>
      <w:spacing w:after="160" w:line="240" w:lineRule="exact"/>
      <w:jc w:val="left"/>
    </w:pPr>
    <w:rPr>
      <w:rFonts w:ascii="Verdana" w:hAnsi="Verdana" w:eastAsia="仿宋_GB2312" w:cs="Verdana"/>
      <w:color w:val="000000"/>
      <w:kern w:val="0"/>
      <w:sz w:val="24"/>
      <w:szCs w:val="21"/>
      <w:lang w:eastAsia="en-US"/>
    </w:rPr>
  </w:style>
  <w:style w:type="paragraph" w:customStyle="1" w:styleId="180">
    <w:name w:val="附录四级条标题"/>
    <w:basedOn w:val="1"/>
    <w:next w:val="1"/>
    <w:qFormat/>
    <w:uiPriority w:val="0"/>
    <w:pPr>
      <w:widowControl/>
      <w:tabs>
        <w:tab w:val="left" w:pos="3066"/>
      </w:tabs>
      <w:wordWrap w:val="0"/>
      <w:overflowPunct w:val="0"/>
      <w:autoSpaceDE w:val="0"/>
      <w:autoSpaceDN w:val="0"/>
      <w:ind w:left="3066" w:hanging="420"/>
      <w:textAlignment w:val="baseline"/>
      <w:outlineLvl w:val="5"/>
    </w:pPr>
    <w:rPr>
      <w:rFonts w:ascii="黑体" w:eastAsia="黑体"/>
      <w:kern w:val="21"/>
      <w:szCs w:val="20"/>
    </w:rPr>
  </w:style>
  <w:style w:type="paragraph" w:customStyle="1" w:styleId="181">
    <w:name w:val="保定正文"/>
    <w:basedOn w:val="1"/>
    <w:qFormat/>
    <w:uiPriority w:val="0"/>
    <w:pPr>
      <w:spacing w:line="360" w:lineRule="auto"/>
      <w:ind w:firstLine="200" w:firstLineChars="200"/>
    </w:pPr>
    <w:rPr>
      <w:rFonts w:cs="宋体"/>
      <w:kern w:val="0"/>
      <w:sz w:val="24"/>
      <w:szCs w:val="20"/>
    </w:rPr>
  </w:style>
  <w:style w:type="paragraph" w:customStyle="1" w:styleId="182">
    <w:name w:val="表五号"/>
    <w:basedOn w:val="143"/>
    <w:link w:val="183"/>
    <w:qFormat/>
    <w:uiPriority w:val="0"/>
    <w:pPr>
      <w:widowControl w:val="0"/>
      <w:snapToGrid w:val="0"/>
      <w:ind w:left="-42" w:leftChars="-16" w:right="-119" w:rightChars="-45"/>
    </w:pPr>
    <w:rPr>
      <w:rFonts w:ascii="Times New Roman" w:hAnsi="Times New Roman"/>
      <w:sz w:val="21"/>
      <w:szCs w:val="21"/>
    </w:rPr>
  </w:style>
  <w:style w:type="character" w:customStyle="1" w:styleId="183">
    <w:name w:val="表五号 Char Char"/>
    <w:link w:val="182"/>
    <w:qFormat/>
    <w:uiPriority w:val="0"/>
    <w:rPr>
      <w:snapToGrid/>
      <w:color w:val="000000"/>
      <w:sz w:val="21"/>
      <w:szCs w:val="21"/>
    </w:rPr>
  </w:style>
  <w:style w:type="paragraph" w:customStyle="1" w:styleId="184">
    <w:name w:val="缩进正文4号"/>
    <w:basedOn w:val="1"/>
    <w:link w:val="185"/>
    <w:qFormat/>
    <w:uiPriority w:val="0"/>
    <w:pPr>
      <w:spacing w:line="360" w:lineRule="auto"/>
      <w:ind w:firstLine="560" w:firstLineChars="200"/>
    </w:pPr>
    <w:rPr>
      <w:rFonts w:ascii="宋体" w:hAnsi="宋体"/>
      <w:sz w:val="28"/>
      <w:szCs w:val="28"/>
    </w:rPr>
  </w:style>
  <w:style w:type="character" w:customStyle="1" w:styleId="185">
    <w:name w:val="缩进正文4号 Char Char"/>
    <w:link w:val="184"/>
    <w:qFormat/>
    <w:uiPriority w:val="0"/>
    <w:rPr>
      <w:rFonts w:ascii="宋体" w:hAnsi="宋体"/>
      <w:kern w:val="2"/>
      <w:sz w:val="28"/>
      <w:szCs w:val="28"/>
    </w:rPr>
  </w:style>
  <w:style w:type="paragraph" w:customStyle="1" w:styleId="186">
    <w:name w:val="样式5"/>
    <w:basedOn w:val="1"/>
    <w:qFormat/>
    <w:uiPriority w:val="0"/>
    <w:pPr>
      <w:adjustRightInd w:val="0"/>
      <w:snapToGrid w:val="0"/>
      <w:spacing w:line="460" w:lineRule="exact"/>
      <w:ind w:firstLine="200" w:firstLineChars="200"/>
      <w:textAlignment w:val="baseline"/>
    </w:pPr>
    <w:rPr>
      <w:rFonts w:ascii="Arial" w:hAnsi="Arial" w:cs="Arial"/>
      <w:sz w:val="24"/>
      <w:szCs w:val="20"/>
    </w:rPr>
  </w:style>
  <w:style w:type="paragraph" w:customStyle="1" w:styleId="187">
    <w:name w:val="样式 正文@ + 首行缩进:  2 字符"/>
    <w:basedOn w:val="1"/>
    <w:link w:val="188"/>
    <w:qFormat/>
    <w:uiPriority w:val="0"/>
    <w:pPr>
      <w:spacing w:line="360" w:lineRule="auto"/>
      <w:ind w:firstLine="200" w:firstLineChars="200"/>
    </w:pPr>
    <w:rPr>
      <w:rFonts w:ascii="宋体" w:hAnsi="宋体" w:cs="宋体"/>
      <w:sz w:val="24"/>
      <w:szCs w:val="20"/>
    </w:rPr>
  </w:style>
  <w:style w:type="character" w:customStyle="1" w:styleId="188">
    <w:name w:val="样式 正文@ + 首行缩进:  2 字符 Char Char"/>
    <w:link w:val="187"/>
    <w:qFormat/>
    <w:uiPriority w:val="0"/>
    <w:rPr>
      <w:rFonts w:ascii="宋体" w:hAnsi="宋体" w:cs="宋体"/>
      <w:kern w:val="2"/>
      <w:sz w:val="24"/>
    </w:rPr>
  </w:style>
  <w:style w:type="paragraph" w:customStyle="1" w:styleId="189">
    <w:name w:val="修订1"/>
    <w:hidden/>
    <w:unhideWhenUsed/>
    <w:qFormat/>
    <w:uiPriority w:val="99"/>
    <w:rPr>
      <w:rFonts w:ascii="Times New Roman" w:hAnsi="Times New Roman" w:eastAsia="宋体" w:cs="Times New Roman"/>
      <w:kern w:val="2"/>
      <w:sz w:val="21"/>
      <w:szCs w:val="22"/>
      <w:lang w:val="en-US" w:eastAsia="zh-CN" w:bidi="ar-SA"/>
    </w:rPr>
  </w:style>
  <w:style w:type="paragraph" w:customStyle="1" w:styleId="190">
    <w:name w:val="reader-word-layer"/>
    <w:basedOn w:val="1"/>
    <w:qFormat/>
    <w:uiPriority w:val="0"/>
    <w:pPr>
      <w:widowControl/>
      <w:spacing w:before="100" w:beforeAutospacing="1" w:after="100" w:afterAutospacing="1"/>
      <w:jc w:val="left"/>
    </w:pPr>
    <w:rPr>
      <w:rFonts w:ascii="宋体" w:hAnsi="宋体" w:cs="宋体"/>
      <w:color w:val="000000"/>
      <w:kern w:val="1"/>
      <w:sz w:val="24"/>
      <w:szCs w:val="24"/>
    </w:rPr>
  </w:style>
  <w:style w:type="paragraph" w:customStyle="1" w:styleId="191">
    <w:name w:val="修订2"/>
    <w:hidden/>
    <w:unhideWhenUsed/>
    <w:qFormat/>
    <w:uiPriority w:val="99"/>
    <w:rPr>
      <w:rFonts w:ascii="Times New Roman" w:hAnsi="Times New Roman" w:eastAsia="宋体" w:cs="Times New Roman"/>
      <w:kern w:val="2"/>
      <w:sz w:val="21"/>
      <w:szCs w:val="22"/>
      <w:lang w:val="en-US" w:eastAsia="zh-CN" w:bidi="ar-SA"/>
    </w:rPr>
  </w:style>
  <w:style w:type="paragraph" w:customStyle="1" w:styleId="192">
    <w:name w:val="样式"/>
    <w:qFormat/>
    <w:uiPriority w:val="0"/>
    <w:pPr>
      <w:widowControl w:val="0"/>
      <w:autoSpaceDE w:val="0"/>
      <w:autoSpaceDN w:val="0"/>
      <w:adjustRightInd w:val="0"/>
    </w:pPr>
    <w:rPr>
      <w:rFonts w:ascii="宋体" w:hAnsi="Calibri" w:eastAsia="宋体" w:cs="宋体"/>
      <w:sz w:val="24"/>
      <w:szCs w:val="24"/>
      <w:lang w:val="en-US" w:eastAsia="zh-CN" w:bidi="ar-SA"/>
    </w:rPr>
  </w:style>
  <w:style w:type="paragraph" w:customStyle="1" w:styleId="193">
    <w:name w:val="表格字"/>
    <w:basedOn w:val="1"/>
    <w:link w:val="194"/>
    <w:qFormat/>
    <w:uiPriority w:val="0"/>
    <w:pPr>
      <w:widowControl/>
      <w:spacing w:line="300" w:lineRule="atLeast"/>
      <w:jc w:val="center"/>
    </w:pPr>
    <w:rPr>
      <w:rFonts w:ascii="宋体" w:hAnsi="宋体"/>
      <w:kern w:val="0"/>
    </w:rPr>
  </w:style>
  <w:style w:type="character" w:customStyle="1" w:styleId="194">
    <w:name w:val="表格字 Char"/>
    <w:link w:val="193"/>
    <w:qFormat/>
    <w:uiPriority w:val="0"/>
    <w:rPr>
      <w:rFonts w:ascii="宋体" w:hAnsi="宋体" w:eastAsia="宋体" w:cs="Times New Roman"/>
      <w:sz w:val="21"/>
      <w:szCs w:val="22"/>
    </w:rPr>
  </w:style>
  <w:style w:type="paragraph" w:customStyle="1" w:styleId="195">
    <w:name w:val="正文1"/>
    <w:basedOn w:val="1"/>
    <w:link w:val="196"/>
    <w:qFormat/>
    <w:uiPriority w:val="0"/>
    <w:pPr>
      <w:widowControl/>
      <w:spacing w:line="360" w:lineRule="auto"/>
      <w:ind w:firstLine="480" w:firstLineChars="200"/>
      <w:jc w:val="left"/>
    </w:pPr>
    <w:rPr>
      <w:rFonts w:ascii="Calibri" w:hAnsi="Calibri"/>
      <w:kern w:val="0"/>
      <w:sz w:val="20"/>
      <w:szCs w:val="20"/>
    </w:rPr>
  </w:style>
  <w:style w:type="character" w:customStyle="1" w:styleId="196">
    <w:name w:val="正文1 Char"/>
    <w:link w:val="195"/>
    <w:qFormat/>
    <w:uiPriority w:val="0"/>
    <w:rPr>
      <w:rFonts w:ascii="Calibri" w:hAnsi="Calibri" w:eastAsia="宋体" w:cs="Times New Roman"/>
    </w:rPr>
  </w:style>
  <w:style w:type="paragraph" w:customStyle="1" w:styleId="197">
    <w:name w:val="p0"/>
    <w:basedOn w:val="1"/>
    <w:qFormat/>
    <w:uiPriority w:val="0"/>
    <w:pPr>
      <w:widowControl/>
      <w:jc w:val="left"/>
    </w:pPr>
    <w:rPr>
      <w:rFonts w:ascii="Calibri" w:hAnsi="Calibri"/>
      <w:kern w:val="0"/>
      <w:szCs w:val="21"/>
    </w:rPr>
  </w:style>
  <w:style w:type="paragraph" w:customStyle="1" w:styleId="198">
    <w:name w:val="【表头】"/>
    <w:basedOn w:val="1"/>
    <w:qFormat/>
    <w:uiPriority w:val="0"/>
    <w:pPr>
      <w:widowControl/>
      <w:spacing w:line="460" w:lineRule="exact"/>
      <w:jc w:val="center"/>
    </w:pPr>
    <w:rPr>
      <w:rFonts w:ascii="Calibri" w:hAnsi="Calibri" w:eastAsia="黑体" w:cs="宋体"/>
      <w:kern w:val="0"/>
      <w:sz w:val="24"/>
      <w:szCs w:val="20"/>
    </w:rPr>
  </w:style>
  <w:style w:type="paragraph" w:customStyle="1" w:styleId="199">
    <w:name w:val="表文字"/>
    <w:qFormat/>
    <w:uiPriority w:val="0"/>
    <w:pPr>
      <w:overflowPunct w:val="0"/>
      <w:autoSpaceDE w:val="0"/>
      <w:autoSpaceDN w:val="0"/>
      <w:jc w:val="center"/>
      <w:textAlignment w:val="baseline"/>
    </w:pPr>
    <w:rPr>
      <w:rFonts w:ascii="Calibri" w:hAnsi="Calibri" w:eastAsia="宋体" w:cs="Times New Roman"/>
      <w:sz w:val="21"/>
      <w:szCs w:val="22"/>
      <w:lang w:val="en-US" w:eastAsia="zh-CN" w:bidi="ar-SA"/>
    </w:rPr>
  </w:style>
  <w:style w:type="paragraph" w:customStyle="1" w:styleId="200">
    <w:name w:val="1表格"/>
    <w:basedOn w:val="1"/>
    <w:qFormat/>
    <w:uiPriority w:val="0"/>
    <w:pPr>
      <w:spacing w:line="160" w:lineRule="atLeast"/>
      <w:jc w:val="center"/>
    </w:pPr>
    <w:rPr>
      <w:rFonts w:ascii="Calibri" w:hAnsi="Calibri" w:eastAsia="仿宋_GB2312"/>
      <w:kern w:val="0"/>
      <w:szCs w:val="20"/>
    </w:rPr>
  </w:style>
  <w:style w:type="paragraph" w:customStyle="1" w:styleId="201">
    <w:name w:val="_Style 129"/>
    <w:hidden/>
    <w:unhideWhenUsed/>
    <w:qFormat/>
    <w:uiPriority w:val="99"/>
    <w:rPr>
      <w:rFonts w:ascii="Times New Roman" w:hAnsi="Times New Roman" w:eastAsia="宋体" w:cs="Times New Roman"/>
      <w:kern w:val="2"/>
      <w:sz w:val="21"/>
      <w:szCs w:val="22"/>
      <w:lang w:val="en-US" w:eastAsia="zh-CN" w:bidi="ar-SA"/>
    </w:rPr>
  </w:style>
  <w:style w:type="paragraph" w:customStyle="1" w:styleId="202">
    <w:name w:val="List Paragraph"/>
    <w:basedOn w:val="1"/>
    <w:qFormat/>
    <w:uiPriority w:val="1"/>
    <w:pPr>
      <w:ind w:firstLine="420" w:firstLineChars="200"/>
    </w:pPr>
  </w:style>
  <w:style w:type="paragraph" w:customStyle="1" w:styleId="203">
    <w:name w:val="1 Char Char Char Char Char Char Char"/>
    <w:basedOn w:val="1"/>
    <w:qFormat/>
    <w:uiPriority w:val="0"/>
    <w:pPr>
      <w:spacing w:line="360" w:lineRule="auto"/>
      <w:ind w:firstLine="200" w:firstLineChars="200"/>
    </w:pPr>
    <w:rPr>
      <w:rFonts w:ascii="宋体" w:hAnsi="宋体" w:eastAsia="Times New Roman"/>
      <w:kern w:val="0"/>
      <w:sz w:val="24"/>
      <w:szCs w:val="20"/>
    </w:rPr>
  </w:style>
  <w:style w:type="paragraph" w:customStyle="1" w:styleId="204">
    <w:name w:val="表头"/>
    <w:basedOn w:val="1"/>
    <w:link w:val="205"/>
    <w:qFormat/>
    <w:locked/>
    <w:uiPriority w:val="0"/>
    <w:pPr>
      <w:spacing w:line="360" w:lineRule="auto"/>
    </w:pPr>
    <w:rPr>
      <w:rFonts w:ascii="宋体" w:hAnsi="Arial" w:cs="Arial"/>
      <w:b/>
      <w:sz w:val="24"/>
      <w:szCs w:val="24"/>
    </w:rPr>
  </w:style>
  <w:style w:type="character" w:customStyle="1" w:styleId="205">
    <w:name w:val="表头 Char"/>
    <w:link w:val="204"/>
    <w:qFormat/>
    <w:uiPriority w:val="0"/>
    <w:rPr>
      <w:rFonts w:ascii="宋体" w:hAnsi="Arial" w:cs="Arial"/>
      <w:b/>
      <w:kern w:val="2"/>
      <w:sz w:val="24"/>
      <w:szCs w:val="24"/>
    </w:rPr>
  </w:style>
  <w:style w:type="paragraph" w:customStyle="1" w:styleId="206">
    <w:name w:val="表号题注"/>
    <w:basedOn w:val="1"/>
    <w:link w:val="207"/>
    <w:qFormat/>
    <w:uiPriority w:val="0"/>
    <w:pPr>
      <w:jc w:val="center"/>
    </w:pPr>
    <w:rPr>
      <w:b/>
      <w:szCs w:val="21"/>
    </w:rPr>
  </w:style>
  <w:style w:type="character" w:customStyle="1" w:styleId="207">
    <w:name w:val="表号题注 Char Char"/>
    <w:link w:val="206"/>
    <w:qFormat/>
    <w:uiPriority w:val="0"/>
    <w:rPr>
      <w:b/>
      <w:kern w:val="2"/>
      <w:sz w:val="21"/>
      <w:szCs w:val="21"/>
    </w:rPr>
  </w:style>
  <w:style w:type="paragraph" w:customStyle="1" w:styleId="208">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楷体_GB2312" w:hAnsi="宋体" w:eastAsia="楷体_GB2312" w:cs="宋体"/>
      <w:kern w:val="0"/>
      <w:sz w:val="24"/>
      <w:szCs w:val="24"/>
    </w:rPr>
  </w:style>
  <w:style w:type="paragraph" w:customStyle="1" w:styleId="209">
    <w:name w:val="font0"/>
    <w:basedOn w:val="1"/>
    <w:qFormat/>
    <w:uiPriority w:val="0"/>
    <w:pPr>
      <w:widowControl/>
      <w:spacing w:before="100" w:beforeAutospacing="1" w:after="100" w:afterAutospacing="1"/>
      <w:jc w:val="left"/>
    </w:pPr>
    <w:rPr>
      <w:rFonts w:hint="eastAsia" w:ascii="宋体" w:hAnsi="宋体"/>
      <w:color w:val="000000"/>
      <w:kern w:val="0"/>
      <w:sz w:val="24"/>
      <w:szCs w:val="28"/>
    </w:rPr>
  </w:style>
  <w:style w:type="paragraph" w:customStyle="1" w:styleId="210">
    <w:name w:val="样式3"/>
    <w:basedOn w:val="46"/>
    <w:link w:val="211"/>
    <w:qFormat/>
    <w:uiPriority w:val="0"/>
    <w:pPr>
      <w:pBdr>
        <w:bottom w:val="thinThickSmallGap" w:color="auto" w:sz="18" w:space="1"/>
      </w:pBdr>
      <w:jc w:val="both"/>
    </w:pPr>
    <w:rPr>
      <w:rFonts w:ascii="Times New Roman" w:hAnsi="Times New Roman"/>
      <w:kern w:val="2"/>
      <w:szCs w:val="21"/>
    </w:rPr>
  </w:style>
  <w:style w:type="character" w:customStyle="1" w:styleId="211">
    <w:name w:val="样式3 Char Char"/>
    <w:link w:val="210"/>
    <w:qFormat/>
    <w:uiPriority w:val="0"/>
    <w:rPr>
      <w:kern w:val="2"/>
      <w:sz w:val="18"/>
      <w:szCs w:val="21"/>
    </w:rPr>
  </w:style>
  <w:style w:type="paragraph" w:customStyle="1" w:styleId="212">
    <w:name w:val="xl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213">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cs="宋体"/>
      <w:kern w:val="0"/>
      <w:szCs w:val="21"/>
    </w:rPr>
  </w:style>
  <w:style w:type="paragraph" w:customStyle="1" w:styleId="214">
    <w:name w:val="xl25"/>
    <w:basedOn w:val="1"/>
    <w:qFormat/>
    <w:uiPriority w:val="0"/>
    <w:pPr>
      <w:widowControl/>
      <w:pBdr>
        <w:left w:val="single" w:color="auto" w:sz="4" w:space="0"/>
        <w:bottom w:val="single" w:color="auto" w:sz="4" w:space="0"/>
        <w:right w:val="single" w:color="auto" w:sz="4" w:space="0"/>
      </w:pBdr>
      <w:spacing w:before="100" w:after="100"/>
      <w:jc w:val="center"/>
      <w:textAlignment w:val="bottom"/>
    </w:pPr>
    <w:rPr>
      <w:rFonts w:ascii="宋体" w:hAnsi="宋体"/>
      <w:color w:val="000000"/>
      <w:kern w:val="0"/>
      <w:sz w:val="24"/>
      <w:szCs w:val="28"/>
    </w:rPr>
  </w:style>
  <w:style w:type="paragraph" w:customStyle="1" w:styleId="215">
    <w:name w:val="样式 首行缩进:  0.98 厘米 行距: 多倍行距 1.3 字行"/>
    <w:basedOn w:val="1"/>
    <w:qFormat/>
    <w:uiPriority w:val="0"/>
    <w:pPr>
      <w:spacing w:line="312" w:lineRule="auto"/>
      <w:ind w:firstLine="567"/>
    </w:pPr>
    <w:rPr>
      <w:rFonts w:cs="宋体"/>
      <w:sz w:val="28"/>
      <w:szCs w:val="20"/>
    </w:rPr>
  </w:style>
  <w:style w:type="paragraph" w:customStyle="1" w:styleId="216">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szCs w:val="24"/>
    </w:rPr>
  </w:style>
  <w:style w:type="paragraph" w:customStyle="1" w:styleId="217">
    <w:name w:val="xl23"/>
    <w:basedOn w:val="1"/>
    <w:qFormat/>
    <w:uiPriority w:val="0"/>
    <w:pPr>
      <w:widowControl/>
      <w:pBdr>
        <w:bottom w:val="single" w:color="000000" w:sz="4" w:space="0"/>
        <w:right w:val="single" w:color="000000" w:sz="4" w:space="0"/>
      </w:pBdr>
      <w:spacing w:before="100" w:beforeAutospacing="1" w:after="100" w:afterAutospacing="1"/>
      <w:textAlignment w:val="center"/>
    </w:pPr>
    <w:rPr>
      <w:rFonts w:ascii="宋体" w:hAnsi="宋体"/>
      <w:kern w:val="0"/>
      <w:szCs w:val="21"/>
    </w:rPr>
  </w:style>
  <w:style w:type="paragraph" w:customStyle="1" w:styleId="218">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szCs w:val="24"/>
    </w:rPr>
  </w:style>
  <w:style w:type="paragraph" w:customStyle="1" w:styleId="219">
    <w:name w:val="图题"/>
    <w:basedOn w:val="220"/>
    <w:next w:val="1"/>
    <w:link w:val="222"/>
    <w:qFormat/>
    <w:locked/>
    <w:uiPriority w:val="0"/>
    <w:rPr>
      <w:b/>
      <w:sz w:val="24"/>
    </w:rPr>
  </w:style>
  <w:style w:type="paragraph" w:customStyle="1" w:styleId="220">
    <w:name w:val="图号题注"/>
    <w:basedOn w:val="1"/>
    <w:next w:val="1"/>
    <w:link w:val="221"/>
    <w:qFormat/>
    <w:locked/>
    <w:uiPriority w:val="0"/>
    <w:pPr>
      <w:spacing w:line="360" w:lineRule="auto"/>
      <w:jc w:val="center"/>
    </w:pPr>
    <w:rPr>
      <w:rFonts w:ascii="宋体"/>
      <w:szCs w:val="24"/>
    </w:rPr>
  </w:style>
  <w:style w:type="character" w:customStyle="1" w:styleId="221">
    <w:name w:val="图号题注 Char"/>
    <w:link w:val="220"/>
    <w:qFormat/>
    <w:uiPriority w:val="0"/>
    <w:rPr>
      <w:rFonts w:ascii="宋体"/>
      <w:kern w:val="2"/>
      <w:sz w:val="21"/>
      <w:szCs w:val="24"/>
    </w:rPr>
  </w:style>
  <w:style w:type="character" w:customStyle="1" w:styleId="222">
    <w:name w:val="图题 Char"/>
    <w:link w:val="219"/>
    <w:qFormat/>
    <w:uiPriority w:val="0"/>
    <w:rPr>
      <w:rFonts w:ascii="宋体"/>
      <w:b/>
      <w:kern w:val="2"/>
      <w:sz w:val="24"/>
      <w:szCs w:val="24"/>
    </w:rPr>
  </w:style>
  <w:style w:type="paragraph" w:customStyle="1" w:styleId="223">
    <w:name w:val="表蕊居中"/>
    <w:link w:val="224"/>
    <w:qFormat/>
    <w:uiPriority w:val="0"/>
    <w:pPr>
      <w:spacing w:line="320" w:lineRule="exact"/>
      <w:jc w:val="center"/>
    </w:pPr>
    <w:rPr>
      <w:rFonts w:ascii="Times New Roman" w:hAnsi="Times New Roman" w:eastAsia="宋体" w:cs="Times New Roman"/>
      <w:spacing w:val="8"/>
      <w:sz w:val="21"/>
      <w:szCs w:val="28"/>
      <w:lang w:val="en-US" w:eastAsia="zh-CN" w:bidi="ar-SA"/>
    </w:rPr>
  </w:style>
  <w:style w:type="character" w:customStyle="1" w:styleId="224">
    <w:name w:val="表蕊居中 Char"/>
    <w:link w:val="223"/>
    <w:qFormat/>
    <w:uiPriority w:val="0"/>
    <w:rPr>
      <w:spacing w:val="8"/>
      <w:sz w:val="21"/>
      <w:szCs w:val="28"/>
    </w:rPr>
  </w:style>
  <w:style w:type="paragraph" w:customStyle="1" w:styleId="225">
    <w:name w:val="ZD"/>
    <w:basedOn w:val="1"/>
    <w:qFormat/>
    <w:uiPriority w:val="0"/>
    <w:pPr>
      <w:tabs>
        <w:tab w:val="left" w:pos="360"/>
      </w:tabs>
      <w:topLinePunct/>
      <w:autoSpaceDE w:val="0"/>
      <w:autoSpaceDN w:val="0"/>
      <w:adjustRightInd w:val="0"/>
      <w:snapToGrid w:val="0"/>
      <w:ind w:firstLine="425"/>
    </w:pPr>
    <w:rPr>
      <w:rFonts w:ascii="仿宋_GB2312" w:eastAsia="仿宋_GB2312"/>
      <w:kern w:val="0"/>
      <w:sz w:val="24"/>
      <w:szCs w:val="20"/>
    </w:rPr>
  </w:style>
  <w:style w:type="paragraph" w:customStyle="1" w:styleId="226">
    <w:name w:val="正文样式1"/>
    <w:basedOn w:val="1"/>
    <w:link w:val="227"/>
    <w:qFormat/>
    <w:uiPriority w:val="0"/>
    <w:pPr>
      <w:widowControl/>
      <w:tabs>
        <w:tab w:val="left" w:pos="3240"/>
      </w:tabs>
      <w:snapToGrid w:val="0"/>
      <w:spacing w:line="360" w:lineRule="auto"/>
    </w:pPr>
    <w:rPr>
      <w:rFonts w:ascii="宋体" w:hAnsi="宋体"/>
      <w:color w:val="FF0000"/>
      <w:szCs w:val="24"/>
    </w:rPr>
  </w:style>
  <w:style w:type="character" w:customStyle="1" w:styleId="227">
    <w:name w:val="正文样式1 Char1"/>
    <w:link w:val="226"/>
    <w:qFormat/>
    <w:uiPriority w:val="0"/>
    <w:rPr>
      <w:rFonts w:ascii="宋体" w:hAnsi="宋体"/>
      <w:color w:val="FF0000"/>
      <w:kern w:val="2"/>
      <w:sz w:val="21"/>
      <w:szCs w:val="24"/>
    </w:rPr>
  </w:style>
  <w:style w:type="paragraph" w:customStyle="1" w:styleId="228">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29">
    <w:name w:val="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230">
    <w:name w:val="mm"/>
    <w:basedOn w:val="1"/>
    <w:qFormat/>
    <w:uiPriority w:val="0"/>
    <w:pPr>
      <w:adjustRightInd w:val="0"/>
      <w:spacing w:line="360" w:lineRule="atLeast"/>
      <w:ind w:right="1320" w:firstLine="600"/>
      <w:jc w:val="left"/>
      <w:textAlignment w:val="baseline"/>
    </w:pPr>
    <w:rPr>
      <w:kern w:val="0"/>
      <w:sz w:val="24"/>
      <w:szCs w:val="20"/>
    </w:rPr>
  </w:style>
  <w:style w:type="paragraph" w:customStyle="1" w:styleId="231">
    <w:name w:val="GY3"/>
    <w:basedOn w:val="1"/>
    <w:qFormat/>
    <w:uiPriority w:val="0"/>
    <w:pPr>
      <w:spacing w:line="440" w:lineRule="exact"/>
      <w:ind w:firstLine="616" w:firstLineChars="200"/>
      <w:jc w:val="left"/>
    </w:pPr>
    <w:rPr>
      <w:rFonts w:ascii="仿宋_GB2312" w:hAnsi="宋体" w:eastAsia="仿宋_GB2312"/>
      <w:bCs/>
      <w:sz w:val="28"/>
      <w:szCs w:val="24"/>
    </w:rPr>
  </w:style>
  <w:style w:type="paragraph" w:customStyle="1" w:styleId="232">
    <w:name w:val="表内文字"/>
    <w:basedOn w:val="1"/>
    <w:qFormat/>
    <w:uiPriority w:val="0"/>
    <w:pPr>
      <w:jc w:val="center"/>
    </w:pPr>
    <w:rPr>
      <w:rFonts w:ascii="宋体" w:hAnsi="宋体"/>
      <w:sz w:val="18"/>
      <w:szCs w:val="24"/>
    </w:rPr>
  </w:style>
  <w:style w:type="paragraph" w:customStyle="1" w:styleId="233">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kern w:val="0"/>
      <w:sz w:val="24"/>
      <w:szCs w:val="24"/>
    </w:rPr>
  </w:style>
  <w:style w:type="paragraph" w:customStyle="1" w:styleId="234">
    <w:name w:val="Char Char3 Char Char Char Char Char Char Char"/>
    <w:basedOn w:val="1"/>
    <w:qFormat/>
    <w:uiPriority w:val="0"/>
    <w:pPr>
      <w:widowControl/>
      <w:spacing w:beforeLines="100" w:after="160" w:line="240" w:lineRule="exact"/>
      <w:jc w:val="left"/>
    </w:pPr>
    <w:rPr>
      <w:szCs w:val="24"/>
    </w:rPr>
  </w:style>
  <w:style w:type="paragraph" w:customStyle="1" w:styleId="235">
    <w:name w:val="No Spacing"/>
    <w:link w:val="236"/>
    <w:qFormat/>
    <w:uiPriority w:val="0"/>
    <w:rPr>
      <w:rFonts w:ascii="Calibri" w:hAnsi="Calibri" w:eastAsia="宋体" w:cs="Times New Roman"/>
      <w:sz w:val="22"/>
      <w:szCs w:val="22"/>
      <w:lang w:val="en-US" w:eastAsia="zh-CN" w:bidi="ar-SA"/>
    </w:rPr>
  </w:style>
  <w:style w:type="character" w:customStyle="1" w:styleId="236">
    <w:name w:val="无间隔 字符"/>
    <w:link w:val="235"/>
    <w:qFormat/>
    <w:uiPriority w:val="0"/>
    <w:rPr>
      <w:rFonts w:ascii="Calibri" w:hAnsi="Calibri"/>
      <w:sz w:val="22"/>
      <w:szCs w:val="22"/>
    </w:rPr>
  </w:style>
  <w:style w:type="paragraph" w:customStyle="1" w:styleId="237">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38">
    <w:name w:val="xl63"/>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rFonts w:ascii="宋体" w:hAnsi="宋体" w:cs="宋体"/>
      <w:color w:val="0000FF"/>
      <w:kern w:val="0"/>
      <w:sz w:val="24"/>
      <w:szCs w:val="24"/>
    </w:rPr>
  </w:style>
  <w:style w:type="paragraph" w:customStyle="1" w:styleId="239">
    <w:name w:val="晓丹"/>
    <w:basedOn w:val="16"/>
    <w:link w:val="240"/>
    <w:qFormat/>
    <w:uiPriority w:val="0"/>
    <w:pPr>
      <w:adjustRightInd w:val="0"/>
      <w:snapToGrid w:val="0"/>
      <w:spacing w:after="0" w:line="360" w:lineRule="auto"/>
      <w:ind w:firstLine="200" w:firstLineChars="200"/>
      <w:textAlignment w:val="baseline"/>
    </w:pPr>
    <w:rPr>
      <w:rFonts w:ascii="宋体" w:hAnsi="宋体"/>
      <w:color w:val="000000"/>
      <w:spacing w:val="6"/>
      <w:kern w:val="0"/>
      <w:szCs w:val="24"/>
    </w:rPr>
  </w:style>
  <w:style w:type="character" w:customStyle="1" w:styleId="240">
    <w:name w:val="晓丹 Char"/>
    <w:link w:val="239"/>
    <w:qFormat/>
    <w:uiPriority w:val="0"/>
    <w:rPr>
      <w:rFonts w:ascii="宋体" w:hAnsi="宋体"/>
      <w:color w:val="000000"/>
      <w:spacing w:val="6"/>
      <w:sz w:val="24"/>
      <w:szCs w:val="24"/>
    </w:rPr>
  </w:style>
  <w:style w:type="paragraph" w:customStyle="1" w:styleId="241">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kern w:val="0"/>
      <w:szCs w:val="21"/>
    </w:rPr>
  </w:style>
  <w:style w:type="paragraph" w:customStyle="1" w:styleId="242">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kern w:val="0"/>
      <w:sz w:val="24"/>
      <w:szCs w:val="24"/>
    </w:rPr>
  </w:style>
  <w:style w:type="paragraph" w:customStyle="1" w:styleId="243">
    <w:name w:val="公式及图片"/>
    <w:basedOn w:val="130"/>
    <w:qFormat/>
    <w:locked/>
    <w:uiPriority w:val="0"/>
    <w:pPr>
      <w:widowControl w:val="0"/>
      <w:ind w:firstLine="0" w:firstLineChars="0"/>
      <w:jc w:val="center"/>
    </w:pPr>
    <w:rPr>
      <w:rFonts w:ascii="仿宋_GB2312" w:hAnsi="仿宋_GB2312" w:eastAsia="仿宋_GB2312"/>
      <w:bCs w:val="0"/>
      <w:kern w:val="2"/>
      <w:szCs w:val="20"/>
    </w:rPr>
  </w:style>
  <w:style w:type="paragraph" w:customStyle="1" w:styleId="244">
    <w:name w:val="_Style 163"/>
    <w:basedOn w:val="1"/>
    <w:next w:val="1"/>
    <w:link w:val="245"/>
    <w:qFormat/>
    <w:uiPriority w:val="0"/>
    <w:pPr>
      <w:widowControl/>
      <w:pBdr>
        <w:bottom w:val="single" w:color="auto" w:sz="6" w:space="1"/>
      </w:pBdr>
      <w:jc w:val="center"/>
    </w:pPr>
    <w:rPr>
      <w:rFonts w:ascii="Arial" w:hAnsi="Arial" w:cs="Arial"/>
      <w:vanish/>
      <w:kern w:val="0"/>
      <w:sz w:val="16"/>
      <w:szCs w:val="16"/>
    </w:rPr>
  </w:style>
  <w:style w:type="character" w:customStyle="1" w:styleId="245">
    <w:name w:val="z-窗体顶端 Char"/>
    <w:link w:val="244"/>
    <w:qFormat/>
    <w:uiPriority w:val="0"/>
    <w:rPr>
      <w:rFonts w:ascii="Arial" w:hAnsi="Arial" w:cs="Arial"/>
      <w:vanish/>
      <w:sz w:val="16"/>
      <w:szCs w:val="16"/>
    </w:rPr>
  </w:style>
  <w:style w:type="paragraph" w:customStyle="1" w:styleId="246">
    <w:name w:val="表内容"/>
    <w:basedOn w:val="1"/>
    <w:next w:val="1"/>
    <w:qFormat/>
    <w:uiPriority w:val="0"/>
    <w:pPr>
      <w:spacing w:line="320" w:lineRule="exact"/>
      <w:jc w:val="center"/>
    </w:pPr>
    <w:rPr>
      <w:szCs w:val="20"/>
    </w:rPr>
  </w:style>
  <w:style w:type="paragraph" w:customStyle="1" w:styleId="247">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b/>
      <w:bCs/>
      <w:color w:val="FF0000"/>
      <w:kern w:val="0"/>
      <w:sz w:val="24"/>
      <w:szCs w:val="24"/>
    </w:rPr>
  </w:style>
  <w:style w:type="paragraph" w:customStyle="1" w:styleId="248">
    <w:name w:val="摘要文字"/>
    <w:basedOn w:val="1"/>
    <w:next w:val="37"/>
    <w:qFormat/>
    <w:uiPriority w:val="0"/>
    <w:pPr>
      <w:spacing w:line="312" w:lineRule="auto"/>
      <w:jc w:val="center"/>
    </w:pPr>
    <w:rPr>
      <w:szCs w:val="24"/>
    </w:rPr>
  </w:style>
  <w:style w:type="paragraph" w:customStyle="1" w:styleId="249">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cs="宋体"/>
      <w:kern w:val="0"/>
      <w:sz w:val="24"/>
      <w:szCs w:val="24"/>
    </w:rPr>
  </w:style>
  <w:style w:type="paragraph" w:customStyle="1" w:styleId="250">
    <w:name w:val="xl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szCs w:val="24"/>
    </w:rPr>
  </w:style>
  <w:style w:type="paragraph" w:customStyle="1" w:styleId="251">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252">
    <w:name w:val="xl68"/>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53">
    <w:name w:val="表题"/>
    <w:basedOn w:val="1"/>
    <w:link w:val="254"/>
    <w:qFormat/>
    <w:uiPriority w:val="0"/>
    <w:pPr>
      <w:keepNext/>
      <w:spacing w:line="460" w:lineRule="atLeast"/>
      <w:jc w:val="center"/>
    </w:pPr>
    <w:rPr>
      <w:b/>
      <w:spacing w:val="12"/>
      <w:w w:val="90"/>
      <w:sz w:val="24"/>
      <w:szCs w:val="24"/>
    </w:rPr>
  </w:style>
  <w:style w:type="character" w:customStyle="1" w:styleId="254">
    <w:name w:val="表题 Char1"/>
    <w:link w:val="253"/>
    <w:qFormat/>
    <w:uiPriority w:val="0"/>
    <w:rPr>
      <w:b/>
      <w:spacing w:val="12"/>
      <w:w w:val="90"/>
      <w:kern w:val="2"/>
      <w:sz w:val="24"/>
      <w:szCs w:val="24"/>
    </w:rPr>
  </w:style>
  <w:style w:type="paragraph" w:customStyle="1" w:styleId="255">
    <w:name w:val="说明书正文"/>
    <w:basedOn w:val="1"/>
    <w:link w:val="256"/>
    <w:qFormat/>
    <w:uiPriority w:val="0"/>
    <w:pPr>
      <w:spacing w:line="480" w:lineRule="exact"/>
      <w:ind w:firstLine="600" w:firstLineChars="200"/>
    </w:pPr>
    <w:rPr>
      <w:rFonts w:eastAsia="仿宋_GB2312"/>
      <w:color w:val="000000"/>
      <w:sz w:val="30"/>
      <w:szCs w:val="24"/>
    </w:rPr>
  </w:style>
  <w:style w:type="character" w:customStyle="1" w:styleId="256">
    <w:name w:val="说明书正文 Char"/>
    <w:link w:val="255"/>
    <w:qFormat/>
    <w:uiPriority w:val="0"/>
    <w:rPr>
      <w:rFonts w:eastAsia="仿宋_GB2312"/>
      <w:color w:val="000000"/>
      <w:kern w:val="2"/>
      <w:sz w:val="30"/>
      <w:szCs w:val="24"/>
    </w:rPr>
  </w:style>
  <w:style w:type="paragraph" w:customStyle="1" w:styleId="257">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b/>
      <w:bCs/>
      <w:kern w:val="0"/>
      <w:sz w:val="24"/>
      <w:szCs w:val="24"/>
    </w:rPr>
  </w:style>
  <w:style w:type="paragraph" w:customStyle="1" w:styleId="258">
    <w:name w:val="Char Char Char Char Char Char Char1"/>
    <w:basedOn w:val="1"/>
    <w:qFormat/>
    <w:uiPriority w:val="0"/>
    <w:pPr>
      <w:widowControl/>
      <w:spacing w:beforeLines="100" w:after="160" w:line="240" w:lineRule="exact"/>
      <w:jc w:val="left"/>
    </w:pPr>
    <w:rPr>
      <w:rFonts w:ascii="Verdana" w:hAnsi="Verdana"/>
      <w:kern w:val="0"/>
      <w:sz w:val="32"/>
      <w:szCs w:val="32"/>
      <w:lang w:eastAsia="en-US"/>
    </w:rPr>
  </w:style>
  <w:style w:type="paragraph" w:customStyle="1" w:styleId="259">
    <w:name w:val="日期1"/>
    <w:basedOn w:val="1"/>
    <w:next w:val="1"/>
    <w:qFormat/>
    <w:uiPriority w:val="0"/>
    <w:pPr>
      <w:adjustRightInd w:val="0"/>
      <w:spacing w:line="360" w:lineRule="atLeast"/>
    </w:pPr>
    <w:rPr>
      <w:kern w:val="0"/>
      <w:sz w:val="28"/>
      <w:szCs w:val="20"/>
    </w:rPr>
  </w:style>
  <w:style w:type="paragraph" w:customStyle="1" w:styleId="260">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261">
    <w:name w:val="表中"/>
    <w:link w:val="262"/>
    <w:qFormat/>
    <w:uiPriority w:val="0"/>
    <w:pPr>
      <w:widowControl w:val="0"/>
      <w:jc w:val="center"/>
    </w:pPr>
    <w:rPr>
      <w:rFonts w:ascii="Times New Roman" w:hAnsi="Times New Roman" w:eastAsia="宋体" w:cs="Times New Roman"/>
      <w:kern w:val="2"/>
      <w:sz w:val="21"/>
      <w:szCs w:val="24"/>
      <w:lang w:val="en-US" w:eastAsia="zh-CN" w:bidi="ar-SA"/>
    </w:rPr>
  </w:style>
  <w:style w:type="character" w:customStyle="1" w:styleId="262">
    <w:name w:val="表中 Char"/>
    <w:link w:val="261"/>
    <w:qFormat/>
    <w:locked/>
    <w:uiPriority w:val="0"/>
    <w:rPr>
      <w:kern w:val="2"/>
      <w:sz w:val="21"/>
      <w:szCs w:val="24"/>
    </w:rPr>
  </w:style>
  <w:style w:type="paragraph" w:customStyle="1" w:styleId="263">
    <w:name w:val="xl70"/>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b/>
      <w:bCs/>
      <w:color w:val="FF0000"/>
      <w:kern w:val="0"/>
      <w:sz w:val="24"/>
      <w:szCs w:val="24"/>
    </w:rPr>
  </w:style>
  <w:style w:type="paragraph" w:customStyle="1" w:styleId="264">
    <w:name w:val="xl22"/>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265">
    <w:name w:val="封面字_01"/>
    <w:basedOn w:val="1"/>
    <w:qFormat/>
    <w:uiPriority w:val="0"/>
    <w:pPr>
      <w:spacing w:line="312" w:lineRule="auto"/>
      <w:jc w:val="center"/>
    </w:pPr>
    <w:rPr>
      <w:b/>
      <w:sz w:val="44"/>
      <w:szCs w:val="44"/>
    </w:rPr>
  </w:style>
  <w:style w:type="paragraph" w:customStyle="1" w:styleId="266">
    <w:name w:val="Char Char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267">
    <w:name w:val="正文 小丹"/>
    <w:basedOn w:val="16"/>
    <w:link w:val="268"/>
    <w:semiHidden/>
    <w:qFormat/>
    <w:uiPriority w:val="0"/>
    <w:pPr>
      <w:adjustRightInd w:val="0"/>
      <w:snapToGrid w:val="0"/>
      <w:spacing w:after="0" w:line="360" w:lineRule="auto"/>
      <w:ind w:firstLine="200" w:firstLineChars="200"/>
      <w:textAlignment w:val="baseline"/>
    </w:pPr>
    <w:rPr>
      <w:rFonts w:ascii="宋体" w:hAnsi="宋体"/>
      <w:color w:val="000000"/>
      <w:spacing w:val="6"/>
      <w:kern w:val="0"/>
      <w:szCs w:val="24"/>
    </w:rPr>
  </w:style>
  <w:style w:type="character" w:customStyle="1" w:styleId="268">
    <w:name w:val="正文 小丹 Char1"/>
    <w:link w:val="267"/>
    <w:semiHidden/>
    <w:qFormat/>
    <w:uiPriority w:val="0"/>
    <w:rPr>
      <w:rFonts w:ascii="宋体" w:hAnsi="宋体"/>
      <w:color w:val="000000"/>
      <w:spacing w:val="6"/>
      <w:sz w:val="24"/>
      <w:szCs w:val="24"/>
    </w:rPr>
  </w:style>
  <w:style w:type="paragraph" w:customStyle="1" w:styleId="269">
    <w:name w:val="Char Char Char Char Char Char1 Char Char Char Char"/>
    <w:basedOn w:val="1"/>
    <w:qFormat/>
    <w:uiPriority w:val="0"/>
    <w:rPr>
      <w:sz w:val="24"/>
      <w:szCs w:val="24"/>
    </w:rPr>
  </w:style>
  <w:style w:type="paragraph" w:customStyle="1" w:styleId="270">
    <w:name w:val="工业统一正文"/>
    <w:basedOn w:val="1"/>
    <w:qFormat/>
    <w:uiPriority w:val="0"/>
    <w:pPr>
      <w:adjustRightInd w:val="0"/>
      <w:snapToGrid w:val="0"/>
      <w:spacing w:line="360" w:lineRule="auto"/>
      <w:ind w:firstLine="200" w:firstLineChars="200"/>
      <w:jc w:val="left"/>
    </w:pPr>
    <w:rPr>
      <w:rFonts w:ascii="宋体"/>
      <w:sz w:val="28"/>
      <w:szCs w:val="20"/>
    </w:rPr>
  </w:style>
  <w:style w:type="paragraph" w:customStyle="1" w:styleId="271">
    <w:name w:val="Char13"/>
    <w:basedOn w:val="1"/>
    <w:qFormat/>
    <w:uiPriority w:val="0"/>
    <w:pPr>
      <w:widowControl/>
      <w:spacing w:after="160" w:line="240" w:lineRule="exact"/>
      <w:jc w:val="left"/>
    </w:pPr>
    <w:rPr>
      <w:rFonts w:ascii="Verdana" w:hAnsi="Verdana"/>
      <w:kern w:val="0"/>
      <w:sz w:val="20"/>
      <w:szCs w:val="20"/>
      <w:lang w:eastAsia="en-US"/>
    </w:rPr>
  </w:style>
  <w:style w:type="paragraph" w:customStyle="1" w:styleId="272">
    <w:name w:val="封面字_02"/>
    <w:basedOn w:val="265"/>
    <w:qFormat/>
    <w:uiPriority w:val="0"/>
    <w:rPr>
      <w:sz w:val="52"/>
      <w:szCs w:val="52"/>
    </w:rPr>
  </w:style>
  <w:style w:type="paragraph" w:customStyle="1" w:styleId="273">
    <w:name w:val="样式 正文首行缩进正文首行缩进 Char Char Char正文首行缩进 Char Char Char Char Char ..."/>
    <w:basedOn w:val="16"/>
    <w:qFormat/>
    <w:uiPriority w:val="0"/>
    <w:pPr>
      <w:spacing w:beforeLines="50" w:after="0" w:line="480" w:lineRule="exact"/>
      <w:ind w:firstLine="200" w:firstLineChars="200"/>
    </w:pPr>
    <w:rPr>
      <w:rFonts w:ascii="Times New Roman" w:hAnsi="新宋体" w:eastAsia="新宋体" w:cs="宋体"/>
      <w:kern w:val="0"/>
      <w:sz w:val="28"/>
      <w:szCs w:val="28"/>
    </w:rPr>
  </w:style>
  <w:style w:type="paragraph" w:customStyle="1" w:styleId="274">
    <w:name w:val="font5"/>
    <w:basedOn w:val="1"/>
    <w:qFormat/>
    <w:uiPriority w:val="0"/>
    <w:pPr>
      <w:widowControl/>
      <w:spacing w:before="100" w:beforeAutospacing="1" w:after="100" w:afterAutospacing="1"/>
      <w:jc w:val="left"/>
    </w:pPr>
    <w:rPr>
      <w:rFonts w:hint="eastAsia" w:ascii="宋体" w:hAnsi="宋体"/>
      <w:kern w:val="0"/>
      <w:sz w:val="18"/>
      <w:szCs w:val="18"/>
    </w:rPr>
  </w:style>
  <w:style w:type="paragraph" w:customStyle="1" w:styleId="275">
    <w:name w:val="xl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76">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szCs w:val="24"/>
    </w:rPr>
  </w:style>
  <w:style w:type="paragraph" w:customStyle="1" w:styleId="277">
    <w:name w:val="表格02"/>
    <w:basedOn w:val="1"/>
    <w:qFormat/>
    <w:uiPriority w:val="0"/>
    <w:pPr>
      <w:spacing w:line="400" w:lineRule="exact"/>
      <w:jc w:val="center"/>
    </w:pPr>
    <w:rPr>
      <w:sz w:val="24"/>
      <w:szCs w:val="24"/>
      <w:lang w:val="en-GB"/>
    </w:rPr>
  </w:style>
  <w:style w:type="paragraph" w:customStyle="1" w:styleId="278">
    <w:name w:val="font15"/>
    <w:basedOn w:val="1"/>
    <w:qFormat/>
    <w:uiPriority w:val="0"/>
    <w:pPr>
      <w:widowControl/>
      <w:spacing w:before="100" w:beforeAutospacing="1" w:after="100" w:afterAutospacing="1"/>
      <w:jc w:val="left"/>
    </w:pPr>
    <w:rPr>
      <w:rFonts w:ascii="Arial" w:hAnsi="Arial" w:cs="Arial"/>
      <w:kern w:val="0"/>
      <w:szCs w:val="21"/>
    </w:rPr>
  </w:style>
  <w:style w:type="paragraph" w:customStyle="1" w:styleId="279">
    <w:name w:val="xl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b/>
      <w:bCs/>
      <w:kern w:val="0"/>
      <w:sz w:val="24"/>
      <w:szCs w:val="24"/>
    </w:rPr>
  </w:style>
  <w:style w:type="paragraph" w:customStyle="1" w:styleId="280">
    <w:name w:val="xl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b/>
      <w:bCs/>
      <w:kern w:val="0"/>
      <w:sz w:val="24"/>
      <w:szCs w:val="24"/>
    </w:rPr>
  </w:style>
  <w:style w:type="paragraph" w:customStyle="1" w:styleId="281">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sz w:val="24"/>
      <w:szCs w:val="24"/>
    </w:rPr>
  </w:style>
  <w:style w:type="paragraph" w:customStyle="1" w:styleId="282">
    <w:name w:val="Char Char Char1 Char1"/>
    <w:basedOn w:val="1"/>
    <w:qFormat/>
    <w:uiPriority w:val="0"/>
    <w:rPr>
      <w:szCs w:val="24"/>
    </w:rPr>
  </w:style>
  <w:style w:type="paragraph" w:customStyle="1" w:styleId="283">
    <w:name w:val="_Style 82"/>
    <w:basedOn w:val="1"/>
    <w:qFormat/>
    <w:uiPriority w:val="0"/>
    <w:pPr>
      <w:spacing w:beforeLines="50" w:line="360" w:lineRule="auto"/>
      <w:ind w:firstLine="560" w:firstLineChars="200"/>
    </w:pPr>
    <w:rPr>
      <w:szCs w:val="24"/>
    </w:rPr>
  </w:style>
  <w:style w:type="paragraph" w:customStyle="1" w:styleId="284">
    <w:name w:val="xl58"/>
    <w:basedOn w:val="1"/>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rFonts w:hint="eastAsia" w:ascii="宋体" w:hAnsi="宋体"/>
      <w:color w:val="000000"/>
      <w:kern w:val="0"/>
      <w:sz w:val="24"/>
      <w:szCs w:val="28"/>
    </w:rPr>
  </w:style>
  <w:style w:type="paragraph" w:customStyle="1" w:styleId="285">
    <w:name w:val="xl5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86">
    <w:name w:val="封面"/>
    <w:basedOn w:val="1"/>
    <w:qFormat/>
    <w:uiPriority w:val="0"/>
    <w:pPr>
      <w:spacing w:line="312" w:lineRule="auto"/>
      <w:jc w:val="center"/>
    </w:pPr>
    <w:rPr>
      <w:b/>
      <w:sz w:val="44"/>
      <w:szCs w:val="44"/>
    </w:rPr>
  </w:style>
  <w:style w:type="paragraph" w:customStyle="1" w:styleId="287">
    <w:name w:val="1正文段落"/>
    <w:basedOn w:val="1"/>
    <w:qFormat/>
    <w:uiPriority w:val="0"/>
    <w:pPr>
      <w:spacing w:line="360" w:lineRule="auto"/>
      <w:ind w:firstLine="480" w:firstLineChars="200"/>
    </w:pPr>
    <w:rPr>
      <w:kern w:val="0"/>
      <w:sz w:val="24"/>
      <w:szCs w:val="24"/>
    </w:rPr>
  </w:style>
  <w:style w:type="paragraph" w:customStyle="1" w:styleId="288">
    <w:name w:val="首行缩进"/>
    <w:basedOn w:val="1"/>
    <w:qFormat/>
    <w:uiPriority w:val="0"/>
    <w:pPr>
      <w:widowControl/>
      <w:autoSpaceDE w:val="0"/>
      <w:autoSpaceDN w:val="0"/>
      <w:adjustRightInd w:val="0"/>
      <w:snapToGrid w:val="0"/>
      <w:jc w:val="center"/>
      <w:textAlignment w:val="bottom"/>
    </w:pPr>
    <w:rPr>
      <w:rFonts w:ascii="宋体" w:hAnsi="宋体"/>
      <w:spacing w:val="8"/>
      <w:kern w:val="0"/>
      <w:szCs w:val="21"/>
    </w:rPr>
  </w:style>
  <w:style w:type="paragraph" w:customStyle="1" w:styleId="289">
    <w:name w:val="默认段落字体 Para Char Char Char Char Char Char Char"/>
    <w:basedOn w:val="1"/>
    <w:qFormat/>
    <w:uiPriority w:val="0"/>
    <w:pPr>
      <w:adjustRightInd w:val="0"/>
      <w:spacing w:line="360" w:lineRule="auto"/>
    </w:pPr>
    <w:rPr>
      <w:rFonts w:ascii="Tahoma" w:hAnsi="Tahoma"/>
      <w:kern w:val="0"/>
      <w:sz w:val="24"/>
      <w:szCs w:val="20"/>
    </w:rPr>
  </w:style>
  <w:style w:type="paragraph" w:customStyle="1" w:styleId="290">
    <w:name w:val="font8"/>
    <w:basedOn w:val="1"/>
    <w:qFormat/>
    <w:uiPriority w:val="0"/>
    <w:pPr>
      <w:widowControl/>
      <w:spacing w:before="100" w:beforeAutospacing="1" w:after="100" w:afterAutospacing="1"/>
      <w:jc w:val="left"/>
    </w:pPr>
    <w:rPr>
      <w:kern w:val="0"/>
      <w:sz w:val="24"/>
      <w:szCs w:val="24"/>
    </w:rPr>
  </w:style>
  <w:style w:type="paragraph" w:customStyle="1" w:styleId="291">
    <w:name w:val="样式 样式4 + 首行缩进:  2 字符"/>
    <w:basedOn w:val="1"/>
    <w:qFormat/>
    <w:uiPriority w:val="0"/>
    <w:pPr>
      <w:tabs>
        <w:tab w:val="center" w:pos="4252"/>
        <w:tab w:val="left" w:pos="7065"/>
      </w:tabs>
      <w:adjustRightInd w:val="0"/>
      <w:snapToGrid w:val="0"/>
      <w:spacing w:line="360" w:lineRule="auto"/>
      <w:ind w:firstLine="480" w:firstLineChars="200"/>
    </w:pPr>
    <w:rPr>
      <w:rFonts w:ascii="仿宋_GB2312" w:hAnsi="宋体" w:eastAsia="仿宋_GB2312"/>
      <w:kern w:val="0"/>
      <w:sz w:val="24"/>
      <w:szCs w:val="24"/>
    </w:rPr>
  </w:style>
  <w:style w:type="paragraph" w:customStyle="1" w:styleId="292">
    <w:name w:val="正文首行缩进1"/>
    <w:basedOn w:val="17"/>
    <w:qFormat/>
    <w:uiPriority w:val="0"/>
    <w:pPr>
      <w:adjustRightInd w:val="0"/>
      <w:spacing w:after="0" w:line="312" w:lineRule="auto"/>
      <w:ind w:left="280" w:firstLine="567"/>
      <w:jc w:val="left"/>
      <w:textAlignment w:val="baseline"/>
    </w:pPr>
    <w:rPr>
      <w:kern w:val="0"/>
      <w:sz w:val="28"/>
      <w:szCs w:val="20"/>
    </w:rPr>
  </w:style>
  <w:style w:type="paragraph" w:customStyle="1" w:styleId="293">
    <w:name w:val="正文 1"/>
    <w:basedOn w:val="1"/>
    <w:qFormat/>
    <w:uiPriority w:val="0"/>
    <w:pPr>
      <w:widowControl/>
      <w:adjustRightInd w:val="0"/>
      <w:snapToGrid w:val="0"/>
      <w:spacing w:before="80" w:after="80" w:line="360" w:lineRule="auto"/>
      <w:ind w:left="1418"/>
    </w:pPr>
    <w:rPr>
      <w:szCs w:val="20"/>
    </w:rPr>
  </w:style>
  <w:style w:type="paragraph" w:customStyle="1" w:styleId="294">
    <w:name w:val="_Style 208"/>
    <w:basedOn w:val="3"/>
    <w:next w:val="1"/>
    <w:qFormat/>
    <w:uiPriority w:val="0"/>
    <w:pPr>
      <w:widowControl/>
      <w:numPr>
        <w:numId w:val="0"/>
      </w:numPr>
      <w:spacing w:beforeLines="0" w:afterLines="0" w:line="276" w:lineRule="auto"/>
      <w:jc w:val="left"/>
      <w:outlineLvl w:val="9"/>
    </w:pPr>
    <w:rPr>
      <w:rFonts w:ascii="Cambria" w:hAnsi="Cambria"/>
      <w:color w:val="365F91"/>
      <w:kern w:val="0"/>
      <w:sz w:val="28"/>
      <w:szCs w:val="28"/>
    </w:rPr>
  </w:style>
  <w:style w:type="paragraph" w:customStyle="1" w:styleId="295">
    <w:name w:val="样式 样式 正文首行缩进 2 + 左侧:  2 字符 首行缩进:  2 字符 + 首行缩进:  2 字符"/>
    <w:basedOn w:val="296"/>
    <w:qFormat/>
    <w:uiPriority w:val="0"/>
    <w:pPr>
      <w:spacing w:beforeLines="50" w:after="100" w:afterAutospacing="1"/>
    </w:pPr>
    <w:rPr>
      <w:szCs w:val="20"/>
    </w:rPr>
  </w:style>
  <w:style w:type="paragraph" w:customStyle="1" w:styleId="296">
    <w:name w:val="样式 正文首行缩进 2 + 左侧:  2 字符 首行缩进:  2 字符"/>
    <w:basedOn w:val="45"/>
    <w:qFormat/>
    <w:uiPriority w:val="0"/>
    <w:pPr>
      <w:spacing w:line="480" w:lineRule="exact"/>
      <w:ind w:left="0" w:leftChars="0" w:firstLine="200"/>
    </w:pPr>
    <w:rPr>
      <w:rFonts w:ascii="宋体" w:cs="宋体"/>
      <w:sz w:val="28"/>
      <w:szCs w:val="28"/>
    </w:rPr>
  </w:style>
  <w:style w:type="paragraph" w:customStyle="1" w:styleId="297">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b/>
      <w:bCs/>
      <w:color w:val="FF0000"/>
      <w:kern w:val="0"/>
      <w:sz w:val="24"/>
      <w:szCs w:val="24"/>
    </w:rPr>
  </w:style>
  <w:style w:type="paragraph" w:customStyle="1" w:styleId="298">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kern w:val="0"/>
      <w:sz w:val="24"/>
      <w:szCs w:val="24"/>
    </w:rPr>
  </w:style>
  <w:style w:type="paragraph" w:customStyle="1" w:styleId="299">
    <w:name w:val="Char Char Char Char Char Char Char Char Char Char1"/>
    <w:basedOn w:val="1"/>
    <w:qFormat/>
    <w:uiPriority w:val="0"/>
    <w:pPr>
      <w:widowControl/>
      <w:spacing w:after="160" w:line="240" w:lineRule="exact"/>
      <w:jc w:val="left"/>
    </w:pPr>
    <w:rPr>
      <w:rFonts w:ascii="Verdana" w:hAnsi="Verdana"/>
      <w:kern w:val="0"/>
      <w:sz w:val="20"/>
      <w:szCs w:val="20"/>
      <w:lang w:eastAsia="en-US"/>
    </w:rPr>
  </w:style>
  <w:style w:type="paragraph" w:customStyle="1" w:styleId="300">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sz w:val="24"/>
      <w:szCs w:val="24"/>
    </w:rPr>
  </w:style>
  <w:style w:type="paragraph" w:customStyle="1" w:styleId="301">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kern w:val="0"/>
      <w:sz w:val="24"/>
      <w:szCs w:val="24"/>
    </w:rPr>
  </w:style>
  <w:style w:type="paragraph" w:customStyle="1" w:styleId="302">
    <w:name w:val="首行表文字"/>
    <w:basedOn w:val="164"/>
    <w:qFormat/>
    <w:uiPriority w:val="0"/>
    <w:pPr>
      <w:ind w:left="-53" w:leftChars="-25" w:right="-53" w:rightChars="-25"/>
    </w:pPr>
    <w:rPr>
      <w:b/>
      <w:bCs/>
      <w:color w:val="auto"/>
      <w:spacing w:val="-5"/>
      <w:szCs w:val="18"/>
    </w:rPr>
  </w:style>
  <w:style w:type="paragraph" w:customStyle="1" w:styleId="303">
    <w:name w:val="列出段落3"/>
    <w:basedOn w:val="1"/>
    <w:qFormat/>
    <w:uiPriority w:val="34"/>
    <w:pPr>
      <w:ind w:firstLine="420" w:firstLineChars="200"/>
    </w:pPr>
    <w:rPr>
      <w:szCs w:val="24"/>
    </w:rPr>
  </w:style>
  <w:style w:type="paragraph" w:customStyle="1" w:styleId="304">
    <w:name w:val="font9"/>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305">
    <w:name w:val="Char Char Char Char Char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306">
    <w:name w:val="font7"/>
    <w:basedOn w:val="1"/>
    <w:qFormat/>
    <w:uiPriority w:val="0"/>
    <w:pPr>
      <w:widowControl/>
      <w:spacing w:before="100" w:beforeAutospacing="1" w:after="100" w:afterAutospacing="1"/>
      <w:jc w:val="left"/>
    </w:pPr>
    <w:rPr>
      <w:rFonts w:hint="eastAsia" w:ascii="宋体" w:hAnsi="宋体"/>
      <w:kern w:val="0"/>
      <w:sz w:val="24"/>
      <w:szCs w:val="24"/>
    </w:rPr>
  </w:style>
  <w:style w:type="paragraph" w:customStyle="1" w:styleId="307">
    <w:name w:val="修订3"/>
    <w:semiHidden/>
    <w:qFormat/>
    <w:uiPriority w:val="99"/>
    <w:rPr>
      <w:rFonts w:ascii="Times New Roman" w:hAnsi="Times New Roman" w:eastAsia="宋体" w:cs="Times New Roman"/>
      <w:kern w:val="2"/>
      <w:sz w:val="21"/>
      <w:szCs w:val="24"/>
      <w:lang w:val="en-US" w:eastAsia="zh-CN" w:bidi="ar-SA"/>
    </w:rPr>
  </w:style>
  <w:style w:type="paragraph" w:customStyle="1" w:styleId="308">
    <w:name w:val="Char Char Char1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309">
    <w:name w:val="规划正文"/>
    <w:basedOn w:val="1"/>
    <w:link w:val="310"/>
    <w:qFormat/>
    <w:uiPriority w:val="0"/>
    <w:pPr>
      <w:adjustRightInd w:val="0"/>
      <w:snapToGrid w:val="0"/>
      <w:spacing w:line="360" w:lineRule="auto"/>
      <w:ind w:firstLine="560" w:firstLineChars="200"/>
    </w:pPr>
    <w:rPr>
      <w:rFonts w:ascii="宋体" w:hAnsi="宋体"/>
      <w:bCs/>
      <w:sz w:val="28"/>
      <w:szCs w:val="28"/>
    </w:rPr>
  </w:style>
  <w:style w:type="character" w:customStyle="1" w:styleId="310">
    <w:name w:val="规划正文 Char"/>
    <w:link w:val="309"/>
    <w:qFormat/>
    <w:uiPriority w:val="0"/>
    <w:rPr>
      <w:rFonts w:ascii="宋体" w:hAnsi="宋体"/>
      <w:bCs/>
      <w:kern w:val="2"/>
      <w:sz w:val="28"/>
      <w:szCs w:val="28"/>
    </w:rPr>
  </w:style>
  <w:style w:type="paragraph" w:customStyle="1" w:styleId="311">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b/>
      <w:bCs/>
      <w:color w:val="FF0000"/>
      <w:kern w:val="0"/>
      <w:sz w:val="24"/>
      <w:szCs w:val="24"/>
    </w:rPr>
  </w:style>
  <w:style w:type="paragraph" w:customStyle="1" w:styleId="312">
    <w:name w:val="xl66"/>
    <w:basedOn w:val="1"/>
    <w:qFormat/>
    <w:uiPriority w:val="0"/>
    <w:pPr>
      <w:widowControl/>
      <w:pBdr>
        <w:top w:val="single" w:color="auto" w:sz="4" w:space="0"/>
        <w:left w:val="single" w:color="auto" w:sz="8"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13">
    <w:name w:val="Char Char Char Char Char Char Char Char1"/>
    <w:basedOn w:val="1"/>
    <w:qFormat/>
    <w:uiPriority w:val="0"/>
    <w:pPr>
      <w:widowControl/>
      <w:spacing w:after="160" w:line="240" w:lineRule="exact"/>
      <w:jc w:val="left"/>
    </w:pPr>
    <w:rPr>
      <w:rFonts w:ascii="Verdana" w:hAnsi="Verdana"/>
      <w:kern w:val="0"/>
      <w:sz w:val="20"/>
      <w:szCs w:val="20"/>
      <w:lang w:eastAsia="en-US"/>
    </w:rPr>
  </w:style>
  <w:style w:type="paragraph" w:customStyle="1" w:styleId="314">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kern w:val="0"/>
      <w:szCs w:val="21"/>
    </w:rPr>
  </w:style>
  <w:style w:type="paragraph" w:customStyle="1" w:styleId="315">
    <w:name w:val="xl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FF0000"/>
      <w:kern w:val="0"/>
      <w:sz w:val="24"/>
      <w:szCs w:val="24"/>
    </w:rPr>
  </w:style>
  <w:style w:type="paragraph" w:customStyle="1" w:styleId="316">
    <w:name w:val="font13"/>
    <w:basedOn w:val="1"/>
    <w:qFormat/>
    <w:uiPriority w:val="0"/>
    <w:pPr>
      <w:widowControl/>
      <w:spacing w:before="100" w:beforeAutospacing="1" w:after="100" w:afterAutospacing="1"/>
      <w:jc w:val="left"/>
    </w:pPr>
    <w:rPr>
      <w:kern w:val="0"/>
      <w:sz w:val="22"/>
    </w:rPr>
  </w:style>
  <w:style w:type="paragraph" w:customStyle="1" w:styleId="317">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4"/>
      <w:szCs w:val="24"/>
    </w:rPr>
  </w:style>
  <w:style w:type="paragraph" w:customStyle="1" w:styleId="318">
    <w:name w:val="font6"/>
    <w:basedOn w:val="1"/>
    <w:qFormat/>
    <w:uiPriority w:val="0"/>
    <w:pPr>
      <w:widowControl/>
      <w:spacing w:before="100" w:beforeAutospacing="1" w:after="100" w:afterAutospacing="1"/>
      <w:jc w:val="left"/>
    </w:pPr>
    <w:rPr>
      <w:rFonts w:hint="eastAsia" w:ascii="宋体" w:hAnsi="宋体"/>
      <w:kern w:val="0"/>
      <w:sz w:val="24"/>
      <w:szCs w:val="24"/>
    </w:rPr>
  </w:style>
  <w:style w:type="paragraph" w:customStyle="1" w:styleId="319">
    <w:name w:val="表格标题2"/>
    <w:basedOn w:val="1"/>
    <w:qFormat/>
    <w:uiPriority w:val="0"/>
    <w:pPr>
      <w:keepNext/>
      <w:tabs>
        <w:tab w:val="center" w:pos="6832"/>
        <w:tab w:val="right" w:pos="13665"/>
      </w:tabs>
      <w:adjustRightInd w:val="0"/>
      <w:spacing w:after="60" w:line="312" w:lineRule="auto"/>
      <w:ind w:firstLine="425"/>
      <w:jc w:val="center"/>
      <w:textAlignment w:val="baseline"/>
    </w:pPr>
    <w:rPr>
      <w:rFonts w:ascii="Arial" w:hAnsi="Arial"/>
      <w:kern w:val="0"/>
      <w:sz w:val="28"/>
      <w:szCs w:val="20"/>
    </w:rPr>
  </w:style>
  <w:style w:type="paragraph" w:customStyle="1" w:styleId="320">
    <w:name w:val="xl60"/>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szCs w:val="24"/>
    </w:rPr>
  </w:style>
  <w:style w:type="paragraph" w:customStyle="1" w:styleId="321">
    <w:name w:val="xl69"/>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22">
    <w:name w:val="样式 四号 行距: 1.5 倍行距1"/>
    <w:basedOn w:val="1"/>
    <w:qFormat/>
    <w:uiPriority w:val="0"/>
    <w:pPr>
      <w:widowControl/>
      <w:adjustRightInd w:val="0"/>
      <w:snapToGrid w:val="0"/>
      <w:spacing w:line="312" w:lineRule="auto"/>
      <w:ind w:firstLine="599" w:firstLineChars="214"/>
      <w:jc w:val="left"/>
    </w:pPr>
    <w:rPr>
      <w:bCs/>
      <w:sz w:val="28"/>
      <w:szCs w:val="28"/>
    </w:rPr>
  </w:style>
  <w:style w:type="paragraph" w:customStyle="1" w:styleId="323">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kern w:val="0"/>
      <w:sz w:val="24"/>
      <w:szCs w:val="24"/>
    </w:rPr>
  </w:style>
  <w:style w:type="paragraph" w:customStyle="1" w:styleId="324">
    <w:name w:val="正文3"/>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325">
    <w:name w:val="Char14"/>
    <w:basedOn w:val="1"/>
    <w:qFormat/>
    <w:uiPriority w:val="0"/>
    <w:pPr>
      <w:widowControl/>
      <w:spacing w:after="160" w:line="240" w:lineRule="exact"/>
      <w:jc w:val="left"/>
    </w:pPr>
    <w:rPr>
      <w:rFonts w:ascii="Verdana" w:hAnsi="Verdana"/>
      <w:kern w:val="0"/>
      <w:sz w:val="20"/>
      <w:szCs w:val="20"/>
      <w:lang w:eastAsia="en-US"/>
    </w:rPr>
  </w:style>
  <w:style w:type="paragraph" w:customStyle="1" w:styleId="326">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b/>
      <w:bCs/>
      <w:color w:val="FF0000"/>
      <w:kern w:val="0"/>
      <w:sz w:val="24"/>
      <w:szCs w:val="24"/>
    </w:rPr>
  </w:style>
  <w:style w:type="paragraph" w:customStyle="1" w:styleId="327">
    <w:name w:val="sn"/>
    <w:basedOn w:val="16"/>
    <w:link w:val="328"/>
    <w:qFormat/>
    <w:uiPriority w:val="0"/>
    <w:pPr>
      <w:spacing w:line="360" w:lineRule="auto"/>
      <w:ind w:firstLine="480" w:firstLineChars="200"/>
    </w:pPr>
    <w:rPr>
      <w:rFonts w:ascii="Times New Roman" w:hAnsi="Times New Roman"/>
      <w:szCs w:val="24"/>
    </w:rPr>
  </w:style>
  <w:style w:type="character" w:customStyle="1" w:styleId="328">
    <w:name w:val="sn Char Char"/>
    <w:link w:val="327"/>
    <w:qFormat/>
    <w:uiPriority w:val="0"/>
    <w:rPr>
      <w:kern w:val="2"/>
      <w:sz w:val="24"/>
      <w:szCs w:val="24"/>
    </w:rPr>
  </w:style>
  <w:style w:type="paragraph" w:customStyle="1" w:styleId="329">
    <w:name w:val="表后文"/>
    <w:qFormat/>
    <w:uiPriority w:val="0"/>
    <w:pPr>
      <w:ind w:firstLine="601"/>
    </w:pPr>
    <w:rPr>
      <w:rFonts w:ascii="Times New Roman" w:hAnsi="Times New Roman" w:eastAsia="宋体" w:cs="Times New Roman"/>
      <w:spacing w:val="8"/>
      <w:sz w:val="21"/>
      <w:szCs w:val="21"/>
      <w:lang w:val="en-US" w:eastAsia="zh-CN" w:bidi="ar-SA"/>
    </w:rPr>
  </w:style>
  <w:style w:type="paragraph" w:customStyle="1" w:styleId="330">
    <w:name w:val="预测表格"/>
    <w:basedOn w:val="164"/>
    <w:qFormat/>
    <w:uiPriority w:val="0"/>
    <w:pPr>
      <w:widowControl/>
    </w:pPr>
    <w:rPr>
      <w:rFonts w:cs="宋体"/>
      <w:color w:val="auto"/>
      <w:spacing w:val="-5"/>
      <w:kern w:val="0"/>
      <w:sz w:val="18"/>
      <w:szCs w:val="18"/>
    </w:rPr>
  </w:style>
  <w:style w:type="paragraph" w:customStyle="1" w:styleId="331">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Cs w:val="21"/>
    </w:rPr>
  </w:style>
  <w:style w:type="paragraph" w:customStyle="1" w:styleId="332">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bottom"/>
    </w:pPr>
    <w:rPr>
      <w:rFonts w:ascii="宋体" w:hAnsi="宋体" w:cs="宋体"/>
      <w:kern w:val="0"/>
      <w:szCs w:val="21"/>
    </w:rPr>
  </w:style>
  <w:style w:type="paragraph" w:customStyle="1" w:styleId="333">
    <w:name w:val="表体"/>
    <w:basedOn w:val="1"/>
    <w:link w:val="334"/>
    <w:qFormat/>
    <w:uiPriority w:val="0"/>
    <w:pPr>
      <w:spacing w:before="40" w:after="40"/>
      <w:jc w:val="center"/>
    </w:pPr>
    <w:rPr>
      <w:color w:val="000080"/>
      <w:szCs w:val="20"/>
    </w:rPr>
  </w:style>
  <w:style w:type="character" w:customStyle="1" w:styleId="334">
    <w:name w:val="表体 Char"/>
    <w:link w:val="333"/>
    <w:qFormat/>
    <w:uiPriority w:val="0"/>
    <w:rPr>
      <w:color w:val="000080"/>
      <w:kern w:val="2"/>
      <w:sz w:val="21"/>
    </w:rPr>
  </w:style>
  <w:style w:type="paragraph" w:customStyle="1" w:styleId="335">
    <w:name w:val="Char"/>
    <w:basedOn w:val="1"/>
    <w:qFormat/>
    <w:uiPriority w:val="0"/>
    <w:rPr>
      <w:szCs w:val="24"/>
    </w:rPr>
  </w:style>
  <w:style w:type="paragraph" w:customStyle="1" w:styleId="336">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337">
    <w:name w:val="正文文本 21"/>
    <w:basedOn w:val="1"/>
    <w:qFormat/>
    <w:uiPriority w:val="0"/>
    <w:pPr>
      <w:adjustRightInd w:val="0"/>
      <w:spacing w:line="360" w:lineRule="auto"/>
      <w:jc w:val="center"/>
      <w:textAlignment w:val="baseline"/>
    </w:pPr>
    <w:rPr>
      <w:kern w:val="0"/>
      <w:sz w:val="28"/>
      <w:szCs w:val="20"/>
    </w:rPr>
  </w:style>
  <w:style w:type="paragraph" w:customStyle="1" w:styleId="338">
    <w:name w:val="样式 标题 2 + 宋体"/>
    <w:basedOn w:val="4"/>
    <w:qFormat/>
    <w:uiPriority w:val="0"/>
    <w:pPr>
      <w:numPr>
        <w:ilvl w:val="0"/>
        <w:numId w:val="0"/>
      </w:numPr>
      <w:spacing w:before="120" w:after="120"/>
      <w:jc w:val="left"/>
    </w:pPr>
    <w:rPr>
      <w:rFonts w:ascii="宋体" w:hAnsi="宋体"/>
      <w:kern w:val="2"/>
    </w:rPr>
  </w:style>
  <w:style w:type="paragraph" w:customStyle="1" w:styleId="339">
    <w:name w:val="公示及图片"/>
    <w:basedOn w:val="130"/>
    <w:qFormat/>
    <w:uiPriority w:val="0"/>
    <w:pPr>
      <w:widowControl w:val="0"/>
      <w:ind w:firstLine="0" w:firstLineChars="0"/>
      <w:jc w:val="center"/>
    </w:pPr>
    <w:rPr>
      <w:rFonts w:ascii="仿宋_GB2312" w:hAnsi="仿宋_GB2312" w:eastAsia="仿宋_GB2312" w:cs="宋体"/>
      <w:bCs w:val="0"/>
      <w:kern w:val="2"/>
      <w:szCs w:val="20"/>
    </w:rPr>
  </w:style>
  <w:style w:type="paragraph" w:customStyle="1" w:styleId="340">
    <w:name w:val="正文首行缩进2"/>
    <w:basedOn w:val="17"/>
    <w:qFormat/>
    <w:uiPriority w:val="0"/>
    <w:pPr>
      <w:adjustRightInd w:val="0"/>
      <w:spacing w:after="0" w:line="312" w:lineRule="auto"/>
      <w:ind w:left="280" w:firstLine="567"/>
      <w:jc w:val="left"/>
      <w:textAlignment w:val="baseline"/>
    </w:pPr>
    <w:rPr>
      <w:kern w:val="0"/>
      <w:sz w:val="28"/>
      <w:szCs w:val="20"/>
    </w:rPr>
  </w:style>
  <w:style w:type="paragraph" w:customStyle="1" w:styleId="341">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342">
    <w:name w:val="Char131"/>
    <w:basedOn w:val="1"/>
    <w:qFormat/>
    <w:uiPriority w:val="0"/>
    <w:pPr>
      <w:widowControl/>
      <w:spacing w:after="160" w:line="240" w:lineRule="exact"/>
      <w:jc w:val="left"/>
    </w:pPr>
    <w:rPr>
      <w:rFonts w:ascii="Verdana" w:hAnsi="Verdana"/>
      <w:kern w:val="0"/>
      <w:sz w:val="20"/>
      <w:szCs w:val="20"/>
      <w:lang w:eastAsia="en-US"/>
    </w:rPr>
  </w:style>
  <w:style w:type="paragraph" w:customStyle="1" w:styleId="343">
    <w:name w:val="标准"/>
    <w:basedOn w:val="1"/>
    <w:qFormat/>
    <w:uiPriority w:val="0"/>
    <w:pPr>
      <w:adjustRightInd w:val="0"/>
      <w:spacing w:line="312" w:lineRule="atLeast"/>
      <w:textAlignment w:val="baseline"/>
    </w:pPr>
    <w:rPr>
      <w:color w:val="000000"/>
      <w:kern w:val="0"/>
      <w:sz w:val="28"/>
      <w:szCs w:val="28"/>
    </w:rPr>
  </w:style>
  <w:style w:type="paragraph" w:customStyle="1" w:styleId="344">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b/>
      <w:bCs/>
      <w:kern w:val="0"/>
      <w:sz w:val="24"/>
      <w:szCs w:val="24"/>
    </w:rPr>
  </w:style>
  <w:style w:type="paragraph" w:customStyle="1" w:styleId="345">
    <w:name w:val="样式2"/>
    <w:basedOn w:val="46"/>
    <w:qFormat/>
    <w:uiPriority w:val="0"/>
    <w:pPr>
      <w:pBdr>
        <w:bottom w:val="thickThinSmallGap" w:color="auto" w:sz="18" w:space="1"/>
      </w:pBdr>
      <w:jc w:val="both"/>
    </w:pPr>
    <w:rPr>
      <w:rFonts w:ascii="Times New Roman" w:hAnsi="Times New Roman"/>
      <w:kern w:val="2"/>
      <w:szCs w:val="21"/>
    </w:rPr>
  </w:style>
  <w:style w:type="paragraph" w:customStyle="1" w:styleId="346">
    <w:name w:val="默认段落字体 Para Char"/>
    <w:basedOn w:val="1"/>
    <w:next w:val="1"/>
    <w:qFormat/>
    <w:uiPriority w:val="0"/>
    <w:pPr>
      <w:spacing w:line="360" w:lineRule="auto"/>
      <w:ind w:firstLine="200" w:firstLineChars="200"/>
    </w:pPr>
    <w:rPr>
      <w:rFonts w:ascii="宋体" w:hAnsi="宋体" w:cs="宋体"/>
      <w:sz w:val="24"/>
      <w:szCs w:val="24"/>
    </w:rPr>
  </w:style>
  <w:style w:type="paragraph" w:customStyle="1" w:styleId="347">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cs="宋体"/>
      <w:kern w:val="0"/>
      <w:szCs w:val="21"/>
    </w:rPr>
  </w:style>
  <w:style w:type="paragraph" w:customStyle="1" w:styleId="348">
    <w:name w:val="word"/>
    <w:basedOn w:val="1"/>
    <w:qFormat/>
    <w:uiPriority w:val="0"/>
    <w:pPr>
      <w:spacing w:beforeLines="50" w:line="360" w:lineRule="auto"/>
      <w:ind w:firstLine="480" w:firstLineChars="200"/>
    </w:pPr>
    <w:rPr>
      <w:rFonts w:ascii="宋体" w:hAnsi="宋体"/>
      <w:color w:val="0000FF"/>
      <w:sz w:val="24"/>
      <w:szCs w:val="24"/>
    </w:rPr>
  </w:style>
  <w:style w:type="paragraph" w:customStyle="1" w:styleId="349">
    <w:name w:val="样式 行距: 1.5 倍行距"/>
    <w:basedOn w:val="1"/>
    <w:qFormat/>
    <w:uiPriority w:val="0"/>
    <w:pPr>
      <w:spacing w:line="480" w:lineRule="exact"/>
      <w:ind w:firstLine="200" w:firstLineChars="200"/>
    </w:pPr>
    <w:rPr>
      <w:sz w:val="24"/>
      <w:szCs w:val="20"/>
    </w:rPr>
  </w:style>
  <w:style w:type="paragraph" w:customStyle="1" w:styleId="350">
    <w:name w:val="font11"/>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351">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352">
    <w:name w:val="正文首缩"/>
    <w:basedOn w:val="1"/>
    <w:qFormat/>
    <w:uiPriority w:val="0"/>
    <w:pPr>
      <w:keepNext/>
      <w:spacing w:line="324" w:lineRule="auto"/>
      <w:ind w:firstLine="556"/>
      <w:jc w:val="left"/>
      <w:textAlignment w:val="baseline"/>
    </w:pPr>
    <w:rPr>
      <w:color w:val="000000"/>
      <w:kern w:val="0"/>
      <w:sz w:val="28"/>
      <w:szCs w:val="28"/>
    </w:rPr>
  </w:style>
  <w:style w:type="paragraph" w:customStyle="1" w:styleId="353">
    <w:name w:val="段落1"/>
    <w:basedOn w:val="1"/>
    <w:link w:val="354"/>
    <w:qFormat/>
    <w:uiPriority w:val="0"/>
    <w:pPr>
      <w:tabs>
        <w:tab w:val="left" w:pos="0"/>
      </w:tabs>
      <w:adjustRightInd w:val="0"/>
      <w:textAlignment w:val="baseline"/>
    </w:pPr>
    <w:rPr>
      <w:rFonts w:ascii="宋体" w:hAnsi="宋体"/>
      <w:b/>
      <w:color w:val="FF0000"/>
      <w:spacing w:val="6"/>
      <w:kern w:val="0"/>
      <w:sz w:val="24"/>
      <w:szCs w:val="24"/>
    </w:rPr>
  </w:style>
  <w:style w:type="character" w:customStyle="1" w:styleId="354">
    <w:name w:val="段落1 Char1"/>
    <w:link w:val="353"/>
    <w:qFormat/>
    <w:uiPriority w:val="0"/>
    <w:rPr>
      <w:rFonts w:ascii="宋体" w:hAnsi="宋体"/>
      <w:b/>
      <w:color w:val="FF0000"/>
      <w:spacing w:val="6"/>
      <w:sz w:val="24"/>
      <w:szCs w:val="24"/>
    </w:rPr>
  </w:style>
  <w:style w:type="paragraph" w:customStyle="1" w:styleId="355">
    <w:name w:val="Char Char Char Char Char Char Char Char Char Char Char Char Char1"/>
    <w:basedOn w:val="1"/>
    <w:qFormat/>
    <w:uiPriority w:val="0"/>
    <w:pPr>
      <w:widowControl/>
      <w:spacing w:after="160" w:line="240" w:lineRule="exact"/>
      <w:jc w:val="left"/>
    </w:pPr>
    <w:rPr>
      <w:rFonts w:ascii="Verdana" w:hAnsi="Verdana"/>
      <w:kern w:val="0"/>
      <w:sz w:val="20"/>
      <w:szCs w:val="20"/>
      <w:lang w:eastAsia="en-US"/>
    </w:rPr>
  </w:style>
  <w:style w:type="paragraph" w:customStyle="1" w:styleId="356">
    <w:name w:val="样式 小四 行距: 1.5 倍行距1"/>
    <w:basedOn w:val="1"/>
    <w:qFormat/>
    <w:uiPriority w:val="0"/>
    <w:pPr>
      <w:spacing w:line="360" w:lineRule="auto"/>
      <w:ind w:firstLine="200" w:firstLineChars="200"/>
    </w:pPr>
    <w:rPr>
      <w:rFonts w:cs="宋体"/>
      <w:sz w:val="24"/>
      <w:szCs w:val="20"/>
    </w:rPr>
  </w:style>
  <w:style w:type="paragraph" w:customStyle="1" w:styleId="357">
    <w:name w:val="表内格式"/>
    <w:basedOn w:val="1"/>
    <w:qFormat/>
    <w:uiPriority w:val="0"/>
    <w:pPr>
      <w:spacing w:after="120" w:line="280" w:lineRule="exact"/>
    </w:pPr>
    <w:rPr>
      <w:szCs w:val="24"/>
    </w:rPr>
  </w:style>
  <w:style w:type="paragraph" w:customStyle="1" w:styleId="358">
    <w:name w:val="Char141"/>
    <w:basedOn w:val="1"/>
    <w:qFormat/>
    <w:uiPriority w:val="0"/>
    <w:pPr>
      <w:widowControl/>
      <w:spacing w:after="160" w:line="240" w:lineRule="exact"/>
      <w:jc w:val="left"/>
    </w:pPr>
    <w:rPr>
      <w:rFonts w:ascii="Verdana" w:hAnsi="Verdana"/>
      <w:kern w:val="0"/>
      <w:sz w:val="20"/>
      <w:szCs w:val="20"/>
      <w:lang w:eastAsia="en-US"/>
    </w:rPr>
  </w:style>
  <w:style w:type="paragraph" w:customStyle="1" w:styleId="359">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szCs w:val="24"/>
    </w:rPr>
  </w:style>
  <w:style w:type="paragraph" w:customStyle="1" w:styleId="360">
    <w:name w:val="Char1"/>
    <w:basedOn w:val="1"/>
    <w:qFormat/>
    <w:uiPriority w:val="0"/>
    <w:pPr>
      <w:spacing w:beforeLines="50" w:line="360" w:lineRule="auto"/>
      <w:ind w:firstLine="560" w:firstLineChars="200"/>
    </w:pPr>
    <w:rPr>
      <w:rFonts w:eastAsia="仿宋_GB2312"/>
      <w:sz w:val="28"/>
      <w:szCs w:val="20"/>
    </w:rPr>
  </w:style>
  <w:style w:type="paragraph" w:customStyle="1" w:styleId="361">
    <w:name w:val="xl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kern w:val="0"/>
      <w:sz w:val="24"/>
      <w:szCs w:val="24"/>
    </w:rPr>
  </w:style>
  <w:style w:type="paragraph" w:customStyle="1" w:styleId="362">
    <w:name w:val="xl27"/>
    <w:basedOn w:val="1"/>
    <w:qFormat/>
    <w:uiPriority w:val="0"/>
    <w:pPr>
      <w:widowControl/>
      <w:pBdr>
        <w:top w:val="single" w:color="auto" w:sz="4" w:space="0"/>
        <w:left w:val="single" w:color="auto" w:sz="4" w:space="0"/>
        <w:bottom w:val="single" w:color="auto" w:sz="4" w:space="0"/>
        <w:right w:val="single" w:color="auto" w:sz="4" w:space="0"/>
      </w:pBdr>
      <w:spacing w:before="100" w:after="100"/>
      <w:jc w:val="left"/>
    </w:pPr>
    <w:rPr>
      <w:rFonts w:hint="eastAsia" w:ascii="宋体" w:hAnsi="宋体"/>
      <w:color w:val="000000"/>
      <w:kern w:val="0"/>
      <w:sz w:val="24"/>
      <w:szCs w:val="28"/>
    </w:rPr>
  </w:style>
  <w:style w:type="paragraph" w:customStyle="1" w:styleId="363">
    <w:name w:val="font14"/>
    <w:basedOn w:val="1"/>
    <w:qFormat/>
    <w:uiPriority w:val="0"/>
    <w:pPr>
      <w:widowControl/>
      <w:spacing w:before="100" w:beforeAutospacing="1" w:after="100" w:afterAutospacing="1"/>
      <w:jc w:val="left"/>
    </w:pPr>
    <w:rPr>
      <w:kern w:val="0"/>
      <w:sz w:val="23"/>
      <w:szCs w:val="23"/>
    </w:rPr>
  </w:style>
  <w:style w:type="paragraph" w:customStyle="1" w:styleId="364">
    <w:name w:val="xhfounderpouter"/>
    <w:basedOn w:val="1"/>
    <w:qFormat/>
    <w:uiPriority w:val="0"/>
    <w:pPr>
      <w:widowControl/>
      <w:spacing w:before="100" w:beforeAutospacing="1" w:after="100" w:afterAutospacing="1"/>
      <w:jc w:val="left"/>
    </w:pPr>
    <w:rPr>
      <w:rFonts w:ascii="宋体" w:hAnsi="宋体"/>
      <w:kern w:val="0"/>
      <w:sz w:val="24"/>
      <w:szCs w:val="20"/>
    </w:rPr>
  </w:style>
  <w:style w:type="paragraph" w:customStyle="1" w:styleId="365">
    <w:name w:val="xl71"/>
    <w:basedOn w:val="1"/>
    <w:qFormat/>
    <w:uiPriority w:val="0"/>
    <w:pPr>
      <w:widowControl/>
      <w:pBdr>
        <w:top w:val="single" w:color="auto" w:sz="4" w:space="0"/>
        <w:left w:val="single" w:color="auto" w:sz="4" w:space="0"/>
      </w:pBdr>
      <w:spacing w:before="100" w:beforeAutospacing="1" w:after="100" w:afterAutospacing="1"/>
      <w:jc w:val="left"/>
    </w:pPr>
    <w:rPr>
      <w:rFonts w:ascii="宋体" w:hAnsi="宋体" w:cs="宋体"/>
      <w:color w:val="0000FF"/>
      <w:kern w:val="0"/>
      <w:sz w:val="24"/>
      <w:szCs w:val="24"/>
    </w:rPr>
  </w:style>
  <w:style w:type="paragraph" w:customStyle="1" w:styleId="366">
    <w:name w:val="日期11"/>
    <w:basedOn w:val="1"/>
    <w:next w:val="1"/>
    <w:qFormat/>
    <w:uiPriority w:val="0"/>
    <w:pPr>
      <w:adjustRightInd w:val="0"/>
      <w:spacing w:line="360" w:lineRule="atLeast"/>
    </w:pPr>
    <w:rPr>
      <w:kern w:val="0"/>
      <w:sz w:val="28"/>
      <w:szCs w:val="20"/>
    </w:rPr>
  </w:style>
  <w:style w:type="paragraph" w:customStyle="1" w:styleId="367">
    <w:name w:val="xl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szCs w:val="24"/>
    </w:rPr>
  </w:style>
  <w:style w:type="paragraph" w:customStyle="1" w:styleId="368">
    <w:name w:val="正文文本 211"/>
    <w:basedOn w:val="1"/>
    <w:qFormat/>
    <w:uiPriority w:val="0"/>
    <w:pPr>
      <w:adjustRightInd w:val="0"/>
      <w:spacing w:line="360" w:lineRule="auto"/>
      <w:jc w:val="center"/>
      <w:textAlignment w:val="baseline"/>
    </w:pPr>
    <w:rPr>
      <w:kern w:val="0"/>
      <w:sz w:val="28"/>
      <w:szCs w:val="20"/>
    </w:rPr>
  </w:style>
  <w:style w:type="paragraph" w:customStyle="1" w:styleId="369">
    <w:name w:val="样式 正文首行缩进正文首行缩进 Char Char Char正文首行缩进 Char Char Char Char Char ...1"/>
    <w:basedOn w:val="16"/>
    <w:qFormat/>
    <w:uiPriority w:val="0"/>
    <w:pPr>
      <w:spacing w:beforeLines="50" w:afterLines="50" w:line="480" w:lineRule="exact"/>
      <w:ind w:firstLine="200" w:firstLineChars="200"/>
    </w:pPr>
    <w:rPr>
      <w:rFonts w:ascii="新宋体" w:hAnsi="新宋体" w:eastAsia="新宋体" w:cs="宋体"/>
      <w:kern w:val="0"/>
      <w:sz w:val="28"/>
      <w:szCs w:val="28"/>
    </w:rPr>
  </w:style>
  <w:style w:type="paragraph" w:customStyle="1" w:styleId="370">
    <w:name w:val="Char Char3 Char Char Char Char Char Char Char1"/>
    <w:basedOn w:val="1"/>
    <w:qFormat/>
    <w:uiPriority w:val="0"/>
    <w:pPr>
      <w:widowControl/>
      <w:spacing w:beforeLines="100" w:after="160" w:line="240" w:lineRule="exact"/>
      <w:jc w:val="left"/>
    </w:pPr>
    <w:rPr>
      <w:szCs w:val="24"/>
    </w:rPr>
  </w:style>
  <w:style w:type="paragraph" w:customStyle="1" w:styleId="371">
    <w:name w:val="正式文"/>
    <w:basedOn w:val="23"/>
    <w:link w:val="372"/>
    <w:qFormat/>
    <w:uiPriority w:val="0"/>
    <w:pPr>
      <w:spacing w:line="620" w:lineRule="exact"/>
      <w:ind w:firstLine="560"/>
    </w:pPr>
    <w:rPr>
      <w:kern w:val="2"/>
      <w:sz w:val="28"/>
    </w:rPr>
  </w:style>
  <w:style w:type="character" w:customStyle="1" w:styleId="372">
    <w:name w:val="正式文 Char"/>
    <w:link w:val="371"/>
    <w:qFormat/>
    <w:uiPriority w:val="0"/>
    <w:rPr>
      <w:kern w:val="2"/>
      <w:sz w:val="28"/>
    </w:rPr>
  </w:style>
  <w:style w:type="paragraph" w:customStyle="1" w:styleId="373">
    <w:name w:val="_Style 282"/>
    <w:basedOn w:val="1"/>
    <w:next w:val="1"/>
    <w:link w:val="374"/>
    <w:qFormat/>
    <w:uiPriority w:val="0"/>
    <w:pPr>
      <w:widowControl/>
      <w:pBdr>
        <w:top w:val="single" w:color="auto" w:sz="6" w:space="1"/>
      </w:pBdr>
      <w:jc w:val="center"/>
    </w:pPr>
    <w:rPr>
      <w:rFonts w:ascii="Arial" w:hAnsi="Arial" w:cs="Arial"/>
      <w:vanish/>
      <w:kern w:val="0"/>
      <w:sz w:val="16"/>
      <w:szCs w:val="16"/>
    </w:rPr>
  </w:style>
  <w:style w:type="character" w:customStyle="1" w:styleId="374">
    <w:name w:val="z-窗体底端 Char"/>
    <w:link w:val="373"/>
    <w:qFormat/>
    <w:uiPriority w:val="0"/>
    <w:rPr>
      <w:rFonts w:ascii="Arial" w:hAnsi="Arial" w:cs="Arial"/>
      <w:vanish/>
      <w:sz w:val="16"/>
      <w:szCs w:val="16"/>
    </w:rPr>
  </w:style>
  <w:style w:type="paragraph" w:customStyle="1" w:styleId="375">
    <w:name w:val="报告书表格"/>
    <w:basedOn w:val="1"/>
    <w:link w:val="376"/>
    <w:qFormat/>
    <w:uiPriority w:val="0"/>
    <w:pPr>
      <w:adjustRightInd w:val="0"/>
      <w:spacing w:line="240" w:lineRule="atLeast"/>
      <w:jc w:val="center"/>
      <w:textAlignment w:val="baseline"/>
    </w:pPr>
    <w:rPr>
      <w:kern w:val="0"/>
      <w:szCs w:val="20"/>
    </w:rPr>
  </w:style>
  <w:style w:type="character" w:customStyle="1" w:styleId="376">
    <w:name w:val="报告书表格 Char"/>
    <w:link w:val="375"/>
    <w:qFormat/>
    <w:uiPriority w:val="0"/>
    <w:rPr>
      <w:sz w:val="21"/>
    </w:rPr>
  </w:style>
  <w:style w:type="paragraph" w:customStyle="1" w:styleId="377">
    <w:name w:val="四号 正文"/>
    <w:basedOn w:val="1"/>
    <w:link w:val="378"/>
    <w:qFormat/>
    <w:uiPriority w:val="0"/>
    <w:pPr>
      <w:ind w:firstLine="584" w:firstLineChars="200"/>
    </w:pPr>
    <w:rPr>
      <w:rFonts w:cs="宋体"/>
      <w:spacing w:val="6"/>
      <w:sz w:val="28"/>
      <w:szCs w:val="20"/>
    </w:rPr>
  </w:style>
  <w:style w:type="character" w:customStyle="1" w:styleId="378">
    <w:name w:val="四号 正文 Char"/>
    <w:link w:val="377"/>
    <w:qFormat/>
    <w:uiPriority w:val="0"/>
    <w:rPr>
      <w:rFonts w:cs="宋体"/>
      <w:spacing w:val="6"/>
      <w:kern w:val="2"/>
      <w:sz w:val="28"/>
    </w:rPr>
  </w:style>
  <w:style w:type="paragraph" w:customStyle="1" w:styleId="379">
    <w:name w:val="正文样式"/>
    <w:basedOn w:val="1"/>
    <w:link w:val="380"/>
    <w:qFormat/>
    <w:uiPriority w:val="0"/>
    <w:pPr>
      <w:spacing w:line="360" w:lineRule="auto"/>
      <w:ind w:firstLine="480" w:firstLineChars="200"/>
    </w:pPr>
    <w:rPr>
      <w:rFonts w:ascii="宋体" w:hAnsi="宋体"/>
      <w:color w:val="000000"/>
      <w:sz w:val="24"/>
      <w:szCs w:val="24"/>
    </w:rPr>
  </w:style>
  <w:style w:type="character" w:customStyle="1" w:styleId="380">
    <w:name w:val="正文样式 Char"/>
    <w:link w:val="379"/>
    <w:semiHidden/>
    <w:qFormat/>
    <w:uiPriority w:val="0"/>
    <w:rPr>
      <w:rFonts w:ascii="宋体" w:hAnsi="宋体"/>
      <w:color w:val="000000"/>
      <w:kern w:val="2"/>
      <w:sz w:val="24"/>
      <w:szCs w:val="24"/>
    </w:rPr>
  </w:style>
  <w:style w:type="paragraph" w:customStyle="1" w:styleId="381">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b/>
      <w:bCs/>
      <w:kern w:val="0"/>
      <w:sz w:val="24"/>
      <w:szCs w:val="24"/>
    </w:rPr>
  </w:style>
  <w:style w:type="paragraph" w:customStyle="1" w:styleId="382">
    <w:name w:val="环评正文编号"/>
    <w:basedOn w:val="130"/>
    <w:qFormat/>
    <w:locked/>
    <w:uiPriority w:val="0"/>
    <w:pPr>
      <w:widowControl w:val="0"/>
      <w:tabs>
        <w:tab w:val="left" w:pos="420"/>
      </w:tabs>
      <w:ind w:firstLine="0" w:firstLineChars="0"/>
    </w:pPr>
    <w:rPr>
      <w:rFonts w:ascii="仿宋_GB2312" w:hAnsi="仿宋_GB2312" w:eastAsia="仿宋_GB2312"/>
      <w:bCs w:val="0"/>
      <w:kern w:val="2"/>
      <w:szCs w:val="20"/>
      <w:lang w:bidi="en-US"/>
    </w:rPr>
  </w:style>
  <w:style w:type="paragraph" w:customStyle="1" w:styleId="383">
    <w:name w:val="Char Char1 Char Char Char Char Char Char"/>
    <w:basedOn w:val="1"/>
    <w:qFormat/>
    <w:uiPriority w:val="0"/>
    <w:pPr>
      <w:widowControl/>
      <w:spacing w:after="160" w:line="240" w:lineRule="exact"/>
      <w:jc w:val="center"/>
    </w:pPr>
    <w:rPr>
      <w:rFonts w:ascii="Verdana" w:hAnsi="Verdana"/>
      <w:kern w:val="0"/>
      <w:sz w:val="28"/>
      <w:szCs w:val="20"/>
      <w:lang w:eastAsia="en-US"/>
    </w:rPr>
  </w:style>
  <w:style w:type="paragraph" w:customStyle="1" w:styleId="384">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szCs w:val="24"/>
    </w:rPr>
  </w:style>
  <w:style w:type="paragraph" w:customStyle="1" w:styleId="385">
    <w:name w:val="宁扬"/>
    <w:basedOn w:val="1"/>
    <w:link w:val="386"/>
    <w:qFormat/>
    <w:uiPriority w:val="0"/>
    <w:pPr>
      <w:spacing w:line="500" w:lineRule="exact"/>
      <w:ind w:firstLine="200" w:firstLineChars="200"/>
    </w:pPr>
    <w:rPr>
      <w:rFonts w:ascii="仿宋_GB2312" w:eastAsia="仿宋_GB2312"/>
      <w:sz w:val="28"/>
      <w:szCs w:val="24"/>
    </w:rPr>
  </w:style>
  <w:style w:type="character" w:customStyle="1" w:styleId="386">
    <w:name w:val="宁扬 Char"/>
    <w:link w:val="385"/>
    <w:qFormat/>
    <w:locked/>
    <w:uiPriority w:val="0"/>
    <w:rPr>
      <w:rFonts w:ascii="仿宋_GB2312" w:eastAsia="仿宋_GB2312"/>
      <w:kern w:val="2"/>
      <w:sz w:val="28"/>
      <w:szCs w:val="24"/>
    </w:rPr>
  </w:style>
  <w:style w:type="paragraph" w:customStyle="1" w:styleId="387">
    <w:name w:val="表样式1"/>
    <w:basedOn w:val="1"/>
    <w:qFormat/>
    <w:uiPriority w:val="0"/>
    <w:pPr>
      <w:snapToGrid w:val="0"/>
      <w:spacing w:line="400" w:lineRule="exact"/>
      <w:ind w:left="-21" w:leftChars="-10" w:right="-21" w:rightChars="-10"/>
      <w:jc w:val="center"/>
    </w:pPr>
    <w:rPr>
      <w:color w:val="000000"/>
      <w:szCs w:val="21"/>
      <w:lang w:eastAsia="zh-TW"/>
    </w:rPr>
  </w:style>
  <w:style w:type="paragraph" w:customStyle="1" w:styleId="388">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Cs w:val="21"/>
    </w:rPr>
  </w:style>
  <w:style w:type="paragraph" w:customStyle="1" w:styleId="389">
    <w:name w:val="xl6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390">
    <w:name w:val="应填表格"/>
    <w:basedOn w:val="1"/>
    <w:qFormat/>
    <w:uiPriority w:val="0"/>
    <w:pPr>
      <w:adjustRightInd w:val="0"/>
      <w:spacing w:before="40" w:after="40"/>
      <w:jc w:val="left"/>
      <w:textAlignment w:val="baseline"/>
    </w:pPr>
    <w:rPr>
      <w:kern w:val="0"/>
      <w:sz w:val="24"/>
      <w:szCs w:val="20"/>
    </w:rPr>
  </w:style>
  <w:style w:type="paragraph" w:customStyle="1" w:styleId="391">
    <w:name w:val="Char Char Char1 Char Char Char Char1"/>
    <w:basedOn w:val="1"/>
    <w:qFormat/>
    <w:uiPriority w:val="0"/>
    <w:pPr>
      <w:widowControl/>
      <w:spacing w:after="160" w:line="240" w:lineRule="exact"/>
      <w:jc w:val="left"/>
    </w:pPr>
    <w:rPr>
      <w:rFonts w:ascii="Verdana" w:hAnsi="Verdana"/>
      <w:kern w:val="0"/>
      <w:sz w:val="20"/>
      <w:szCs w:val="20"/>
      <w:lang w:eastAsia="en-US"/>
    </w:rPr>
  </w:style>
  <w:style w:type="paragraph" w:customStyle="1" w:styleId="392">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szCs w:val="24"/>
    </w:rPr>
  </w:style>
  <w:style w:type="paragraph" w:customStyle="1" w:styleId="393">
    <w:name w:val="正文文本格式"/>
    <w:basedOn w:val="1"/>
    <w:qFormat/>
    <w:uiPriority w:val="0"/>
    <w:pPr>
      <w:adjustRightInd w:val="0"/>
      <w:snapToGrid w:val="0"/>
      <w:spacing w:line="480" w:lineRule="exact"/>
      <w:ind w:firstLine="567"/>
    </w:pPr>
    <w:rPr>
      <w:kern w:val="0"/>
      <w:sz w:val="28"/>
      <w:szCs w:val="28"/>
    </w:rPr>
  </w:style>
  <w:style w:type="paragraph" w:customStyle="1" w:styleId="394">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b/>
      <w:bCs/>
      <w:color w:val="FF0000"/>
      <w:kern w:val="0"/>
      <w:sz w:val="24"/>
      <w:szCs w:val="24"/>
    </w:rPr>
  </w:style>
  <w:style w:type="paragraph" w:customStyle="1" w:styleId="395">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szCs w:val="24"/>
    </w:rPr>
  </w:style>
  <w:style w:type="paragraph" w:customStyle="1" w:styleId="396">
    <w:name w:val="表中文字"/>
    <w:basedOn w:val="1"/>
    <w:qFormat/>
    <w:uiPriority w:val="0"/>
    <w:pPr>
      <w:jc w:val="center"/>
    </w:pPr>
    <w:rPr>
      <w:color w:val="000000"/>
      <w:sz w:val="28"/>
      <w:szCs w:val="24"/>
    </w:rPr>
  </w:style>
  <w:style w:type="paragraph" w:customStyle="1" w:styleId="397">
    <w:name w:val="公式说明"/>
    <w:basedOn w:val="130"/>
    <w:qFormat/>
    <w:uiPriority w:val="0"/>
    <w:pPr>
      <w:widowControl w:val="0"/>
      <w:ind w:firstLine="960" w:firstLineChars="400"/>
    </w:pPr>
    <w:rPr>
      <w:rFonts w:ascii="仿宋_GB2312" w:hAnsi="仿宋_GB2312" w:eastAsia="仿宋_GB2312" w:cs="宋体"/>
      <w:bCs w:val="0"/>
      <w:kern w:val="2"/>
      <w:szCs w:val="20"/>
    </w:rPr>
  </w:style>
  <w:style w:type="paragraph" w:customStyle="1" w:styleId="398">
    <w:name w:val="Char2"/>
    <w:basedOn w:val="1"/>
    <w:qFormat/>
    <w:uiPriority w:val="0"/>
    <w:pPr>
      <w:widowControl/>
      <w:spacing w:after="160" w:line="240" w:lineRule="exact"/>
      <w:jc w:val="left"/>
    </w:pPr>
    <w:rPr>
      <w:rFonts w:ascii="Verdana" w:hAnsi="Verdana"/>
      <w:color w:val="000000"/>
      <w:kern w:val="0"/>
      <w:sz w:val="20"/>
      <w:szCs w:val="28"/>
      <w:lang w:eastAsia="en-US"/>
    </w:rPr>
  </w:style>
  <w:style w:type="paragraph" w:customStyle="1" w:styleId="399">
    <w:name w:val="基准标题"/>
    <w:basedOn w:val="1"/>
    <w:next w:val="17"/>
    <w:qFormat/>
    <w:uiPriority w:val="0"/>
    <w:pPr>
      <w:keepNext/>
      <w:keepLines/>
      <w:widowControl/>
      <w:spacing w:before="140" w:line="220" w:lineRule="atLeast"/>
      <w:jc w:val="left"/>
    </w:pPr>
    <w:rPr>
      <w:rFonts w:ascii="Arial" w:hAnsi="Arial"/>
      <w:spacing w:val="-4"/>
      <w:kern w:val="28"/>
      <w:sz w:val="22"/>
      <w:szCs w:val="20"/>
    </w:rPr>
  </w:style>
  <w:style w:type="paragraph" w:customStyle="1" w:styleId="400">
    <w:name w:val="xl6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01">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szCs w:val="24"/>
    </w:rPr>
  </w:style>
  <w:style w:type="paragraph" w:customStyle="1" w:styleId="402">
    <w:name w:val="pic-info"/>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403">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404">
    <w:name w:val="font12"/>
    <w:basedOn w:val="1"/>
    <w:qFormat/>
    <w:uiPriority w:val="0"/>
    <w:pPr>
      <w:widowControl/>
      <w:spacing w:before="100" w:beforeAutospacing="1" w:after="100" w:afterAutospacing="1"/>
      <w:jc w:val="left"/>
    </w:pPr>
    <w:rPr>
      <w:kern w:val="0"/>
      <w:sz w:val="20"/>
      <w:szCs w:val="20"/>
    </w:rPr>
  </w:style>
  <w:style w:type="paragraph" w:customStyle="1" w:styleId="405">
    <w:name w:val="xl3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olor w:val="000000"/>
      <w:kern w:val="0"/>
      <w:sz w:val="24"/>
      <w:szCs w:val="24"/>
    </w:rPr>
  </w:style>
  <w:style w:type="paragraph" w:customStyle="1" w:styleId="406">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6"/>
      <w:szCs w:val="16"/>
    </w:rPr>
  </w:style>
  <w:style w:type="paragraph" w:customStyle="1" w:styleId="407">
    <w:name w:val="font10"/>
    <w:basedOn w:val="1"/>
    <w:qFormat/>
    <w:uiPriority w:val="0"/>
    <w:pPr>
      <w:widowControl/>
      <w:spacing w:before="100" w:beforeAutospacing="1" w:after="100" w:afterAutospacing="1"/>
      <w:jc w:val="left"/>
    </w:pPr>
    <w:rPr>
      <w:kern w:val="0"/>
      <w:sz w:val="18"/>
      <w:szCs w:val="18"/>
    </w:rPr>
  </w:style>
  <w:style w:type="paragraph" w:customStyle="1" w:styleId="408">
    <w:name w:val="xl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kern w:val="0"/>
      <w:sz w:val="24"/>
      <w:szCs w:val="24"/>
    </w:rPr>
  </w:style>
  <w:style w:type="paragraph" w:customStyle="1" w:styleId="409">
    <w:name w:val="xl67"/>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b/>
      <w:bCs/>
      <w:kern w:val="0"/>
      <w:sz w:val="24"/>
      <w:szCs w:val="24"/>
    </w:rPr>
  </w:style>
  <w:style w:type="paragraph" w:customStyle="1" w:styleId="410">
    <w:name w:val="样式 标题 4 + (西文) Times New Roman (中文) 仿宋_GB2312 段前: 6 磅 段后: 6 磅"/>
    <w:basedOn w:val="6"/>
    <w:qFormat/>
    <w:uiPriority w:val="0"/>
    <w:pPr>
      <w:numPr>
        <w:ilvl w:val="0"/>
        <w:numId w:val="0"/>
      </w:numPr>
      <w:adjustRightInd w:val="0"/>
      <w:spacing w:before="120" w:after="120"/>
      <w:jc w:val="left"/>
      <w:textAlignment w:val="baseline"/>
    </w:pPr>
    <w:rPr>
      <w:rFonts w:eastAsia="仿宋_GB2312" w:cs="宋体"/>
      <w:kern w:val="0"/>
      <w:szCs w:val="20"/>
    </w:rPr>
  </w:style>
  <w:style w:type="paragraph" w:customStyle="1" w:styleId="411">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4"/>
      <w:szCs w:val="24"/>
    </w:rPr>
  </w:style>
  <w:style w:type="paragraph" w:customStyle="1" w:styleId="412">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kern w:val="0"/>
      <w:szCs w:val="21"/>
    </w:rPr>
  </w:style>
  <w:style w:type="paragraph" w:customStyle="1" w:styleId="413">
    <w:name w:val="xl5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14">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Cs w:val="21"/>
    </w:rPr>
  </w:style>
  <w:style w:type="paragraph" w:customStyle="1" w:styleId="415">
    <w:name w:val="_Style 16"/>
    <w:basedOn w:val="1"/>
    <w:qFormat/>
    <w:uiPriority w:val="0"/>
    <w:pPr>
      <w:widowControl/>
      <w:spacing w:after="160" w:line="240" w:lineRule="exact"/>
      <w:ind w:left="100" w:leftChars="-100" w:hanging="200" w:hangingChars="200"/>
      <w:jc w:val="left"/>
    </w:pPr>
    <w:rPr>
      <w:szCs w:val="20"/>
    </w:rPr>
  </w:style>
  <w:style w:type="paragraph" w:customStyle="1" w:styleId="416">
    <w:name w:val="报告表格"/>
    <w:basedOn w:val="1"/>
    <w:qFormat/>
    <w:uiPriority w:val="0"/>
    <w:pPr>
      <w:autoSpaceDE w:val="0"/>
      <w:autoSpaceDN w:val="0"/>
      <w:adjustRightInd w:val="0"/>
      <w:snapToGrid w:val="0"/>
      <w:jc w:val="center"/>
      <w:textAlignment w:val="baseline"/>
    </w:pPr>
    <w:rPr>
      <w:rFonts w:eastAsia="Times New Roman"/>
      <w:color w:val="000000"/>
      <w:kern w:val="0"/>
      <w:szCs w:val="20"/>
    </w:rPr>
  </w:style>
  <w:style w:type="paragraph" w:customStyle="1" w:styleId="417">
    <w:name w:val="【正文】"/>
    <w:basedOn w:val="1"/>
    <w:link w:val="418"/>
    <w:qFormat/>
    <w:uiPriority w:val="0"/>
    <w:pPr>
      <w:spacing w:line="360" w:lineRule="auto"/>
      <w:ind w:firstLine="200" w:firstLineChars="200"/>
    </w:pPr>
    <w:rPr>
      <w:rFonts w:cs="宋体"/>
      <w:sz w:val="24"/>
      <w:szCs w:val="20"/>
    </w:rPr>
  </w:style>
  <w:style w:type="character" w:customStyle="1" w:styleId="418">
    <w:name w:val="【正文】 Char Char"/>
    <w:link w:val="417"/>
    <w:qFormat/>
    <w:uiPriority w:val="0"/>
    <w:rPr>
      <w:rFonts w:cs="宋体"/>
      <w:kern w:val="2"/>
      <w:sz w:val="24"/>
    </w:rPr>
  </w:style>
  <w:style w:type="paragraph" w:customStyle="1" w:styleId="419">
    <w:name w:val="引言"/>
    <w:basedOn w:val="1"/>
    <w:next w:val="1"/>
    <w:qFormat/>
    <w:uiPriority w:val="0"/>
    <w:pPr>
      <w:jc w:val="center"/>
    </w:pPr>
    <w:rPr>
      <w:bCs/>
      <w:color w:val="000000"/>
      <w:szCs w:val="20"/>
    </w:rPr>
  </w:style>
  <w:style w:type="paragraph" w:customStyle="1" w:styleId="420">
    <w:name w:val="5-正文"/>
    <w:basedOn w:val="1"/>
    <w:link w:val="421"/>
    <w:qFormat/>
    <w:uiPriority w:val="0"/>
    <w:pPr>
      <w:spacing w:line="360" w:lineRule="auto"/>
      <w:ind w:firstLine="200" w:firstLineChars="200"/>
      <w:jc w:val="left"/>
    </w:pPr>
    <w:rPr>
      <w:rFonts w:eastAsia="仿宋"/>
      <w:sz w:val="24"/>
      <w:szCs w:val="24"/>
    </w:rPr>
  </w:style>
  <w:style w:type="character" w:customStyle="1" w:styleId="421">
    <w:name w:val="5-正文 Char"/>
    <w:link w:val="420"/>
    <w:qFormat/>
    <w:uiPriority w:val="0"/>
    <w:rPr>
      <w:rFonts w:eastAsia="仿宋"/>
      <w:kern w:val="2"/>
      <w:sz w:val="24"/>
      <w:szCs w:val="24"/>
    </w:rPr>
  </w:style>
  <w:style w:type="paragraph" w:customStyle="1" w:styleId="422">
    <w:name w:val="小标题1"/>
    <w:qFormat/>
    <w:uiPriority w:val="0"/>
    <w:pPr>
      <w:keepNext/>
      <w:keepLines/>
      <w:widowControl w:val="0"/>
      <w:spacing w:line="360" w:lineRule="auto"/>
      <w:jc w:val="both"/>
      <w:outlineLvl w:val="0"/>
    </w:pPr>
    <w:rPr>
      <w:rFonts w:ascii="宋体" w:hAnsi="Times New Roman" w:eastAsia="宋体" w:cs="Times New Roman"/>
      <w:b/>
      <w:bCs/>
      <w:kern w:val="44"/>
      <w:sz w:val="28"/>
      <w:szCs w:val="28"/>
      <w:lang w:val="en-US" w:eastAsia="zh-CN" w:bidi="ar-SA"/>
    </w:rPr>
  </w:style>
  <w:style w:type="paragraph" w:customStyle="1" w:styleId="423">
    <w:name w:val="小标题2"/>
    <w:qFormat/>
    <w:uiPriority w:val="0"/>
    <w:pPr>
      <w:keepNext/>
      <w:keepLines/>
      <w:widowControl w:val="0"/>
      <w:spacing w:line="360" w:lineRule="auto"/>
      <w:jc w:val="both"/>
      <w:outlineLvl w:val="1"/>
    </w:pPr>
    <w:rPr>
      <w:rFonts w:ascii="宋体" w:hAnsi="Times New Roman" w:eastAsia="宋体" w:cs="Times New Roman"/>
      <w:b/>
      <w:bCs/>
      <w:sz w:val="28"/>
      <w:szCs w:val="28"/>
      <w:lang w:val="en-US" w:eastAsia="zh-CN" w:bidi="ar-SA"/>
    </w:rPr>
  </w:style>
  <w:style w:type="paragraph" w:customStyle="1" w:styleId="424">
    <w:name w:val="b5二级标题"/>
    <w:basedOn w:val="1"/>
    <w:qFormat/>
    <w:uiPriority w:val="0"/>
    <w:pPr>
      <w:numPr>
        <w:ilvl w:val="0"/>
        <w:numId w:val="9"/>
      </w:numPr>
      <w:tabs>
        <w:tab w:val="left" w:pos="1590"/>
      </w:tabs>
    </w:pPr>
    <w:rPr>
      <w:szCs w:val="24"/>
    </w:rPr>
  </w:style>
  <w:style w:type="paragraph" w:customStyle="1" w:styleId="425">
    <w:name w:val="表格1"/>
    <w:basedOn w:val="1"/>
    <w:next w:val="1"/>
    <w:link w:val="426"/>
    <w:qFormat/>
    <w:uiPriority w:val="0"/>
    <w:pPr>
      <w:widowControl/>
      <w:ind w:left="-5" w:leftChars="-5" w:right="-5" w:rightChars="-5"/>
      <w:jc w:val="center"/>
    </w:pPr>
    <w:rPr>
      <w:rFonts w:ascii="宋体" w:hAnsi="宋体"/>
      <w:bCs/>
      <w:kern w:val="0"/>
      <w:sz w:val="20"/>
      <w:szCs w:val="24"/>
    </w:rPr>
  </w:style>
  <w:style w:type="character" w:customStyle="1" w:styleId="426">
    <w:name w:val="表格1 Char"/>
    <w:link w:val="425"/>
    <w:qFormat/>
    <w:uiPriority w:val="0"/>
    <w:rPr>
      <w:rFonts w:ascii="宋体" w:hAnsi="宋体"/>
      <w:bCs/>
      <w:szCs w:val="24"/>
    </w:rPr>
  </w:style>
  <w:style w:type="paragraph" w:customStyle="1" w:styleId="427">
    <w:name w:val="小标题3"/>
    <w:basedOn w:val="5"/>
    <w:link w:val="428"/>
    <w:qFormat/>
    <w:uiPriority w:val="0"/>
    <w:pPr>
      <w:numPr>
        <w:ilvl w:val="0"/>
        <w:numId w:val="0"/>
      </w:numPr>
    </w:pPr>
    <w:rPr>
      <w:rFonts w:ascii="宋体" w:hAnsi="宋体"/>
      <w:kern w:val="0"/>
      <w:szCs w:val="24"/>
    </w:rPr>
  </w:style>
  <w:style w:type="character" w:customStyle="1" w:styleId="428">
    <w:name w:val="小标题3 Char"/>
    <w:link w:val="427"/>
    <w:qFormat/>
    <w:uiPriority w:val="0"/>
    <w:rPr>
      <w:rFonts w:ascii="宋体" w:hAnsi="宋体"/>
      <w:b/>
      <w:bCs/>
      <w:sz w:val="24"/>
      <w:szCs w:val="24"/>
    </w:rPr>
  </w:style>
  <w:style w:type="paragraph" w:customStyle="1" w:styleId="429">
    <w:name w:val="正文文本1"/>
    <w:basedOn w:val="1"/>
    <w:link w:val="430"/>
    <w:qFormat/>
    <w:uiPriority w:val="0"/>
    <w:pPr>
      <w:shd w:val="clear" w:color="auto" w:fill="FFFFFF"/>
      <w:spacing w:line="668" w:lineRule="exact"/>
      <w:ind w:firstLine="640"/>
      <w:jc w:val="distribute"/>
    </w:pPr>
    <w:rPr>
      <w:rFonts w:ascii="MingLiU" w:hAnsi="MingLiU" w:eastAsia="MingLiU" w:cs="MingLiU"/>
      <w:spacing w:val="30"/>
      <w:kern w:val="0"/>
      <w:sz w:val="29"/>
      <w:szCs w:val="29"/>
    </w:rPr>
  </w:style>
  <w:style w:type="character" w:customStyle="1" w:styleId="430">
    <w:name w:val="Body text_"/>
    <w:link w:val="429"/>
    <w:qFormat/>
    <w:uiPriority w:val="0"/>
    <w:rPr>
      <w:rFonts w:ascii="MingLiU" w:hAnsi="MingLiU" w:eastAsia="MingLiU" w:cs="MingLiU"/>
      <w:spacing w:val="30"/>
      <w:sz w:val="29"/>
      <w:szCs w:val="29"/>
      <w:shd w:val="clear" w:color="auto" w:fill="FFFFFF"/>
    </w:rPr>
  </w:style>
  <w:style w:type="paragraph" w:customStyle="1" w:styleId="431">
    <w:name w:val="环评正文2"/>
    <w:basedOn w:val="1"/>
    <w:link w:val="432"/>
    <w:qFormat/>
    <w:uiPriority w:val="0"/>
    <w:pPr>
      <w:spacing w:line="360" w:lineRule="auto"/>
      <w:ind w:firstLine="200" w:firstLineChars="200"/>
    </w:pPr>
    <w:rPr>
      <w:rFonts w:ascii="宋体" w:hAnsi="宋体" w:eastAsia="仿宋_GB2312"/>
      <w:color w:val="000000"/>
      <w:kern w:val="16"/>
      <w:sz w:val="24"/>
      <w:szCs w:val="24"/>
    </w:rPr>
  </w:style>
  <w:style w:type="character" w:customStyle="1" w:styleId="432">
    <w:name w:val="环评正文2 Char Char"/>
    <w:link w:val="431"/>
    <w:qFormat/>
    <w:uiPriority w:val="0"/>
    <w:rPr>
      <w:rFonts w:ascii="宋体" w:hAnsi="宋体" w:eastAsia="仿宋_GB2312"/>
      <w:color w:val="000000"/>
      <w:kern w:val="16"/>
      <w:sz w:val="24"/>
      <w:szCs w:val="24"/>
    </w:rPr>
  </w:style>
  <w:style w:type="paragraph" w:customStyle="1" w:styleId="433">
    <w:name w:val="120"/>
    <w:next w:val="1"/>
    <w:qFormat/>
    <w:uiPriority w:val="0"/>
    <w:pPr>
      <w:adjustRightInd w:val="0"/>
      <w:spacing w:line="360" w:lineRule="auto"/>
      <w:ind w:firstLine="200" w:firstLineChars="200"/>
      <w:jc w:val="both"/>
    </w:pPr>
    <w:rPr>
      <w:rFonts w:ascii="Times New Roman" w:hAnsi="Times New Roman" w:eastAsia="宋体" w:cs="Times New Roman"/>
      <w:bCs/>
      <w:sz w:val="24"/>
      <w:szCs w:val="24"/>
      <w:lang w:val="en-US" w:eastAsia="zh-CN" w:bidi="ar-SA"/>
    </w:rPr>
  </w:style>
  <w:style w:type="paragraph" w:customStyle="1" w:styleId="434">
    <w:name w:val="110"/>
    <w:next w:val="22"/>
    <w:qFormat/>
    <w:uiPriority w:val="0"/>
    <w:pPr>
      <w:widowControl w:val="0"/>
      <w:jc w:val="center"/>
    </w:pPr>
    <w:rPr>
      <w:rFonts w:ascii="Times New Roman" w:hAnsi="Times New Roman" w:eastAsia="宋体" w:cs="Times New Roman"/>
      <w:b/>
      <w:kern w:val="2"/>
      <w:sz w:val="24"/>
      <w:szCs w:val="24"/>
      <w:lang w:val="en-US" w:eastAsia="zh-CN" w:bidi="ar-SA"/>
    </w:rPr>
  </w:style>
  <w:style w:type="paragraph" w:customStyle="1" w:styleId="435">
    <w:name w:val="样式 标题 2 + 行距: 1.5 倍行距2"/>
    <w:qFormat/>
    <w:uiPriority w:val="0"/>
    <w:pPr>
      <w:keepNext/>
      <w:keepLines/>
      <w:widowControl w:val="0"/>
      <w:tabs>
        <w:tab w:val="left" w:pos="0"/>
        <w:tab w:val="left" w:pos="2835"/>
      </w:tabs>
      <w:snapToGrid w:val="0"/>
      <w:spacing w:line="360" w:lineRule="auto"/>
      <w:ind w:left="576" w:hanging="576"/>
      <w:outlineLvl w:val="1"/>
    </w:pPr>
    <w:rPr>
      <w:rFonts w:ascii="Times New Roman" w:hAnsi="Times New Roman" w:eastAsia="黑体" w:cs="宋体"/>
      <w:b/>
      <w:bCs/>
      <w:kern w:val="2"/>
      <w:sz w:val="30"/>
      <w:lang w:val="en-US" w:eastAsia="zh-CN" w:bidi="ar-SA"/>
    </w:rPr>
  </w:style>
  <w:style w:type="paragraph" w:customStyle="1" w:styleId="436">
    <w:name w:val="正文 首行缩进:  2 字符"/>
    <w:qFormat/>
    <w:uiPriority w:val="0"/>
    <w:pPr>
      <w:widowControl w:val="0"/>
      <w:snapToGrid w:val="0"/>
      <w:spacing w:line="500" w:lineRule="exact"/>
      <w:ind w:firstLine="200" w:firstLineChars="200"/>
    </w:pPr>
    <w:rPr>
      <w:rFonts w:ascii="Times New Roman" w:hAnsi="Times New Roman" w:eastAsia="宋体" w:cs="宋体"/>
      <w:kern w:val="2"/>
      <w:sz w:val="24"/>
      <w:lang w:val="en-US" w:eastAsia="zh-CN" w:bidi="ar-SA"/>
    </w:rPr>
  </w:style>
  <w:style w:type="paragraph" w:customStyle="1" w:styleId="437">
    <w:name w:val="夏氏正文"/>
    <w:qFormat/>
    <w:uiPriority w:val="0"/>
    <w:pPr>
      <w:adjustRightInd w:val="0"/>
      <w:snapToGrid w:val="0"/>
      <w:spacing w:line="360" w:lineRule="auto"/>
      <w:ind w:firstLine="482"/>
      <w:jc w:val="both"/>
    </w:pPr>
    <w:rPr>
      <w:rFonts w:ascii="Times New Roman" w:hAnsi="Times New Roman" w:eastAsia="宋体" w:cs="Times New Roman"/>
      <w:lang w:val="en-US" w:eastAsia="zh-CN" w:bidi="ar-SA"/>
    </w:rPr>
  </w:style>
  <w:style w:type="paragraph" w:customStyle="1" w:styleId="438">
    <w:name w:val="&quot;7、表格中文字&quot;"/>
    <w:basedOn w:val="1"/>
    <w:qFormat/>
    <w:uiPriority w:val="0"/>
    <w:pPr>
      <w:spacing w:line="240" w:lineRule="atLeast"/>
    </w:pPr>
    <w:rPr>
      <w:rFonts w:ascii="方正书宋简体" w:hAnsi="等线" w:eastAsia="方正书宋简体" w:cs="宋体"/>
      <w:sz w:val="18"/>
      <w:szCs w:val="18"/>
    </w:rPr>
  </w:style>
  <w:style w:type="paragraph" w:customStyle="1" w:styleId="439">
    <w:name w:val="样式 样式 正文 行距: 固定值 25 磅 + 首行缩进:  2 字符"/>
    <w:basedOn w:val="1"/>
    <w:link w:val="440"/>
    <w:qFormat/>
    <w:uiPriority w:val="0"/>
    <w:pPr>
      <w:adjustRightInd w:val="0"/>
      <w:snapToGrid w:val="0"/>
      <w:spacing w:line="500" w:lineRule="exact"/>
      <w:ind w:firstLine="200" w:firstLineChars="200"/>
    </w:pPr>
    <w:rPr>
      <w:rFonts w:ascii="宋体" w:hAnsi="宋体" w:cs="宋体"/>
      <w:sz w:val="24"/>
      <w:szCs w:val="24"/>
    </w:rPr>
  </w:style>
  <w:style w:type="character" w:customStyle="1" w:styleId="440">
    <w:name w:val="样式 样式 正文 行距: 固定值 25 磅 + 首行缩进:  2 字符 Char"/>
    <w:link w:val="439"/>
    <w:qFormat/>
    <w:uiPriority w:val="0"/>
    <w:rPr>
      <w:rFonts w:ascii="宋体" w:hAnsi="宋体" w:cs="宋体"/>
      <w:kern w:val="2"/>
      <w:sz w:val="24"/>
      <w:szCs w:val="24"/>
    </w:rPr>
  </w:style>
  <w:style w:type="character" w:customStyle="1" w:styleId="441">
    <w:name w:val="apple-converted-space"/>
    <w:qFormat/>
    <w:uiPriority w:val="0"/>
  </w:style>
  <w:style w:type="character" w:customStyle="1" w:styleId="442">
    <w:name w:val="批注文字 Char1"/>
    <w:basedOn w:val="66"/>
    <w:qFormat/>
    <w:uiPriority w:val="0"/>
  </w:style>
  <w:style w:type="character" w:customStyle="1" w:styleId="443">
    <w:name w:val="正文首行缩进 2 Char1"/>
    <w:basedOn w:val="97"/>
    <w:semiHidden/>
    <w:qFormat/>
    <w:uiPriority w:val="99"/>
  </w:style>
  <w:style w:type="character" w:customStyle="1" w:styleId="444">
    <w:name w:val="样式1 Char Char"/>
    <w:qFormat/>
    <w:uiPriority w:val="0"/>
    <w:rPr>
      <w:rFonts w:ascii="Arial" w:hAnsi="Arial" w:eastAsia="宋体"/>
      <w:snapToGrid/>
      <w:sz w:val="24"/>
      <w:szCs w:val="24"/>
      <w:lang w:val="en-US" w:eastAsia="zh-CN" w:bidi="ar-SA"/>
    </w:rPr>
  </w:style>
  <w:style w:type="character" w:customStyle="1" w:styleId="445">
    <w:name w:val="正文文本缩进 22"/>
    <w:qFormat/>
    <w:uiPriority w:val="0"/>
    <w:rPr>
      <w:rFonts w:ascii="Arial" w:hAnsi="Arial" w:eastAsia="宋体"/>
      <w:kern w:val="2"/>
      <w:sz w:val="24"/>
      <w:szCs w:val="24"/>
      <w:lang w:val="en-US" w:eastAsia="zh-CN" w:bidi="ar-SA"/>
    </w:rPr>
  </w:style>
  <w:style w:type="character" w:customStyle="1" w:styleId="446">
    <w:name w:val="表格 Char"/>
    <w:qFormat/>
    <w:uiPriority w:val="0"/>
    <w:rPr>
      <w:rFonts w:ascii="Times New Roman" w:hAnsi="Times New Roman" w:eastAsia="宋体" w:cs="Times New Roman"/>
      <w:sz w:val="24"/>
      <w:szCs w:val="20"/>
    </w:rPr>
  </w:style>
  <w:style w:type="character" w:customStyle="1" w:styleId="447">
    <w:name w:val="fix91"/>
    <w:qFormat/>
    <w:uiPriority w:val="0"/>
    <w:rPr>
      <w:rFonts w:hint="default" w:ascii="Arial" w:hAnsi="Arial" w:cs="Arial"/>
      <w:sz w:val="18"/>
      <w:szCs w:val="18"/>
    </w:rPr>
  </w:style>
  <w:style w:type="character" w:customStyle="1" w:styleId="448">
    <w:name w:val="H8 Char Char"/>
    <w:qFormat/>
    <w:uiPriority w:val="0"/>
    <w:rPr>
      <w:rFonts w:ascii="Arial" w:hAnsi="Arial" w:eastAsia="宋体"/>
      <w:sz w:val="24"/>
      <w:lang w:val="en-US" w:eastAsia="zh-CN" w:bidi="ar-SA"/>
    </w:rPr>
  </w:style>
  <w:style w:type="character" w:customStyle="1" w:styleId="449">
    <w:name w:val="标题 2 Char Char"/>
    <w:qFormat/>
    <w:uiPriority w:val="0"/>
    <w:rPr>
      <w:rFonts w:ascii="Arial" w:hAnsi="Arial" w:eastAsia="宋体"/>
      <w:b/>
      <w:bCs/>
      <w:kern w:val="2"/>
      <w:sz w:val="28"/>
      <w:szCs w:val="28"/>
      <w:lang w:val="en-US" w:eastAsia="zh-CN" w:bidi="ar-SA"/>
    </w:rPr>
  </w:style>
  <w:style w:type="character" w:customStyle="1" w:styleId="450">
    <w:name w:val="px141"/>
    <w:qFormat/>
    <w:uiPriority w:val="0"/>
    <w:rPr>
      <w:sz w:val="28"/>
      <w:szCs w:val="28"/>
    </w:rPr>
  </w:style>
  <w:style w:type="character" w:customStyle="1" w:styleId="451">
    <w:name w:val="Char Char7"/>
    <w:qFormat/>
    <w:locked/>
    <w:uiPriority w:val="0"/>
    <w:rPr>
      <w:rFonts w:ascii="宋体" w:hAnsi="宋体" w:eastAsia="宋体"/>
      <w:color w:val="000000"/>
      <w:kern w:val="2"/>
      <w:sz w:val="28"/>
      <w:szCs w:val="28"/>
      <w:lang w:val="en-US" w:eastAsia="zh-CN" w:bidi="ar-SA"/>
    </w:rPr>
  </w:style>
  <w:style w:type="character" w:customStyle="1" w:styleId="452">
    <w:name w:val="HBZW"/>
    <w:qFormat/>
    <w:uiPriority w:val="0"/>
    <w:rPr>
      <w:rFonts w:ascii="宋体" w:hAnsi="宋体" w:eastAsia="宋体"/>
      <w:kern w:val="0"/>
      <w:sz w:val="24"/>
      <w:lang w:val="en-US" w:eastAsia="zh-CN" w:bidi="ar-SA"/>
    </w:rPr>
  </w:style>
  <w:style w:type="character" w:customStyle="1" w:styleId="453">
    <w:name w:val="页脚１ Char Char"/>
    <w:qFormat/>
    <w:uiPriority w:val="0"/>
    <w:rPr>
      <w:rFonts w:eastAsia="宋体"/>
      <w:kern w:val="2"/>
      <w:sz w:val="18"/>
      <w:szCs w:val="18"/>
      <w:lang w:val="en-US" w:eastAsia="zh-CN" w:bidi="ar-SA"/>
    </w:rPr>
  </w:style>
  <w:style w:type="character" w:customStyle="1" w:styleId="454">
    <w:name w:val="Char Char16"/>
    <w:qFormat/>
    <w:uiPriority w:val="0"/>
    <w:rPr>
      <w:rFonts w:ascii="黑体" w:hAnsi="Arial" w:eastAsia="黑体"/>
      <w:b/>
      <w:bCs/>
      <w:kern w:val="2"/>
      <w:sz w:val="30"/>
      <w:szCs w:val="32"/>
      <w:lang w:val="en-US" w:eastAsia="zh-CN" w:bidi="ar-SA"/>
    </w:rPr>
  </w:style>
  <w:style w:type="character" w:customStyle="1" w:styleId="455">
    <w:name w:val="style21"/>
    <w:basedOn w:val="66"/>
    <w:qFormat/>
    <w:uiPriority w:val="0"/>
  </w:style>
  <w:style w:type="character" w:customStyle="1" w:styleId="456">
    <w:name w:val="正文文本 3 Char1"/>
    <w:qFormat/>
    <w:uiPriority w:val="0"/>
    <w:rPr>
      <w:kern w:val="2"/>
      <w:sz w:val="16"/>
      <w:szCs w:val="16"/>
    </w:rPr>
  </w:style>
  <w:style w:type="character" w:customStyle="1" w:styleId="457">
    <w:name w:val="Footer1 Char1"/>
    <w:qFormat/>
    <w:uiPriority w:val="0"/>
    <w:rPr>
      <w:rFonts w:eastAsia="宋体"/>
      <w:b/>
      <w:kern w:val="2"/>
      <w:sz w:val="18"/>
      <w:szCs w:val="18"/>
      <w:lang w:val="en-US" w:eastAsia="zh-CN" w:bidi="ar-SA"/>
    </w:rPr>
  </w:style>
  <w:style w:type="character" w:customStyle="1" w:styleId="458">
    <w:name w:val="Char Char2"/>
    <w:qFormat/>
    <w:locked/>
    <w:uiPriority w:val="0"/>
    <w:rPr>
      <w:sz w:val="21"/>
      <w:lang w:bidi="ar-SA"/>
    </w:rPr>
  </w:style>
  <w:style w:type="character" w:customStyle="1" w:styleId="459">
    <w:name w:val="t_blue_01"/>
    <w:basedOn w:val="66"/>
    <w:qFormat/>
    <w:uiPriority w:val="0"/>
  </w:style>
  <w:style w:type="character" w:customStyle="1" w:styleId="460">
    <w:name w:val="fontb5"/>
    <w:basedOn w:val="66"/>
    <w:qFormat/>
    <w:uiPriority w:val="0"/>
  </w:style>
  <w:style w:type="character" w:customStyle="1" w:styleId="461">
    <w:name w:val="H4 Char"/>
    <w:qFormat/>
    <w:uiPriority w:val="0"/>
    <w:rPr>
      <w:rFonts w:ascii="Arial" w:hAnsi="Arial" w:eastAsia="黑体"/>
      <w:b/>
      <w:bCs/>
      <w:kern w:val="2"/>
      <w:sz w:val="28"/>
      <w:szCs w:val="28"/>
      <w:lang w:val="en-US" w:eastAsia="zh-CN" w:bidi="ar-SA"/>
    </w:rPr>
  </w:style>
  <w:style w:type="character" w:customStyle="1" w:styleId="462">
    <w:name w:val="cont2"/>
    <w:basedOn w:val="66"/>
    <w:qFormat/>
    <w:uiPriority w:val="0"/>
  </w:style>
  <w:style w:type="character" w:customStyle="1" w:styleId="463">
    <w:name w:val="Char Char8"/>
    <w:qFormat/>
    <w:locked/>
    <w:uiPriority w:val="0"/>
    <w:rPr>
      <w:rFonts w:ascii="宋体" w:hAnsi="宋体" w:eastAsia="宋体"/>
      <w:color w:val="000000"/>
      <w:kern w:val="2"/>
      <w:sz w:val="28"/>
      <w:szCs w:val="28"/>
      <w:lang w:val="en-US" w:eastAsia="zh-CN" w:bidi="ar-SA"/>
    </w:rPr>
  </w:style>
  <w:style w:type="character" w:customStyle="1" w:styleId="464">
    <w:name w:val="articlebody3"/>
    <w:qFormat/>
    <w:uiPriority w:val="0"/>
    <w:rPr>
      <w:sz w:val="21"/>
      <w:szCs w:val="21"/>
    </w:rPr>
  </w:style>
  <w:style w:type="character" w:customStyle="1" w:styleId="465">
    <w:name w:val="mxHeading5 Char"/>
    <w:qFormat/>
    <w:uiPriority w:val="0"/>
    <w:rPr>
      <w:rFonts w:eastAsia="宋体"/>
      <w:b/>
      <w:kern w:val="2"/>
      <w:sz w:val="28"/>
      <w:lang w:val="en-US" w:eastAsia="zh-CN" w:bidi="ar-SA"/>
    </w:rPr>
  </w:style>
  <w:style w:type="character" w:customStyle="1" w:styleId="466">
    <w:name w:val="正文文本缩进 2 Char1"/>
    <w:qFormat/>
    <w:uiPriority w:val="0"/>
    <w:rPr>
      <w:kern w:val="2"/>
      <w:sz w:val="28"/>
      <w:szCs w:val="24"/>
    </w:rPr>
  </w:style>
  <w:style w:type="character" w:customStyle="1" w:styleId="467">
    <w:name w:val="font141"/>
    <w:qFormat/>
    <w:uiPriority w:val="0"/>
    <w:rPr>
      <w:sz w:val="21"/>
      <w:szCs w:val="21"/>
    </w:rPr>
  </w:style>
  <w:style w:type="character" w:customStyle="1" w:styleId="468">
    <w:name w:val="Char Char3"/>
    <w:qFormat/>
    <w:locked/>
    <w:uiPriority w:val="0"/>
    <w:rPr>
      <w:rFonts w:ascii="宋体" w:hAnsi="宋体" w:eastAsia="宋体"/>
      <w:snapToGrid/>
      <w:sz w:val="28"/>
      <w:szCs w:val="28"/>
      <w:lang w:val="en-US" w:eastAsia="zh-CN" w:bidi="ar-SA"/>
    </w:rPr>
  </w:style>
  <w:style w:type="character" w:customStyle="1" w:styleId="469">
    <w:name w:val="link14pp1"/>
    <w:qFormat/>
    <w:uiPriority w:val="0"/>
    <w:rPr>
      <w:color w:val="000000"/>
      <w:sz w:val="28"/>
      <w:szCs w:val="28"/>
    </w:rPr>
  </w:style>
  <w:style w:type="character" w:customStyle="1" w:styleId="470">
    <w:name w:val="Char Char6"/>
    <w:qFormat/>
    <w:locked/>
    <w:uiPriority w:val="0"/>
    <w:rPr>
      <w:rFonts w:ascii="宋体" w:hAnsi="宋体" w:eastAsia="宋体"/>
      <w:kern w:val="2"/>
      <w:sz w:val="28"/>
      <w:lang w:val="en-US" w:eastAsia="zh-CN" w:bidi="ar-SA"/>
    </w:rPr>
  </w:style>
  <w:style w:type="character" w:customStyle="1" w:styleId="471">
    <w:name w:val="H9 Char Char"/>
    <w:qFormat/>
    <w:uiPriority w:val="0"/>
    <w:rPr>
      <w:rFonts w:ascii="Arial" w:hAnsi="Arial" w:eastAsia="宋体"/>
      <w:sz w:val="24"/>
      <w:lang w:val="en-US" w:eastAsia="zh-CN" w:bidi="ar-SA"/>
    </w:rPr>
  </w:style>
  <w:style w:type="character" w:customStyle="1" w:styleId="472">
    <w:name w:val="style11"/>
    <w:qFormat/>
    <w:uiPriority w:val="0"/>
    <w:rPr>
      <w:rFonts w:hint="default" w:ascii="Verdana" w:hAnsi="Verdana"/>
    </w:rPr>
  </w:style>
  <w:style w:type="character" w:customStyle="1" w:styleId="473">
    <w:name w:val="正文文字首行缩进 Char Char"/>
    <w:qFormat/>
    <w:uiPriority w:val="0"/>
    <w:rPr>
      <w:rFonts w:eastAsia="宋体"/>
      <w:color w:val="000000"/>
      <w:kern w:val="2"/>
      <w:sz w:val="28"/>
      <w:szCs w:val="24"/>
      <w:lang w:val="en-US" w:eastAsia="zh-CN" w:bidi="ar-SA"/>
    </w:rPr>
  </w:style>
  <w:style w:type="character" w:customStyle="1" w:styleId="474">
    <w:name w:val="Char Char9"/>
    <w:qFormat/>
    <w:locked/>
    <w:uiPriority w:val="0"/>
    <w:rPr>
      <w:rFonts w:ascii="宋体" w:hAnsi="宋体" w:eastAsia="宋体"/>
      <w:color w:val="000000"/>
      <w:kern w:val="2"/>
      <w:sz w:val="16"/>
      <w:szCs w:val="16"/>
      <w:lang w:val="en-US" w:eastAsia="zh-CN" w:bidi="ar-SA"/>
    </w:rPr>
  </w:style>
  <w:style w:type="character" w:customStyle="1" w:styleId="475">
    <w:name w:val="word_break3"/>
    <w:basedOn w:val="66"/>
    <w:qFormat/>
    <w:uiPriority w:val="0"/>
  </w:style>
  <w:style w:type="character" w:customStyle="1" w:styleId="476">
    <w:name w:val="yqlink"/>
    <w:basedOn w:val="66"/>
    <w:qFormat/>
    <w:uiPriority w:val="0"/>
  </w:style>
  <w:style w:type="character" w:customStyle="1" w:styleId="477">
    <w:name w:val="Char Char4"/>
    <w:qFormat/>
    <w:locked/>
    <w:uiPriority w:val="0"/>
    <w:rPr>
      <w:rFonts w:ascii="宋体" w:hAnsi="宋体" w:eastAsia="宋体"/>
      <w:b/>
      <w:bCs/>
      <w:snapToGrid/>
      <w:kern w:val="2"/>
      <w:sz w:val="28"/>
      <w:szCs w:val="44"/>
      <w:lang w:val="en-US" w:eastAsia="zh-CN" w:bidi="ar-SA"/>
    </w:rPr>
  </w:style>
  <w:style w:type="character" w:customStyle="1" w:styleId="478">
    <w:name w:val="bt1"/>
    <w:qFormat/>
    <w:uiPriority w:val="0"/>
    <w:rPr>
      <w:b/>
      <w:bCs/>
      <w:color w:val="0000FF"/>
      <w:sz w:val="21"/>
      <w:szCs w:val="21"/>
    </w:rPr>
  </w:style>
  <w:style w:type="character" w:customStyle="1" w:styleId="479">
    <w:name w:val="H2 Char"/>
    <w:qFormat/>
    <w:uiPriority w:val="0"/>
    <w:rPr>
      <w:rFonts w:ascii="Arial" w:hAnsi="Arial" w:eastAsia="黑体"/>
      <w:b/>
      <w:bCs/>
      <w:kern w:val="2"/>
      <w:sz w:val="32"/>
      <w:szCs w:val="32"/>
      <w:lang w:val="en-US" w:eastAsia="zh-CN" w:bidi="ar-SA"/>
    </w:rPr>
  </w:style>
  <w:style w:type="character" w:customStyle="1" w:styleId="480">
    <w:name w:val="H7 Char"/>
    <w:qFormat/>
    <w:uiPriority w:val="0"/>
    <w:rPr>
      <w:rFonts w:eastAsia="宋体"/>
      <w:sz w:val="24"/>
      <w:lang w:val="en-US" w:eastAsia="zh-CN" w:bidi="ar-SA"/>
    </w:rPr>
  </w:style>
  <w:style w:type="character" w:customStyle="1" w:styleId="481">
    <w:name w:val="px14"/>
    <w:basedOn w:val="66"/>
    <w:qFormat/>
    <w:uiPriority w:val="0"/>
  </w:style>
  <w:style w:type="character" w:customStyle="1" w:styleId="482">
    <w:name w:val="wz style2"/>
    <w:basedOn w:val="66"/>
    <w:qFormat/>
    <w:uiPriority w:val="0"/>
  </w:style>
  <w:style w:type="character" w:customStyle="1" w:styleId="483">
    <w:name w:val="Char Char71"/>
    <w:qFormat/>
    <w:uiPriority w:val="0"/>
    <w:rPr>
      <w:kern w:val="2"/>
      <w:sz w:val="21"/>
      <w:szCs w:val="24"/>
    </w:rPr>
  </w:style>
  <w:style w:type="character" w:customStyle="1" w:styleId="484">
    <w:name w:val="font2"/>
    <w:qFormat/>
    <w:uiPriority w:val="0"/>
    <w:rPr>
      <w:rFonts w:hint="eastAsia" w:ascii="宋体" w:hAnsi="宋体" w:eastAsia="宋体"/>
      <w:color w:val="000000"/>
      <w:sz w:val="24"/>
    </w:rPr>
  </w:style>
  <w:style w:type="character" w:customStyle="1" w:styleId="485">
    <w:name w:val="nfont14black"/>
    <w:basedOn w:val="66"/>
    <w:qFormat/>
    <w:uiPriority w:val="0"/>
  </w:style>
  <w:style w:type="character" w:customStyle="1" w:styleId="486">
    <w:name w:val="cont21"/>
    <w:qFormat/>
    <w:uiPriority w:val="0"/>
    <w:rPr>
      <w:sz w:val="21"/>
      <w:szCs w:val="21"/>
    </w:rPr>
  </w:style>
  <w:style w:type="character" w:customStyle="1" w:styleId="487">
    <w:name w:val="Char Char5"/>
    <w:qFormat/>
    <w:locked/>
    <w:uiPriority w:val="0"/>
    <w:rPr>
      <w:rFonts w:ascii="Cambria" w:hAnsi="Cambria" w:eastAsia="宋体"/>
      <w:b/>
      <w:bCs/>
      <w:kern w:val="28"/>
      <w:sz w:val="32"/>
      <w:szCs w:val="32"/>
      <w:lang w:val="en-US" w:eastAsia="zh-CN" w:bidi="ar-SA"/>
    </w:rPr>
  </w:style>
  <w:style w:type="character" w:customStyle="1" w:styleId="488">
    <w:name w:val="cucd-0 Char1"/>
    <w:qFormat/>
    <w:uiPriority w:val="0"/>
    <w:rPr>
      <w:kern w:val="2"/>
      <w:sz w:val="24"/>
      <w:szCs w:val="24"/>
      <w:lang w:bidi="ar-SA"/>
    </w:rPr>
  </w:style>
  <w:style w:type="character" w:customStyle="1" w:styleId="489">
    <w:name w:val="Char Char10"/>
    <w:qFormat/>
    <w:locked/>
    <w:uiPriority w:val="0"/>
    <w:rPr>
      <w:rFonts w:ascii="宋体" w:hAnsi="宋体" w:eastAsia="宋体"/>
      <w:kern w:val="2"/>
      <w:sz w:val="18"/>
      <w:szCs w:val="18"/>
      <w:lang w:val="en-US" w:eastAsia="zh-CN" w:bidi="ar-SA"/>
    </w:rPr>
  </w:style>
  <w:style w:type="character" w:customStyle="1" w:styleId="490">
    <w:name w:val="zt1"/>
    <w:qFormat/>
    <w:uiPriority w:val="0"/>
    <w:rPr>
      <w:rFonts w:hint="default" w:ascii="Arial" w:hAnsi="Arial" w:cs="Arial"/>
      <w:color w:val="333333"/>
      <w:sz w:val="18"/>
      <w:szCs w:val="18"/>
      <w:u w:val="none"/>
    </w:rPr>
  </w:style>
  <w:style w:type="character" w:customStyle="1" w:styleId="491">
    <w:name w:val="页脚１ Char Char1"/>
    <w:semiHidden/>
    <w:qFormat/>
    <w:uiPriority w:val="0"/>
    <w:rPr>
      <w:b/>
      <w:i/>
      <w:kern w:val="2"/>
      <w:sz w:val="18"/>
      <w:szCs w:val="18"/>
      <w:lang w:bidi="ar-SA"/>
    </w:rPr>
  </w:style>
  <w:style w:type="character" w:customStyle="1" w:styleId="492">
    <w:name w:val="正文文本 Char1"/>
    <w:qFormat/>
    <w:uiPriority w:val="0"/>
    <w:rPr>
      <w:rFonts w:eastAsia="宋体"/>
      <w:kern w:val="2"/>
      <w:sz w:val="21"/>
      <w:szCs w:val="24"/>
      <w:lang w:val="en-US" w:eastAsia="zh-CN" w:bidi="ar-SA"/>
    </w:rPr>
  </w:style>
  <w:style w:type="character" w:customStyle="1" w:styleId="493">
    <w:name w:val="contus-xin1"/>
    <w:qFormat/>
    <w:uiPriority w:val="0"/>
    <w:rPr>
      <w:rFonts w:hint="default" w:ascii="??" w:hAnsi="??"/>
      <w:color w:val="666666"/>
      <w:sz w:val="32"/>
      <w:szCs w:val="32"/>
      <w:u w:val="none"/>
    </w:rPr>
  </w:style>
  <w:style w:type="character" w:customStyle="1" w:styleId="494">
    <w:name w:val="Char Char17"/>
    <w:qFormat/>
    <w:uiPriority w:val="0"/>
    <w:rPr>
      <w:rFonts w:ascii="黑体" w:eastAsia="黑体"/>
      <w:b/>
      <w:bCs/>
      <w:kern w:val="2"/>
      <w:sz w:val="32"/>
      <w:szCs w:val="32"/>
      <w:lang w:val="en-US" w:eastAsia="zh-CN" w:bidi="ar-SA"/>
    </w:rPr>
  </w:style>
  <w:style w:type="character" w:customStyle="1" w:styleId="495">
    <w:name w:val="页眉3 Char"/>
    <w:qFormat/>
    <w:uiPriority w:val="0"/>
    <w:rPr>
      <w:rFonts w:eastAsia="宋体"/>
      <w:kern w:val="2"/>
      <w:sz w:val="18"/>
      <w:szCs w:val="18"/>
      <w:lang w:val="en-US" w:eastAsia="zh-CN" w:bidi="ar-SA"/>
    </w:rPr>
  </w:style>
  <w:style w:type="character" w:customStyle="1" w:styleId="496">
    <w:name w:val="正文文本 2 Char1"/>
    <w:qFormat/>
    <w:uiPriority w:val="0"/>
    <w:rPr>
      <w:kern w:val="2"/>
      <w:sz w:val="28"/>
      <w:szCs w:val="24"/>
    </w:rPr>
  </w:style>
  <w:style w:type="character" w:customStyle="1" w:styleId="497">
    <w:name w:val="main1"/>
    <w:qFormat/>
    <w:uiPriority w:val="0"/>
    <w:rPr>
      <w:color w:val="333333"/>
      <w:sz w:val="24"/>
      <w:szCs w:val="24"/>
    </w:rPr>
  </w:style>
  <w:style w:type="character" w:customStyle="1" w:styleId="498">
    <w:name w:val="hangju"/>
    <w:basedOn w:val="66"/>
    <w:qFormat/>
    <w:uiPriority w:val="0"/>
  </w:style>
  <w:style w:type="character" w:customStyle="1" w:styleId="499">
    <w:name w:val="H6 Char"/>
    <w:qFormat/>
    <w:uiPriority w:val="0"/>
    <w:rPr>
      <w:rFonts w:ascii="Arial" w:hAnsi="Arial" w:eastAsia="宋体"/>
      <w:sz w:val="24"/>
      <w:lang w:val="en-US" w:eastAsia="zh-CN" w:bidi="ar-SA"/>
    </w:rPr>
  </w:style>
  <w:style w:type="character" w:customStyle="1" w:styleId="500">
    <w:name w:val="style31"/>
    <w:qFormat/>
    <w:uiPriority w:val="0"/>
    <w:rPr>
      <w:sz w:val="32"/>
      <w:szCs w:val="32"/>
    </w:rPr>
  </w:style>
  <w:style w:type="character" w:customStyle="1" w:styleId="501">
    <w:name w:val="hz"/>
    <w:basedOn w:val="66"/>
    <w:qFormat/>
    <w:uiPriority w:val="0"/>
  </w:style>
  <w:style w:type="character" w:customStyle="1" w:styleId="502">
    <w:name w:val="表号题注 Char"/>
    <w:qFormat/>
    <w:uiPriority w:val="0"/>
    <w:rPr>
      <w:rFonts w:ascii="宋体" w:hAnsi="仿宋_GB2312" w:eastAsia="宋体" w:cs="Arial"/>
      <w:kern w:val="2"/>
      <w:sz w:val="21"/>
      <w:szCs w:val="21"/>
      <w:lang w:val="en-US" w:eastAsia="zh-CN" w:bidi="ar-SA"/>
    </w:rPr>
  </w:style>
  <w:style w:type="character" w:customStyle="1" w:styleId="503">
    <w:name w:val="Ch Char"/>
    <w:qFormat/>
    <w:uiPriority w:val="0"/>
    <w:rPr>
      <w:rFonts w:eastAsia="宋体"/>
      <w:b/>
      <w:bCs/>
      <w:kern w:val="44"/>
      <w:sz w:val="44"/>
      <w:szCs w:val="44"/>
      <w:lang w:val="en-US" w:eastAsia="zh-CN" w:bidi="ar-SA"/>
    </w:rPr>
  </w:style>
  <w:style w:type="character" w:customStyle="1" w:styleId="504">
    <w:name w:val="尾注文本 Char1"/>
    <w:semiHidden/>
    <w:qFormat/>
    <w:uiPriority w:val="99"/>
    <w:rPr>
      <w:kern w:val="2"/>
      <w:sz w:val="21"/>
      <w:szCs w:val="22"/>
    </w:rPr>
  </w:style>
  <w:style w:type="character" w:customStyle="1" w:styleId="505">
    <w:name w:val="Body text + Franklin Gothic Heavy"/>
    <w:qFormat/>
    <w:uiPriority w:val="0"/>
    <w:rPr>
      <w:rFonts w:ascii="Franklin Gothic Heavy" w:hAnsi="Franklin Gothic Heavy" w:eastAsia="Franklin Gothic Heavy" w:cs="Franklin Gothic Heavy"/>
      <w:color w:val="000000"/>
      <w:spacing w:val="0"/>
      <w:w w:val="100"/>
      <w:kern w:val="2"/>
      <w:position w:val="0"/>
      <w:sz w:val="51"/>
      <w:szCs w:val="51"/>
      <w:shd w:val="clear" w:color="auto" w:fill="FFFFFF"/>
      <w:lang w:val="en-US" w:eastAsia="zh-CN" w:bidi="ar-SA"/>
    </w:rPr>
  </w:style>
  <w:style w:type="table" w:customStyle="1" w:styleId="506">
    <w:name w:val="网格型2"/>
    <w:basedOn w:val="74"/>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07">
    <w:name w:val="网格型1"/>
    <w:basedOn w:val="74"/>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08">
    <w:name w:val="网格型3"/>
    <w:basedOn w:val="74"/>
    <w:qFormat/>
    <w:uiPriority w:val="0"/>
    <w:pPr>
      <w:widowControl w:val="0"/>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509">
    <w:name w:val="TableGrid"/>
    <w:qFormat/>
    <w:uiPriority w:val="0"/>
    <w:rPr>
      <w:rFonts w:ascii="Calibri" w:hAnsi="Calibri"/>
      <w:kern w:val="2"/>
      <w:sz w:val="21"/>
      <w:szCs w:val="22"/>
    </w:rPr>
    <w:tblPr>
      <w:tblLayout w:type="fixed"/>
      <w:tblCellMar>
        <w:top w:w="0" w:type="dxa"/>
        <w:left w:w="0" w:type="dxa"/>
        <w:bottom w:w="0" w:type="dxa"/>
        <w:right w:w="0" w:type="dxa"/>
      </w:tblCellMar>
    </w:tblPr>
  </w:style>
  <w:style w:type="table" w:customStyle="1" w:styleId="510">
    <w:name w:val="表格样式1"/>
    <w:basedOn w:val="75"/>
    <w:qFormat/>
    <w:uiPriority w:val="0"/>
    <w:pPr>
      <w:widowControl w:val="0"/>
      <w:spacing w:line="360" w:lineRule="exact"/>
      <w:jc w:val="center"/>
    </w:pPr>
    <w:rPr>
      <w:sz w:val="21"/>
    </w:rPr>
    <w:tblPr>
      <w:jc w:val="center"/>
      <w:tblBorders>
        <w:top w:val="single" w:color="auto" w:sz="12" w:space="0"/>
        <w:bottom w:val="single" w:color="auto" w:sz="12" w:space="0"/>
        <w:insideH w:val="single" w:color="auto" w:sz="8" w:space="0"/>
        <w:insideV w:val="single" w:color="auto" w:sz="8" w:space="0"/>
      </w:tblBorders>
      <w:tblLayout w:type="fixed"/>
    </w:tblPr>
    <w:trPr>
      <w:jc w:val="center"/>
    </w:trPr>
    <w:tcPr>
      <w:vAlign w:val="center"/>
    </w:tcPr>
  </w:style>
  <w:style w:type="table" w:customStyle="1" w:styleId="511">
    <w:name w:val="表格样式100"/>
    <w:basedOn w:val="75"/>
    <w:qFormat/>
    <w:uiPriority w:val="0"/>
    <w:pPr>
      <w:widowControl w:val="0"/>
      <w:overflowPunct w:val="0"/>
      <w:topLinePunct/>
      <w:autoSpaceDE w:val="0"/>
      <w:autoSpaceDN w:val="0"/>
      <w:adjustRightInd w:val="0"/>
      <w:snapToGrid w:val="0"/>
      <w:spacing w:line="400" w:lineRule="exact"/>
      <w:jc w:val="center"/>
    </w:pPr>
    <w:rPr>
      <w:sz w:val="21"/>
    </w:rPr>
    <w:tcPr>
      <w:vAlign w:val="center"/>
    </w:tcPr>
  </w:style>
  <w:style w:type="table" w:customStyle="1" w:styleId="512">
    <w:name w:val="网格型4"/>
    <w:basedOn w:val="74"/>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513">
    <w:name w:val="Table Normal"/>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14">
    <w:name w:val="网格型（pxg）1"/>
    <w:basedOn w:val="74"/>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15">
    <w:name w:val="网格型（pxg）2"/>
    <w:basedOn w:val="74"/>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16">
    <w:name w:val="网格型（pxg）3"/>
    <w:basedOn w:val="74"/>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17">
    <w:name w:val="Table Normal1"/>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18">
    <w:name w:val="Table Normal2"/>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19">
    <w:name w:val="lily 表格1"/>
    <w:basedOn w:val="74"/>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520">
    <w:name w:val="网格型（pxg）4"/>
    <w:basedOn w:val="74"/>
    <w:qFormat/>
    <w:uiPriority w:val="0"/>
    <w:rPr>
      <w:rFonts w:ascii="Calibri" w:hAnsi="Calibri"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21">
    <w:name w:val="网格型（pxg）5"/>
    <w:basedOn w:val="74"/>
    <w:qFormat/>
    <w:uiPriority w:val="0"/>
    <w:rPr>
      <w:rFonts w:ascii="Calibri" w:hAnsi="Calibri"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22">
    <w:name w:val="网格型（pxg）6"/>
    <w:basedOn w:val="74"/>
    <w:qFormat/>
    <w:uiPriority w:val="0"/>
    <w:rPr>
      <w:rFonts w:ascii="Calibri" w:hAnsi="Calibri"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23">
    <w:name w:val="Table Normal3"/>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24">
    <w:name w:val="网格型（pxg）7"/>
    <w:basedOn w:val="74"/>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table" w:customStyle="1" w:styleId="525">
    <w:name w:val="网格型（pxg）8"/>
    <w:basedOn w:val="74"/>
    <w:qFormat/>
    <w:uiPriority w:val="59"/>
    <w:rPr>
      <w:rFonts w:ascii="Calibri" w:hAnsi="Calibri"/>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paragraph" w:customStyle="1" w:styleId="526">
    <w:name w:val="修订4"/>
    <w:hidden/>
    <w:semiHidden/>
    <w:qFormat/>
    <w:uiPriority w:val="99"/>
    <w:rPr>
      <w:rFonts w:ascii="Times New Roman" w:hAnsi="Times New Roman" w:eastAsia="宋体" w:cs="Times New Roman"/>
      <w:kern w:val="2"/>
      <w:sz w:val="21"/>
      <w:szCs w:val="22"/>
      <w:lang w:val="en-US" w:eastAsia="zh-CN" w:bidi="ar-SA"/>
    </w:rPr>
  </w:style>
  <w:style w:type="paragraph" w:customStyle="1" w:styleId="527">
    <w:name w:val="样式 俺的正文 + 首行缩进:  2 字符"/>
    <w:basedOn w:val="1"/>
    <w:qFormat/>
    <w:uiPriority w:val="0"/>
    <w:pPr>
      <w:numPr>
        <w:ilvl w:val="0"/>
        <w:numId w:val="10"/>
      </w:numPr>
      <w:pBdr>
        <w:top w:val="single" w:color="auto" w:sz="4" w:space="1"/>
      </w:pBdr>
      <w:spacing w:line="360" w:lineRule="auto"/>
    </w:pPr>
    <w:rPr>
      <w:sz w:val="24"/>
      <w:szCs w:val="24"/>
    </w:rPr>
  </w:style>
  <w:style w:type="paragraph" w:customStyle="1" w:styleId="528">
    <w:name w:val="Char Char Char Char Char Char"/>
    <w:basedOn w:val="1"/>
    <w:qFormat/>
    <w:uiPriority w:val="0"/>
    <w:rPr>
      <w:szCs w:val="20"/>
    </w:rPr>
  </w:style>
  <w:style w:type="character" w:customStyle="1" w:styleId="529">
    <w:name w:val="环评正文 Char Char"/>
    <w:qFormat/>
    <w:uiPriority w:val="0"/>
    <w:rPr>
      <w:rFonts w:ascii="仿宋_GB2312" w:eastAsia="仿宋_GB2312"/>
      <w:sz w:val="28"/>
    </w:rPr>
  </w:style>
  <w:style w:type="paragraph" w:customStyle="1" w:styleId="530">
    <w:name w:val="CM11"/>
    <w:basedOn w:val="139"/>
    <w:next w:val="139"/>
    <w:qFormat/>
    <w:uiPriority w:val="0"/>
    <w:pPr>
      <w:spacing w:line="456" w:lineRule="atLeast"/>
    </w:pPr>
    <w:rPr>
      <w:rFonts w:ascii="宋体" w:hAnsi="Times New Roman" w:cs="宋体"/>
      <w:color w:val="auto"/>
    </w:rPr>
  </w:style>
  <w:style w:type="paragraph" w:customStyle="1" w:styleId="531">
    <w:name w:val="标题2.5"/>
    <w:basedOn w:val="4"/>
    <w:next w:val="1"/>
    <w:qFormat/>
    <w:uiPriority w:val="0"/>
    <w:pPr>
      <w:keepNext w:val="0"/>
      <w:keepLines w:val="0"/>
      <w:numPr>
        <w:ilvl w:val="0"/>
        <w:numId w:val="0"/>
      </w:numPr>
      <w:topLinePunct/>
      <w:spacing w:beforeLines="100" w:afterLines="100"/>
      <w:jc w:val="left"/>
    </w:pPr>
    <w:rPr>
      <w:rFonts w:ascii="仿宋_GB2312" w:eastAsia="黑体"/>
      <w:b w:val="0"/>
      <w:bCs w:val="0"/>
      <w:color w:val="000000"/>
      <w:kern w:val="2"/>
      <w:sz w:val="28"/>
      <w:szCs w:val="28"/>
    </w:rPr>
  </w:style>
  <w:style w:type="character" w:customStyle="1" w:styleId="532">
    <w:name w:val="样式 小四 Char Char"/>
    <w:link w:val="533"/>
    <w:qFormat/>
    <w:locked/>
    <w:uiPriority w:val="0"/>
    <w:rPr>
      <w:kern w:val="2"/>
      <w:sz w:val="24"/>
      <w:szCs w:val="24"/>
    </w:rPr>
  </w:style>
  <w:style w:type="paragraph" w:customStyle="1" w:styleId="533">
    <w:name w:val="样式 小四 Char"/>
    <w:basedOn w:val="1"/>
    <w:link w:val="532"/>
    <w:qFormat/>
    <w:uiPriority w:val="0"/>
    <w:pPr>
      <w:spacing w:line="360" w:lineRule="auto"/>
      <w:ind w:firstLine="480" w:firstLineChars="200"/>
    </w:pPr>
    <w:rPr>
      <w:sz w:val="24"/>
      <w:szCs w:val="24"/>
    </w:rPr>
  </w:style>
  <w:style w:type="paragraph" w:customStyle="1" w:styleId="534">
    <w:name w:val="修订5"/>
    <w:hidden/>
    <w:semiHidden/>
    <w:qFormat/>
    <w:uiPriority w:val="99"/>
    <w:rPr>
      <w:rFonts w:ascii="Times New Roman" w:hAnsi="Times New Roman" w:eastAsia="宋体" w:cs="Times New Roman"/>
      <w:kern w:val="2"/>
      <w:sz w:val="21"/>
      <w:szCs w:val="22"/>
      <w:lang w:val="en-US" w:eastAsia="zh-CN" w:bidi="ar-SA"/>
    </w:rPr>
  </w:style>
  <w:style w:type="table" w:customStyle="1" w:styleId="535">
    <w:name w:val="网格型5"/>
    <w:basedOn w:val="7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536">
    <w:name w:val="标题3 Char Char Char Char"/>
    <w:basedOn w:val="1"/>
    <w:qFormat/>
    <w:uiPriority w:val="0"/>
    <w:pPr>
      <w:spacing w:after="156" w:afterLines="50" w:line="560" w:lineRule="exact"/>
    </w:pPr>
    <w:rPr>
      <w:rFonts w:eastAsia="黑体"/>
      <w:sz w:val="30"/>
      <w:szCs w:val="30"/>
    </w:rPr>
  </w:style>
  <w:style w:type="character" w:customStyle="1" w:styleId="537">
    <w:name w:val="HTML 地址 字符"/>
    <w:basedOn w:val="66"/>
    <w:link w:val="34"/>
    <w:semiHidden/>
    <w:qFormat/>
    <w:uiPriority w:val="0"/>
    <w:rPr>
      <w:rFonts w:cs="Arial"/>
      <w:i/>
      <w:iCs/>
      <w:kern w:val="2"/>
      <w:sz w:val="21"/>
      <w:szCs w:val="24"/>
    </w:rPr>
  </w:style>
  <w:style w:type="character" w:customStyle="1" w:styleId="538">
    <w:name w:val="脚注文本 字符"/>
    <w:basedOn w:val="66"/>
    <w:link w:val="53"/>
    <w:semiHidden/>
    <w:qFormat/>
    <w:uiPriority w:val="0"/>
    <w:rPr>
      <w:rFonts w:cs="Arial"/>
      <w:kern w:val="2"/>
      <w:sz w:val="18"/>
      <w:szCs w:val="18"/>
    </w:rPr>
  </w:style>
  <w:style w:type="character" w:customStyle="1" w:styleId="539">
    <w:name w:val="标题 字符"/>
    <w:basedOn w:val="66"/>
    <w:link w:val="65"/>
    <w:qFormat/>
    <w:uiPriority w:val="0"/>
    <w:rPr>
      <w:rFonts w:ascii="Cambria" w:hAnsi="Cambria"/>
      <w:b/>
      <w:bCs/>
      <w:kern w:val="2"/>
      <w:sz w:val="32"/>
      <w:szCs w:val="32"/>
    </w:rPr>
  </w:style>
  <w:style w:type="character" w:customStyle="1" w:styleId="540">
    <w:name w:val="签名 字符"/>
    <w:basedOn w:val="66"/>
    <w:link w:val="47"/>
    <w:semiHidden/>
    <w:qFormat/>
    <w:uiPriority w:val="0"/>
    <w:rPr>
      <w:rFonts w:ascii="宋体" w:hAnsi="Calibri"/>
      <w:sz w:val="24"/>
    </w:rPr>
  </w:style>
  <w:style w:type="character" w:customStyle="1" w:styleId="541">
    <w:name w:val="信息标题 字符"/>
    <w:basedOn w:val="66"/>
    <w:link w:val="61"/>
    <w:semiHidden/>
    <w:qFormat/>
    <w:uiPriority w:val="0"/>
    <w:rPr>
      <w:rFonts w:ascii="Arial" w:hAnsi="Arial" w:cs="Arial"/>
      <w:sz w:val="24"/>
      <w:shd w:val="pct20" w:color="auto" w:fill="auto"/>
    </w:rPr>
  </w:style>
  <w:style w:type="character" w:customStyle="1" w:styleId="542">
    <w:name w:val="称呼 字符"/>
    <w:basedOn w:val="66"/>
    <w:link w:val="29"/>
    <w:semiHidden/>
    <w:qFormat/>
    <w:uiPriority w:val="0"/>
    <w:rPr>
      <w:rFonts w:cs="Arial"/>
      <w:kern w:val="2"/>
      <w:sz w:val="24"/>
      <w:szCs w:val="22"/>
    </w:rPr>
  </w:style>
  <w:style w:type="character" w:customStyle="1" w:styleId="543">
    <w:name w:val="电子邮件签名 字符"/>
    <w:basedOn w:val="66"/>
    <w:link w:val="21"/>
    <w:semiHidden/>
    <w:qFormat/>
    <w:uiPriority w:val="0"/>
    <w:rPr>
      <w:rFonts w:ascii="宋体" w:hAnsi="Calibri"/>
      <w:sz w:val="24"/>
    </w:rPr>
  </w:style>
  <w:style w:type="paragraph" w:customStyle="1" w:styleId="544">
    <w:name w:val="Heading 2 SOW"/>
    <w:basedOn w:val="1"/>
    <w:next w:val="17"/>
    <w:qFormat/>
    <w:uiPriority w:val="0"/>
    <w:pPr>
      <w:widowControl/>
      <w:numPr>
        <w:ilvl w:val="1"/>
        <w:numId w:val="11"/>
      </w:numPr>
      <w:spacing w:before="360" w:after="360"/>
      <w:jc w:val="left"/>
    </w:pPr>
    <w:rPr>
      <w:rFonts w:ascii="Arial" w:hAnsi="Arial" w:cs="Arial"/>
      <w:b/>
      <w:bCs/>
      <w:kern w:val="32"/>
      <w:sz w:val="24"/>
      <w:szCs w:val="20"/>
      <w:lang w:val="en-GB" w:eastAsia="en-US"/>
    </w:rPr>
  </w:style>
  <w:style w:type="paragraph" w:customStyle="1" w:styleId="545">
    <w:name w:val="中石化可研"/>
    <w:basedOn w:val="3"/>
    <w:qFormat/>
    <w:uiPriority w:val="0"/>
    <w:pPr>
      <w:numPr>
        <w:numId w:val="12"/>
      </w:numPr>
      <w:tabs>
        <w:tab w:val="left" w:pos="0"/>
      </w:tabs>
      <w:autoSpaceDE w:val="0"/>
      <w:autoSpaceDN w:val="0"/>
      <w:adjustRightInd w:val="0"/>
      <w:snapToGrid w:val="0"/>
      <w:spacing w:before="340" w:beforeLines="0" w:after="330" w:afterLines="0" w:line="578" w:lineRule="atLeast"/>
      <w:jc w:val="left"/>
    </w:pPr>
    <w:rPr>
      <w:rFonts w:ascii="Times New Roman" w:hAnsi="Times New Roman"/>
      <w:sz w:val="24"/>
    </w:rPr>
  </w:style>
  <w:style w:type="paragraph" w:customStyle="1" w:styleId="546">
    <w:name w:val="神华环评标题三级"/>
    <w:basedOn w:val="1"/>
    <w:qFormat/>
    <w:uiPriority w:val="0"/>
    <w:pPr>
      <w:numPr>
        <w:ilvl w:val="8"/>
        <w:numId w:val="13"/>
      </w:numPr>
      <w:spacing w:line="360" w:lineRule="auto"/>
      <w:ind w:left="0" w:firstLine="0"/>
      <w:outlineLvl w:val="2"/>
    </w:pPr>
    <w:rPr>
      <w:rFonts w:ascii="Arial" w:hAnsi="Arial" w:cs="宋体"/>
      <w:b/>
      <w:bCs/>
      <w:kern w:val="0"/>
      <w:sz w:val="24"/>
      <w:szCs w:val="21"/>
    </w:rPr>
  </w:style>
  <w:style w:type="paragraph" w:customStyle="1" w:styleId="547">
    <w:name w:val="合同正文"/>
    <w:basedOn w:val="1"/>
    <w:qFormat/>
    <w:uiPriority w:val="0"/>
    <w:pPr>
      <w:spacing w:beforeLines="50" w:line="440" w:lineRule="exact"/>
      <w:ind w:left="300" w:leftChars="300"/>
    </w:pPr>
    <w:rPr>
      <w:rFonts w:ascii="宋体" w:hAnsi="Calibri"/>
      <w:bCs/>
      <w:color w:val="000000"/>
      <w:kern w:val="28"/>
      <w:sz w:val="24"/>
      <w:szCs w:val="20"/>
    </w:rPr>
  </w:style>
  <w:style w:type="paragraph" w:customStyle="1" w:styleId="548">
    <w:name w:val="样1"/>
    <w:basedOn w:val="1"/>
    <w:qFormat/>
    <w:uiPriority w:val="0"/>
    <w:pPr>
      <w:autoSpaceDE w:val="0"/>
      <w:autoSpaceDN w:val="0"/>
      <w:adjustRightInd w:val="0"/>
      <w:spacing w:line="360" w:lineRule="auto"/>
      <w:ind w:right="232" w:firstLine="601"/>
      <w:jc w:val="center"/>
    </w:pPr>
    <w:rPr>
      <w:rFonts w:ascii="宋体" w:hAnsi="Calibri"/>
      <w:kern w:val="0"/>
      <w:sz w:val="28"/>
      <w:szCs w:val="20"/>
    </w:rPr>
  </w:style>
  <w:style w:type="paragraph" w:customStyle="1" w:styleId="549">
    <w:name w:val="注×："/>
    <w:qFormat/>
    <w:uiPriority w:val="0"/>
    <w:pPr>
      <w:widowControl w:val="0"/>
      <w:tabs>
        <w:tab w:val="left" w:pos="630"/>
      </w:tabs>
      <w:autoSpaceDE w:val="0"/>
      <w:autoSpaceDN w:val="0"/>
      <w:jc w:val="both"/>
    </w:pPr>
    <w:rPr>
      <w:rFonts w:ascii="宋体" w:hAnsi="Times New Roman" w:eastAsia="宋体" w:cs="Times New Roman"/>
      <w:sz w:val="18"/>
      <w:lang w:val="en-US" w:eastAsia="zh-CN" w:bidi="ar-SA"/>
    </w:rPr>
  </w:style>
  <w:style w:type="paragraph" w:customStyle="1" w:styleId="550">
    <w:name w:val="样式 中石化可研第4级 + 首行缩进:  2 字符"/>
    <w:basedOn w:val="1"/>
    <w:qFormat/>
    <w:uiPriority w:val="0"/>
    <w:pPr>
      <w:keepNext/>
      <w:keepLines/>
      <w:numPr>
        <w:ilvl w:val="3"/>
        <w:numId w:val="14"/>
      </w:numPr>
      <w:adjustRightInd w:val="0"/>
      <w:snapToGrid w:val="0"/>
      <w:spacing w:line="480" w:lineRule="exact"/>
      <w:jc w:val="left"/>
      <w:outlineLvl w:val="2"/>
    </w:pPr>
    <w:rPr>
      <w:rFonts w:ascii="宋体" w:hAnsi="Calibri" w:cs="宋体"/>
      <w:color w:val="000000"/>
      <w:kern w:val="0"/>
      <w:sz w:val="24"/>
      <w:szCs w:val="20"/>
    </w:rPr>
  </w:style>
  <w:style w:type="paragraph" w:customStyle="1" w:styleId="551">
    <w:name w:val="xl759"/>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Calibri" w:eastAsia="Arial Unicode MS"/>
      <w:kern w:val="0"/>
      <w:sz w:val="24"/>
      <w:szCs w:val="20"/>
    </w:rPr>
  </w:style>
  <w:style w:type="paragraph" w:customStyle="1" w:styleId="552">
    <w:name w:val="图编号"/>
    <w:basedOn w:val="1"/>
    <w:qFormat/>
    <w:uiPriority w:val="0"/>
    <w:pPr>
      <w:numPr>
        <w:ilvl w:val="0"/>
        <w:numId w:val="15"/>
      </w:numPr>
      <w:adjustRightInd w:val="0"/>
      <w:snapToGrid w:val="0"/>
      <w:spacing w:line="360" w:lineRule="auto"/>
      <w:jc w:val="center"/>
    </w:pPr>
    <w:rPr>
      <w:rFonts w:ascii="黑体" w:hAnsi="Calibri" w:eastAsia="黑体"/>
      <w:kern w:val="0"/>
      <w:sz w:val="24"/>
      <w:szCs w:val="21"/>
    </w:rPr>
  </w:style>
  <w:style w:type="paragraph" w:customStyle="1" w:styleId="553">
    <w:name w:val="中石化可研第5级"/>
    <w:basedOn w:val="6"/>
    <w:qFormat/>
    <w:uiPriority w:val="0"/>
    <w:pPr>
      <w:numPr>
        <w:numId w:val="16"/>
      </w:numPr>
      <w:tabs>
        <w:tab w:val="left" w:pos="0"/>
      </w:tabs>
      <w:adjustRightInd w:val="0"/>
      <w:snapToGrid w:val="0"/>
      <w:spacing w:line="480" w:lineRule="exact"/>
      <w:ind w:hanging="187"/>
      <w:jc w:val="left"/>
    </w:pPr>
    <w:rPr>
      <w:rFonts w:ascii="黑体" w:hAnsi="黑体"/>
      <w:b w:val="0"/>
      <w:bCs w:val="0"/>
      <w:color w:val="000000"/>
      <w:kern w:val="0"/>
      <w:szCs w:val="24"/>
    </w:rPr>
  </w:style>
  <w:style w:type="paragraph" w:customStyle="1" w:styleId="554">
    <w:name w:val="中石化可研2级"/>
    <w:basedOn w:val="3"/>
    <w:qFormat/>
    <w:uiPriority w:val="0"/>
    <w:pPr>
      <w:numPr>
        <w:numId w:val="17"/>
      </w:numPr>
      <w:tabs>
        <w:tab w:val="left" w:pos="0"/>
      </w:tabs>
      <w:autoSpaceDE w:val="0"/>
      <w:autoSpaceDN w:val="0"/>
      <w:adjustRightInd w:val="0"/>
      <w:snapToGrid w:val="0"/>
      <w:spacing w:beforeLines="0" w:afterLines="0" w:line="480" w:lineRule="exact"/>
      <w:ind w:left="641" w:hanging="641"/>
      <w:jc w:val="left"/>
    </w:pPr>
    <w:rPr>
      <w:rFonts w:ascii="黑体" w:hAnsi="Times New Roman" w:eastAsia="黑体"/>
      <w:b w:val="0"/>
      <w:sz w:val="24"/>
    </w:rPr>
  </w:style>
  <w:style w:type="paragraph" w:customStyle="1" w:styleId="555">
    <w:name w:val="111正文文本"/>
    <w:basedOn w:val="1"/>
    <w:qFormat/>
    <w:uiPriority w:val="0"/>
    <w:pPr>
      <w:spacing w:before="78" w:line="400" w:lineRule="exact"/>
      <w:ind w:firstLine="200" w:firstLineChars="200"/>
    </w:pPr>
    <w:rPr>
      <w:sz w:val="24"/>
      <w:szCs w:val="24"/>
    </w:rPr>
  </w:style>
  <w:style w:type="table" w:customStyle="1" w:styleId="556">
    <w:name w:val="Table Normal4"/>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57">
    <w:name w:val="Table Normal5"/>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58">
    <w:name w:val="Table Normal6"/>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59">
    <w:name w:val="Table Normal7"/>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60">
    <w:name w:val="Table Normal8"/>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61">
    <w:name w:val="Table Normal9"/>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62">
    <w:name w:val="Table Normal10"/>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63">
    <w:name w:val="Table Normal11"/>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64">
    <w:name w:val="Table Normal12"/>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65">
    <w:name w:val="Table Normal13"/>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66">
    <w:name w:val="Table Normal14"/>
    <w:unhideWhenUsed/>
    <w:qFormat/>
    <w:uiPriority w:val="2"/>
    <w:pPr>
      <w:widowControl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67">
    <w:name w:val="网格型11"/>
    <w:basedOn w:val="74"/>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568">
    <w:name w:val="网格型6"/>
    <w:basedOn w:val="74"/>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569">
    <w:name w:val="网格型7"/>
    <w:basedOn w:val="74"/>
    <w:qFormat/>
    <w:uiPriority w:val="0"/>
    <w:pPr>
      <w:widowControl w:val="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570">
    <w:name w:val="报告表正文"/>
    <w:basedOn w:val="1"/>
    <w:link w:val="571"/>
    <w:qFormat/>
    <w:uiPriority w:val="0"/>
    <w:pPr>
      <w:spacing w:line="360" w:lineRule="auto"/>
      <w:ind w:firstLine="482"/>
      <w:textAlignment w:val="baseline"/>
    </w:pPr>
    <w:rPr>
      <w:kern w:val="0"/>
      <w:sz w:val="24"/>
      <w:szCs w:val="20"/>
    </w:rPr>
  </w:style>
  <w:style w:type="character" w:customStyle="1" w:styleId="571">
    <w:name w:val="报告表正文 Char"/>
    <w:link w:val="570"/>
    <w:qFormat/>
    <w:uiPriority w:val="0"/>
    <w:rPr>
      <w:sz w:val="24"/>
    </w:rPr>
  </w:style>
  <w:style w:type="table" w:customStyle="1" w:styleId="572">
    <w:name w:val="网格型8"/>
    <w:basedOn w:val="7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573">
    <w:name w:val="_Style 2"/>
    <w:basedOn w:val="66"/>
    <w:qFormat/>
    <w:uiPriority w:val="21"/>
    <w:rPr>
      <w:b/>
      <w:bCs/>
      <w:i/>
      <w:iCs/>
      <w:color w:val="4F81BD"/>
    </w:rPr>
  </w:style>
  <w:style w:type="character" w:customStyle="1" w:styleId="574">
    <w:name w:val="标题格式 Char"/>
    <w:link w:val="575"/>
    <w:qFormat/>
    <w:uiPriority w:val="0"/>
    <w:rPr>
      <w:rFonts w:eastAsia="黑体"/>
      <w:kern w:val="2"/>
      <w:sz w:val="24"/>
      <w:szCs w:val="21"/>
    </w:rPr>
  </w:style>
  <w:style w:type="paragraph" w:customStyle="1" w:styleId="575">
    <w:name w:val="标题格式"/>
    <w:basedOn w:val="1"/>
    <w:link w:val="574"/>
    <w:qFormat/>
    <w:uiPriority w:val="0"/>
    <w:pPr>
      <w:spacing w:line="520" w:lineRule="exact"/>
      <w:ind w:firstLine="200" w:firstLineChars="200"/>
      <w:jc w:val="left"/>
    </w:pPr>
    <w:rPr>
      <w:rFonts w:eastAsia="黑体"/>
      <w:sz w:val="24"/>
      <w:szCs w:val="21"/>
    </w:rPr>
  </w:style>
  <w:style w:type="paragraph" w:customStyle="1" w:styleId="576">
    <w:name w:val="样式 正文缩进正文缩进2正文缩进 Char Char正文缩进 Char Char Char Char正文缩进 Char ..."/>
    <w:basedOn w:val="23"/>
    <w:qFormat/>
    <w:uiPriority w:val="0"/>
    <w:pPr>
      <w:adjustRightInd w:val="0"/>
      <w:snapToGrid w:val="0"/>
      <w:spacing w:line="360" w:lineRule="auto"/>
    </w:pPr>
    <w:rPr>
      <w:rFonts w:asciiTheme="minorHAnsi" w:hAnsiTheme="minorHAnsi" w:cstheme="minorBidi"/>
      <w:kern w:val="2"/>
      <w:sz w:val="28"/>
      <w:szCs w:val="22"/>
    </w:rPr>
  </w:style>
  <w:style w:type="paragraph" w:customStyle="1" w:styleId="577">
    <w:name w:val="表格中文字"/>
    <w:basedOn w:val="1"/>
    <w:qFormat/>
    <w:uiPriority w:val="0"/>
    <w:pPr>
      <w:adjustRightInd w:val="0"/>
      <w:snapToGrid w:val="0"/>
      <w:jc w:val="center"/>
    </w:pPr>
    <w:rPr>
      <w:kern w:val="18"/>
      <w:szCs w:val="21"/>
    </w:rPr>
  </w:style>
  <w:style w:type="character" w:customStyle="1" w:styleId="578">
    <w:name w:val="正文文本 (4)_"/>
    <w:link w:val="579"/>
    <w:qFormat/>
    <w:uiPriority w:val="0"/>
    <w:rPr>
      <w:rFonts w:ascii="宋体" w:hAnsi="宋体" w:cs="宋体"/>
      <w:shd w:val="clear" w:color="auto" w:fill="FFFFFF"/>
    </w:rPr>
  </w:style>
  <w:style w:type="paragraph" w:customStyle="1" w:styleId="579">
    <w:name w:val="正文文本 (4)"/>
    <w:basedOn w:val="1"/>
    <w:link w:val="578"/>
    <w:qFormat/>
    <w:uiPriority w:val="0"/>
    <w:pPr>
      <w:shd w:val="clear" w:color="auto" w:fill="FFFFFF"/>
      <w:adjustRightInd w:val="0"/>
      <w:snapToGrid w:val="0"/>
      <w:spacing w:before="240" w:line="0" w:lineRule="atLeast"/>
      <w:ind w:firstLine="560" w:firstLineChars="200"/>
      <w:jc w:val="distribute"/>
    </w:pPr>
    <w:rPr>
      <w:rFonts w:ascii="宋体" w:hAnsi="宋体" w:cs="宋体"/>
      <w:kern w:val="0"/>
      <w:sz w:val="20"/>
      <w:szCs w:val="20"/>
    </w:rPr>
  </w:style>
  <w:style w:type="character" w:customStyle="1" w:styleId="580">
    <w:name w:val="表格标题 (2)_"/>
    <w:link w:val="581"/>
    <w:qFormat/>
    <w:uiPriority w:val="0"/>
    <w:rPr>
      <w:rFonts w:ascii="宋体" w:hAnsi="宋体" w:cs="宋体"/>
      <w:sz w:val="26"/>
      <w:szCs w:val="26"/>
      <w:shd w:val="clear" w:color="auto" w:fill="FFFFFF"/>
    </w:rPr>
  </w:style>
  <w:style w:type="paragraph" w:customStyle="1" w:styleId="581">
    <w:name w:val="表格标题 (2)"/>
    <w:basedOn w:val="1"/>
    <w:link w:val="580"/>
    <w:qFormat/>
    <w:uiPriority w:val="0"/>
    <w:pPr>
      <w:shd w:val="clear" w:color="auto" w:fill="FFFFFF"/>
      <w:adjustRightInd w:val="0"/>
      <w:snapToGrid w:val="0"/>
      <w:spacing w:after="240" w:line="0" w:lineRule="atLeast"/>
      <w:ind w:firstLine="560" w:firstLineChars="200"/>
      <w:jc w:val="distribute"/>
    </w:pPr>
    <w:rPr>
      <w:rFonts w:ascii="宋体" w:hAnsi="宋体" w:cs="宋体"/>
      <w:kern w:val="0"/>
      <w:sz w:val="26"/>
      <w:szCs w:val="26"/>
    </w:rPr>
  </w:style>
  <w:style w:type="character" w:customStyle="1" w:styleId="582">
    <w:name w:val="正文文本 (2)_"/>
    <w:link w:val="583"/>
    <w:qFormat/>
    <w:uiPriority w:val="0"/>
    <w:rPr>
      <w:rFonts w:ascii="宋体" w:hAnsi="宋体" w:cs="宋体"/>
      <w:sz w:val="26"/>
      <w:szCs w:val="26"/>
      <w:shd w:val="clear" w:color="auto" w:fill="FFFFFF"/>
    </w:rPr>
  </w:style>
  <w:style w:type="paragraph" w:customStyle="1" w:styleId="583">
    <w:name w:val="正文文本 (2)"/>
    <w:basedOn w:val="1"/>
    <w:link w:val="582"/>
    <w:qFormat/>
    <w:uiPriority w:val="0"/>
    <w:pPr>
      <w:shd w:val="clear" w:color="auto" w:fill="FFFFFF"/>
      <w:adjustRightInd w:val="0"/>
      <w:snapToGrid w:val="0"/>
      <w:spacing w:before="240" w:after="60" w:line="542" w:lineRule="exact"/>
      <w:ind w:firstLine="560" w:firstLineChars="200"/>
      <w:jc w:val="distribute"/>
    </w:pPr>
    <w:rPr>
      <w:rFonts w:ascii="宋体" w:hAnsi="宋体" w:cs="宋体"/>
      <w:kern w:val="0"/>
      <w:sz w:val="26"/>
      <w:szCs w:val="26"/>
    </w:rPr>
  </w:style>
  <w:style w:type="character" w:customStyle="1" w:styleId="584">
    <w:name w:val="正文文本 (3)_"/>
    <w:link w:val="585"/>
    <w:qFormat/>
    <w:uiPriority w:val="0"/>
    <w:rPr>
      <w:rFonts w:ascii="宋体" w:hAnsi="宋体" w:cs="宋体"/>
      <w:b/>
      <w:bCs/>
      <w:sz w:val="26"/>
      <w:szCs w:val="26"/>
      <w:shd w:val="clear" w:color="auto" w:fill="FFFFFF"/>
    </w:rPr>
  </w:style>
  <w:style w:type="paragraph" w:customStyle="1" w:styleId="585">
    <w:name w:val="正文文本 (3)"/>
    <w:basedOn w:val="1"/>
    <w:link w:val="584"/>
    <w:qFormat/>
    <w:uiPriority w:val="0"/>
    <w:pPr>
      <w:shd w:val="clear" w:color="auto" w:fill="FFFFFF"/>
      <w:adjustRightInd w:val="0"/>
      <w:snapToGrid w:val="0"/>
      <w:spacing w:before="960" w:after="240" w:line="0" w:lineRule="atLeast"/>
      <w:ind w:hanging="380" w:firstLineChars="200"/>
      <w:jc w:val="distribute"/>
    </w:pPr>
    <w:rPr>
      <w:rFonts w:ascii="宋体" w:hAnsi="宋体" w:cs="宋体"/>
      <w:b/>
      <w:bCs/>
      <w:kern w:val="0"/>
      <w:sz w:val="26"/>
      <w:szCs w:val="26"/>
    </w:rPr>
  </w:style>
  <w:style w:type="character" w:customStyle="1" w:styleId="586">
    <w:name w:val="表格标题_"/>
    <w:link w:val="587"/>
    <w:qFormat/>
    <w:uiPriority w:val="0"/>
    <w:rPr>
      <w:rFonts w:ascii="宋体" w:hAnsi="宋体" w:cs="宋体"/>
      <w:shd w:val="clear" w:color="auto" w:fill="FFFFFF"/>
    </w:rPr>
  </w:style>
  <w:style w:type="paragraph" w:customStyle="1" w:styleId="587">
    <w:name w:val="表格标题"/>
    <w:basedOn w:val="1"/>
    <w:link w:val="586"/>
    <w:qFormat/>
    <w:uiPriority w:val="0"/>
    <w:pPr>
      <w:shd w:val="clear" w:color="auto" w:fill="FFFFFF"/>
      <w:adjustRightInd w:val="0"/>
      <w:snapToGrid w:val="0"/>
      <w:spacing w:before="240" w:line="0" w:lineRule="atLeast"/>
      <w:ind w:firstLine="560" w:firstLineChars="200"/>
      <w:jc w:val="distribute"/>
    </w:pPr>
    <w:rPr>
      <w:rFonts w:ascii="宋体" w:hAnsi="宋体" w:cs="宋体"/>
      <w:kern w:val="0"/>
      <w:sz w:val="20"/>
      <w:szCs w:val="20"/>
    </w:rPr>
  </w:style>
  <w:style w:type="paragraph" w:customStyle="1" w:styleId="588">
    <w:name w:val="标题 21"/>
    <w:basedOn w:val="1"/>
    <w:qFormat/>
    <w:uiPriority w:val="1"/>
    <w:pPr>
      <w:autoSpaceDE w:val="0"/>
      <w:autoSpaceDN w:val="0"/>
      <w:ind w:left="961"/>
      <w:jc w:val="left"/>
      <w:outlineLvl w:val="2"/>
    </w:pPr>
    <w:rPr>
      <w:rFonts w:ascii="宋体" w:hAnsi="宋体" w:cs="宋体"/>
      <w:b/>
      <w:bCs/>
      <w:kern w:val="0"/>
      <w:sz w:val="24"/>
      <w:szCs w:val="24"/>
      <w:lang w:eastAsia="en-US"/>
    </w:rPr>
  </w:style>
  <w:style w:type="paragraph" w:customStyle="1" w:styleId="589">
    <w:name w:val="样式9"/>
    <w:qFormat/>
    <w:uiPriority w:val="0"/>
    <w:pPr>
      <w:adjustRightInd w:val="0"/>
      <w:snapToGrid w:val="0"/>
      <w:spacing w:before="50" w:beforeLines="50"/>
      <w:ind w:firstLine="200" w:firstLineChars="200"/>
    </w:pPr>
    <w:rPr>
      <w:rFonts w:ascii="Times New Roman" w:hAnsi="宋体" w:eastAsia="Times New Roman" w:cs="Times New Roman"/>
      <w:b/>
      <w:kern w:val="2"/>
      <w:sz w:val="21"/>
      <w:szCs w:val="21"/>
      <w:lang w:val="en-US" w:eastAsia="zh-CN" w:bidi="ar-SA"/>
    </w:rPr>
  </w:style>
  <w:style w:type="table" w:customStyle="1" w:styleId="590">
    <w:name w:val="Table Normal15"/>
    <w:unhideWhenUsed/>
    <w:qFormat/>
    <w:uiPriority w:val="2"/>
    <w:pPr>
      <w:widowControl w:val="0"/>
      <w:autoSpaceDE w:val="0"/>
      <w:autoSpaceDN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91">
    <w:name w:val="Table Normal16"/>
    <w:unhideWhenUsed/>
    <w:qFormat/>
    <w:uiPriority w:val="2"/>
    <w:pPr>
      <w:widowControl w:val="0"/>
      <w:autoSpaceDE w:val="0"/>
      <w:autoSpaceDN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592">
    <w:name w:val="Table Normal17"/>
    <w:unhideWhenUsed/>
    <w:qFormat/>
    <w:uiPriority w:val="2"/>
    <w:pPr>
      <w:widowControl w:val="0"/>
      <w:autoSpaceDE w:val="0"/>
      <w:autoSpaceDN w:val="0"/>
    </w:pPr>
    <w:rPr>
      <w:rFonts w:ascii="Calibri" w:hAnsi="Calibri"/>
      <w:sz w:val="22"/>
      <w:szCs w:val="22"/>
      <w:lang w:eastAsia="en-US"/>
    </w:rPr>
    <w:tblPr>
      <w:tblLayout w:type="fixed"/>
      <w:tblCellMar>
        <w:top w:w="0" w:type="dxa"/>
        <w:left w:w="0" w:type="dxa"/>
        <w:bottom w:w="0" w:type="dxa"/>
        <w:right w:w="0" w:type="dxa"/>
      </w:tblCellMar>
    </w:tblPr>
  </w:style>
  <w:style w:type="character" w:customStyle="1" w:styleId="593">
    <w:name w:val="17"/>
    <w:qFormat/>
    <w:uiPriority w:val="0"/>
    <w:rPr>
      <w:rFonts w:hint="eastAsia" w:ascii="Arial Unicode MS" w:hAnsi="Arial Unicode MS" w:eastAsia="Arial Unicode MS" w:cs="Arial Unicode MS"/>
      <w:color w:val="000000"/>
      <w:spacing w:val="0"/>
      <w:sz w:val="21"/>
      <w:szCs w:val="21"/>
    </w:rPr>
  </w:style>
  <w:style w:type="character" w:customStyle="1" w:styleId="594">
    <w:name w:val="正文格式我 Char"/>
    <w:link w:val="595"/>
    <w:qFormat/>
    <w:uiPriority w:val="0"/>
    <w:rPr>
      <w:rFonts w:hAnsi="宋体"/>
      <w:kern w:val="2"/>
      <w:sz w:val="28"/>
      <w:szCs w:val="28"/>
    </w:rPr>
  </w:style>
  <w:style w:type="paragraph" w:customStyle="1" w:styleId="595">
    <w:name w:val="正文格式我"/>
    <w:basedOn w:val="1"/>
    <w:link w:val="594"/>
    <w:qFormat/>
    <w:uiPriority w:val="0"/>
    <w:pPr>
      <w:spacing w:line="360" w:lineRule="auto"/>
      <w:ind w:firstLine="560" w:firstLineChars="200"/>
    </w:pPr>
    <w:rPr>
      <w:rFonts w:hAnsi="宋体"/>
      <w:sz w:val="28"/>
      <w:szCs w:val="28"/>
    </w:rPr>
  </w:style>
  <w:style w:type="paragraph" w:customStyle="1" w:styleId="596">
    <w:name w:val="样式 标题 2 + 段前: 7.8 磅 段后: 7.8 磅 行距: 1.5 倍行距"/>
    <w:basedOn w:val="4"/>
    <w:qFormat/>
    <w:uiPriority w:val="0"/>
    <w:pPr>
      <w:numPr>
        <w:ilvl w:val="0"/>
        <w:numId w:val="0"/>
      </w:numPr>
      <w:spacing w:before="156" w:beforeLines="0" w:after="156"/>
      <w:jc w:val="left"/>
    </w:pPr>
    <w:rPr>
      <w:rFonts w:cs="宋体"/>
      <w:b w:val="0"/>
      <w:szCs w:val="20"/>
      <w:lang w:val="zh-CN"/>
    </w:rPr>
  </w:style>
  <w:style w:type="character" w:customStyle="1" w:styleId="597">
    <w:name w:val="表头 Char1"/>
    <w:link w:val="598"/>
    <w:qFormat/>
    <w:uiPriority w:val="1"/>
    <w:rPr>
      <w:b/>
      <w:kern w:val="2"/>
      <w:sz w:val="24"/>
      <w:szCs w:val="22"/>
    </w:rPr>
  </w:style>
  <w:style w:type="paragraph" w:customStyle="1" w:styleId="598">
    <w:name w:val="无间隔1"/>
    <w:link w:val="597"/>
    <w:qFormat/>
    <w:uiPriority w:val="1"/>
    <w:pPr>
      <w:widowControl w:val="0"/>
      <w:spacing w:before="50" w:beforeLines="50"/>
      <w:jc w:val="center"/>
    </w:pPr>
    <w:rPr>
      <w:rFonts w:ascii="Times New Roman" w:hAnsi="Times New Roman" w:eastAsia="宋体" w:cs="Times New Roman"/>
      <w:b/>
      <w:kern w:val="2"/>
      <w:sz w:val="24"/>
      <w:szCs w:val="22"/>
      <w:lang w:val="en-US" w:eastAsia="zh-CN" w:bidi="ar-SA"/>
    </w:rPr>
  </w:style>
  <w:style w:type="paragraph" w:customStyle="1" w:styleId="599">
    <w:name w:val="11正文"/>
    <w:basedOn w:val="1"/>
    <w:qFormat/>
    <w:uiPriority w:val="0"/>
    <w:pPr>
      <w:spacing w:line="360" w:lineRule="auto"/>
      <w:ind w:firstLine="200" w:firstLineChars="200"/>
    </w:pPr>
    <w:rPr>
      <w:sz w:val="24"/>
      <w:szCs w:val="24"/>
    </w:rPr>
  </w:style>
  <w:style w:type="character" w:customStyle="1" w:styleId="600">
    <w:name w:val="lishishuju"/>
    <w:basedOn w:val="66"/>
    <w:qFormat/>
    <w:uiPriority w:val="0"/>
    <w:rPr>
      <w:b/>
      <w:bCs/>
      <w:color w:val="000052"/>
      <w:sz w:val="19"/>
      <w:szCs w:val="19"/>
      <w:bdr w:val="single" w:color="E3E3E3" w:sz="4" w:space="0"/>
    </w:rPr>
  </w:style>
  <w:style w:type="character" w:customStyle="1" w:styleId="601">
    <w:name w:val="cur"/>
    <w:basedOn w:val="66"/>
    <w:qFormat/>
    <w:uiPriority w:val="0"/>
    <w:rPr>
      <w:color w:val="FFFFFF"/>
      <w:shd w:val="clear" w:color="auto" w:fill="2F6B98"/>
    </w:rPr>
  </w:style>
  <w:style w:type="character" w:customStyle="1" w:styleId="602">
    <w:name w:val="radio-btn"/>
    <w:basedOn w:val="66"/>
    <w:qFormat/>
    <w:uiPriority w:val="0"/>
    <w:rPr>
      <w:sz w:val="19"/>
      <w:szCs w:val="19"/>
    </w:rPr>
  </w:style>
  <w:style w:type="character" w:customStyle="1" w:styleId="603">
    <w:name w:val="radio-btn1"/>
    <w:basedOn w:val="66"/>
    <w:qFormat/>
    <w:uiPriority w:val="0"/>
    <w:rPr>
      <w:sz w:val="19"/>
      <w:szCs w:val="19"/>
    </w:rPr>
  </w:style>
  <w:style w:type="character" w:customStyle="1" w:styleId="604">
    <w:name w:val="radio-btn2"/>
    <w:basedOn w:val="66"/>
    <w:qFormat/>
    <w:uiPriority w:val="0"/>
    <w:rPr>
      <w:sz w:val="16"/>
      <w:szCs w:val="16"/>
    </w:rPr>
  </w:style>
  <w:style w:type="character" w:customStyle="1" w:styleId="605">
    <w:name w:val="lable"/>
    <w:basedOn w:val="66"/>
    <w:qFormat/>
    <w:uiPriority w:val="0"/>
    <w:rPr>
      <w:sz w:val="19"/>
      <w:szCs w:val="19"/>
    </w:rPr>
  </w:style>
  <w:style w:type="character" w:customStyle="1" w:styleId="606">
    <w:name w:val="znspantitle"/>
    <w:basedOn w:val="66"/>
    <w:qFormat/>
    <w:uiPriority w:val="0"/>
    <w:rPr>
      <w:b/>
      <w:bCs/>
      <w:color w:val="333333"/>
    </w:rPr>
  </w:style>
  <w:style w:type="character" w:customStyle="1" w:styleId="607">
    <w:name w:val="cur1"/>
    <w:basedOn w:val="66"/>
    <w:qFormat/>
    <w:uiPriority w:val="0"/>
    <w:rPr>
      <w:color w:val="FFFFFF"/>
      <w:shd w:val="clear" w:color="auto" w:fill="2F6B98"/>
    </w:rPr>
  </w:style>
  <w:style w:type="paragraph" w:customStyle="1" w:styleId="608">
    <w:name w:val="0正文"/>
    <w:basedOn w:val="1"/>
    <w:qFormat/>
    <w:uiPriority w:val="0"/>
    <w:rPr>
      <w:kern w:val="0"/>
      <w:szCs w:val="20"/>
    </w:rPr>
  </w:style>
  <w:style w:type="character" w:customStyle="1" w:styleId="609">
    <w:name w:val="Unresolved Mention"/>
    <w:basedOn w:val="66"/>
    <w:unhideWhenUsed/>
    <w:qFormat/>
    <w:uiPriority w:val="99"/>
    <w:rPr>
      <w:color w:val="605E5C"/>
      <w:shd w:val="clear" w:color="auto" w:fill="E1DFDD"/>
    </w:rPr>
  </w:style>
  <w:style w:type="paragraph" w:customStyle="1" w:styleId="610">
    <w:name w:val="Revision"/>
    <w:hidden/>
    <w:semiHidden/>
    <w:qFormat/>
    <w:uiPriority w:val="99"/>
    <w:rPr>
      <w:rFonts w:ascii="Times New Roman" w:hAnsi="Times New Roman"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1" Type="http://schemas.openxmlformats.org/officeDocument/2006/relationships/fontTable" Target="fontTable.xml"/><Relationship Id="rId70" Type="http://schemas.openxmlformats.org/officeDocument/2006/relationships/customXml" Target="../customXml/item2.xml"/><Relationship Id="rId7" Type="http://schemas.openxmlformats.org/officeDocument/2006/relationships/footer" Target="footer3.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1.jpeg"/><Relationship Id="rId66" Type="http://schemas.openxmlformats.org/officeDocument/2006/relationships/image" Target="media/image50.jpeg"/><Relationship Id="rId65" Type="http://schemas.openxmlformats.org/officeDocument/2006/relationships/image" Target="media/image49.jpe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jpeg"/><Relationship Id="rId60" Type="http://schemas.openxmlformats.org/officeDocument/2006/relationships/image" Target="media/image44.png"/><Relationship Id="rId6" Type="http://schemas.openxmlformats.org/officeDocument/2006/relationships/footer" Target="footer2.xml"/><Relationship Id="rId59" Type="http://schemas.openxmlformats.org/officeDocument/2006/relationships/image" Target="media/image43.jpe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wmf"/><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wmf"/><Relationship Id="rId50" Type="http://schemas.openxmlformats.org/officeDocument/2006/relationships/image" Target="media/image34.png"/><Relationship Id="rId5" Type="http://schemas.openxmlformats.org/officeDocument/2006/relationships/footer" Target="footer1.xml"/><Relationship Id="rId49" Type="http://schemas.openxmlformats.org/officeDocument/2006/relationships/image" Target="media/image33.jpeg"/><Relationship Id="rId48" Type="http://schemas.openxmlformats.org/officeDocument/2006/relationships/image" Target="media/image32.jpe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wmf"/><Relationship Id="rId42" Type="http://schemas.openxmlformats.org/officeDocument/2006/relationships/image" Target="media/image26.wmf"/><Relationship Id="rId41" Type="http://schemas.openxmlformats.org/officeDocument/2006/relationships/image" Target="media/image25.wmf"/><Relationship Id="rId40" Type="http://schemas.openxmlformats.org/officeDocument/2006/relationships/oleObject" Target="embeddings/oleObject5.bin"/><Relationship Id="rId4" Type="http://schemas.openxmlformats.org/officeDocument/2006/relationships/header" Target="header2.xml"/><Relationship Id="rId39" Type="http://schemas.openxmlformats.org/officeDocument/2006/relationships/image" Target="media/image24.png"/><Relationship Id="rId38" Type="http://schemas.openxmlformats.org/officeDocument/2006/relationships/image" Target="media/image23.wmf"/><Relationship Id="rId37" Type="http://schemas.openxmlformats.org/officeDocument/2006/relationships/oleObject" Target="embeddings/oleObject4.bin"/><Relationship Id="rId36" Type="http://schemas.openxmlformats.org/officeDocument/2006/relationships/image" Target="media/image22.emf"/><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png"/><Relationship Id="rId31" Type="http://schemas.openxmlformats.org/officeDocument/2006/relationships/image" Target="media/image17.emf"/><Relationship Id="rId30" Type="http://schemas.openxmlformats.org/officeDocument/2006/relationships/oleObject" Target="embeddings/oleObject3.bin"/><Relationship Id="rId3" Type="http://schemas.openxmlformats.org/officeDocument/2006/relationships/header" Target="header1.xml"/><Relationship Id="rId29" Type="http://schemas.openxmlformats.org/officeDocument/2006/relationships/image" Target="media/image16.emf"/><Relationship Id="rId28" Type="http://schemas.openxmlformats.org/officeDocument/2006/relationships/image" Target="media/image15.emf"/><Relationship Id="rId27" Type="http://schemas.openxmlformats.org/officeDocument/2006/relationships/oleObject" Target="embeddings/oleObject2.bin"/><Relationship Id="rId26" Type="http://schemas.openxmlformats.org/officeDocument/2006/relationships/image" Target="media/image14.emf"/><Relationship Id="rId25" Type="http://schemas.openxmlformats.org/officeDocument/2006/relationships/oleObject" Target="embeddings/oleObject1.bin"/><Relationship Id="rId24" Type="http://schemas.openxmlformats.org/officeDocument/2006/relationships/image" Target="media/image13.emf"/><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wmf"/><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tailEnd type="triangle"/>
        </a:ln>
      </a:spPr>
      <a:bodyPr/>
      <a:lstStyle/>
      <a:style>
        <a:lnRef idx="1">
          <a:schemeClr val="accent1"/>
        </a:lnRef>
        <a:fillRef idx="0">
          <a:schemeClr val="accent1"/>
        </a:fillRef>
        <a:effectRef idx="0">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3"/>
    <customShpInfo spid="_x0000_s1034"/>
    <customShpInfo spid="_x0000_s1035"/>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B120562-7C54-448D-B835-A2FF90E5E040}">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293</Pages>
  <Words>172519</Words>
  <Characters>207363</Characters>
  <Lines>1728</Lines>
  <Paragraphs>486</Paragraphs>
  <TotalTime>427</TotalTime>
  <ScaleCrop>false</ScaleCrop>
  <LinksUpToDate>false</LinksUpToDate>
  <CharactersWithSpaces>209457</CharactersWithSpaces>
  <Application>WPS Office_10.8.0.6501_F1E327BC-269C-435d-A152-05C5408002CA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2020-07-28T11:32:00Z</dcterms:created>
  <dc:creator>w</dc:creator>
  <cp:lastModifiedBy>Administrator</cp:lastModifiedBy>
  <cp:lastPrinted>2022-07-23T01:12:00Z</cp:lastPrinted>
  <dcterms:modified xsi:type="dcterms:W3CDTF">2022-12-13T07:57:03Z</dcterms:modified>
  <dc:title>目录</dc:title>
  <cp:revision>328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2052-10.8.0.6501</vt:lpwstr>
  </property>
  <property fmtid="{D5CDD505-2E9C-101B-9397-08002B2CF9AE}" pid="3" name="ICV">
    <vt:lpwstr>49F87DBF6ACF4AFAA0BB8CCB9F8A5A07</vt:lpwstr>
  </property>
</Properties>
</file>