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adjustRightInd w:val="0"/>
        <w:snapToGrid w:val="0"/>
        <w:jc w:val="center"/>
        <w:outlineLvl w:val="0"/>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w:t>
      </w:r>
      <w:r>
        <w:rPr>
          <w:rFonts w:hint="eastAsia" w:ascii="楷体_GB2312" w:eastAsia="楷体_GB2312"/>
          <w:bCs/>
          <w:color w:val="auto"/>
          <w:sz w:val="48"/>
          <w:szCs w:val="48"/>
          <w:highlight w:val="none"/>
          <w:lang w:eastAsia="zh-CN"/>
        </w:rPr>
        <w:t>生态</w:t>
      </w:r>
      <w:r>
        <w:rPr>
          <w:rFonts w:hint="eastAsia" w:ascii="楷体_GB2312" w:eastAsia="楷体_GB2312"/>
          <w:bCs/>
          <w:color w:val="auto"/>
          <w:sz w:val="48"/>
          <w:szCs w:val="48"/>
          <w:highlight w:val="none"/>
        </w:rPr>
        <w:t>影响类）</w:t>
      </w:r>
    </w:p>
    <w:p>
      <w:pPr>
        <w:adjustRightInd w:val="0"/>
        <w:snapToGrid w:val="0"/>
        <w:spacing w:line="288" w:lineRule="auto"/>
        <w:jc w:val="center"/>
        <w:outlineLvl w:val="0"/>
        <w:rPr>
          <w:rFonts w:ascii="华文仿宋" w:hAnsi="华文仿宋" w:eastAsia="华文仿宋" w:cs="华文仿宋"/>
          <w:color w:val="auto"/>
          <w:kern w:val="44"/>
          <w:sz w:val="44"/>
          <w:szCs w:val="44"/>
          <w:highlight w:val="none"/>
        </w:rPr>
      </w:pP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pStyle w:val="32"/>
        <w:rPr>
          <w:rFonts w:eastAsia="仿宋"/>
          <w:color w:val="auto"/>
          <w:sz w:val="44"/>
          <w:szCs w:val="44"/>
          <w:highlight w:val="none"/>
        </w:rPr>
      </w:pPr>
    </w:p>
    <w:p>
      <w:pPr>
        <w:pStyle w:val="32"/>
        <w:rPr>
          <w:rFonts w:eastAsia="仿宋"/>
          <w:color w:val="auto"/>
          <w:sz w:val="44"/>
          <w:szCs w:val="44"/>
          <w:highlight w:val="none"/>
        </w:rPr>
      </w:pPr>
    </w:p>
    <w:p>
      <w:pPr>
        <w:ind w:firstLine="1040"/>
        <w:rPr>
          <w:rFonts w:eastAsia="仿宋"/>
          <w:color w:val="auto"/>
          <w:sz w:val="44"/>
          <w:szCs w:val="44"/>
          <w:highlight w:val="none"/>
        </w:rPr>
      </w:pPr>
    </w:p>
    <w:p>
      <w:pPr>
        <w:adjustRightInd w:val="0"/>
        <w:snapToGrid w:val="0"/>
        <w:spacing w:line="288" w:lineRule="auto"/>
        <w:ind w:left="1438" w:leftChars="342" w:hanging="720" w:hangingChars="200"/>
        <w:rPr>
          <w:rFonts w:hint="eastAsia" w:ascii="仿宋_GB2312" w:eastAsia="仿宋_GB2312"/>
          <w:color w:val="auto"/>
          <w:sz w:val="36"/>
          <w:szCs w:val="36"/>
          <w:highlight w:val="none"/>
          <w:u w:val="single"/>
          <w:lang w:eastAsia="zh-CN"/>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u w:val="single"/>
          <w:lang w:eastAsia="zh-CN"/>
        </w:rPr>
        <w:t>清水河下段（沙坡头区）综合治理工程</w:t>
      </w:r>
    </w:p>
    <w:p>
      <w:pPr>
        <w:adjustRightInd w:val="0"/>
        <w:snapToGrid w:val="0"/>
        <w:spacing w:line="288" w:lineRule="auto"/>
        <w:ind w:firstLine="720" w:firstLineChars="200"/>
        <w:rPr>
          <w:rFonts w:hint="eastAsia" w:ascii="仿宋_GB2312" w:eastAsia="仿宋_GB2312"/>
          <w:color w:val="auto"/>
          <w:sz w:val="36"/>
          <w:szCs w:val="36"/>
          <w:highlight w:val="none"/>
          <w:u w:val="single"/>
          <w:lang w:eastAsia="zh-CN"/>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lang w:eastAsia="zh-CN"/>
        </w:rPr>
        <w:t>中卫市沙坡头区水务局</w:t>
      </w:r>
    </w:p>
    <w:p>
      <w:pPr>
        <w:adjustRightInd w:val="0"/>
        <w:snapToGrid w:val="0"/>
        <w:spacing w:line="288" w:lineRule="auto"/>
        <w:ind w:firstLine="720" w:firstLineChars="200"/>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rPr>
        <w:t xml:space="preserve"> 202</w:t>
      </w:r>
      <w:r>
        <w:rPr>
          <w:rFonts w:hint="eastAsia" w:eastAsia="仿宋_GB2312" w:cs="Times New Roman"/>
          <w:color w:val="auto"/>
          <w:sz w:val="36"/>
          <w:szCs w:val="36"/>
          <w:highlight w:val="none"/>
          <w:u w:val="single"/>
          <w:lang w:val="en-US" w:eastAsia="zh-CN"/>
        </w:rPr>
        <w:t>2</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8</w:t>
      </w:r>
      <w:r>
        <w:rPr>
          <w:rFonts w:hint="default" w:ascii="Times New Roman" w:hAnsi="Times New Roman" w:eastAsia="仿宋_GB2312" w:cs="Times New Roman"/>
          <w:color w:val="auto"/>
          <w:sz w:val="36"/>
          <w:szCs w:val="36"/>
          <w:highlight w:val="none"/>
          <w:u w:val="single"/>
        </w:rPr>
        <w:t xml:space="preserve">月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p>
    <w:p>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bookmarkEnd w:id="0"/>
    <w:p>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none"/>
        </w:rPr>
        <w:sectPr>
          <w:headerReference r:id="rId3" w:type="default"/>
          <w:footerReference r:id="rId4" w:type="default"/>
          <w:footerReference r:id="rId5" w:type="even"/>
          <w:pgSz w:w="11906" w:h="16838"/>
          <w:pgMar w:top="1701" w:right="1417" w:bottom="1701" w:left="1417"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pPr>
        <w:spacing w:before="240" w:beforeLines="100" w:after="240" w:afterLines="100"/>
        <w:jc w:val="center"/>
        <w:rPr>
          <w:rFonts w:ascii="黑体" w:hAnsi="黑体" w:eastAsia="黑体"/>
          <w:snapToGrid w:val="0"/>
          <w:color w:val="auto"/>
          <w:kern w:val="0"/>
          <w:sz w:val="30"/>
          <w:szCs w:val="30"/>
          <w:highlight w:val="none"/>
        </w:rPr>
        <w:sectPr>
          <w:footerReference r:id="rId6" w:type="default"/>
          <w:pgSz w:w="11906" w:h="16838"/>
          <w:pgMar w:top="1701" w:right="1417" w:bottom="1701"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snapToGrid w:val="0"/>
          <w:color w:val="auto"/>
          <w:kern w:val="0"/>
          <w:sz w:val="30"/>
          <w:szCs w:val="30"/>
          <w:highlight w:val="none"/>
        </w:rPr>
      </w:pPr>
      <w:r>
        <w:rPr>
          <w:rFonts w:hint="eastAsia" w:ascii="黑体" w:hAnsi="黑体" w:eastAsia="黑体"/>
          <w:snapToGrid w:val="0"/>
          <w:color w:val="auto"/>
          <w:kern w:val="0"/>
          <w:sz w:val="30"/>
          <w:szCs w:val="30"/>
          <w:highlight w:val="none"/>
        </w:rPr>
        <w:t>一、建设项目基本情况</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71"/>
        <w:gridCol w:w="2512"/>
        <w:gridCol w:w="1755"/>
        <w:gridCol w:w="2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color w:val="auto"/>
                <w:sz w:val="24"/>
                <w:highlight w:val="none"/>
              </w:rPr>
            </w:pPr>
            <w:r>
              <w:rPr>
                <w:b/>
                <w:bCs/>
                <w:color w:val="auto"/>
                <w:sz w:val="24"/>
                <w:highlight w:val="none"/>
              </w:rPr>
              <w:t>建设项目名称</w:t>
            </w:r>
          </w:p>
        </w:tc>
        <w:tc>
          <w:tcPr>
            <w:tcW w:w="6999" w:type="dxa"/>
            <w:gridSpan w:val="3"/>
            <w:tcBorders>
              <w:tl2br w:val="nil"/>
              <w:tr2bl w:val="nil"/>
            </w:tcBorders>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eastAsia="zh-CN"/>
              </w:rPr>
              <w:t>清水河下段（沙坡头区）综合治理工程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color w:val="auto"/>
                <w:sz w:val="24"/>
                <w:highlight w:val="none"/>
              </w:rPr>
            </w:pPr>
            <w:r>
              <w:rPr>
                <w:b/>
                <w:bCs/>
                <w:color w:val="auto"/>
                <w:sz w:val="24"/>
                <w:highlight w:val="none"/>
              </w:rPr>
              <w:t>项目代码</w:t>
            </w:r>
          </w:p>
        </w:tc>
        <w:tc>
          <w:tcPr>
            <w:tcW w:w="6999" w:type="dxa"/>
            <w:gridSpan w:val="3"/>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2207-640502-19-01-230854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color w:val="auto"/>
                <w:sz w:val="24"/>
                <w:highlight w:val="none"/>
              </w:rPr>
            </w:pPr>
            <w:r>
              <w:rPr>
                <w:b/>
                <w:bCs/>
                <w:color w:val="auto"/>
                <w:sz w:val="24"/>
                <w:highlight w:val="none"/>
              </w:rPr>
              <w:t>建设单位联系人</w:t>
            </w:r>
          </w:p>
        </w:tc>
        <w:tc>
          <w:tcPr>
            <w:tcW w:w="2512" w:type="dxa"/>
            <w:tcBorders>
              <w:tl2br w:val="nil"/>
              <w:tr2bl w:val="nil"/>
            </w:tcBorders>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eastAsia="zh-CN"/>
              </w:rPr>
              <w:t>徐怀孝</w:t>
            </w:r>
          </w:p>
        </w:tc>
        <w:tc>
          <w:tcPr>
            <w:tcW w:w="1755" w:type="dxa"/>
            <w:tcBorders>
              <w:tl2br w:val="nil"/>
              <w:tr2bl w:val="nil"/>
            </w:tcBorders>
            <w:vAlign w:val="center"/>
          </w:tcPr>
          <w:p>
            <w:pPr>
              <w:adjustRightInd w:val="0"/>
              <w:snapToGrid w:val="0"/>
              <w:jc w:val="center"/>
              <w:rPr>
                <w:rFonts w:eastAsia="仿宋_GB2312"/>
                <w:color w:val="auto"/>
                <w:sz w:val="24"/>
                <w:highlight w:val="none"/>
              </w:rPr>
            </w:pPr>
            <w:r>
              <w:rPr>
                <w:rFonts w:hint="eastAsia" w:ascii="宋体" w:hAnsi="宋体" w:cs="宋体"/>
                <w:b/>
                <w:bCs/>
                <w:color w:val="auto"/>
                <w:sz w:val="24"/>
                <w:highlight w:val="none"/>
              </w:rPr>
              <w:t>联系方式</w:t>
            </w:r>
          </w:p>
        </w:tc>
        <w:tc>
          <w:tcPr>
            <w:tcW w:w="273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eastAsia="zh-CN"/>
              </w:rPr>
              <w:t>13723333765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建设地点</w:t>
            </w:r>
          </w:p>
        </w:tc>
        <w:tc>
          <w:tcPr>
            <w:tcW w:w="6999" w:type="dxa"/>
            <w:gridSpan w:val="3"/>
            <w:tcBorders>
              <w:tl2br w:val="nil"/>
              <w:tr2bl w:val="nil"/>
            </w:tcBorders>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u w:val="none"/>
                <w:lang w:eastAsia="zh-CN"/>
              </w:rPr>
              <w:t>宁夏回族自治区沙坡头区宣和镇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地理坐标</w:t>
            </w:r>
          </w:p>
        </w:tc>
        <w:tc>
          <w:tcPr>
            <w:tcW w:w="6999" w:type="dxa"/>
            <w:gridSpan w:val="3"/>
            <w:tcBorders>
              <w:tl2br w:val="nil"/>
              <w:tr2bl w:val="nil"/>
            </w:tcBorders>
            <w:vAlign w:val="center"/>
          </w:tcPr>
          <w:p>
            <w:pPr>
              <w:snapToGrid w:val="0"/>
              <w:jc w:val="center"/>
              <w:rPr>
                <w:rFonts w:eastAsia="仿宋_GB2312"/>
                <w:color w:val="auto"/>
                <w:sz w:val="24"/>
                <w:highlight w:val="none"/>
              </w:rPr>
            </w:pPr>
            <w:r>
              <w:rPr>
                <w:rFonts w:hint="eastAsia" w:eastAsia="仿宋_GB2312"/>
                <w:color w:val="auto"/>
                <w:sz w:val="24"/>
                <w:highlight w:val="none"/>
                <w:lang w:val="en-US" w:eastAsia="zh-CN"/>
              </w:rPr>
              <w:t>E：</w:t>
            </w:r>
            <w:r>
              <w:rPr>
                <w:rFonts w:eastAsia="仿宋_GB2312"/>
                <w:color w:val="auto"/>
                <w:sz w:val="24"/>
                <w:highlight w:val="none"/>
              </w:rPr>
              <w:t>10</w:t>
            </w:r>
            <w:r>
              <w:rPr>
                <w:rFonts w:hint="eastAsia" w:eastAsia="仿宋_GB2312"/>
                <w:color w:val="auto"/>
                <w:sz w:val="24"/>
                <w:highlight w:val="none"/>
              </w:rPr>
              <w:t>6</w:t>
            </w:r>
            <w:r>
              <w:rPr>
                <w:rFonts w:eastAsia="仿宋_GB2312"/>
                <w:color w:val="auto"/>
                <w:sz w:val="24"/>
                <w:highlight w:val="none"/>
              </w:rPr>
              <w:t>°</w:t>
            </w:r>
            <w:r>
              <w:rPr>
                <w:rFonts w:hint="eastAsia" w:eastAsia="仿宋_GB2312"/>
                <w:color w:val="auto"/>
                <w:sz w:val="24"/>
                <w:highlight w:val="none"/>
                <w:lang w:val="en-US" w:eastAsia="zh-CN"/>
              </w:rPr>
              <w:t>42</w:t>
            </w:r>
            <w:r>
              <w:rPr>
                <w:rFonts w:eastAsia="仿宋_GB2312"/>
                <w:color w:val="auto"/>
                <w:sz w:val="24"/>
                <w:highlight w:val="none"/>
              </w:rPr>
              <w:t>′</w:t>
            </w:r>
            <w:r>
              <w:rPr>
                <w:rFonts w:hint="eastAsia" w:eastAsia="仿宋_GB2312"/>
                <w:color w:val="auto"/>
                <w:sz w:val="24"/>
                <w:highlight w:val="none"/>
              </w:rPr>
              <w:t>2</w:t>
            </w:r>
            <w:r>
              <w:rPr>
                <w:rFonts w:hint="eastAsia" w:eastAsia="仿宋_GB2312"/>
                <w:color w:val="auto"/>
                <w:sz w:val="24"/>
                <w:highlight w:val="none"/>
                <w:lang w:val="en-US" w:eastAsia="zh-CN"/>
              </w:rPr>
              <w:t>0.628</w:t>
            </w:r>
            <w:r>
              <w:rPr>
                <w:rFonts w:eastAsia="仿宋_GB2312"/>
                <w:color w:val="auto"/>
                <w:sz w:val="24"/>
                <w:highlight w:val="none"/>
              </w:rPr>
              <w:t>″</w:t>
            </w:r>
            <w:r>
              <w:rPr>
                <w:rFonts w:hint="eastAsia" w:eastAsia="仿宋_GB2312"/>
                <w:color w:val="auto"/>
                <w:sz w:val="24"/>
                <w:highlight w:val="none"/>
              </w:rPr>
              <w:t>，</w:t>
            </w:r>
            <w:r>
              <w:rPr>
                <w:rFonts w:hint="eastAsia" w:eastAsia="仿宋_GB2312"/>
                <w:color w:val="auto"/>
                <w:sz w:val="24"/>
                <w:highlight w:val="none"/>
                <w:lang w:val="en-US" w:eastAsia="zh-CN"/>
              </w:rPr>
              <w:t>N：</w:t>
            </w:r>
            <w:r>
              <w:rPr>
                <w:rFonts w:eastAsia="仿宋_GB2312"/>
                <w:color w:val="auto"/>
                <w:sz w:val="24"/>
                <w:highlight w:val="none"/>
              </w:rPr>
              <w:t>3</w:t>
            </w:r>
            <w:r>
              <w:rPr>
                <w:rFonts w:hint="eastAsia" w:eastAsia="仿宋_GB2312"/>
                <w:color w:val="auto"/>
                <w:sz w:val="24"/>
                <w:highlight w:val="none"/>
                <w:lang w:val="en-US" w:eastAsia="zh-CN"/>
              </w:rPr>
              <w:t>7</w:t>
            </w:r>
            <w:r>
              <w:rPr>
                <w:rFonts w:eastAsia="仿宋_GB2312"/>
                <w:color w:val="auto"/>
                <w:sz w:val="24"/>
                <w:highlight w:val="none"/>
              </w:rPr>
              <w:t>°</w:t>
            </w:r>
            <w:r>
              <w:rPr>
                <w:rFonts w:hint="eastAsia" w:eastAsia="仿宋_GB2312"/>
                <w:color w:val="auto"/>
                <w:sz w:val="24"/>
                <w:highlight w:val="none"/>
                <w:lang w:val="en-US" w:eastAsia="zh-CN"/>
              </w:rPr>
              <w:t>57</w:t>
            </w:r>
            <w:r>
              <w:rPr>
                <w:rFonts w:eastAsia="仿宋_GB2312"/>
                <w:color w:val="auto"/>
                <w:sz w:val="24"/>
                <w:highlight w:val="none"/>
              </w:rPr>
              <w:t>′</w:t>
            </w:r>
            <w:r>
              <w:rPr>
                <w:rFonts w:hint="eastAsia" w:eastAsia="仿宋_GB2312"/>
                <w:color w:val="auto"/>
                <w:sz w:val="24"/>
                <w:highlight w:val="none"/>
                <w:lang w:val="en-US" w:eastAsia="zh-CN"/>
              </w:rPr>
              <w:t>33.453</w:t>
            </w:r>
            <w:r>
              <w:rPr>
                <w:rFonts w:eastAsia="仿宋_GB2312"/>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国民经济</w:t>
            </w:r>
          </w:p>
          <w:p>
            <w:pPr>
              <w:adjustRightInd w:val="0"/>
              <w:snapToGrid w:val="0"/>
              <w:jc w:val="center"/>
              <w:rPr>
                <w:b/>
                <w:bCs/>
                <w:color w:val="auto"/>
                <w:sz w:val="24"/>
                <w:highlight w:val="none"/>
              </w:rPr>
            </w:pPr>
            <w:r>
              <w:rPr>
                <w:b/>
                <w:bCs/>
                <w:color w:val="auto"/>
                <w:sz w:val="24"/>
                <w:highlight w:val="none"/>
              </w:rPr>
              <w:t>行业类别</w:t>
            </w:r>
          </w:p>
        </w:tc>
        <w:tc>
          <w:tcPr>
            <w:tcW w:w="251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ascii="Times New Roman" w:hAnsi="Times New Roman" w:eastAsia="仿宋_GB2312" w:cs="Times New Roman"/>
                <w:color w:val="auto"/>
                <w:kern w:val="2"/>
                <w:sz w:val="24"/>
                <w:szCs w:val="24"/>
                <w:highlight w:val="none"/>
                <w:lang w:val="en-US" w:eastAsia="zh-CN" w:bidi="ar-SA"/>
              </w:rPr>
              <w:t>N7610防洪除涝设施管理</w:t>
            </w:r>
          </w:p>
        </w:tc>
        <w:tc>
          <w:tcPr>
            <w:tcW w:w="1755" w:type="dxa"/>
            <w:tcBorders>
              <w:tl2br w:val="nil"/>
              <w:tr2bl w:val="nil"/>
            </w:tcBorders>
            <w:vAlign w:val="center"/>
          </w:tcPr>
          <w:p>
            <w:pPr>
              <w:adjustRightInd w:val="0"/>
              <w:snapToGrid w:val="0"/>
              <w:jc w:val="center"/>
              <w:rPr>
                <w:b/>
                <w:bCs/>
                <w:color w:val="auto"/>
                <w:sz w:val="24"/>
                <w:highlight w:val="none"/>
              </w:rPr>
            </w:pPr>
            <w:bookmarkStart w:id="1" w:name="_Hlk49843745"/>
            <w:r>
              <w:rPr>
                <w:b/>
                <w:bCs/>
                <w:color w:val="auto"/>
                <w:sz w:val="24"/>
                <w:highlight w:val="none"/>
              </w:rPr>
              <w:t>建设项目</w:t>
            </w:r>
          </w:p>
          <w:p>
            <w:pPr>
              <w:adjustRightInd w:val="0"/>
              <w:snapToGrid w:val="0"/>
              <w:jc w:val="center"/>
              <w:rPr>
                <w:rFonts w:eastAsia="仿宋_GB2312"/>
                <w:b/>
                <w:bCs/>
                <w:color w:val="auto"/>
                <w:sz w:val="24"/>
                <w:highlight w:val="none"/>
              </w:rPr>
            </w:pPr>
            <w:r>
              <w:rPr>
                <w:b/>
                <w:bCs/>
                <w:color w:val="auto"/>
                <w:sz w:val="24"/>
                <w:highlight w:val="none"/>
              </w:rPr>
              <w:t>行业类别</w:t>
            </w:r>
            <w:bookmarkEnd w:id="1"/>
          </w:p>
        </w:tc>
        <w:tc>
          <w:tcPr>
            <w:tcW w:w="2732" w:type="dxa"/>
            <w:tcBorders>
              <w:tl2br w:val="nil"/>
              <w:tr2bl w:val="nil"/>
            </w:tcBorders>
            <w:vAlign w:val="center"/>
          </w:tcPr>
          <w:p>
            <w:pPr>
              <w:adjustRightInd w:val="0"/>
              <w:snapToGrid w:val="0"/>
              <w:jc w:val="center"/>
              <w:rPr>
                <w:rFonts w:hint="eastAsia" w:eastAsia="仿宋_GB2312"/>
                <w:color w:val="auto"/>
                <w:sz w:val="24"/>
                <w:highlight w:val="none"/>
                <w:lang w:eastAsia="zh-CN"/>
              </w:rPr>
            </w:pPr>
            <w:r>
              <w:rPr>
                <w:rFonts w:hint="eastAsia" w:ascii="Times New Roman" w:hAnsi="Times New Roman" w:eastAsia="仿宋_GB2312" w:cs="Times New Roman"/>
                <w:b w:val="0"/>
                <w:bCs w:val="0"/>
                <w:color w:val="auto"/>
                <w:sz w:val="24"/>
                <w:szCs w:val="24"/>
                <w:highlight w:val="none"/>
                <w:lang w:eastAsia="zh-CN"/>
              </w:rPr>
              <w:t>五十一</w:t>
            </w:r>
            <w:r>
              <w:rPr>
                <w:rFonts w:hint="default" w:ascii="Times New Roman" w:hAnsi="Times New Roman" w:eastAsia="仿宋_GB2312" w:cs="Times New Roman"/>
                <w:b w:val="0"/>
                <w:bCs w:val="0"/>
                <w:color w:val="auto"/>
                <w:sz w:val="24"/>
                <w:szCs w:val="24"/>
                <w:highlight w:val="none"/>
              </w:rPr>
              <w:t>、</w:t>
            </w:r>
            <w:r>
              <w:rPr>
                <w:rFonts w:hint="eastAsia" w:ascii="Times New Roman" w:hAnsi="Times New Roman" w:eastAsia="仿宋_GB2312" w:cs="Times New Roman"/>
                <w:b w:val="0"/>
                <w:bCs w:val="0"/>
                <w:color w:val="auto"/>
                <w:sz w:val="24"/>
                <w:szCs w:val="24"/>
                <w:highlight w:val="none"/>
                <w:lang w:eastAsia="zh-CN"/>
              </w:rPr>
              <w:t>水利；</w:t>
            </w:r>
            <w:r>
              <w:rPr>
                <w:rFonts w:hint="eastAsia" w:ascii="Times New Roman" w:hAnsi="Times New Roman" w:eastAsia="仿宋_GB2312" w:cs="Times New Roman"/>
                <w:b w:val="0"/>
                <w:bCs w:val="0"/>
                <w:color w:val="auto"/>
                <w:sz w:val="24"/>
                <w:szCs w:val="24"/>
                <w:highlight w:val="none"/>
                <w:lang w:val="en-US" w:eastAsia="zh-CN"/>
              </w:rPr>
              <w:t>127</w:t>
            </w:r>
            <w:r>
              <w:rPr>
                <w:rFonts w:hint="default" w:ascii="Times New Roman" w:hAnsi="Times New Roman" w:eastAsia="仿宋_GB2312" w:cs="Times New Roman"/>
                <w:b w:val="0"/>
                <w:bCs w:val="0"/>
                <w:color w:val="auto"/>
                <w:sz w:val="24"/>
                <w:szCs w:val="24"/>
                <w:highlight w:val="none"/>
              </w:rPr>
              <w:t>、</w:t>
            </w:r>
            <w:r>
              <w:rPr>
                <w:rFonts w:hint="eastAsia" w:ascii="Times New Roman" w:hAnsi="Times New Roman" w:eastAsia="仿宋_GB2312" w:cs="Times New Roman"/>
                <w:b w:val="0"/>
                <w:bCs w:val="0"/>
                <w:color w:val="auto"/>
                <w:sz w:val="24"/>
                <w:szCs w:val="24"/>
                <w:highlight w:val="none"/>
                <w:lang w:eastAsia="zh-CN"/>
              </w:rPr>
              <w:t>防洪除涝工程</w:t>
            </w:r>
            <w:r>
              <w:rPr>
                <w:rFonts w:hint="eastAsia" w:eastAsia="仿宋_GB2312"/>
                <w:color w:val="auto"/>
                <w:sz w:val="24"/>
                <w:highlight w:val="none"/>
                <w:lang w:val="en-US" w:eastAsia="zh-CN"/>
              </w:rPr>
              <w:t>；其他</w:t>
            </w:r>
            <w:r>
              <w:rPr>
                <w:rFonts w:hint="eastAsia" w:ascii="Times New Roman" w:hAnsi="Times New Roman" w:eastAsia="仿宋_GB2312" w:cs="Times New Roman"/>
                <w:b w:val="0"/>
                <w:bCs w:val="0"/>
                <w:color w:val="auto"/>
                <w:sz w:val="24"/>
                <w:szCs w:val="24"/>
                <w:highlight w:val="none"/>
                <w:lang w:eastAsia="zh-CN"/>
              </w:rPr>
              <w:t>（小型沟渠的护坡除外；城镇排涝河流水闸、排涝泵站除外）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建设性质</w:t>
            </w:r>
          </w:p>
        </w:tc>
        <w:tc>
          <w:tcPr>
            <w:tcW w:w="2512" w:type="dxa"/>
            <w:tcBorders>
              <w:tl2br w:val="nil"/>
              <w:tr2bl w:val="nil"/>
            </w:tcBorders>
            <w:vAlign w:val="center"/>
          </w:tcPr>
          <w:p>
            <w:pPr>
              <w:snapToGrid w:val="0"/>
              <w:jc w:val="left"/>
              <w:rPr>
                <w:rFonts w:eastAsia="仿宋_GB2312"/>
                <w:color w:val="auto"/>
                <w:sz w:val="24"/>
                <w:highlight w:val="none"/>
              </w:rPr>
            </w:pPr>
            <w:r>
              <w:rPr>
                <w:rFonts w:hint="eastAsia" w:eastAsia="仿宋_GB2312"/>
                <w:color w:val="auto"/>
                <w:sz w:val="24"/>
                <w:highlight w:val="none"/>
                <w:lang w:eastAsia="zh-CN"/>
              </w:rPr>
              <w:sym w:font="Wingdings 2" w:char="0052"/>
            </w:r>
            <w:r>
              <w:rPr>
                <w:rFonts w:eastAsia="仿宋_GB2312"/>
                <w:color w:val="auto"/>
                <w:sz w:val="24"/>
                <w:highlight w:val="none"/>
              </w:rPr>
              <w:t>新建（迁建）</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改建</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扩建</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技术改造</w:t>
            </w:r>
          </w:p>
        </w:tc>
        <w:tc>
          <w:tcPr>
            <w:tcW w:w="1755" w:type="dxa"/>
            <w:tcBorders>
              <w:tl2br w:val="nil"/>
              <w:tr2bl w:val="nil"/>
            </w:tcBorders>
            <w:vAlign w:val="center"/>
          </w:tcPr>
          <w:p>
            <w:pPr>
              <w:adjustRightInd w:val="0"/>
              <w:snapToGrid w:val="0"/>
              <w:jc w:val="center"/>
              <w:rPr>
                <w:b/>
                <w:bCs/>
                <w:color w:val="auto"/>
                <w:sz w:val="24"/>
                <w:highlight w:val="none"/>
              </w:rPr>
            </w:pPr>
            <w:r>
              <w:rPr>
                <w:b/>
                <w:bCs/>
                <w:color w:val="auto"/>
                <w:sz w:val="24"/>
                <w:highlight w:val="none"/>
              </w:rPr>
              <w:t>建设项目</w:t>
            </w:r>
          </w:p>
          <w:p>
            <w:pPr>
              <w:adjustRightInd w:val="0"/>
              <w:snapToGrid w:val="0"/>
              <w:jc w:val="center"/>
              <w:rPr>
                <w:rFonts w:eastAsia="仿宋_GB2312"/>
                <w:b/>
                <w:bCs/>
                <w:color w:val="auto"/>
                <w:sz w:val="24"/>
                <w:highlight w:val="none"/>
              </w:rPr>
            </w:pPr>
            <w:r>
              <w:rPr>
                <w:b/>
                <w:bCs/>
                <w:color w:val="auto"/>
                <w:sz w:val="24"/>
                <w:highlight w:val="none"/>
              </w:rPr>
              <w:t>申报情形</w:t>
            </w:r>
          </w:p>
        </w:tc>
        <w:tc>
          <w:tcPr>
            <w:tcW w:w="2732" w:type="dxa"/>
            <w:tcBorders>
              <w:tl2br w:val="nil"/>
              <w:tr2bl w:val="nil"/>
            </w:tcBorders>
            <w:vAlign w:val="center"/>
          </w:tcPr>
          <w:p>
            <w:pPr>
              <w:snapToGrid w:val="0"/>
              <w:jc w:val="left"/>
              <w:rPr>
                <w:rFonts w:eastAsia="仿宋_GB2312"/>
                <w:color w:val="auto"/>
                <w:sz w:val="24"/>
                <w:highlight w:val="none"/>
              </w:rPr>
            </w:pPr>
            <w:r>
              <w:rPr>
                <w:rFonts w:hint="eastAsia" w:eastAsia="仿宋_GB2312"/>
                <w:color w:val="auto"/>
                <w:sz w:val="24"/>
                <w:highlight w:val="none"/>
                <w:lang w:eastAsia="zh-CN"/>
              </w:rPr>
              <w:sym w:font="Wingdings 2" w:char="0052"/>
            </w:r>
            <w:r>
              <w:rPr>
                <w:rFonts w:eastAsia="仿宋_GB2312"/>
                <w:color w:val="auto"/>
                <w:sz w:val="24"/>
                <w:highlight w:val="none"/>
              </w:rPr>
              <w:t xml:space="preserve">首次申报项目             </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不予批准后再次申报项目</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 xml:space="preserve">超五年重新审核项目     </w:t>
            </w:r>
          </w:p>
          <w:p>
            <w:pPr>
              <w:snapToGrid w:val="0"/>
              <w:jc w:val="left"/>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项目审批部门</w:t>
            </w:r>
          </w:p>
        </w:tc>
        <w:tc>
          <w:tcPr>
            <w:tcW w:w="2512" w:type="dxa"/>
            <w:tcBorders>
              <w:tl2br w:val="nil"/>
              <w:tr2bl w:val="nil"/>
            </w:tcBorders>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eastAsia="zh-CN"/>
              </w:rPr>
              <w:t>中卫市沙坡头区发展和改革局</w:t>
            </w:r>
          </w:p>
        </w:tc>
        <w:tc>
          <w:tcPr>
            <w:tcW w:w="1755" w:type="dxa"/>
            <w:tcBorders>
              <w:tl2br w:val="nil"/>
              <w:tr2bl w:val="nil"/>
            </w:tcBorders>
            <w:vAlign w:val="center"/>
          </w:tcPr>
          <w:p>
            <w:pPr>
              <w:adjustRightInd w:val="0"/>
              <w:snapToGrid w:val="0"/>
              <w:jc w:val="center"/>
              <w:rPr>
                <w:b/>
                <w:bCs/>
                <w:color w:val="auto"/>
                <w:sz w:val="24"/>
                <w:highlight w:val="none"/>
              </w:rPr>
            </w:pPr>
            <w:r>
              <w:rPr>
                <w:b/>
                <w:bCs/>
                <w:color w:val="auto"/>
                <w:sz w:val="24"/>
                <w:highlight w:val="none"/>
              </w:rPr>
              <w:t>项目审批文号</w:t>
            </w:r>
          </w:p>
        </w:tc>
        <w:tc>
          <w:tcPr>
            <w:tcW w:w="273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eastAsia="zh-CN"/>
              </w:rPr>
              <w:t>卫沙发改（审批）发</w:t>
            </w:r>
            <w:r>
              <w:rPr>
                <w:rFonts w:hint="default"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2022</w:t>
            </w:r>
            <w:r>
              <w:rPr>
                <w:rFonts w:hint="default"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137号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总投资（万元）</w:t>
            </w:r>
          </w:p>
        </w:tc>
        <w:tc>
          <w:tcPr>
            <w:tcW w:w="251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539.99</w:t>
            </w:r>
          </w:p>
        </w:tc>
        <w:tc>
          <w:tcPr>
            <w:tcW w:w="1755" w:type="dxa"/>
            <w:tcBorders>
              <w:tl2br w:val="nil"/>
              <w:tr2bl w:val="nil"/>
            </w:tcBorders>
            <w:tcMar>
              <w:top w:w="16" w:type="dxa"/>
              <w:left w:w="16" w:type="dxa"/>
              <w:right w:w="16" w:type="dxa"/>
            </w:tcMar>
            <w:vAlign w:val="center"/>
          </w:tcPr>
          <w:p>
            <w:pPr>
              <w:adjustRightInd w:val="0"/>
              <w:snapToGrid w:val="0"/>
              <w:jc w:val="center"/>
              <w:rPr>
                <w:color w:val="auto"/>
                <w:highlight w:val="none"/>
              </w:rPr>
            </w:pPr>
            <w:r>
              <w:rPr>
                <w:b/>
                <w:bCs/>
                <w:color w:val="auto"/>
                <w:sz w:val="24"/>
                <w:highlight w:val="none"/>
              </w:rPr>
              <w:t>环保投资（万元）</w:t>
            </w:r>
          </w:p>
        </w:tc>
        <w:tc>
          <w:tcPr>
            <w:tcW w:w="273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color w:val="auto"/>
                <w:highlight w:val="none"/>
              </w:rPr>
            </w:pPr>
            <w:r>
              <w:rPr>
                <w:b/>
                <w:bCs/>
                <w:color w:val="auto"/>
                <w:sz w:val="24"/>
                <w:highlight w:val="none"/>
              </w:rPr>
              <w:t>环保投资占比（%）</w:t>
            </w:r>
          </w:p>
        </w:tc>
        <w:tc>
          <w:tcPr>
            <w:tcW w:w="251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4.63</w:t>
            </w:r>
          </w:p>
        </w:tc>
        <w:tc>
          <w:tcPr>
            <w:tcW w:w="1755"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施工工期</w:t>
            </w:r>
          </w:p>
        </w:tc>
        <w:tc>
          <w:tcPr>
            <w:tcW w:w="2732" w:type="dxa"/>
            <w:tcBorders>
              <w:tl2br w:val="nil"/>
              <w:tr2bl w:val="nil"/>
            </w:tcBorders>
            <w:vAlign w:val="center"/>
          </w:tcPr>
          <w:p>
            <w:pPr>
              <w:adjustRightInd w:val="0"/>
              <w:snapToGrid w:val="0"/>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4个月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71" w:type="dxa"/>
            <w:tcBorders>
              <w:tl2br w:val="nil"/>
              <w:tr2bl w:val="nil"/>
            </w:tcBorders>
            <w:tcMar>
              <w:top w:w="16" w:type="dxa"/>
              <w:left w:w="16" w:type="dxa"/>
              <w:right w:w="16" w:type="dxa"/>
            </w:tcMar>
            <w:vAlign w:val="center"/>
          </w:tcPr>
          <w:p>
            <w:pPr>
              <w:adjustRightInd w:val="0"/>
              <w:snapToGrid w:val="0"/>
              <w:jc w:val="center"/>
              <w:rPr>
                <w:b/>
                <w:bCs/>
                <w:color w:val="auto"/>
                <w:sz w:val="24"/>
                <w:highlight w:val="none"/>
              </w:rPr>
            </w:pPr>
            <w:r>
              <w:rPr>
                <w:b/>
                <w:bCs/>
                <w:color w:val="auto"/>
                <w:sz w:val="24"/>
                <w:highlight w:val="none"/>
              </w:rPr>
              <w:t>是否开工建设</w:t>
            </w:r>
          </w:p>
        </w:tc>
        <w:tc>
          <w:tcPr>
            <w:tcW w:w="2512" w:type="dxa"/>
            <w:tcBorders>
              <w:tl2br w:val="nil"/>
              <w:tr2bl w:val="nil"/>
            </w:tcBorders>
            <w:vAlign w:val="center"/>
          </w:tcPr>
          <w:p>
            <w:pPr>
              <w:adjustRightInd w:val="0"/>
              <w:snapToGrid w:val="0"/>
              <w:rPr>
                <w:rFonts w:eastAsia="仿宋_GB2312"/>
                <w:color w:val="auto"/>
                <w:sz w:val="24"/>
                <w:highlight w:val="none"/>
              </w:rPr>
            </w:pPr>
            <w:r>
              <w:rPr>
                <w:rFonts w:hint="eastAsia" w:eastAsia="仿宋_GB2312"/>
                <w:color w:val="auto"/>
                <w:sz w:val="24"/>
                <w:highlight w:val="none"/>
              </w:rPr>
              <w:sym w:font="Wingdings 2" w:char="0052"/>
            </w:r>
            <w:r>
              <w:rPr>
                <w:rFonts w:eastAsia="仿宋_GB2312"/>
                <w:color w:val="auto"/>
                <w:sz w:val="24"/>
                <w:highlight w:val="none"/>
              </w:rPr>
              <w:t>否</w:t>
            </w:r>
          </w:p>
          <w:p>
            <w:pPr>
              <w:adjustRightInd w:val="0"/>
              <w:snapToGrid w:val="0"/>
              <w:rPr>
                <w:rFonts w:eastAsia="仿宋_GB2312"/>
                <w:color w:val="auto"/>
                <w:sz w:val="24"/>
                <w:highlight w:val="none"/>
              </w:rPr>
            </w:pPr>
            <w:r>
              <w:rPr>
                <w:rFonts w:hint="eastAsia" w:eastAsia="仿宋_GB2312"/>
                <w:color w:val="auto"/>
                <w:sz w:val="24"/>
                <w:highlight w:val="none"/>
              </w:rPr>
              <w:t>□</w:t>
            </w:r>
            <w:r>
              <w:rPr>
                <w:rFonts w:eastAsia="仿宋_GB2312"/>
                <w:color w:val="auto"/>
                <w:sz w:val="24"/>
                <w:highlight w:val="none"/>
              </w:rPr>
              <w:t>是：</w:t>
            </w:r>
          </w:p>
        </w:tc>
        <w:tc>
          <w:tcPr>
            <w:tcW w:w="1755" w:type="dxa"/>
            <w:tcBorders>
              <w:tl2br w:val="nil"/>
              <w:tr2bl w:val="nil"/>
            </w:tcBorders>
            <w:tcMar>
              <w:top w:w="16" w:type="dxa"/>
              <w:left w:w="16" w:type="dxa"/>
              <w:right w:w="16" w:type="dxa"/>
            </w:tcMar>
            <w:vAlign w:val="center"/>
          </w:tcPr>
          <w:p>
            <w:pPr>
              <w:adjustRightInd w:val="0"/>
              <w:snapToGrid w:val="0"/>
              <w:jc w:val="center"/>
              <w:rPr>
                <w:color w:val="auto"/>
                <w:highlight w:val="none"/>
              </w:rPr>
            </w:pPr>
            <w:r>
              <w:rPr>
                <w:b/>
                <w:bCs/>
                <w:color w:val="auto"/>
                <w:spacing w:val="-6"/>
                <w:sz w:val="24"/>
                <w:highlight w:val="none"/>
              </w:rPr>
              <w:t>用地面积（m</w:t>
            </w:r>
            <w:r>
              <w:rPr>
                <w:b/>
                <w:bCs/>
                <w:color w:val="auto"/>
                <w:spacing w:val="-6"/>
                <w:sz w:val="24"/>
                <w:highlight w:val="none"/>
                <w:vertAlign w:val="superscript"/>
              </w:rPr>
              <w:t>2</w:t>
            </w:r>
            <w:r>
              <w:rPr>
                <w:b/>
                <w:bCs/>
                <w:color w:val="auto"/>
                <w:spacing w:val="-6"/>
                <w:sz w:val="24"/>
                <w:highlight w:val="none"/>
              </w:rPr>
              <w:t>）</w:t>
            </w:r>
          </w:p>
        </w:tc>
        <w:tc>
          <w:tcPr>
            <w:tcW w:w="2732" w:type="dxa"/>
            <w:tcBorders>
              <w:tl2br w:val="nil"/>
              <w:tr2bl w:val="nil"/>
            </w:tcBorders>
            <w:vAlign w:val="center"/>
          </w:tcPr>
          <w:p>
            <w:pPr>
              <w:adjustRightInd w:val="0"/>
              <w:snapToGrid w:val="0"/>
              <w:jc w:val="center"/>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永久占地3853.33m</w:t>
            </w:r>
            <w:r>
              <w:rPr>
                <w:rFonts w:hint="eastAsia" w:ascii="Times New Roman" w:hAnsi="Times New Roman" w:eastAsia="仿宋_GB2312" w:cs="Times New Roman"/>
                <w:color w:val="auto"/>
                <w:kern w:val="2"/>
                <w:sz w:val="24"/>
                <w:szCs w:val="24"/>
                <w:highlight w:val="none"/>
                <w:vertAlign w:val="superscript"/>
                <w:lang w:val="en-US" w:eastAsia="zh-CN" w:bidi="ar-SA"/>
              </w:rPr>
              <w:t>2</w:t>
            </w:r>
          </w:p>
          <w:p>
            <w:pPr>
              <w:pStyle w:val="2"/>
              <w:rPr>
                <w:rFonts w:hint="default"/>
                <w:b/>
                <w:bCs/>
                <w:color w:val="auto"/>
                <w:highlight w:val="none"/>
                <w:lang w:val="en-US" w:eastAsia="zh-CN"/>
              </w:rPr>
            </w:pPr>
            <w:r>
              <w:rPr>
                <w:rFonts w:hint="eastAsia" w:eastAsia="仿宋_GB2312"/>
                <w:color w:val="auto"/>
                <w:sz w:val="24"/>
                <w:highlight w:val="none"/>
                <w:lang w:val="en-US" w:eastAsia="zh-CN"/>
              </w:rPr>
              <w:t>临时占地12733.33</w:t>
            </w:r>
            <w:r>
              <w:rPr>
                <w:b w:val="0"/>
                <w:bCs w:val="0"/>
                <w:color w:val="auto"/>
                <w:spacing w:val="-6"/>
                <w:sz w:val="24"/>
                <w:highlight w:val="none"/>
              </w:rPr>
              <w:t>m</w:t>
            </w:r>
            <w:r>
              <w:rPr>
                <w:b w:val="0"/>
                <w:bCs w:val="0"/>
                <w:color w:val="auto"/>
                <w:spacing w:val="-6"/>
                <w:sz w:val="24"/>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1" w:type="dxa"/>
            <w:tcBorders>
              <w:tl2br w:val="nil"/>
              <w:tr2bl w:val="nil"/>
            </w:tcBorders>
            <w:vAlign w:val="center"/>
          </w:tcPr>
          <w:p>
            <w:pPr>
              <w:autoSpaceDE w:val="0"/>
              <w:autoSpaceDN w:val="0"/>
              <w:adjustRightInd w:val="0"/>
              <w:snapToGrid w:val="0"/>
              <w:jc w:val="center"/>
              <w:rPr>
                <w:b/>
                <w:bCs/>
                <w:color w:val="auto"/>
                <w:kern w:val="0"/>
                <w:sz w:val="24"/>
                <w:highlight w:val="none"/>
              </w:rPr>
            </w:pPr>
            <w:r>
              <w:rPr>
                <w:b/>
                <w:bCs/>
                <w:color w:val="auto"/>
                <w:kern w:val="0"/>
                <w:sz w:val="24"/>
                <w:highlight w:val="none"/>
              </w:rPr>
              <w:t>专项评价设置情况</w:t>
            </w:r>
          </w:p>
        </w:tc>
        <w:tc>
          <w:tcPr>
            <w:tcW w:w="6999" w:type="dxa"/>
            <w:gridSpan w:val="3"/>
            <w:tcBorders>
              <w:tl2br w:val="nil"/>
              <w:tr2bl w:val="nil"/>
            </w:tcBorders>
            <w:vAlign w:val="center"/>
          </w:tcPr>
          <w:p>
            <w:pPr>
              <w:autoSpaceDE w:val="0"/>
              <w:autoSpaceDN w:val="0"/>
              <w:adjustRightInd w:val="0"/>
              <w:snapToGrid w:val="0"/>
              <w:ind w:firstLine="480" w:firstLineChars="200"/>
              <w:jc w:val="both"/>
              <w:rPr>
                <w:rFonts w:eastAsia="仿宋_GB2312"/>
                <w:color w:val="auto"/>
                <w:kern w:val="0"/>
                <w:sz w:val="24"/>
                <w:highlight w:val="none"/>
              </w:rPr>
            </w:pPr>
            <w:r>
              <w:rPr>
                <w:rFonts w:hint="default" w:eastAsia="仿宋_GB2312"/>
                <w:color w:val="auto"/>
                <w:kern w:val="0"/>
                <w:sz w:val="24"/>
                <w:highlight w:val="none"/>
                <w:lang w:val="en-US" w:eastAsia="zh-CN"/>
              </w:rPr>
              <w:t>根据《建设项目环境影响报告表编制技术指南 （生态影响类）（试行）》</w:t>
            </w:r>
            <w:r>
              <w:rPr>
                <w:rFonts w:hint="eastAsia" w:eastAsia="仿宋_GB2312"/>
                <w:color w:val="auto"/>
                <w:kern w:val="0"/>
                <w:sz w:val="24"/>
                <w:highlight w:val="none"/>
                <w:lang w:val="en-US" w:eastAsia="zh-CN"/>
              </w:rPr>
              <w:t>，防洪除涝工程：包含水库的项目需要设置地表水专项评价，本项目为防洪除涝工程，但不包含水库，因此本项目不设置专项评价。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1" w:type="dxa"/>
            <w:tcBorders>
              <w:tl2br w:val="nil"/>
              <w:tr2bl w:val="nil"/>
            </w:tcBorders>
            <w:vAlign w:val="center"/>
          </w:tcPr>
          <w:p>
            <w:pPr>
              <w:autoSpaceDE w:val="0"/>
              <w:autoSpaceDN w:val="0"/>
              <w:adjustRightInd w:val="0"/>
              <w:snapToGrid w:val="0"/>
              <w:jc w:val="center"/>
              <w:rPr>
                <w:rFonts w:hint="eastAsia" w:eastAsia="宋体"/>
                <w:b/>
                <w:bCs/>
                <w:color w:val="auto"/>
                <w:kern w:val="0"/>
                <w:sz w:val="24"/>
                <w:highlight w:val="none"/>
                <w:lang w:eastAsia="zh-CN"/>
              </w:rPr>
            </w:pPr>
            <w:r>
              <w:rPr>
                <w:rFonts w:hint="eastAsia"/>
                <w:b/>
                <w:bCs/>
                <w:color w:val="auto"/>
                <w:kern w:val="0"/>
                <w:sz w:val="24"/>
                <w:highlight w:val="none"/>
                <w:lang w:eastAsia="zh-CN"/>
              </w:rPr>
              <w:t>规划情况</w:t>
            </w:r>
          </w:p>
        </w:tc>
        <w:tc>
          <w:tcPr>
            <w:tcW w:w="6999"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规划名称：《宁夏水安全保障“十四五”规划》</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审批机关：自治区发展和改革委员会</w:t>
            </w:r>
          </w:p>
          <w:p>
            <w:pPr>
              <w:autoSpaceDE w:val="0"/>
              <w:autoSpaceDN w:val="0"/>
              <w:adjustRightInd w:val="0"/>
              <w:snapToGrid w:val="0"/>
              <w:spacing w:line="240" w:lineRule="auto"/>
              <w:ind w:firstLine="480" w:firstLineChars="200"/>
              <w:jc w:val="both"/>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16"/>
                <w:sz w:val="24"/>
                <w:szCs w:val="24"/>
                <w:highlight w:val="none"/>
                <w:lang w:val="en-US" w:eastAsia="zh-CN" w:bidi="ar-SA"/>
              </w:rPr>
              <w:t>审批机关：自治区人民政府办公厅《关于印发宁夏回族自治区水安全保障“十四五”规划的通知》（宁政办发〔2021〕82号）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1" w:type="dxa"/>
            <w:tcBorders>
              <w:tl2br w:val="nil"/>
              <w:tr2bl w:val="nil"/>
            </w:tcBorders>
            <w:vAlign w:val="center"/>
          </w:tcPr>
          <w:p>
            <w:pPr>
              <w:autoSpaceDE w:val="0"/>
              <w:autoSpaceDN w:val="0"/>
              <w:adjustRightInd w:val="0"/>
              <w:snapToGrid w:val="0"/>
              <w:jc w:val="center"/>
              <w:rPr>
                <w:rFonts w:hint="eastAsia" w:eastAsia="宋体"/>
                <w:b/>
                <w:bCs/>
                <w:color w:val="auto"/>
                <w:kern w:val="0"/>
                <w:sz w:val="24"/>
                <w:highlight w:val="none"/>
                <w:lang w:eastAsia="zh-CN"/>
              </w:rPr>
            </w:pPr>
            <w:r>
              <w:rPr>
                <w:rFonts w:hint="eastAsia"/>
                <w:b/>
                <w:bCs/>
                <w:color w:val="auto"/>
                <w:kern w:val="0"/>
                <w:sz w:val="24"/>
                <w:highlight w:val="none"/>
                <w:lang w:eastAsia="zh-CN"/>
              </w:rPr>
              <w:t>规划环境影响评价情况</w:t>
            </w:r>
          </w:p>
        </w:tc>
        <w:tc>
          <w:tcPr>
            <w:tcW w:w="6999"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56"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spacing w:val="-6"/>
                <w:kern w:val="16"/>
                <w:sz w:val="24"/>
                <w:szCs w:val="24"/>
                <w:highlight w:val="none"/>
                <w:lang w:val="en-US" w:eastAsia="zh-CN" w:bidi="ar-SA"/>
              </w:rPr>
              <w:t>规划环</w:t>
            </w:r>
            <w:r>
              <w:rPr>
                <w:rFonts w:hint="default" w:ascii="Times New Roman" w:hAnsi="Times New Roman" w:eastAsia="仿宋_GB2312" w:cs="Times New Roman"/>
                <w:color w:val="auto"/>
                <w:kern w:val="16"/>
                <w:sz w:val="24"/>
                <w:szCs w:val="24"/>
                <w:highlight w:val="none"/>
                <w:lang w:val="en-US" w:eastAsia="zh-CN" w:bidi="ar-SA"/>
              </w:rPr>
              <w:t>境影响评价文件名称：《宁夏水安全保障“十四五”规划环境影响报告书》</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审查机关：自治区生态环境厅</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textAlignment w:val="auto"/>
              <w:rPr>
                <w:rFonts w:hint="eastAsia" w:ascii="Times New Roman" w:hAnsi="Times New Roman" w:eastAsia="仿宋_GB2312" w:cs="Times New Roman"/>
                <w:color w:val="auto"/>
                <w:kern w:val="0"/>
                <w:sz w:val="24"/>
                <w:highlight w:val="none"/>
                <w:lang w:eastAsia="zh-CN"/>
              </w:rPr>
            </w:pPr>
            <w:r>
              <w:rPr>
                <w:rFonts w:hint="default" w:ascii="Times New Roman" w:hAnsi="Times New Roman" w:eastAsia="仿宋_GB2312" w:cs="Times New Roman"/>
                <w:color w:val="auto"/>
                <w:kern w:val="16"/>
                <w:sz w:val="24"/>
                <w:szCs w:val="24"/>
                <w:highlight w:val="none"/>
                <w:lang w:val="en-US" w:eastAsia="zh-CN" w:bidi="ar-SA"/>
              </w:rPr>
              <w:t>审查文件名称及文号：自治区生态环境厅关于《宁夏水安全保障“十四五”规划环境影响报告书》审查意见的函（宁环函〔2021〕721号）</w:t>
            </w:r>
          </w:p>
        </w:tc>
      </w:tr>
    </w:tbl>
    <w:p>
      <w:pPr>
        <w:rPr>
          <w:color w:val="auto"/>
          <w:highlight w:val="none"/>
        </w:r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7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tcBorders>
              <w:tl2br w:val="nil"/>
              <w:tr2bl w:val="nil"/>
            </w:tcBorders>
            <w:vAlign w:val="center"/>
          </w:tcPr>
          <w:p>
            <w:pPr>
              <w:autoSpaceDE w:val="0"/>
              <w:autoSpaceDN w:val="0"/>
              <w:adjustRightInd w:val="0"/>
              <w:snapToGrid w:val="0"/>
              <w:jc w:val="center"/>
              <w:rPr>
                <w:rFonts w:hint="eastAsia" w:eastAsia="宋体"/>
                <w:b/>
                <w:bCs/>
                <w:color w:val="auto"/>
                <w:kern w:val="0"/>
                <w:sz w:val="24"/>
                <w:highlight w:val="none"/>
                <w:lang w:eastAsia="zh-CN"/>
              </w:rPr>
            </w:pPr>
            <w:r>
              <w:rPr>
                <w:rFonts w:hint="eastAsia"/>
                <w:b/>
                <w:bCs/>
                <w:color w:val="auto"/>
                <w:kern w:val="0"/>
                <w:sz w:val="24"/>
                <w:highlight w:val="none"/>
                <w:lang w:eastAsia="zh-CN"/>
              </w:rPr>
              <w:t>规划及规划环境影响评价符合性分析</w:t>
            </w:r>
          </w:p>
          <w:p>
            <w:pPr>
              <w:rPr>
                <w:color w:val="auto"/>
                <w:highlight w:val="none"/>
              </w:rPr>
            </w:pPr>
          </w:p>
        </w:tc>
        <w:tc>
          <w:tcPr>
            <w:tcW w:w="78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58" w:firstLineChars="200"/>
              <w:textAlignment w:val="auto"/>
              <w:rPr>
                <w:rFonts w:hint="default" w:ascii="Times New Roman" w:hAnsi="Times New Roman" w:eastAsia="仿宋_GB2312" w:cs="Times New Roman"/>
                <w:b/>
                <w:bCs/>
                <w:color w:val="auto"/>
                <w:spacing w:val="-6"/>
                <w:kern w:val="16"/>
                <w:sz w:val="24"/>
                <w:szCs w:val="24"/>
                <w:highlight w:val="none"/>
                <w:lang w:val="en-US" w:eastAsia="zh-CN" w:bidi="ar-SA"/>
              </w:rPr>
            </w:pPr>
            <w:r>
              <w:rPr>
                <w:rFonts w:hint="default" w:ascii="Times New Roman" w:hAnsi="Times New Roman" w:eastAsia="仿宋_GB2312" w:cs="Times New Roman"/>
                <w:b/>
                <w:bCs/>
                <w:color w:val="auto"/>
                <w:spacing w:val="-6"/>
                <w:kern w:val="16"/>
                <w:sz w:val="24"/>
                <w:szCs w:val="24"/>
                <w:highlight w:val="none"/>
                <w:lang w:val="en-US" w:eastAsia="zh-CN" w:bidi="ar-SA"/>
              </w:rPr>
              <w:t>1</w:t>
            </w:r>
            <w:r>
              <w:rPr>
                <w:rFonts w:hint="eastAsia" w:ascii="Times New Roman" w:hAnsi="Times New Roman" w:eastAsia="仿宋_GB2312" w:cs="Times New Roman"/>
                <w:b/>
                <w:bCs/>
                <w:color w:val="auto"/>
                <w:spacing w:val="-6"/>
                <w:kern w:val="16"/>
                <w:sz w:val="24"/>
                <w:szCs w:val="24"/>
                <w:highlight w:val="none"/>
                <w:lang w:val="en-US" w:eastAsia="zh-CN" w:bidi="ar-SA"/>
              </w:rPr>
              <w:t>、</w:t>
            </w:r>
            <w:r>
              <w:rPr>
                <w:rFonts w:hint="default" w:ascii="Times New Roman" w:hAnsi="Times New Roman" w:eastAsia="仿宋_GB2312" w:cs="Times New Roman"/>
                <w:b/>
                <w:bCs/>
                <w:color w:val="auto"/>
                <w:spacing w:val="-6"/>
                <w:kern w:val="16"/>
                <w:sz w:val="24"/>
                <w:szCs w:val="24"/>
                <w:highlight w:val="none"/>
                <w:lang w:val="en-US" w:eastAsia="zh-CN" w:bidi="ar-SA"/>
              </w:rPr>
              <w:t>与《宁夏水安全保障“十四五”规划》的符合性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eastAsia" w:ascii="Times New Roman" w:hAnsi="Times New Roman" w:eastAsia="仿宋_GB2312" w:cs="Times New Roman"/>
                <w:color w:val="auto"/>
                <w:spacing w:val="-6"/>
                <w:kern w:val="16"/>
                <w:sz w:val="24"/>
                <w:szCs w:val="24"/>
                <w:highlight w:val="none"/>
                <w:lang w:val="en-US" w:eastAsia="zh-CN" w:bidi="ar-SA"/>
              </w:rPr>
            </w:pPr>
            <w:r>
              <w:rPr>
                <w:rFonts w:hint="default" w:ascii="Times New Roman" w:hAnsi="Times New Roman" w:eastAsia="仿宋_GB2312" w:cs="Times New Roman"/>
                <w:color w:val="auto"/>
                <w:spacing w:val="-6"/>
                <w:kern w:val="16"/>
                <w:sz w:val="24"/>
                <w:szCs w:val="24"/>
                <w:highlight w:val="none"/>
                <w:lang w:val="en-US" w:eastAsia="zh-CN" w:bidi="ar-SA"/>
              </w:rPr>
              <w:t>根据《宁夏水安全保障“十四五”规划》</w:t>
            </w:r>
            <w:r>
              <w:rPr>
                <w:rFonts w:hint="eastAsia" w:ascii="Times New Roman" w:hAnsi="Times New Roman" w:eastAsia="仿宋_GB2312" w:cs="Times New Roman"/>
                <w:color w:val="auto"/>
                <w:spacing w:val="-6"/>
                <w:kern w:val="16"/>
                <w:sz w:val="24"/>
                <w:szCs w:val="24"/>
                <w:highlight w:val="none"/>
                <w:lang w:val="en-US" w:eastAsia="zh-CN" w:bidi="ar-SA"/>
              </w:rPr>
              <w:t>第五章第三节：</w:t>
            </w:r>
            <w:r>
              <w:rPr>
                <w:rFonts w:hint="eastAsia" w:ascii="Times New Roman" w:hAnsi="Times New Roman" w:eastAsia="仿宋_GB2312" w:cs="Times New Roman"/>
                <w:b/>
                <w:bCs/>
                <w:color w:val="auto"/>
                <w:spacing w:val="-6"/>
                <w:kern w:val="16"/>
                <w:sz w:val="24"/>
                <w:szCs w:val="24"/>
                <w:highlight w:val="none"/>
                <w:lang w:val="en-US" w:eastAsia="zh-CN" w:bidi="ar-SA"/>
              </w:rPr>
              <w:t>开展清水河综合治理</w:t>
            </w:r>
            <w:r>
              <w:rPr>
                <w:rFonts w:hint="default" w:ascii="Times New Roman" w:hAnsi="Times New Roman" w:eastAsia="仿宋_GB2312" w:cs="Times New Roman"/>
                <w:color w:val="auto"/>
                <w:spacing w:val="-6"/>
                <w:kern w:val="16"/>
                <w:sz w:val="24"/>
                <w:szCs w:val="24"/>
                <w:highlight w:val="none"/>
                <w:lang w:val="en-US" w:eastAsia="zh-CN" w:bidi="ar-SA"/>
              </w:rPr>
              <w:t>。</w:t>
            </w:r>
            <w:r>
              <w:rPr>
                <w:rFonts w:hint="eastAsia" w:ascii="Times New Roman" w:hAnsi="Times New Roman" w:eastAsia="仿宋_GB2312" w:cs="Times New Roman"/>
                <w:color w:val="auto"/>
                <w:spacing w:val="-6"/>
                <w:kern w:val="16"/>
                <w:sz w:val="24"/>
                <w:szCs w:val="24"/>
                <w:highlight w:val="none"/>
                <w:lang w:val="en-US" w:eastAsia="zh-CN" w:bidi="ar-SA"/>
              </w:rPr>
              <w:t>按照“源头涵养、城镇提升、郊野保护”的治理思路，以防洪保安、塌岸治理为重点，推进水生态保护修复及水环境治理。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r>
              <w:rPr>
                <w:rFonts w:hint="default" w:ascii="Times New Roman" w:hAnsi="Times New Roman" w:eastAsia="仿宋_GB2312" w:cs="Times New Roman"/>
                <w:color w:val="auto"/>
                <w:spacing w:val="-6"/>
                <w:kern w:val="16"/>
                <w:sz w:val="24"/>
                <w:szCs w:val="24"/>
                <w:highlight w:val="none"/>
                <w:lang w:val="en-US" w:eastAsia="zh-CN" w:bidi="ar-SA"/>
              </w:rPr>
              <w:t>根据</w:t>
            </w:r>
            <w:r>
              <w:rPr>
                <w:rFonts w:hint="eastAsia" w:ascii="Times New Roman" w:hAnsi="Times New Roman" w:eastAsia="仿宋_GB2312" w:cs="Times New Roman"/>
                <w:color w:val="auto"/>
                <w:spacing w:val="-6"/>
                <w:kern w:val="16"/>
                <w:sz w:val="24"/>
                <w:szCs w:val="24"/>
                <w:highlight w:val="none"/>
                <w:lang w:val="en-US" w:eastAsia="zh-CN" w:bidi="ar-SA"/>
              </w:rPr>
              <w:t>“规划”专栏5 防洪减灾体系建设任务：3.重要支流清水河、苦水河综合治理工程：建设防洪提升体系、水生态保护与修复体系、水环境治理体系等。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r>
              <w:rPr>
                <w:rFonts w:hint="eastAsia" w:ascii="Times New Roman" w:hAnsi="Times New Roman" w:eastAsia="仿宋_GB2312" w:cs="Times New Roman"/>
                <w:color w:val="auto"/>
                <w:spacing w:val="-6"/>
                <w:kern w:val="16"/>
                <w:sz w:val="24"/>
                <w:szCs w:val="24"/>
                <w:highlight w:val="none"/>
                <w:lang w:val="en-US" w:eastAsia="zh-CN" w:bidi="ar-SA"/>
              </w:rPr>
              <w:t>本项目对清水河山河桥到入黄口段进行护坡及生态修复，既增强了清水河的防洪能力，又改善了清水河左岸河滩的生态环境，且被列入“</w:t>
            </w:r>
            <w:r>
              <w:rPr>
                <w:rFonts w:hint="default" w:ascii="Times New Roman" w:hAnsi="Times New Roman" w:eastAsia="仿宋_GB2312" w:cs="Times New Roman"/>
                <w:color w:val="auto"/>
                <w:spacing w:val="-6"/>
                <w:kern w:val="16"/>
                <w:sz w:val="24"/>
                <w:szCs w:val="24"/>
                <w:highlight w:val="none"/>
                <w:lang w:val="en-US" w:eastAsia="zh-CN" w:bidi="ar-SA"/>
              </w:rPr>
              <w:t>宁夏水安全保障“十四五”规划</w:t>
            </w:r>
            <w:r>
              <w:rPr>
                <w:rFonts w:hint="eastAsia" w:ascii="Times New Roman" w:hAnsi="Times New Roman" w:eastAsia="仿宋_GB2312" w:cs="Times New Roman"/>
                <w:color w:val="auto"/>
                <w:spacing w:val="-6"/>
                <w:kern w:val="16"/>
                <w:sz w:val="24"/>
                <w:szCs w:val="24"/>
                <w:highlight w:val="none"/>
                <w:lang w:val="en-US" w:eastAsia="zh-CN" w:bidi="ar-SA"/>
              </w:rPr>
              <w:t>重大项目，”因此，本项目符合</w:t>
            </w:r>
            <w:r>
              <w:rPr>
                <w:rFonts w:hint="default" w:ascii="Times New Roman" w:hAnsi="Times New Roman" w:eastAsia="仿宋_GB2312" w:cs="Times New Roman"/>
                <w:color w:val="auto"/>
                <w:spacing w:val="-6"/>
                <w:kern w:val="16"/>
                <w:sz w:val="24"/>
                <w:szCs w:val="24"/>
                <w:highlight w:val="none"/>
                <w:lang w:val="en-US" w:eastAsia="zh-CN" w:bidi="ar-SA"/>
              </w:rPr>
              <w:t>《宁夏水安全保障“十四五”规划》</w:t>
            </w:r>
            <w:r>
              <w:rPr>
                <w:rFonts w:hint="eastAsia" w:ascii="Times New Roman" w:hAnsi="Times New Roman" w:eastAsia="仿宋_GB2312" w:cs="Times New Roman"/>
                <w:color w:val="auto"/>
                <w:spacing w:val="-6"/>
                <w:kern w:val="16"/>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8" w:firstLineChars="200"/>
              <w:textAlignment w:val="auto"/>
              <w:rPr>
                <w:rFonts w:hint="default" w:ascii="Times New Roman" w:hAnsi="Times New Roman" w:eastAsia="仿宋_GB2312" w:cs="Times New Roman"/>
                <w:b/>
                <w:bCs/>
                <w:color w:val="auto"/>
                <w:spacing w:val="-6"/>
                <w:kern w:val="16"/>
                <w:sz w:val="24"/>
                <w:szCs w:val="24"/>
                <w:highlight w:val="none"/>
                <w:lang w:val="en-US" w:eastAsia="zh-CN" w:bidi="ar-SA"/>
              </w:rPr>
            </w:pPr>
            <w:r>
              <w:rPr>
                <w:rFonts w:hint="eastAsia" w:ascii="Times New Roman" w:hAnsi="Times New Roman" w:eastAsia="仿宋_GB2312" w:cs="Times New Roman"/>
                <w:b/>
                <w:bCs/>
                <w:color w:val="auto"/>
                <w:spacing w:val="-6"/>
                <w:kern w:val="16"/>
                <w:sz w:val="24"/>
                <w:szCs w:val="24"/>
                <w:highlight w:val="none"/>
                <w:lang w:val="en-US" w:eastAsia="zh-CN" w:bidi="ar-SA"/>
              </w:rPr>
              <w:t>2、</w:t>
            </w:r>
            <w:r>
              <w:rPr>
                <w:rFonts w:hint="default" w:ascii="Times New Roman" w:hAnsi="Times New Roman" w:eastAsia="仿宋_GB2312" w:cs="Times New Roman"/>
                <w:b/>
                <w:bCs/>
                <w:color w:val="auto"/>
                <w:spacing w:val="-6"/>
                <w:kern w:val="16"/>
                <w:sz w:val="24"/>
                <w:szCs w:val="24"/>
                <w:highlight w:val="none"/>
                <w:lang w:val="en-US" w:eastAsia="zh-CN" w:bidi="ar-SA"/>
              </w:rPr>
              <w:t>与《宁夏水安全保障“十四五”规划</w:t>
            </w:r>
            <w:r>
              <w:rPr>
                <w:rFonts w:hint="eastAsia" w:ascii="Times New Roman" w:hAnsi="Times New Roman" w:eastAsia="仿宋_GB2312" w:cs="Times New Roman"/>
                <w:b/>
                <w:bCs/>
                <w:color w:val="auto"/>
                <w:spacing w:val="-6"/>
                <w:kern w:val="16"/>
                <w:sz w:val="24"/>
                <w:szCs w:val="24"/>
                <w:highlight w:val="none"/>
                <w:lang w:val="en-US" w:eastAsia="zh-CN" w:bidi="ar-SA"/>
              </w:rPr>
              <w:t>环境影响报告书</w:t>
            </w:r>
            <w:r>
              <w:rPr>
                <w:rFonts w:hint="default" w:ascii="Times New Roman" w:hAnsi="Times New Roman" w:eastAsia="仿宋_GB2312" w:cs="Times New Roman"/>
                <w:b/>
                <w:bCs/>
                <w:color w:val="auto"/>
                <w:spacing w:val="-6"/>
                <w:kern w:val="16"/>
                <w:sz w:val="24"/>
                <w:szCs w:val="24"/>
                <w:highlight w:val="none"/>
                <w:lang w:val="en-US" w:eastAsia="zh-CN" w:bidi="ar-SA"/>
              </w:rPr>
              <w:t>》的符合性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r>
              <w:rPr>
                <w:rFonts w:hint="default" w:ascii="Times New Roman" w:hAnsi="Times New Roman" w:eastAsia="仿宋_GB2312" w:cs="Times New Roman"/>
                <w:color w:val="auto"/>
                <w:spacing w:val="-6"/>
                <w:kern w:val="16"/>
                <w:sz w:val="24"/>
                <w:szCs w:val="24"/>
                <w:highlight w:val="none"/>
                <w:lang w:val="en-US" w:eastAsia="zh-CN" w:bidi="ar-SA"/>
              </w:rPr>
              <w:t>本</w:t>
            </w:r>
            <w:r>
              <w:rPr>
                <w:rFonts w:hint="eastAsia" w:ascii="Times New Roman" w:hAnsi="Times New Roman" w:eastAsia="仿宋_GB2312" w:cs="Times New Roman"/>
                <w:color w:val="auto"/>
                <w:spacing w:val="-6"/>
                <w:kern w:val="16"/>
                <w:sz w:val="24"/>
                <w:szCs w:val="24"/>
                <w:highlight w:val="none"/>
                <w:lang w:val="en-US" w:eastAsia="zh-CN" w:bidi="ar-SA"/>
              </w:rPr>
              <w:t>项目</w:t>
            </w:r>
            <w:r>
              <w:rPr>
                <w:rFonts w:hint="default" w:ascii="Times New Roman" w:hAnsi="Times New Roman" w:eastAsia="仿宋_GB2312" w:cs="Times New Roman"/>
                <w:color w:val="auto"/>
                <w:spacing w:val="-6"/>
                <w:kern w:val="16"/>
                <w:sz w:val="24"/>
                <w:szCs w:val="24"/>
                <w:highlight w:val="none"/>
                <w:lang w:val="en-US" w:eastAsia="zh-CN" w:bidi="ar-SA"/>
              </w:rPr>
              <w:t>与《宁夏水安全保障“十四五”规划环境影响报告书》符合性分析详见</w:t>
            </w:r>
            <w:r>
              <w:rPr>
                <w:rFonts w:hint="eastAsia" w:ascii="Times New Roman" w:hAnsi="Times New Roman" w:eastAsia="仿宋_GB2312" w:cs="Times New Roman"/>
                <w:color w:val="auto"/>
                <w:spacing w:val="-6"/>
                <w:kern w:val="16"/>
                <w:sz w:val="24"/>
                <w:szCs w:val="24"/>
                <w:highlight w:val="none"/>
                <w:lang w:val="en-US" w:eastAsia="zh-CN" w:bidi="ar-SA"/>
              </w:rPr>
              <w:t>表1。</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8" w:firstLineChars="200"/>
              <w:textAlignment w:val="auto"/>
              <w:rPr>
                <w:rFonts w:hint="default" w:ascii="Times New Roman" w:hAnsi="Times New Roman" w:eastAsia="仿宋_GB2312" w:cs="Times New Roman"/>
                <w:b/>
                <w:bCs/>
                <w:color w:val="auto"/>
                <w:spacing w:val="-6"/>
                <w:kern w:val="16"/>
                <w:sz w:val="24"/>
                <w:szCs w:val="24"/>
                <w:highlight w:val="none"/>
                <w:lang w:val="en-US" w:eastAsia="zh-CN" w:bidi="ar-SA"/>
              </w:rPr>
            </w:pPr>
            <w:r>
              <w:rPr>
                <w:rFonts w:hint="eastAsia" w:ascii="Times New Roman" w:hAnsi="Times New Roman" w:eastAsia="仿宋_GB2312" w:cs="Times New Roman"/>
                <w:b/>
                <w:bCs/>
                <w:color w:val="auto"/>
                <w:spacing w:val="-6"/>
                <w:kern w:val="16"/>
                <w:sz w:val="24"/>
                <w:szCs w:val="24"/>
                <w:highlight w:val="none"/>
                <w:lang w:val="en-US" w:eastAsia="zh-CN" w:bidi="ar-SA"/>
              </w:rPr>
              <w:t>3、与自治区生态环境厅关于《宁夏水安全保障“十四五”规划环境影响报告书》审查意见的符合性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r>
              <w:rPr>
                <w:rFonts w:hint="default" w:ascii="Times New Roman" w:hAnsi="Times New Roman" w:eastAsia="仿宋_GB2312" w:cs="Times New Roman"/>
                <w:color w:val="auto"/>
                <w:spacing w:val="-6"/>
                <w:kern w:val="16"/>
                <w:sz w:val="24"/>
                <w:szCs w:val="24"/>
                <w:highlight w:val="none"/>
                <w:lang w:val="en-US" w:eastAsia="zh-CN" w:bidi="ar-SA"/>
              </w:rPr>
              <w:t>本</w:t>
            </w:r>
            <w:r>
              <w:rPr>
                <w:rFonts w:hint="eastAsia" w:ascii="Times New Roman" w:hAnsi="Times New Roman" w:eastAsia="仿宋_GB2312" w:cs="Times New Roman"/>
                <w:color w:val="auto"/>
                <w:spacing w:val="-6"/>
                <w:kern w:val="16"/>
                <w:sz w:val="24"/>
                <w:szCs w:val="24"/>
                <w:highlight w:val="none"/>
                <w:lang w:val="en-US" w:eastAsia="zh-CN" w:bidi="ar-SA"/>
              </w:rPr>
              <w:t>项目</w:t>
            </w:r>
            <w:r>
              <w:rPr>
                <w:rFonts w:hint="default" w:ascii="Times New Roman" w:hAnsi="Times New Roman" w:eastAsia="仿宋_GB2312" w:cs="Times New Roman"/>
                <w:color w:val="auto"/>
                <w:spacing w:val="-6"/>
                <w:kern w:val="16"/>
                <w:sz w:val="24"/>
                <w:szCs w:val="24"/>
                <w:highlight w:val="none"/>
                <w:lang w:val="en-US" w:eastAsia="zh-CN" w:bidi="ar-SA"/>
              </w:rPr>
              <w:t>与《宁夏水安全保障“十四五”规划环境影响报告书》审查意见的符合性分析详见表2</w:t>
            </w:r>
            <w:r>
              <w:rPr>
                <w:rFonts w:hint="eastAsia" w:ascii="Times New Roman" w:hAnsi="Times New Roman" w:eastAsia="仿宋_GB2312" w:cs="Times New Roman"/>
                <w:color w:val="auto"/>
                <w:spacing w:val="-6"/>
                <w:kern w:val="16"/>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仿宋_GB2312" w:cs="Times New Roman"/>
                <w:color w:val="auto"/>
                <w:spacing w:val="-6"/>
                <w:kern w:val="16"/>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textAlignment w:val="auto"/>
              <w:rPr>
                <w:rFonts w:hint="eastAsia" w:ascii="Times New Roman" w:hAnsi="Times New Roman" w:eastAsia="仿宋_GB2312" w:cs="Times New Roman"/>
                <w:color w:val="auto"/>
                <w:kern w:val="0"/>
                <w:sz w:val="24"/>
                <w:highlight w:val="none"/>
                <w:lang w:val="en-US" w:eastAsia="zh-CN"/>
              </w:rPr>
            </w:pPr>
          </w:p>
        </w:tc>
      </w:tr>
    </w:tbl>
    <w:p>
      <w:pPr>
        <w:rPr>
          <w:color w:val="auto"/>
          <w:highlight w:val="none"/>
        </w:rPr>
        <w:sectPr>
          <w:footerReference r:id="rId7" w:type="default"/>
          <w:pgSz w:w="11906" w:h="16838"/>
          <w:pgMar w:top="1701" w:right="1417" w:bottom="1701"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tbl>
      <w:tblPr>
        <w:tblStyle w:val="24"/>
        <w:tblW w:w="13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70" w:hRule="atLeast"/>
          <w:jc w:val="center"/>
        </w:trPr>
        <w:tc>
          <w:tcPr>
            <w:tcW w:w="13720" w:type="dxa"/>
            <w:vAlign w:val="center"/>
          </w:tcPr>
          <w:p>
            <w:pPr>
              <w:pStyle w:val="7"/>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jc w:val="both"/>
              <w:textAlignment w:val="auto"/>
              <w:rPr>
                <w:rFonts w:hint="default" w:ascii="Times New Roman" w:hAnsi="Times New Roman" w:eastAsia="黑体" w:cs="Times New Roman"/>
                <w:bCs/>
                <w:color w:val="auto"/>
                <w:kern w:val="2"/>
                <w:sz w:val="24"/>
                <w:szCs w:val="24"/>
                <w:highlight w:val="none"/>
                <w:lang w:val="en-US" w:eastAsia="zh-CN" w:bidi="ar-SA"/>
              </w:rPr>
            </w:pPr>
            <w:bookmarkStart w:id="2" w:name="_Ref42843957"/>
            <w:r>
              <w:rPr>
                <w:rFonts w:hint="default" w:ascii="Times New Roman" w:hAnsi="Times New Roman" w:eastAsia="黑体" w:cs="Times New Roman"/>
                <w:bCs/>
                <w:color w:val="auto"/>
                <w:kern w:val="2"/>
                <w:sz w:val="24"/>
                <w:szCs w:val="24"/>
                <w:highlight w:val="none"/>
                <w:lang w:val="en-US" w:eastAsia="zh-CN" w:bidi="ar-SA"/>
              </w:rPr>
              <w:t>表</w:t>
            </w:r>
            <w:bookmarkEnd w:id="2"/>
            <w:r>
              <w:rPr>
                <w:rFonts w:hint="default" w:ascii="Times New Roman" w:hAnsi="Times New Roman" w:cs="Times New Roman"/>
                <w:bCs/>
                <w:color w:val="auto"/>
                <w:kern w:val="2"/>
                <w:sz w:val="24"/>
                <w:szCs w:val="24"/>
                <w:highlight w:val="none"/>
                <w:lang w:val="en-US" w:eastAsia="zh-CN" w:bidi="ar-SA"/>
              </w:rPr>
              <w:t>1</w:t>
            </w:r>
            <w:r>
              <w:rPr>
                <w:rFonts w:hint="eastAsia" w:ascii="Times New Roman" w:hAnsi="Times New Roman" w:cs="Times New Roman"/>
                <w:bCs/>
                <w:color w:val="auto"/>
                <w:kern w:val="2"/>
                <w:sz w:val="24"/>
                <w:szCs w:val="24"/>
                <w:highlight w:val="none"/>
                <w:lang w:val="en-US" w:eastAsia="zh-CN" w:bidi="ar-SA"/>
              </w:rPr>
              <w:t xml:space="preserve">    </w:t>
            </w:r>
            <w:r>
              <w:rPr>
                <w:rFonts w:hint="default" w:ascii="Times New Roman" w:hAnsi="Times New Roman" w:cs="Times New Roman"/>
                <w:bCs/>
                <w:color w:val="auto"/>
                <w:kern w:val="2"/>
                <w:sz w:val="24"/>
                <w:szCs w:val="24"/>
                <w:highlight w:val="none"/>
                <w:lang w:val="en-US" w:eastAsia="zh-CN" w:bidi="ar-SA"/>
              </w:rPr>
              <w:t xml:space="preserve">       </w:t>
            </w:r>
            <w:r>
              <w:rPr>
                <w:rFonts w:hint="default" w:ascii="Times New Roman" w:hAnsi="Times New Roman" w:eastAsia="黑体" w:cs="Times New Roman"/>
                <w:bCs/>
                <w:color w:val="auto"/>
                <w:kern w:val="2"/>
                <w:sz w:val="24"/>
                <w:szCs w:val="24"/>
                <w:highlight w:val="none"/>
                <w:lang w:val="en-US" w:eastAsia="zh-CN" w:bidi="ar-SA"/>
              </w:rPr>
              <w:t xml:space="preserve"> 本</w:t>
            </w:r>
            <w:r>
              <w:rPr>
                <w:rFonts w:hint="eastAsia" w:cs="Times New Roman"/>
                <w:bCs/>
                <w:color w:val="auto"/>
                <w:kern w:val="2"/>
                <w:sz w:val="24"/>
                <w:szCs w:val="24"/>
                <w:highlight w:val="none"/>
                <w:lang w:val="en-US" w:eastAsia="zh-CN" w:bidi="ar-SA"/>
              </w:rPr>
              <w:t>项目</w:t>
            </w:r>
            <w:r>
              <w:rPr>
                <w:rFonts w:hint="default" w:ascii="Times New Roman" w:hAnsi="Times New Roman" w:eastAsia="黑体" w:cs="Times New Roman"/>
                <w:bCs/>
                <w:color w:val="auto"/>
                <w:kern w:val="2"/>
                <w:sz w:val="24"/>
                <w:szCs w:val="24"/>
                <w:highlight w:val="none"/>
                <w:lang w:val="en-US" w:eastAsia="zh-CN" w:bidi="ar-SA"/>
              </w:rPr>
              <w:t>与《宁夏水安全保障“十四五”规划环境影响报告书》的符合性</w:t>
            </w:r>
            <w:r>
              <w:rPr>
                <w:rFonts w:hint="default" w:ascii="Times New Roman" w:hAnsi="Times New Roman" w:cs="Times New Roman"/>
                <w:bCs/>
                <w:color w:val="auto"/>
                <w:kern w:val="2"/>
                <w:sz w:val="24"/>
                <w:szCs w:val="24"/>
                <w:highlight w:val="none"/>
                <w:lang w:val="en-US" w:eastAsia="zh-CN" w:bidi="ar-SA"/>
              </w:rPr>
              <w:t>分析一览表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7114"/>
              <w:gridCol w:w="4537"/>
              <w:gridCol w:w="10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规划环评要求</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本工程具体情况</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空间布局约束：</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项目的永久、临时占地（包括水库淹没区）原则上不占用生态保护红线、自然保护地、饮用水水源保护区、水产种质资源保护区等各类环境敏感区。</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确实无法避让、需占用环境敏感区的，应符合相关法律法规要求，并采取有效的恢复和补偿措施。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3.项目占用耕地、林地等应符合相关法律法规、规划、政策要求，并采取必要的补偿措施。</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r>
                    <w:rPr>
                      <w:rFonts w:hint="eastAsia" w:ascii="Times New Roman" w:hAnsi="Times New Roman"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占地不涉及不占用生态保护红线、自然保护地、饮用水水源保护区、水产种质资源保护区等各类环境敏感区。</w:t>
                  </w:r>
                  <w:r>
                    <w:rPr>
                      <w:rFonts w:hint="default" w:ascii="Times New Roman" w:hAnsi="Times New Roman" w:cs="Times New Roman"/>
                      <w:color w:val="auto"/>
                      <w:sz w:val="21"/>
                      <w:szCs w:val="21"/>
                      <w:highlight w:val="none"/>
                      <w:lang w:val="en-US" w:eastAsia="zh-CN"/>
                    </w:rPr>
                    <w:t>本项目临时占地及永久占地中均涉及占用</w:t>
                  </w:r>
                  <w:r>
                    <w:rPr>
                      <w:rFonts w:hint="eastAsia" w:ascii="Times New Roman" w:hAnsi="Times New Roman" w:cs="Times New Roman"/>
                      <w:color w:val="auto"/>
                      <w:sz w:val="21"/>
                      <w:szCs w:val="21"/>
                      <w:highlight w:val="none"/>
                      <w:lang w:val="en-US" w:eastAsia="zh-CN"/>
                    </w:rPr>
                    <w:t>荒地</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河滩地</w:t>
                  </w:r>
                  <w:r>
                    <w:rPr>
                      <w:rFonts w:hint="default" w:ascii="Times New Roman" w:hAnsi="Times New Roman" w:cs="Times New Roman"/>
                      <w:color w:val="auto"/>
                      <w:sz w:val="21"/>
                      <w:szCs w:val="21"/>
                      <w:highlight w:val="none"/>
                      <w:lang w:val="en-US" w:eastAsia="zh-CN"/>
                    </w:rPr>
                    <w:t>等，项目临时工程施工结束后采取种植当地适宜植物等有效方式及时进行生态恢复，同时针对临时占地及永久占地依据占补平衡原则及时进行占地补偿。</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污染物排放管控：</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项目的建设运行不新增主要水污染物排放，或主要水污染物排放量在相关河段或流域的水环境承载能力范围内。</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 因水资源开发和配置造成河段水量减少、对水污染物稀释扩散能力减弱的，应确保相关河段水质满足环境质量底线和水功能区要求。</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本项目不新增水污染排放，不新增取水口，</w:t>
                  </w:r>
                  <w:r>
                    <w:rPr>
                      <w:rFonts w:hint="eastAsia" w:cs="Times New Roman"/>
                      <w:color w:val="auto"/>
                      <w:sz w:val="21"/>
                      <w:szCs w:val="21"/>
                      <w:highlight w:val="none"/>
                      <w:lang w:val="en-US" w:eastAsia="zh-CN"/>
                    </w:rPr>
                    <w:t>施工期设置围堰改道</w:t>
                  </w:r>
                  <w:r>
                    <w:rPr>
                      <w:rFonts w:hint="default" w:ascii="Times New Roman" w:hAnsi="Times New Roman" w:cs="Times New Roman"/>
                      <w:color w:val="auto"/>
                      <w:sz w:val="21"/>
                      <w:szCs w:val="21"/>
                      <w:highlight w:val="none"/>
                      <w:lang w:val="en-US" w:eastAsia="zh-CN"/>
                    </w:rPr>
                    <w:t>会改变区域水文情势，</w:t>
                  </w:r>
                  <w:r>
                    <w:rPr>
                      <w:rFonts w:hint="eastAsia" w:cs="Times New Roman"/>
                      <w:color w:val="auto"/>
                      <w:sz w:val="21"/>
                      <w:szCs w:val="21"/>
                      <w:highlight w:val="none"/>
                      <w:lang w:val="en-US" w:eastAsia="zh-CN"/>
                    </w:rPr>
                    <w:t>但施工期较短，施工完成后拆除围堰使河道恢复原状，</w:t>
                  </w:r>
                  <w:r>
                    <w:rPr>
                      <w:rFonts w:hint="default" w:ascii="Times New Roman" w:hAnsi="Times New Roman" w:cs="Times New Roman"/>
                      <w:color w:val="auto"/>
                      <w:sz w:val="21"/>
                      <w:szCs w:val="21"/>
                      <w:highlight w:val="none"/>
                      <w:lang w:val="en-US" w:eastAsia="zh-CN"/>
                    </w:rPr>
                    <w:t>满足环境质量底线和水功能区的要求</w:t>
                  </w:r>
                  <w:r>
                    <w:rPr>
                      <w:rFonts w:hint="default" w:ascii="Times New Roman" w:hAnsi="Times New Roman" w:eastAsia="宋体" w:cs="Times New Roman"/>
                      <w:color w:val="auto"/>
                      <w:sz w:val="21"/>
                      <w:szCs w:val="21"/>
                      <w:highlight w:val="none"/>
                      <w:lang w:val="en-US" w:eastAsia="zh-CN"/>
                    </w:rPr>
                    <w:t>。</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val="en-US" w:eastAsia="zh-CN"/>
                    </w:rPr>
                    <w:t>资源利用效率要求：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 xml:space="preserve">1. </w:t>
                  </w:r>
                  <w:r>
                    <w:rPr>
                      <w:rFonts w:hint="default" w:ascii="Times New Roman" w:hAnsi="Times New Roman" w:eastAsia="宋体" w:cs="Times New Roman"/>
                      <w:color w:val="auto"/>
                      <w:highlight w:val="none"/>
                      <w:lang w:val="en-US" w:eastAsia="zh-CN"/>
                    </w:rPr>
                    <w:t>项目取水量须满足区域水资源利用上线和相关河湖基本生态水量控制要求。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 坚持“以水定城、以水定地、以水定人、以水定产”的原则，在优先保障人居用水和生态环境用水的基础上，合理确定供水规模。</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本项目</w:t>
                  </w:r>
                  <w:r>
                    <w:rPr>
                      <w:rFonts w:hint="eastAsia" w:cs="Times New Roman"/>
                      <w:color w:val="auto"/>
                      <w:highlight w:val="none"/>
                      <w:lang w:val="en-US" w:eastAsia="zh-CN"/>
                    </w:rPr>
                    <w:t>不取用清水河内水</w:t>
                  </w:r>
                  <w:r>
                    <w:rPr>
                      <w:rFonts w:hint="default" w:ascii="Times New Roman" w:hAnsi="Times New Roman" w:eastAsia="宋体" w:cs="Times New Roman"/>
                      <w:color w:val="auto"/>
                      <w:highlight w:val="none"/>
                      <w:lang w:val="en-US" w:eastAsia="zh-CN"/>
                    </w:rPr>
                    <w:t>。</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环境风险防控：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 项目建设不会影响现有饮用水水源地的供水能力和水质。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 新建水源或取水口应采取有效的水污染风险防控措施。</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不涉及饮用水水源地。</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项目环境影响评价阶段，应重点调查受保护的国家级和省级保护物种、珍稀濒危物种、地方特有物种和古树名木的类型、级别、分布、数量、保护状况等进行详细调查，明确影响性质与影响程度，尽量通过优化工程设计避让影响；对通过优化工程设计无法避让影响的，采取迁地保护措施进行保护。</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本工程</w:t>
                  </w:r>
                  <w:r>
                    <w:rPr>
                      <w:rFonts w:hint="default" w:ascii="Times New Roman" w:hAnsi="Times New Roman" w:eastAsia="宋体" w:cs="Times New Roman"/>
                      <w:color w:val="auto"/>
                      <w:sz w:val="21"/>
                      <w:szCs w:val="21"/>
                      <w:highlight w:val="none"/>
                    </w:rPr>
                    <w:t>环评阶段通过资料查阅、实地踏勘、走访调查当地居民及样方调查等，未发现拟建工程选址涉及国家级和省级保护物种、珍稀濒危物种、地方特有物种和古树名木。</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6</w:t>
                  </w:r>
                </w:p>
              </w:tc>
              <w:tc>
                <w:tcPr>
                  <w:tcW w:w="26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 xml:space="preserve">施工阶段，应注意优化施工方案、采用先进施工工艺，尽量减小开挖、取料对地表的扰动，减少资源消耗；合理布置和规划施工场地及其他临时用地，临时堆料做到不占耕地，不影响河道行洪；采取工程措施和植物措施相结合的水土保持综合措施，以工程措施控制水土流失，必要时增加临时防护措施，以减少施工扰动产生的新增水土流失，并为植物措施的实施创造条件，对施工迹地进行绿化恢复；土石弃渣的堆放应遵循“先挡后弃”的原则，同时以植物措施与工程措施配套，提高水保效果，减少工程施工带来的新增水土流失量，恢复原有植被；对于涉及自然保护区、水土流失重点防治区、风景名胜区、湿地公园、水源地保护区等重要生态敏感区的施工区域，应保证施工效率和施工质量，做到施工快，效果好，临时占地少的原则。 </w:t>
                  </w:r>
                </w:p>
              </w:tc>
              <w:tc>
                <w:tcPr>
                  <w:tcW w:w="16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对施工期提出优化施工方案，采用先进施工工艺，尽量减小开挖、取料对地表的扰动，合理布置和规划施工工区和临时用地；采取工程措施、植物措施、临时措施等相结合的水土保持综合措施，减少施工扰动产生的新增水土流失，对施工迹地进行绿化恢复。</w:t>
                  </w:r>
                </w:p>
              </w:tc>
              <w:tc>
                <w:tcPr>
                  <w:tcW w:w="3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7"/>
              <w:keepNext w:val="0"/>
              <w:keepLines w:val="0"/>
              <w:pageBreakBefore w:val="0"/>
              <w:widowControl w:val="0"/>
              <w:kinsoku/>
              <w:wordWrap/>
              <w:overflowPunct/>
              <w:topLinePunct w:val="0"/>
              <w:autoSpaceDE/>
              <w:autoSpaceDN/>
              <w:bidi w:val="0"/>
              <w:adjustRightInd/>
              <w:snapToGrid/>
              <w:spacing w:before="0" w:after="0" w:line="400" w:lineRule="exact"/>
              <w:ind w:firstLine="480" w:firstLineChars="200"/>
              <w:jc w:val="both"/>
              <w:textAlignment w:val="auto"/>
              <w:rPr>
                <w:rFonts w:hint="default" w:ascii="Times New Roman" w:hAnsi="Times New Roman" w:eastAsia="黑体" w:cs="Times New Roman"/>
                <w:bCs/>
                <w:color w:val="auto"/>
                <w:kern w:val="2"/>
                <w:sz w:val="24"/>
                <w:szCs w:val="24"/>
                <w:highlight w:val="none"/>
                <w:lang w:val="en-US" w:eastAsia="zh-CN" w:bidi="ar-SA"/>
              </w:rPr>
            </w:pPr>
            <w:r>
              <w:rPr>
                <w:rFonts w:hint="default" w:ascii="Times New Roman" w:hAnsi="Times New Roman" w:eastAsia="黑体" w:cs="Times New Roman"/>
                <w:bCs/>
                <w:color w:val="auto"/>
                <w:kern w:val="2"/>
                <w:sz w:val="24"/>
                <w:szCs w:val="24"/>
                <w:highlight w:val="none"/>
                <w:lang w:val="en-US" w:eastAsia="zh-CN" w:bidi="ar-SA"/>
              </w:rPr>
              <w:t>表</w:t>
            </w:r>
            <w:r>
              <w:rPr>
                <w:rFonts w:hint="default" w:ascii="Times New Roman" w:hAnsi="Times New Roman" w:cs="Times New Roman"/>
                <w:bCs/>
                <w:color w:val="auto"/>
                <w:kern w:val="2"/>
                <w:sz w:val="24"/>
                <w:szCs w:val="24"/>
                <w:highlight w:val="none"/>
                <w:lang w:val="en-US" w:eastAsia="zh-CN" w:bidi="ar-SA"/>
              </w:rPr>
              <w:t xml:space="preserve">2       </w:t>
            </w:r>
            <w:r>
              <w:rPr>
                <w:rFonts w:hint="eastAsia" w:cs="Times New Roman"/>
                <w:bCs/>
                <w:color w:val="auto"/>
                <w:kern w:val="2"/>
                <w:sz w:val="24"/>
                <w:szCs w:val="24"/>
                <w:highlight w:val="none"/>
                <w:lang w:val="en-US" w:eastAsia="zh-CN" w:bidi="ar-SA"/>
              </w:rPr>
              <w:t xml:space="preserve">  </w:t>
            </w:r>
            <w:r>
              <w:rPr>
                <w:rFonts w:hint="default" w:ascii="Times New Roman" w:hAnsi="Times New Roman" w:eastAsia="黑体" w:cs="Times New Roman"/>
                <w:bCs/>
                <w:color w:val="auto"/>
                <w:kern w:val="2"/>
                <w:sz w:val="24"/>
                <w:szCs w:val="24"/>
                <w:highlight w:val="none"/>
                <w:lang w:val="en-US" w:eastAsia="zh-CN" w:bidi="ar-SA"/>
              </w:rPr>
              <w:t>本</w:t>
            </w:r>
            <w:r>
              <w:rPr>
                <w:rFonts w:hint="eastAsia" w:cs="Times New Roman"/>
                <w:bCs/>
                <w:color w:val="auto"/>
                <w:kern w:val="2"/>
                <w:sz w:val="24"/>
                <w:szCs w:val="24"/>
                <w:highlight w:val="none"/>
                <w:lang w:val="en-US" w:eastAsia="zh-CN" w:bidi="ar-SA"/>
              </w:rPr>
              <w:t>项目</w:t>
            </w:r>
            <w:r>
              <w:rPr>
                <w:rFonts w:hint="default" w:ascii="Times New Roman" w:hAnsi="Times New Roman" w:eastAsia="黑体" w:cs="Times New Roman"/>
                <w:bCs/>
                <w:color w:val="auto"/>
                <w:kern w:val="2"/>
                <w:sz w:val="24"/>
                <w:szCs w:val="24"/>
                <w:highlight w:val="none"/>
                <w:lang w:val="en-US" w:eastAsia="zh-CN" w:bidi="ar-SA"/>
              </w:rPr>
              <w:t>与《宁夏水安全保障“十四五”规划环境影响报告书》审查意见的符合性</w:t>
            </w:r>
            <w:r>
              <w:rPr>
                <w:rFonts w:hint="default" w:ascii="Times New Roman" w:hAnsi="Times New Roman" w:cs="Times New Roman"/>
                <w:bCs/>
                <w:color w:val="auto"/>
                <w:kern w:val="2"/>
                <w:sz w:val="24"/>
                <w:szCs w:val="24"/>
                <w:highlight w:val="none"/>
                <w:lang w:val="en-US" w:eastAsia="zh-CN" w:bidi="ar-SA"/>
              </w:rPr>
              <w:t>分析一览表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5712"/>
              <w:gridCol w:w="5955"/>
              <w:gridCol w:w="1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规划环评要求</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本工程具体情况</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严守生保护红线，加强空间管控。将生态保护红线作为保障和维护区域生态安全的底线，依法实施严格保护，对所涉及的水利工程设施，严格执行各项生态环境保护要求。</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不涉及生态保护红线、自然保护地、饮用水水源保护区等区域，不属于依法禁止或限制大规模、高强度的开发建设活动，通过严格落实生态恢复措施的实施，确保</w:t>
                  </w:r>
                  <w:r>
                    <w:rPr>
                      <w:rFonts w:hint="eastAsia" w:cs="Times New Roman"/>
                      <w:color w:val="auto"/>
                      <w:sz w:val="21"/>
                      <w:szCs w:val="21"/>
                      <w:highlight w:val="none"/>
                      <w:lang w:val="en-US" w:eastAsia="zh-CN"/>
                    </w:rPr>
                    <w:t>工程</w:t>
                  </w:r>
                  <w:r>
                    <w:rPr>
                      <w:rFonts w:hint="default" w:ascii="Times New Roman" w:hAnsi="Times New Roman" w:eastAsia="宋体" w:cs="Times New Roman"/>
                      <w:color w:val="auto"/>
                      <w:sz w:val="21"/>
                      <w:szCs w:val="21"/>
                      <w:highlight w:val="none"/>
                      <w:lang w:val="en-US" w:eastAsia="zh-CN"/>
                    </w:rPr>
                    <w:t>占地生态环境的恢复。</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守环境质量底线，推进区域环境质量持续改善。坚持生态优先、绿色发展、协调发展理念，《规划》的环境目标应立足于生态环境的稳定和环境质量的改善，明确规划期重点工程、开发区域的生态环境质量底线，作为《规划》实施的硬约束,同步实现环境质量改善目标与水资源开发目标。</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已被列入宁夏水安全保障“十四五”规划重大项目，不触及环境质量底线和资源利用上线。</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严格水利工程建设的环境准入条件。严格水利工程准入要求，从源头上避免对区域水环境质量及水生态造成影响。加强水资源综合利用，提高资源节约集约利用水平。</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已被列入宁夏水安全保障“十四五”规划重大项目。本工程从源头上避免对区域水环境质量及水生态造成影响。</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水生态修复和水环境治理。统筹流域、区域，通过水土流失综合治理、重点河湖生态修复、水系连通和水美乡村建设、盐碱地改良和地下水超采区治理，推进水环境质量持续稳定改善、维护水生态系统安全，助力黄河流域生态保护和高质量发展先行区建设。</w:t>
                  </w:r>
                </w:p>
              </w:tc>
              <w:tc>
                <w:tcPr>
                  <w:tcW w:w="22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对清水河山河桥到入黄口段进行护坡及生态修复，</w:t>
                  </w:r>
                  <w:r>
                    <w:rPr>
                      <w:rFonts w:hint="eastAsia" w:cs="Times New Roman"/>
                      <w:color w:val="auto"/>
                      <w:sz w:val="21"/>
                      <w:szCs w:val="21"/>
                      <w:highlight w:val="none"/>
                      <w:lang w:val="en-US" w:eastAsia="zh-CN"/>
                    </w:rPr>
                    <w:t>项目建成后，既增强了清水河的防洪能力，又改善了清水河左岸河滩的生态环境</w:t>
                  </w:r>
                  <w:r>
                    <w:rPr>
                      <w:rFonts w:hint="default" w:ascii="Times New Roman" w:hAnsi="Times New Roman" w:eastAsia="宋体" w:cs="Times New Roman"/>
                      <w:color w:val="auto"/>
                      <w:sz w:val="21"/>
                      <w:szCs w:val="21"/>
                      <w:highlight w:val="none"/>
                      <w:lang w:val="en-US"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64"/>
              <w:bidi w:val="0"/>
              <w:ind w:left="0" w:leftChars="0" w:firstLine="0" w:firstLineChars="0"/>
              <w:rPr>
                <w:rFonts w:hint="default" w:ascii="Times New Roman" w:hAnsi="Times New Roman" w:eastAsia="仿宋_GB2312" w:cs="Times New Roman"/>
                <w:b w:val="0"/>
                <w:bCs w:val="0"/>
                <w:color w:val="auto"/>
                <w:szCs w:val="24"/>
                <w:highlight w:val="none"/>
                <w:lang w:val="en-US" w:eastAsia="zh-CN"/>
              </w:rPr>
            </w:pPr>
          </w:p>
        </w:tc>
      </w:tr>
    </w:tbl>
    <w:p>
      <w:pPr>
        <w:pStyle w:val="2"/>
        <w:rPr>
          <w:color w:val="auto"/>
          <w:highlight w:val="none"/>
        </w:rPr>
        <w:sectPr>
          <w:pgSz w:w="16838" w:h="11906" w:orient="landscape"/>
          <w:pgMar w:top="1417" w:right="1701" w:bottom="1417" w:left="170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rPr>
          <w:color w:val="auto"/>
          <w:highlight w:val="none"/>
        </w:r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7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82" w:hRule="atLeast"/>
          <w:jc w:val="center"/>
        </w:trPr>
        <w:tc>
          <w:tcPr>
            <w:tcW w:w="1152" w:type="dxa"/>
            <w:tcBorders>
              <w:tl2br w:val="nil"/>
              <w:tr2bl w:val="nil"/>
            </w:tcBorders>
            <w:vAlign w:val="center"/>
          </w:tcPr>
          <w:p>
            <w:pPr>
              <w:autoSpaceDE w:val="0"/>
              <w:autoSpaceDN w:val="0"/>
              <w:adjustRightInd w:val="0"/>
              <w:snapToGrid w:val="0"/>
              <w:jc w:val="center"/>
              <w:rPr>
                <w:b/>
                <w:bCs/>
                <w:color w:val="auto"/>
                <w:kern w:val="0"/>
                <w:sz w:val="24"/>
                <w:highlight w:val="none"/>
              </w:rPr>
            </w:pPr>
            <w:r>
              <w:rPr>
                <w:b/>
                <w:bCs/>
                <w:color w:val="auto"/>
                <w:kern w:val="0"/>
                <w:sz w:val="24"/>
                <w:highlight w:val="none"/>
              </w:rPr>
              <w:t>其他符合性分析</w:t>
            </w:r>
          </w:p>
        </w:tc>
        <w:tc>
          <w:tcPr>
            <w:tcW w:w="7718" w:type="dxa"/>
            <w:tcBorders>
              <w:tl2br w:val="nil"/>
              <w:tr2bl w:val="nil"/>
            </w:tcBorders>
          </w:tcPr>
          <w:p>
            <w:pPr>
              <w:autoSpaceDE w:val="0"/>
              <w:autoSpaceDN w:val="0"/>
              <w:adjustRightInd w:val="0"/>
              <w:spacing w:line="360" w:lineRule="auto"/>
              <w:ind w:firstLine="482" w:firstLineChars="200"/>
              <w:rPr>
                <w:rFonts w:eastAsia="仿宋_GB2312"/>
                <w:b/>
                <w:bCs/>
                <w:color w:val="auto"/>
                <w:kern w:val="0"/>
                <w:sz w:val="24"/>
                <w:highlight w:val="none"/>
              </w:rPr>
            </w:pPr>
            <w:r>
              <w:rPr>
                <w:rFonts w:hint="eastAsia" w:eastAsia="仿宋_GB2312"/>
                <w:b/>
                <w:bCs/>
                <w:color w:val="auto"/>
                <w:kern w:val="0"/>
                <w:sz w:val="24"/>
                <w:highlight w:val="none"/>
              </w:rPr>
              <w:t>1、</w:t>
            </w:r>
            <w:r>
              <w:rPr>
                <w:rFonts w:hint="eastAsia" w:eastAsia="仿宋_GB2312"/>
                <w:b/>
                <w:bCs/>
                <w:color w:val="auto"/>
                <w:sz w:val="24"/>
                <w:highlight w:val="none"/>
                <w:lang w:val="en-US" w:eastAsia="zh-CN"/>
              </w:rPr>
              <w:t>本项目与中卫市“三线一单”生态环境分区管控</w:t>
            </w:r>
            <w:r>
              <w:rPr>
                <w:rFonts w:hint="default" w:ascii="Times New Roman" w:hAnsi="Times New Roman" w:eastAsia="仿宋_GB2312" w:cs="Times New Roman"/>
                <w:b/>
                <w:bCs/>
                <w:color w:val="auto"/>
                <w:kern w:val="2"/>
                <w:sz w:val="24"/>
                <w:szCs w:val="24"/>
                <w:highlight w:val="none"/>
                <w:lang w:val="en-US" w:eastAsia="zh-CN" w:bidi="ar-SA"/>
              </w:rPr>
              <w:t>符合性分析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eastAsia" w:eastAsia="仿宋_GB2312"/>
                <w:b/>
                <w:bCs/>
                <w:color w:val="auto"/>
                <w:kern w:val="0"/>
                <w:sz w:val="24"/>
                <w:highlight w:val="none"/>
                <w:lang w:val="en-US" w:eastAsia="zh-CN"/>
              </w:rPr>
              <w:t xml:space="preserve">1.1 </w:t>
            </w:r>
            <w:r>
              <w:rPr>
                <w:rFonts w:hint="default" w:ascii="Times New Roman" w:hAnsi="Times New Roman" w:eastAsia="仿宋_GB2312" w:cs="Times New Roman"/>
                <w:b/>
                <w:bCs/>
                <w:color w:val="auto"/>
                <w:kern w:val="0"/>
                <w:sz w:val="24"/>
                <w:szCs w:val="24"/>
                <w:highlight w:val="none"/>
                <w:lang w:val="en-US" w:eastAsia="zh-CN" w:bidi="ar-SA"/>
              </w:rPr>
              <w:t>生态保护红线</w:t>
            </w:r>
            <w:r>
              <w:rPr>
                <w:rFonts w:hint="eastAsia" w:ascii="Times New Roman" w:hAnsi="Times New Roman" w:eastAsia="仿宋_GB2312" w:cs="Times New Roman"/>
                <w:b/>
                <w:bCs/>
                <w:color w:val="auto"/>
                <w:kern w:val="0"/>
                <w:sz w:val="24"/>
                <w:szCs w:val="24"/>
                <w:highlight w:val="none"/>
                <w:lang w:val="en-US" w:eastAsia="zh-CN" w:bidi="ar-SA"/>
              </w:rPr>
              <w:t>及生态分区管控</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eastAsia" w:ascii="Times New Roman" w:hAnsi="Times New Roman" w:eastAsia="仿宋_GB2312" w:cs="Times New Roman"/>
                <w:b w:val="0"/>
                <w:bCs w:val="0"/>
                <w:color w:val="auto"/>
                <w:kern w:val="0"/>
                <w:sz w:val="24"/>
                <w:szCs w:val="24"/>
                <w:highlight w:val="none"/>
                <w:lang w:val="en-US" w:eastAsia="zh-CN" w:bidi="ar-SA"/>
              </w:rPr>
              <w:t>本项目位于中卫市沙坡头区宣和镇，对照中卫市生态保护红线管控范围图，本项目不在中卫市生态保护红线管控范围，本项目与中卫市生态保护红线位置关系见图</w:t>
            </w:r>
            <w:r>
              <w:rPr>
                <w:rFonts w:hint="eastAsia" w:eastAsia="仿宋_GB2312" w:cs="Times New Roman"/>
                <w:b w:val="0"/>
                <w:bCs w:val="0"/>
                <w:color w:val="auto"/>
                <w:kern w:val="0"/>
                <w:sz w:val="24"/>
                <w:szCs w:val="24"/>
                <w:highlight w:val="none"/>
                <w:lang w:val="en-US" w:eastAsia="zh-CN" w:bidi="ar-SA"/>
              </w:rPr>
              <w:t>1</w:t>
            </w:r>
            <w:r>
              <w:rPr>
                <w:rFonts w:hint="eastAsia" w:ascii="Times New Roman" w:hAnsi="Times New Roman" w:eastAsia="仿宋_GB2312" w:cs="Times New Roman"/>
                <w:b w:val="0"/>
                <w:bCs w:val="0"/>
                <w:color w:val="auto"/>
                <w:kern w:val="0"/>
                <w:sz w:val="24"/>
                <w:szCs w:val="24"/>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eastAsia" w:ascii="Times New Roman" w:hAnsi="Times New Roman" w:eastAsia="仿宋_GB2312" w:cs="Times New Roman"/>
                <w:b w:val="0"/>
                <w:bCs w:val="0"/>
                <w:color w:val="auto"/>
                <w:kern w:val="0"/>
                <w:sz w:val="24"/>
                <w:szCs w:val="24"/>
                <w:highlight w:val="none"/>
                <w:lang w:val="en-US" w:eastAsia="zh-CN" w:bidi="ar-SA"/>
              </w:rPr>
            </w:pPr>
            <w:r>
              <w:rPr>
                <w:rFonts w:hint="eastAsia" w:ascii="Times New Roman" w:hAnsi="Times New Roman" w:eastAsia="仿宋_GB2312" w:cs="Times New Roman"/>
                <w:b w:val="0"/>
                <w:bCs w:val="0"/>
                <w:color w:val="auto"/>
                <w:kern w:val="0"/>
                <w:sz w:val="24"/>
                <w:szCs w:val="24"/>
                <w:highlight w:val="none"/>
                <w:lang w:val="en-US" w:eastAsia="zh-CN" w:bidi="ar-SA"/>
              </w:rPr>
              <w:t>生态分区管控要求：</w:t>
            </w:r>
            <w:r>
              <w:rPr>
                <w:rFonts w:hint="eastAsia" w:eastAsia="仿宋_GB2312" w:cs="Times New Roman"/>
                <w:b w:val="0"/>
                <w:bCs w:val="0"/>
                <w:color w:val="auto"/>
                <w:kern w:val="0"/>
                <w:sz w:val="24"/>
                <w:szCs w:val="24"/>
                <w:highlight w:val="none"/>
                <w:lang w:val="en-US" w:eastAsia="zh-CN" w:bidi="ar-SA"/>
              </w:rPr>
              <w:t>对照</w:t>
            </w:r>
            <w:r>
              <w:rPr>
                <w:rFonts w:hint="eastAsia" w:ascii="Times New Roman" w:hAnsi="Times New Roman" w:eastAsia="仿宋_GB2312" w:cs="Times New Roman"/>
                <w:b w:val="0"/>
                <w:bCs w:val="0"/>
                <w:color w:val="auto"/>
                <w:kern w:val="0"/>
                <w:sz w:val="24"/>
                <w:szCs w:val="24"/>
                <w:highlight w:val="none"/>
                <w:lang w:val="en-US" w:eastAsia="zh-CN" w:bidi="ar-SA"/>
              </w:rPr>
              <w:t>中卫市生态空间分布图可知，本项目位于一般生态空间。一般生态空间原则上按照限制开发区域的要求进行管理。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空间，有序引导生态空间用途之间的相互转换，鼓励向有利于生态功能提升的方向转变，严格限制不符合生态保护要求或有损生态功能的转换。</w:t>
            </w:r>
          </w:p>
          <w:p>
            <w:pPr>
              <w:autoSpaceDE w:val="0"/>
              <w:autoSpaceDN w:val="0"/>
              <w:adjustRightInd w:val="0"/>
              <w:spacing w:line="360" w:lineRule="auto"/>
              <w:ind w:firstLine="480" w:firstLineChars="200"/>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bidi="ar-SA"/>
              </w:rPr>
              <w:t>开展南部山区水源涵养林建设。系统推进清水河治理，加强小流域综合治理，优化布局河谷沟道水库、水保骨干坝、淤地坝，实施旱作梯田、淤地坝改造提标工程，提升水土保持功能；加快建设生态经济林，持续推进南华山水源涵养林带建设，提升水源涵养功能</w:t>
            </w:r>
            <w:r>
              <w:rPr>
                <w:rFonts w:hint="eastAsia" w:eastAsia="仿宋_GB2312" w:cs="Times New Roman"/>
                <w:b w:val="0"/>
                <w:bCs w:val="0"/>
                <w:color w:val="auto"/>
                <w:kern w:val="0"/>
                <w:sz w:val="24"/>
                <w:szCs w:val="24"/>
                <w:highlight w:val="none"/>
                <w:lang w:val="en-US" w:eastAsia="zh-CN" w:bidi="ar-SA"/>
              </w:rPr>
              <w:t>。</w:t>
            </w:r>
          </w:p>
          <w:p>
            <w:pPr>
              <w:autoSpaceDE w:val="0"/>
              <w:autoSpaceDN w:val="0"/>
              <w:adjustRightInd w:val="0"/>
              <w:spacing w:line="360" w:lineRule="auto"/>
              <w:ind w:firstLine="480" w:firstLineChars="200"/>
              <w:rPr>
                <w:rFonts w:hint="default" w:eastAsia="仿宋_GB2312"/>
                <w:color w:val="auto"/>
                <w:kern w:val="0"/>
                <w:sz w:val="24"/>
                <w:highlight w:val="none"/>
                <w:lang w:val="en-US"/>
              </w:rPr>
            </w:pPr>
            <w:r>
              <w:rPr>
                <w:rFonts w:hint="default" w:ascii="Times New Roman" w:hAnsi="Times New Roman" w:eastAsia="仿宋_GB2312" w:cs="Times New Roman"/>
                <w:b w:val="0"/>
                <w:bCs w:val="0"/>
                <w:color w:val="auto"/>
                <w:kern w:val="0"/>
                <w:sz w:val="24"/>
                <w:szCs w:val="24"/>
                <w:highlight w:val="none"/>
                <w:lang w:val="en-US" w:eastAsia="zh-CN" w:bidi="ar-SA"/>
              </w:rPr>
              <w:t>本项目位于</w:t>
            </w:r>
            <w:r>
              <w:rPr>
                <w:rFonts w:hint="eastAsia" w:eastAsia="仿宋_GB2312" w:cs="Times New Roman"/>
                <w:b w:val="0"/>
                <w:bCs w:val="0"/>
                <w:color w:val="auto"/>
                <w:kern w:val="0"/>
                <w:sz w:val="24"/>
                <w:szCs w:val="24"/>
                <w:highlight w:val="none"/>
                <w:lang w:val="en-US" w:eastAsia="zh-CN" w:bidi="ar-SA"/>
              </w:rPr>
              <w:t>中卫市沙坡头区宣和镇</w:t>
            </w:r>
            <w:r>
              <w:rPr>
                <w:rFonts w:hint="eastAsia" w:ascii="Times New Roman" w:hAnsi="Times New Roman" w:eastAsia="仿宋_GB2312" w:cs="Times New Roman"/>
                <w:b w:val="0"/>
                <w:bCs w:val="0"/>
                <w:color w:val="auto"/>
                <w:kern w:val="0"/>
                <w:sz w:val="24"/>
                <w:szCs w:val="24"/>
                <w:highlight w:val="none"/>
                <w:lang w:val="en-US" w:eastAsia="zh-CN" w:bidi="ar-SA"/>
              </w:rPr>
              <w:t>，</w:t>
            </w:r>
            <w:r>
              <w:rPr>
                <w:rFonts w:hint="eastAsia" w:eastAsia="仿宋_GB2312" w:cs="Times New Roman"/>
                <w:b w:val="0"/>
                <w:bCs w:val="0"/>
                <w:color w:val="auto"/>
                <w:kern w:val="0"/>
                <w:sz w:val="24"/>
                <w:szCs w:val="24"/>
                <w:highlight w:val="none"/>
                <w:lang w:val="en-US" w:eastAsia="zh-CN" w:bidi="ar-SA"/>
              </w:rPr>
              <w:t>为清水河治理项目。</w:t>
            </w:r>
            <w:r>
              <w:rPr>
                <w:rFonts w:hint="eastAsia" w:eastAsia="仿宋_GB2312" w:cs="Times New Roman"/>
                <w:color w:val="auto"/>
                <w:kern w:val="0"/>
                <w:sz w:val="24"/>
                <w:szCs w:val="24"/>
                <w:highlight w:val="none"/>
                <w:lang w:val="en-US" w:eastAsia="zh-CN" w:bidi="ar-SA"/>
              </w:rPr>
              <w:t>因此</w:t>
            </w:r>
            <w:r>
              <w:rPr>
                <w:rFonts w:hint="default" w:ascii="Times New Roman" w:hAnsi="Times New Roman" w:eastAsia="仿宋_GB2312" w:cs="Times New Roman"/>
                <w:color w:val="auto"/>
                <w:kern w:val="0"/>
                <w:sz w:val="24"/>
                <w:szCs w:val="24"/>
                <w:highlight w:val="none"/>
                <w:lang w:val="en-US" w:eastAsia="zh-CN" w:bidi="ar-SA"/>
              </w:rPr>
              <w:t>，本项目满足</w:t>
            </w:r>
            <w:r>
              <w:rPr>
                <w:rFonts w:hint="eastAsia" w:ascii="Times New Roman" w:hAnsi="Times New Roman" w:eastAsia="仿宋_GB2312" w:cs="Times New Roman"/>
                <w:color w:val="auto"/>
                <w:kern w:val="0"/>
                <w:sz w:val="24"/>
                <w:szCs w:val="24"/>
                <w:highlight w:val="none"/>
                <w:lang w:val="en-US" w:eastAsia="zh-CN" w:bidi="ar-SA"/>
              </w:rPr>
              <w:t>一般</w:t>
            </w:r>
            <w:r>
              <w:rPr>
                <w:rFonts w:hint="eastAsia" w:ascii="Times New Roman" w:hAnsi="Times New Roman" w:eastAsia="仿宋_GB2312" w:cs="Times New Roman"/>
                <w:b w:val="0"/>
                <w:bCs w:val="0"/>
                <w:color w:val="auto"/>
                <w:kern w:val="0"/>
                <w:sz w:val="24"/>
                <w:szCs w:val="24"/>
                <w:highlight w:val="none"/>
                <w:lang w:val="en-US" w:eastAsia="zh-CN" w:bidi="ar-SA"/>
              </w:rPr>
              <w:t>生态空间</w:t>
            </w:r>
            <w:r>
              <w:rPr>
                <w:rFonts w:hint="default" w:ascii="Times New Roman" w:hAnsi="Times New Roman" w:eastAsia="仿宋_GB2312" w:cs="Times New Roman"/>
                <w:color w:val="auto"/>
                <w:kern w:val="0"/>
                <w:sz w:val="24"/>
                <w:szCs w:val="24"/>
                <w:highlight w:val="none"/>
                <w:lang w:val="en-US" w:eastAsia="zh-CN" w:bidi="ar-SA"/>
              </w:rPr>
              <w:t>管控要求</w:t>
            </w:r>
            <w:r>
              <w:rPr>
                <w:rFonts w:hint="eastAsia" w:ascii="Times New Roman" w:hAnsi="Times New Roman" w:eastAsia="仿宋_GB2312" w:cs="Times New Roman"/>
                <w:b w:val="0"/>
                <w:bCs w:val="0"/>
                <w:color w:val="auto"/>
                <w:kern w:val="0"/>
                <w:sz w:val="24"/>
                <w:szCs w:val="24"/>
                <w:highlight w:val="none"/>
                <w:lang w:val="en-US" w:eastAsia="zh-CN" w:bidi="ar-SA"/>
              </w:rPr>
              <w:t>。本项目与中卫市生态空间分布位置关系见图</w:t>
            </w:r>
            <w:r>
              <w:rPr>
                <w:rFonts w:hint="eastAsia" w:eastAsia="仿宋_GB2312" w:cs="Times New Roman"/>
                <w:b w:val="0"/>
                <w:bCs w:val="0"/>
                <w:color w:val="auto"/>
                <w:kern w:val="0"/>
                <w:sz w:val="24"/>
                <w:szCs w:val="24"/>
                <w:highlight w:val="none"/>
                <w:lang w:val="en-US" w:eastAsia="zh-CN" w:bidi="ar-SA"/>
              </w:rPr>
              <w:t>2。</w:t>
            </w:r>
          </w:p>
          <w:p>
            <w:pPr>
              <w:adjustRightInd w:val="0"/>
              <w:snapToGrid w:val="0"/>
              <w:spacing w:line="360" w:lineRule="auto"/>
              <w:ind w:firstLine="482" w:firstLineChars="200"/>
              <w:outlineLvl w:val="1"/>
              <w:rPr>
                <w:rFonts w:hint="default" w:ascii="Times New Roman" w:hAnsi="Times New Roman" w:eastAsia="仿宋_GB2312" w:cs="Times New Roman"/>
                <w:b w:val="0"/>
                <w:bCs w:val="0"/>
                <w:color w:val="auto"/>
                <w:sz w:val="24"/>
                <w:highlight w:val="none"/>
              </w:rPr>
            </w:pPr>
            <w:r>
              <w:rPr>
                <w:rFonts w:hint="eastAsia" w:eastAsia="仿宋_GB2312"/>
                <w:b/>
                <w:bCs/>
                <w:color w:val="auto"/>
                <w:kern w:val="0"/>
                <w:sz w:val="24"/>
                <w:highlight w:val="none"/>
                <w:lang w:val="en-US" w:eastAsia="zh-CN"/>
              </w:rPr>
              <w:t xml:space="preserve">1.2 </w:t>
            </w:r>
            <w:r>
              <w:rPr>
                <w:rFonts w:hint="default" w:ascii="Times New Roman" w:hAnsi="Times New Roman" w:eastAsia="仿宋_GB2312" w:cs="Times New Roman"/>
                <w:b/>
                <w:bCs/>
                <w:color w:val="auto"/>
                <w:sz w:val="24"/>
                <w:highlight w:val="none"/>
              </w:rPr>
              <w:t>环境质量底线</w:t>
            </w:r>
            <w:r>
              <w:rPr>
                <w:rFonts w:hint="eastAsia" w:eastAsia="仿宋_GB2312" w:cs="Times New Roman"/>
                <w:b/>
                <w:bCs/>
                <w:color w:val="auto"/>
                <w:sz w:val="24"/>
                <w:highlight w:val="none"/>
                <w:lang w:eastAsia="zh-CN"/>
              </w:rPr>
              <w:t>及分区管控</w:t>
            </w:r>
          </w:p>
          <w:p>
            <w:pPr>
              <w:pStyle w:val="6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①水环境</w:t>
            </w:r>
            <w:r>
              <w:rPr>
                <w:rFonts w:hint="eastAsia"/>
                <w:color w:val="auto"/>
                <w:highlight w:val="none"/>
                <w:lang w:val="en-US" w:eastAsia="zh-CN"/>
              </w:rPr>
              <w:t>质量底线及分区管控</w:t>
            </w:r>
          </w:p>
          <w:p>
            <w:pPr>
              <w:pStyle w:val="64"/>
              <w:keepNext w:val="0"/>
              <w:keepLines w:val="0"/>
              <w:suppressLineNumbers w:val="0"/>
              <w:bidi w:val="0"/>
              <w:spacing w:before="0" w:beforeAutospacing="0" w:after="0" w:afterAutospacing="0"/>
              <w:ind w:left="0" w:right="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eastAsia="zh-CN"/>
              </w:rPr>
              <w:t>水环境质量底线：</w:t>
            </w:r>
            <w:r>
              <w:rPr>
                <w:rFonts w:hint="default" w:ascii="Times New Roman" w:hAnsi="Times New Roman" w:eastAsia="仿宋_GB2312" w:cs="Times New Roman"/>
                <w:color w:val="auto"/>
                <w:sz w:val="24"/>
                <w:szCs w:val="24"/>
                <w:highlight w:val="none"/>
                <w:lang w:eastAsia="zh-CN"/>
              </w:rPr>
              <w:t>根据《</w:t>
            </w:r>
            <w:r>
              <w:rPr>
                <w:rFonts w:hint="eastAsia" w:ascii="Times New Roman" w:hAnsi="Times New Roman" w:cs="Times New Roman"/>
                <w:color w:val="auto"/>
                <w:sz w:val="24"/>
                <w:szCs w:val="24"/>
                <w:highlight w:val="none"/>
                <w:lang w:eastAsia="zh-CN"/>
              </w:rPr>
              <w:t>中卫市</w:t>
            </w:r>
            <w:r>
              <w:rPr>
                <w:rFonts w:hint="default" w:ascii="Times New Roman" w:hAnsi="Times New Roman" w:eastAsia="仿宋_GB2312" w:cs="Times New Roman"/>
                <w:color w:val="auto"/>
                <w:sz w:val="24"/>
                <w:szCs w:val="24"/>
                <w:highlight w:val="none"/>
                <w:lang w:eastAsia="zh-CN"/>
              </w:rPr>
              <w:t>“三线一单”编制文本》中“表</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eastAsia="zh-CN"/>
              </w:rPr>
              <w:t xml:space="preserve">-1 </w:t>
            </w:r>
            <w:r>
              <w:rPr>
                <w:rFonts w:hint="eastAsia" w:ascii="Times New Roman" w:hAnsi="Times New Roman" w:cs="Times New Roman"/>
                <w:color w:val="auto"/>
                <w:sz w:val="24"/>
                <w:szCs w:val="24"/>
                <w:highlight w:val="none"/>
                <w:lang w:eastAsia="zh-CN"/>
              </w:rPr>
              <w:t>中卫市</w:t>
            </w:r>
            <w:r>
              <w:rPr>
                <w:rFonts w:hint="default" w:ascii="Times New Roman" w:hAnsi="Times New Roman" w:eastAsia="仿宋_GB2312" w:cs="Times New Roman"/>
                <w:color w:val="auto"/>
                <w:sz w:val="24"/>
                <w:szCs w:val="24"/>
                <w:highlight w:val="none"/>
                <w:lang w:eastAsia="zh-CN"/>
              </w:rPr>
              <w:t>水环境质量底线目标”，</w:t>
            </w:r>
            <w:r>
              <w:rPr>
                <w:rFonts w:hint="eastAsia" w:ascii="Times New Roman" w:hAnsi="Times New Roman" w:cs="Times New Roman"/>
                <w:color w:val="auto"/>
                <w:sz w:val="24"/>
                <w:szCs w:val="24"/>
                <w:highlight w:val="none"/>
                <w:lang w:eastAsia="zh-CN"/>
              </w:rPr>
              <w:t>黄河干流下河沿断面</w:t>
            </w:r>
            <w:r>
              <w:rPr>
                <w:rFonts w:hint="default" w:ascii="Times New Roman" w:hAnsi="Times New Roman" w:eastAsia="仿宋_GB2312" w:cs="Times New Roman"/>
                <w:color w:val="auto"/>
                <w:sz w:val="24"/>
                <w:szCs w:val="24"/>
                <w:highlight w:val="none"/>
                <w:lang w:eastAsia="zh-CN"/>
              </w:rPr>
              <w:t>2025年、2035年水质目标均为</w:t>
            </w:r>
            <w:r>
              <w:rPr>
                <w:rFonts w:hint="default" w:ascii="Times New Roman" w:hAnsi="Times New Roman" w:eastAsia="仿宋_GB2312" w:cs="Times New Roman"/>
                <w:color w:val="auto"/>
                <w:sz w:val="24"/>
                <w:szCs w:val="24"/>
                <w:highlight w:val="none"/>
                <w:lang w:eastAsia="zh-CN"/>
              </w:rPr>
              <w:fldChar w:fldCharType="begin"/>
            </w:r>
            <w:r>
              <w:rPr>
                <w:rFonts w:hint="default" w:ascii="Times New Roman" w:hAnsi="Times New Roman" w:eastAsia="仿宋_GB2312" w:cs="Times New Roman"/>
                <w:color w:val="auto"/>
                <w:sz w:val="24"/>
                <w:szCs w:val="24"/>
                <w:highlight w:val="none"/>
                <w:lang w:eastAsia="zh-CN"/>
              </w:rPr>
              <w:instrText xml:space="preserve"> = 2 \* ROMAN \* MERGEFORMAT </w:instrText>
            </w:r>
            <w:r>
              <w:rPr>
                <w:rFonts w:hint="default" w:ascii="Times New Roman" w:hAnsi="Times New Roman" w:eastAsia="仿宋_GB2312" w:cs="Times New Roman"/>
                <w:color w:val="auto"/>
                <w:sz w:val="24"/>
                <w:szCs w:val="24"/>
                <w:highlight w:val="none"/>
                <w:lang w:eastAsia="zh-CN"/>
              </w:rPr>
              <w:fldChar w:fldCharType="separate"/>
            </w:r>
            <w:r>
              <w:rPr>
                <w:color w:val="auto"/>
                <w:highlight w:val="none"/>
              </w:rPr>
              <w:t>II</w:t>
            </w:r>
            <w:r>
              <w:rPr>
                <w:rFonts w:hint="default" w:ascii="Times New Roman" w:hAnsi="Times New Roman" w:eastAsia="仿宋_GB2312" w:cs="Times New Roman"/>
                <w:color w:val="auto"/>
                <w:sz w:val="24"/>
                <w:szCs w:val="24"/>
                <w:highlight w:val="none"/>
                <w:lang w:eastAsia="zh-CN"/>
              </w:rPr>
              <w:fldChar w:fldCharType="end"/>
            </w:r>
            <w:r>
              <w:rPr>
                <w:rFonts w:hint="default" w:ascii="Times New Roman" w:hAnsi="Times New Roman" w:eastAsia="仿宋_GB2312" w:cs="Times New Roman"/>
                <w:color w:val="auto"/>
                <w:sz w:val="24"/>
                <w:szCs w:val="24"/>
                <w:highlight w:val="none"/>
                <w:lang w:eastAsia="zh-CN"/>
              </w:rPr>
              <w:t>类标准要求。</w:t>
            </w:r>
            <w:r>
              <w:rPr>
                <w:rFonts w:hint="eastAsia" w:ascii="Times New Roman" w:hAnsi="Times New Roman" w:eastAsia="仿宋_GB2312" w:cs="Times New Roman"/>
                <w:color w:val="auto"/>
                <w:sz w:val="24"/>
                <w:szCs w:val="24"/>
                <w:highlight w:val="none"/>
                <w:lang w:eastAsia="zh-CN"/>
              </w:rPr>
              <w:t>本次评价区域内</w:t>
            </w:r>
            <w:r>
              <w:rPr>
                <w:rFonts w:hint="eastAsia" w:ascii="Times New Roman" w:hAnsi="Times New Roman" w:eastAsia="仿宋_GB2312" w:cs="Times New Roman"/>
                <w:bCs/>
                <w:color w:val="auto"/>
                <w:sz w:val="24"/>
                <w:szCs w:val="24"/>
                <w:highlight w:val="none"/>
                <w:lang w:eastAsia="zh-CN"/>
              </w:rPr>
              <w:t>地表水体为</w:t>
            </w:r>
            <w:r>
              <w:rPr>
                <w:rFonts w:hint="eastAsia"/>
                <w:color w:val="auto"/>
                <w:sz w:val="24"/>
                <w:highlight w:val="none"/>
                <w:lang w:val="en-US" w:eastAsia="zh-CN"/>
              </w:rPr>
              <w:t>清水河及黄河</w:t>
            </w:r>
            <w:r>
              <w:rPr>
                <w:rFonts w:hint="eastAsia" w:ascii="Times New Roman" w:hAnsi="Times New Roman" w:cs="Times New Roman"/>
                <w:bCs/>
                <w:color w:val="auto"/>
                <w:sz w:val="24"/>
                <w:szCs w:val="24"/>
                <w:highlight w:val="none"/>
                <w:lang w:eastAsia="zh-CN"/>
              </w:rPr>
              <w:t>，</w:t>
            </w:r>
            <w:r>
              <w:rPr>
                <w:rFonts w:hint="eastAsia" w:eastAsia="仿宋_GB2312"/>
                <w:b w:val="0"/>
                <w:bCs w:val="0"/>
                <w:color w:val="auto"/>
                <w:sz w:val="24"/>
                <w:highlight w:val="none"/>
                <w:lang w:val="en-US" w:eastAsia="zh-CN"/>
              </w:rPr>
              <w:t>根据</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val="en-US" w:eastAsia="zh-CN"/>
              </w:rPr>
              <w:t>2016-2020</w:t>
            </w:r>
            <w:r>
              <w:rPr>
                <w:rFonts w:hint="eastAsia" w:ascii="Times New Roman" w:hAnsi="Times New Roman" w:eastAsia="仿宋_GB2312"/>
                <w:color w:val="auto"/>
                <w:sz w:val="24"/>
                <w:highlight w:val="none"/>
              </w:rPr>
              <w:t>年</w:t>
            </w:r>
            <w:r>
              <w:rPr>
                <w:rFonts w:hint="eastAsia" w:ascii="Times New Roman" w:hAnsi="Times New Roman" w:eastAsia="仿宋_GB2312"/>
                <w:color w:val="auto"/>
                <w:sz w:val="24"/>
                <w:highlight w:val="none"/>
                <w:lang w:eastAsia="zh-CN"/>
              </w:rPr>
              <w:t>宁夏</w:t>
            </w:r>
            <w:r>
              <w:rPr>
                <w:rFonts w:hint="eastAsia" w:ascii="Times New Roman" w:hAnsi="Times New Roman" w:eastAsia="仿宋_GB2312"/>
                <w:color w:val="auto"/>
                <w:sz w:val="24"/>
                <w:highlight w:val="none"/>
              </w:rPr>
              <w:t>生态环境质量</w:t>
            </w:r>
            <w:r>
              <w:rPr>
                <w:rFonts w:hint="eastAsia" w:ascii="Times New Roman" w:hAnsi="Times New Roman" w:eastAsia="仿宋_GB2312"/>
                <w:color w:val="auto"/>
                <w:sz w:val="24"/>
                <w:highlight w:val="none"/>
                <w:lang w:eastAsia="zh-CN"/>
              </w:rPr>
              <w:t>报告书</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eastAsia="zh-CN"/>
              </w:rPr>
              <w:t>，</w:t>
            </w:r>
            <w:r>
              <w:rPr>
                <w:rFonts w:hint="eastAsia" w:ascii="Times New Roman" w:hAnsi="Times New Roman" w:eastAsia="仿宋_GB2312" w:cs="Times New Roman"/>
                <w:color w:val="auto"/>
                <w:sz w:val="24"/>
                <w:szCs w:val="24"/>
                <w:highlight w:val="none"/>
                <w:lang w:val="en-US" w:eastAsia="zh-CN"/>
              </w:rPr>
              <w:t>2016~2020年，黄河干流宁夏段水质总体保持稳定，入境（中卫下河沿）至出境（麻黄沟）沿程水质连续四年达到Ⅱ类，水质优良率为100%，达到“十三五”国家水污染防治目标水质考核要求</w:t>
            </w:r>
            <w:r>
              <w:rPr>
                <w:rFonts w:hint="eastAsia" w:cs="Times New Roman"/>
                <w:color w:val="auto"/>
                <w:sz w:val="24"/>
                <w:szCs w:val="24"/>
                <w:highlight w:val="none"/>
                <w:lang w:val="en-US" w:eastAsia="zh-CN"/>
              </w:rPr>
              <w:t>。</w:t>
            </w:r>
            <w:r>
              <w:rPr>
                <w:rFonts w:hint="eastAsia" w:ascii="Times New Roman" w:hAnsi="Times New Roman" w:eastAsia="仿宋_GB2312" w:cs="Times New Roman"/>
                <w:color w:val="auto"/>
                <w:sz w:val="24"/>
                <w:szCs w:val="24"/>
                <w:highlight w:val="none"/>
                <w:lang w:val="en-US" w:eastAsia="zh-CN"/>
              </w:rPr>
              <w:t>符合水环境质量底线要求。</w:t>
            </w:r>
          </w:p>
          <w:p>
            <w:pPr>
              <w:pStyle w:val="6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本项目为清水河河道整治项目，清水河为黄河一级支流，通过对河道整治，可进一步提升清水河水质，改善流域水生态环境，确保其稳定满足环境质量底线目标</w:t>
            </w:r>
            <w:r>
              <w:rPr>
                <w:rFonts w:hint="eastAsia" w:ascii="Times New Roman" w:hAnsi="Times New Roman" w:eastAsia="仿宋_GB2312" w:cs="Times New Roman"/>
                <w:color w:val="auto"/>
                <w:sz w:val="24"/>
                <w:szCs w:val="24"/>
                <w:highlight w:val="none"/>
                <w:lang w:val="en-US" w:eastAsia="zh-CN"/>
              </w:rPr>
              <w:t>，符合水环境质量底线要求。</w:t>
            </w:r>
          </w:p>
          <w:p>
            <w:pPr>
              <w:pStyle w:val="6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u w:val="none"/>
                <w:lang w:val="en-US" w:eastAsia="zh-CN"/>
              </w:rPr>
              <w:t>水环境分区管控要求符合性</w:t>
            </w:r>
            <w:r>
              <w:rPr>
                <w:rFonts w:hint="default"/>
                <w:color w:val="auto"/>
                <w:highlight w:val="none"/>
              </w:rPr>
              <w:t>：</w:t>
            </w:r>
            <w:r>
              <w:rPr>
                <w:rFonts w:hint="eastAsia" w:ascii="Times New Roman" w:hAnsi="Times New Roman" w:eastAsia="仿宋_GB2312" w:cs="Times New Roman"/>
                <w:b w:val="0"/>
                <w:bCs w:val="0"/>
                <w:color w:val="auto"/>
                <w:kern w:val="0"/>
                <w:sz w:val="24"/>
                <w:szCs w:val="24"/>
                <w:highlight w:val="none"/>
                <w:lang w:val="en-US" w:eastAsia="zh-CN" w:bidi="ar-SA"/>
              </w:rPr>
              <w:t>本项目位于中卫市沙坡头区宣和镇，</w:t>
            </w:r>
            <w:r>
              <w:rPr>
                <w:rFonts w:hint="default"/>
                <w:color w:val="auto"/>
                <w:highlight w:val="none"/>
              </w:rPr>
              <w:t>位于中卫市水环境管控分区中的一般管控区。水环境一般管控区应落实《中华人民共和国水污染防治法》等相关法律法规的总体要求，加强水资源节约和保护，积极推动水生态修复治理，持续深入推进水污染防治，改善水环境质量。</w:t>
            </w:r>
            <w:r>
              <w:rPr>
                <w:rFonts w:hint="default"/>
                <w:color w:val="auto"/>
                <w:highlight w:val="none"/>
                <w:lang w:val="en-US" w:eastAsia="zh-CN"/>
              </w:rPr>
              <w:t>本项目为开展清水河河道整治，项目的实施</w:t>
            </w:r>
            <w:r>
              <w:rPr>
                <w:rFonts w:hint="default" w:ascii="Times New Roman" w:hAnsi="Times New Roman" w:eastAsia="仿宋_GB2312" w:cs="Times New Roman"/>
                <w:b w:val="0"/>
                <w:bCs/>
                <w:color w:val="auto"/>
                <w:sz w:val="24"/>
                <w:highlight w:val="none"/>
                <w:lang w:val="en-US" w:eastAsia="zh-CN"/>
              </w:rPr>
              <w:t>将原河道直立陡坎削坡多级台阶式边坡，并对多级台阶进行植草防护</w:t>
            </w:r>
            <w:r>
              <w:rPr>
                <w:rFonts w:hint="default"/>
                <w:color w:val="auto"/>
                <w:highlight w:val="none"/>
                <w:lang w:val="en-US" w:eastAsia="zh-CN"/>
              </w:rPr>
              <w:t>，可有效防止河道两侧的水土流失，有效改善水</w:t>
            </w:r>
            <w:r>
              <w:rPr>
                <w:rFonts w:hint="eastAsia"/>
                <w:color w:val="auto"/>
                <w:highlight w:val="none"/>
                <w:lang w:val="en-US" w:eastAsia="zh-CN"/>
              </w:rPr>
              <w:t>生态</w:t>
            </w:r>
            <w:r>
              <w:rPr>
                <w:rFonts w:hint="default"/>
                <w:color w:val="auto"/>
                <w:highlight w:val="none"/>
                <w:lang w:val="en-US" w:eastAsia="zh-CN"/>
              </w:rPr>
              <w:t>环境，</w:t>
            </w:r>
            <w:r>
              <w:rPr>
                <w:rFonts w:hint="eastAsia"/>
                <w:color w:val="auto"/>
                <w:highlight w:val="none"/>
                <w:lang w:val="en-US" w:eastAsia="zh-CN"/>
              </w:rPr>
              <w:t>因此，项目的建设符合水环境质量底线要求</w:t>
            </w:r>
            <w:r>
              <w:rPr>
                <w:rFonts w:hint="default"/>
                <w:color w:val="auto"/>
                <w:highlight w:val="none"/>
              </w:rPr>
              <w:t>。</w:t>
            </w:r>
            <w:r>
              <w:rPr>
                <w:rFonts w:hint="default"/>
                <w:color w:val="auto"/>
                <w:highlight w:val="none"/>
                <w:lang w:eastAsia="zh-CN"/>
              </w:rPr>
              <w:t>本项目与中卫市水环境分区管控位置关系见图</w:t>
            </w:r>
            <w:r>
              <w:rPr>
                <w:rFonts w:hint="eastAsia"/>
                <w:color w:val="auto"/>
                <w:highlight w:val="none"/>
                <w:lang w:val="en-US" w:eastAsia="zh-CN"/>
              </w:rPr>
              <w:t>3。</w:t>
            </w:r>
          </w:p>
          <w:p>
            <w:pPr>
              <w:pStyle w:val="6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②大气环境</w:t>
            </w:r>
            <w:r>
              <w:rPr>
                <w:rFonts w:hint="eastAsia"/>
                <w:color w:val="auto"/>
                <w:highlight w:val="none"/>
                <w:lang w:val="en-US" w:eastAsia="zh-CN"/>
              </w:rPr>
              <w:t>质量底线及分区管控</w:t>
            </w:r>
          </w:p>
          <w:p>
            <w:pPr>
              <w:pStyle w:val="6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ascii="Times New Roman" w:hAnsi="Times New Roman" w:eastAsia="仿宋_GB2312" w:cs="Times New Roman"/>
                <w:color w:val="auto"/>
                <w:sz w:val="24"/>
                <w:szCs w:val="24"/>
                <w:highlight w:val="none"/>
                <w:lang w:eastAsia="zh-CN"/>
              </w:rPr>
              <w:t>大气环境质量底线：根据</w:t>
            </w:r>
            <w:r>
              <w:rPr>
                <w:rFonts w:hint="default" w:ascii="Times New Roman" w:hAnsi="Times New Roman" w:eastAsia="仿宋_GB2312" w:cs="Times New Roman"/>
                <w:bCs/>
                <w:color w:val="auto"/>
                <w:sz w:val="24"/>
                <w:szCs w:val="24"/>
                <w:highlight w:val="none"/>
              </w:rPr>
              <w:t>《</w:t>
            </w:r>
            <w:r>
              <w:rPr>
                <w:rFonts w:hint="eastAsia" w:ascii="Times New Roman" w:hAnsi="Times New Roman" w:cs="Times New Roman"/>
                <w:bCs/>
                <w:color w:val="auto"/>
                <w:sz w:val="24"/>
                <w:szCs w:val="24"/>
                <w:highlight w:val="none"/>
                <w:lang w:eastAsia="zh-CN"/>
              </w:rPr>
              <w:t>中卫市</w:t>
            </w:r>
            <w:r>
              <w:rPr>
                <w:rFonts w:hint="default" w:ascii="Times New Roman" w:hAnsi="Times New Roman" w:eastAsia="仿宋_GB2312" w:cs="Times New Roman"/>
                <w:bCs/>
                <w:color w:val="auto"/>
                <w:sz w:val="24"/>
                <w:szCs w:val="24"/>
                <w:highlight w:val="none"/>
              </w:rPr>
              <w:t>“三线一单”编制文本》中“表</w:t>
            </w:r>
            <w:r>
              <w:rPr>
                <w:rFonts w:hint="eastAsia" w:ascii="Times New Roman" w:hAnsi="Times New Roman" w:cs="Times New Roman"/>
                <w:bCs/>
                <w:color w:val="auto"/>
                <w:sz w:val="24"/>
                <w:szCs w:val="24"/>
                <w:highlight w:val="none"/>
                <w:lang w:val="en-US" w:eastAsia="zh-CN"/>
              </w:rPr>
              <w:t>3</w:t>
            </w:r>
            <w:r>
              <w:rPr>
                <w:rFonts w:hint="default" w:ascii="Times New Roman" w:hAnsi="Times New Roman" w:eastAsia="仿宋_GB2312"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3</w:t>
            </w:r>
            <w:r>
              <w:rPr>
                <w:rFonts w:hint="eastAsia" w:ascii="Times New Roman" w:hAnsi="Times New Roman" w:cs="Times New Roman"/>
                <w:bCs/>
                <w:color w:val="auto"/>
                <w:sz w:val="24"/>
                <w:szCs w:val="24"/>
                <w:highlight w:val="none"/>
                <w:lang w:eastAsia="zh-CN"/>
              </w:rPr>
              <w:t>中卫市大气环境质量目标建议值一览表</w:t>
            </w:r>
            <w:r>
              <w:rPr>
                <w:rFonts w:hint="default" w:ascii="Times New Roman" w:hAnsi="Times New Roman" w:eastAsia="仿宋_GB2312" w:cs="Times New Roman"/>
                <w:bCs/>
                <w:color w:val="auto"/>
                <w:sz w:val="24"/>
                <w:szCs w:val="24"/>
                <w:highlight w:val="none"/>
              </w:rPr>
              <w:t>”，</w:t>
            </w:r>
            <w:r>
              <w:rPr>
                <w:rFonts w:hint="eastAsia" w:ascii="Times New Roman" w:hAnsi="Times New Roman" w:cs="Times New Roman"/>
                <w:bCs/>
                <w:color w:val="auto"/>
                <w:sz w:val="24"/>
                <w:szCs w:val="24"/>
                <w:highlight w:val="none"/>
                <w:lang w:eastAsia="zh-CN"/>
              </w:rPr>
              <w:t>中卫市</w:t>
            </w:r>
            <w:r>
              <w:rPr>
                <w:rFonts w:hint="default" w:ascii="Times New Roman" w:hAnsi="Times New Roman" w:eastAsia="仿宋_GB2312" w:cs="Times New Roman"/>
                <w:bCs/>
                <w:color w:val="auto"/>
                <w:sz w:val="24"/>
                <w:szCs w:val="24"/>
                <w:highlight w:val="none"/>
              </w:rPr>
              <w:t>2025年、2035年PM</w:t>
            </w:r>
            <w:r>
              <w:rPr>
                <w:rFonts w:hint="default" w:ascii="Times New Roman" w:hAnsi="Times New Roman" w:eastAsia="仿宋_GB2312" w:cs="Times New Roman"/>
                <w:bCs/>
                <w:color w:val="auto"/>
                <w:sz w:val="24"/>
                <w:szCs w:val="24"/>
                <w:highlight w:val="none"/>
                <w:vertAlign w:val="subscript"/>
              </w:rPr>
              <w:t>2.5</w:t>
            </w:r>
            <w:r>
              <w:rPr>
                <w:rFonts w:hint="default" w:ascii="Times New Roman" w:hAnsi="Times New Roman" w:eastAsia="仿宋_GB2312" w:cs="Times New Roman"/>
                <w:bCs/>
                <w:color w:val="auto"/>
                <w:sz w:val="24"/>
                <w:szCs w:val="24"/>
                <w:highlight w:val="none"/>
              </w:rPr>
              <w:t>目标值</w:t>
            </w:r>
            <w:r>
              <w:rPr>
                <w:rFonts w:hint="default" w:ascii="Times New Roman" w:hAnsi="Times New Roman" w:eastAsia="仿宋_GB2312" w:cs="Times New Roman"/>
                <w:bCs/>
                <w:color w:val="auto"/>
                <w:sz w:val="24"/>
                <w:szCs w:val="24"/>
                <w:highlight w:val="none"/>
                <w:lang w:eastAsia="zh-CN"/>
              </w:rPr>
              <w:t>均</w:t>
            </w:r>
            <w:r>
              <w:rPr>
                <w:rFonts w:hint="default" w:ascii="Times New Roman" w:hAnsi="Times New Roman" w:eastAsia="仿宋_GB2312" w:cs="Times New Roman"/>
                <w:bCs/>
                <w:color w:val="auto"/>
                <w:sz w:val="24"/>
                <w:szCs w:val="24"/>
                <w:highlight w:val="none"/>
              </w:rPr>
              <w:t>为3</w:t>
            </w:r>
            <w:r>
              <w:rPr>
                <w:rFonts w:hint="eastAsia" w:ascii="Times New Roman" w:hAnsi="Times New Roman" w:cs="Times New Roman"/>
                <w:bCs/>
                <w:color w:val="auto"/>
                <w:sz w:val="24"/>
                <w:szCs w:val="24"/>
                <w:highlight w:val="none"/>
                <w:lang w:val="en-US" w:eastAsia="zh-CN"/>
              </w:rPr>
              <w:t>3</w:t>
            </w:r>
            <w:r>
              <w:rPr>
                <w:rFonts w:hint="default" w:ascii="Times New Roman" w:hAnsi="Times New Roman" w:cs="Times New Roman"/>
                <w:color w:val="auto"/>
                <w:highlight w:val="none"/>
              </w:rPr>
              <w:t>ug/m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ascii="Times New Roman" w:hAnsi="Times New Roman" w:eastAsia="仿宋_GB2312" w:cs="Times New Roman"/>
                <w:color w:val="auto"/>
                <w:sz w:val="24"/>
                <w:szCs w:val="24"/>
                <w:highlight w:val="none"/>
                <w:lang w:eastAsia="zh-CN"/>
              </w:rPr>
              <w:t>本</w:t>
            </w:r>
            <w:r>
              <w:rPr>
                <w:rFonts w:hint="default" w:ascii="Times New Roman" w:hAnsi="Times New Roman" w:eastAsia="仿宋_GB2312" w:cs="Times New Roman"/>
                <w:color w:val="auto"/>
                <w:sz w:val="24"/>
                <w:szCs w:val="24"/>
                <w:highlight w:val="none"/>
              </w:rPr>
              <w:t>项目大气环境质量引用</w:t>
            </w:r>
            <w:r>
              <w:rPr>
                <w:rFonts w:hint="default" w:ascii="Times New Roman" w:hAnsi="Times New Roman" w:eastAsia="仿宋_GB2312" w:cs="Times New Roman"/>
                <w:bCs/>
                <w:color w:val="auto"/>
                <w:sz w:val="24"/>
                <w:szCs w:val="24"/>
                <w:highlight w:val="none"/>
              </w:rPr>
              <w:t>《</w:t>
            </w:r>
            <w:r>
              <w:rPr>
                <w:rFonts w:hint="eastAsia" w:ascii="Times New Roman" w:hAnsi="Times New Roman" w:eastAsia="仿宋_GB2312" w:cs="Times New Roman"/>
                <w:color w:val="auto"/>
                <w:sz w:val="24"/>
                <w:szCs w:val="24"/>
                <w:highlight w:val="none"/>
              </w:rPr>
              <w:t>20</w:t>
            </w:r>
            <w:r>
              <w:rPr>
                <w:rFonts w:hint="eastAsia" w:ascii="Times New Roman" w:hAnsi="Times New Roman" w:eastAsia="仿宋_GB2312" w:cs="Times New Roman"/>
                <w:color w:val="auto"/>
                <w:sz w:val="24"/>
                <w:szCs w:val="24"/>
                <w:highlight w:val="none"/>
                <w:lang w:val="en-US" w:eastAsia="zh-CN"/>
              </w:rPr>
              <w:t>16-2020</w:t>
            </w:r>
            <w:r>
              <w:rPr>
                <w:rFonts w:hint="eastAsia" w:ascii="Times New Roman" w:hAnsi="Times New Roman" w:eastAsia="仿宋_GB2312" w:cs="Times New Roman"/>
                <w:color w:val="auto"/>
                <w:sz w:val="24"/>
                <w:szCs w:val="24"/>
                <w:highlight w:val="none"/>
              </w:rPr>
              <w:t>年</w:t>
            </w:r>
            <w:r>
              <w:rPr>
                <w:rFonts w:hint="eastAsia" w:ascii="Times New Roman" w:hAnsi="Times New Roman" w:eastAsia="仿宋_GB2312" w:cs="Times New Roman"/>
                <w:color w:val="auto"/>
                <w:sz w:val="24"/>
                <w:szCs w:val="24"/>
                <w:highlight w:val="none"/>
                <w:lang w:eastAsia="zh-CN"/>
              </w:rPr>
              <w:t>宁夏</w:t>
            </w:r>
            <w:r>
              <w:rPr>
                <w:rFonts w:hint="eastAsia" w:ascii="Times New Roman" w:hAnsi="Times New Roman" w:eastAsia="仿宋_GB2312" w:cs="Times New Roman"/>
                <w:color w:val="auto"/>
                <w:sz w:val="24"/>
                <w:szCs w:val="24"/>
                <w:highlight w:val="none"/>
              </w:rPr>
              <w:t>生态环境质量</w:t>
            </w:r>
            <w:r>
              <w:rPr>
                <w:rFonts w:hint="eastAsia" w:ascii="Times New Roman" w:hAnsi="Times New Roman" w:eastAsia="仿宋_GB2312" w:cs="Times New Roman"/>
                <w:color w:val="auto"/>
                <w:sz w:val="24"/>
                <w:szCs w:val="24"/>
                <w:highlight w:val="none"/>
                <w:lang w:eastAsia="zh-CN"/>
              </w:rPr>
              <w:t>报告书</w:t>
            </w:r>
            <w:r>
              <w:rPr>
                <w:rFonts w:hint="eastAsia" w:ascii="Times New Roman" w:hAnsi="Times New Roman" w:eastAsia="仿宋_GB2312" w:cs="Times New Roman"/>
                <w:color w:val="auto"/>
                <w:sz w:val="24"/>
                <w:szCs w:val="24"/>
                <w:highlight w:val="none"/>
              </w:rPr>
              <w:t>》</w:t>
            </w:r>
            <w:r>
              <w:rPr>
                <w:rFonts w:ascii="Times New Roman" w:hAnsi="Times New Roman" w:eastAsia="仿宋_GB2312" w:cs="Times New Roman"/>
                <w:color w:val="auto"/>
                <w:kern w:val="0"/>
                <w:sz w:val="24"/>
                <w:szCs w:val="24"/>
                <w:highlight w:val="none"/>
              </w:rPr>
              <w:t>中</w:t>
            </w:r>
            <w:r>
              <w:rPr>
                <w:rFonts w:hint="eastAsia" w:ascii="Times New Roman" w:hAnsi="Times New Roman" w:eastAsia="仿宋_GB2312" w:cs="Times New Roman"/>
                <w:color w:val="auto"/>
                <w:kern w:val="0"/>
                <w:sz w:val="24"/>
                <w:szCs w:val="24"/>
                <w:highlight w:val="none"/>
                <w:lang w:val="en-US" w:eastAsia="zh-CN"/>
              </w:rPr>
              <w:t>2020年</w:t>
            </w:r>
            <w:r>
              <w:rPr>
                <w:rFonts w:hint="eastAsia" w:ascii="Times New Roman" w:hAnsi="Times New Roman" w:cs="Times New Roman"/>
                <w:color w:val="auto"/>
                <w:kern w:val="0"/>
                <w:sz w:val="24"/>
                <w:szCs w:val="24"/>
                <w:highlight w:val="none"/>
                <w:lang w:eastAsia="zh-CN"/>
              </w:rPr>
              <w:t>中卫市</w:t>
            </w:r>
            <w:r>
              <w:rPr>
                <w:rFonts w:hint="default" w:ascii="Times New Roman" w:hAnsi="Times New Roman" w:eastAsia="仿宋_GB2312" w:cs="Times New Roman"/>
                <w:color w:val="auto"/>
                <w:sz w:val="24"/>
                <w:highlight w:val="none"/>
              </w:rPr>
              <w:t>的监测数据</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bCs/>
                <w:color w:val="auto"/>
                <w:sz w:val="24"/>
                <w:szCs w:val="24"/>
                <w:highlight w:val="none"/>
              </w:rPr>
              <w:t>PM</w:t>
            </w:r>
            <w:r>
              <w:rPr>
                <w:rFonts w:hint="default" w:ascii="Times New Roman" w:hAnsi="Times New Roman" w:eastAsia="仿宋_GB2312" w:cs="Times New Roman"/>
                <w:bCs/>
                <w:color w:val="auto"/>
                <w:sz w:val="24"/>
                <w:szCs w:val="24"/>
                <w:highlight w:val="none"/>
                <w:vertAlign w:val="subscript"/>
              </w:rPr>
              <w:t>2.5</w:t>
            </w:r>
            <w:r>
              <w:rPr>
                <w:rFonts w:hint="default" w:ascii="Times New Roman" w:hAnsi="Times New Roman" w:eastAsia="仿宋_GB2312" w:cs="Times New Roman"/>
                <w:bCs/>
                <w:color w:val="auto"/>
                <w:sz w:val="24"/>
                <w:szCs w:val="24"/>
                <w:highlight w:val="none"/>
              </w:rPr>
              <w:t>为3</w:t>
            </w:r>
            <w:r>
              <w:rPr>
                <w:rFonts w:hint="eastAsia" w:ascii="Times New Roman" w:hAnsi="Times New Roman" w:cs="Times New Roman"/>
                <w:bCs/>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rPr>
              <w:t>ug/m</w:t>
            </w:r>
            <w:r>
              <w:rPr>
                <w:rFonts w:hint="default" w:ascii="Times New Roman" w:hAnsi="Times New Roman" w:eastAsia="仿宋_GB2312" w:cs="Times New Roman"/>
                <w:color w:val="auto"/>
                <w:sz w:val="24"/>
                <w:szCs w:val="24"/>
                <w:highlight w:val="none"/>
                <w:vertAlign w:val="superscript"/>
              </w:rPr>
              <w:t>3</w:t>
            </w:r>
            <w:r>
              <w:rPr>
                <w:rFonts w:hint="default" w:ascii="Times New Roman" w:hAnsi="Times New Roman" w:eastAsia="仿宋_GB2312" w:cs="Times New Roman"/>
                <w:color w:val="auto"/>
                <w:sz w:val="24"/>
                <w:szCs w:val="24"/>
                <w:highlight w:val="none"/>
              </w:rPr>
              <w:t>，已达到</w:t>
            </w:r>
            <w:r>
              <w:rPr>
                <w:rFonts w:hint="default" w:ascii="Times New Roman" w:hAnsi="Times New Roman" w:eastAsia="仿宋_GB2312" w:cs="Times New Roman"/>
                <w:bCs/>
                <w:color w:val="auto"/>
                <w:sz w:val="24"/>
                <w:szCs w:val="24"/>
                <w:highlight w:val="none"/>
              </w:rPr>
              <w:t>目标要求。</w:t>
            </w:r>
            <w:r>
              <w:rPr>
                <w:rFonts w:hint="eastAsia" w:cs="Times New Roman"/>
                <w:color w:val="auto"/>
                <w:sz w:val="24"/>
                <w:szCs w:val="24"/>
                <w:highlight w:val="none"/>
                <w:lang w:val="en-US" w:eastAsia="zh-CN"/>
              </w:rPr>
              <w:t>因此符合大气环境质量底线要求。</w:t>
            </w:r>
          </w:p>
          <w:p>
            <w:pPr>
              <w:pStyle w:val="64"/>
              <w:keepNext w:val="0"/>
              <w:keepLines w:val="0"/>
              <w:suppressLineNumbers w:val="0"/>
              <w:bidi w:val="0"/>
              <w:spacing w:before="0" w:beforeAutospacing="0" w:after="0" w:afterAutospacing="0"/>
              <w:ind w:left="0" w:right="0"/>
              <w:rPr>
                <w:rFonts w:hint="eastAsia" w:eastAsia="仿宋_GB2312"/>
                <w:b w:val="0"/>
                <w:bCs w:val="0"/>
                <w:color w:val="auto"/>
                <w:highlight w:val="none"/>
                <w:lang w:eastAsia="zh-CN"/>
              </w:rPr>
            </w:pPr>
            <w:r>
              <w:rPr>
                <w:rFonts w:hint="eastAsia" w:cs="Times New Roman"/>
                <w:b w:val="0"/>
                <w:bCs w:val="0"/>
                <w:color w:val="auto"/>
                <w:szCs w:val="24"/>
                <w:highlight w:val="none"/>
                <w:lang w:eastAsia="zh-CN"/>
              </w:rPr>
              <w:t>大气环境分区管控要求符合性：</w:t>
            </w:r>
            <w:r>
              <w:rPr>
                <w:rFonts w:hint="default" w:ascii="Times New Roman" w:hAnsi="Times New Roman" w:eastAsia="仿宋_GB2312" w:cs="Times New Roman"/>
                <w:b w:val="0"/>
                <w:bCs w:val="0"/>
                <w:color w:val="auto"/>
                <w:szCs w:val="24"/>
                <w:highlight w:val="none"/>
              </w:rPr>
              <w:t>本项目建设地点位于中卫市</w:t>
            </w:r>
            <w:r>
              <w:rPr>
                <w:rFonts w:hint="eastAsia" w:ascii="Times New Roman" w:eastAsia="仿宋_GB2312" w:cs="Times New Roman"/>
                <w:b w:val="0"/>
                <w:bCs w:val="0"/>
                <w:color w:val="auto"/>
                <w:szCs w:val="24"/>
                <w:highlight w:val="none"/>
                <w:lang w:eastAsia="zh-CN"/>
              </w:rPr>
              <w:t>大气环境一般管控区</w:t>
            </w:r>
            <w:r>
              <w:rPr>
                <w:rFonts w:hint="eastAsia"/>
                <w:color w:val="auto"/>
                <w:highlight w:val="none"/>
                <w:lang w:eastAsia="zh-CN"/>
              </w:rPr>
              <w:t>。</w:t>
            </w:r>
            <w:r>
              <w:rPr>
                <w:color w:val="auto"/>
                <w:highlight w:val="none"/>
                <w:lang w:val="en-US" w:eastAsia="zh-CN"/>
              </w:rPr>
              <w:t>大气环境一般管控区：</w:t>
            </w:r>
            <w:r>
              <w:rPr>
                <w:rFonts w:hint="eastAsia"/>
                <w:color w:val="auto"/>
                <w:highlight w:val="none"/>
                <w:lang w:val="en-US" w:eastAsia="zh-CN"/>
              </w:rPr>
              <w:t>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r>
              <w:rPr>
                <w:rFonts w:hint="default" w:ascii="Times New Roman" w:hAnsi="Times New Roman" w:cs="Times New Roman"/>
                <w:color w:val="auto"/>
                <w:highlight w:val="none"/>
              </w:rPr>
              <w:t>本项目施工期严格落实建筑工地“六个100%”防控措施，建成后</w:t>
            </w:r>
            <w:r>
              <w:rPr>
                <w:rFonts w:hint="eastAsia" w:cs="Times New Roman"/>
                <w:color w:val="auto"/>
                <w:highlight w:val="none"/>
                <w:lang w:eastAsia="zh-CN"/>
              </w:rPr>
              <w:t>无废气产生</w:t>
            </w:r>
            <w:r>
              <w:rPr>
                <w:rFonts w:hint="default" w:ascii="Times New Roman" w:hAnsi="Times New Roman" w:cs="Times New Roman"/>
                <w:color w:val="auto"/>
                <w:highlight w:val="none"/>
              </w:rPr>
              <w:t>，不会对项目周边环境空气质量造成不利影响，符合中卫市大气环境质量底线大气环境</w:t>
            </w:r>
            <w:r>
              <w:rPr>
                <w:rFonts w:hint="default" w:ascii="Times New Roman" w:hAnsi="Times New Roman" w:cs="Times New Roman"/>
                <w:color w:val="auto"/>
                <w:highlight w:val="none"/>
                <w:lang w:eastAsia="zh-CN"/>
              </w:rPr>
              <w:t>一般管控区要求</w:t>
            </w:r>
            <w:r>
              <w:rPr>
                <w:rFonts w:hint="eastAsia"/>
                <w:color w:val="auto"/>
                <w:highlight w:val="none"/>
                <w:lang w:eastAsia="zh-CN"/>
              </w:rPr>
              <w:t>。</w:t>
            </w:r>
            <w:r>
              <w:rPr>
                <w:rFonts w:hint="eastAsia" w:ascii="Times New Roman" w:eastAsia="仿宋_GB2312" w:cs="Times New Roman"/>
                <w:b w:val="0"/>
                <w:bCs w:val="0"/>
                <w:color w:val="auto"/>
                <w:szCs w:val="24"/>
                <w:highlight w:val="none"/>
                <w:lang w:eastAsia="zh-CN"/>
              </w:rPr>
              <w:t>本项目与中卫市大气环境分区管控位置关</w:t>
            </w:r>
            <w:r>
              <w:rPr>
                <w:rFonts w:hint="eastAsia"/>
                <w:color w:val="auto"/>
                <w:highlight w:val="none"/>
                <w:lang w:eastAsia="zh-CN"/>
              </w:rPr>
              <w:t>系见</w:t>
            </w:r>
            <w:r>
              <w:rPr>
                <w:rFonts w:hint="eastAsia"/>
                <w:b w:val="0"/>
                <w:bCs w:val="0"/>
                <w:color w:val="auto"/>
                <w:highlight w:val="none"/>
                <w:lang w:eastAsia="zh-CN"/>
              </w:rPr>
              <w:t>图</w:t>
            </w:r>
            <w:r>
              <w:rPr>
                <w:rFonts w:hint="eastAsia"/>
                <w:b w:val="0"/>
                <w:bCs w:val="0"/>
                <w:color w:val="auto"/>
                <w:highlight w:val="none"/>
                <w:lang w:val="en-US" w:eastAsia="zh-CN"/>
              </w:rPr>
              <w:t>4。</w:t>
            </w:r>
          </w:p>
          <w:p>
            <w:pPr>
              <w:pStyle w:val="6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③土壤污染风险防控底线及分区管控</w:t>
            </w:r>
          </w:p>
          <w:p>
            <w:pPr>
              <w:pStyle w:val="64"/>
              <w:keepNext w:val="0"/>
              <w:keepLines w:val="0"/>
              <w:suppressLineNumbers w:val="0"/>
              <w:bidi w:val="0"/>
              <w:spacing w:before="0" w:beforeAutospacing="0" w:after="0" w:afterAutospacing="0"/>
              <w:ind w:left="0" w:right="0"/>
              <w:rPr>
                <w:rFonts w:hint="default"/>
                <w:color w:val="auto"/>
                <w:highlight w:val="none"/>
              </w:rPr>
            </w:pPr>
            <w:r>
              <w:rPr>
                <w:rFonts w:hint="eastAsia" w:ascii="Times New Roman" w:hAnsi="Times New Roman" w:eastAsia="仿宋_GB2312" w:cs="Times New Roman"/>
                <w:color w:val="auto"/>
                <w:sz w:val="24"/>
                <w:szCs w:val="24"/>
                <w:highlight w:val="none"/>
                <w:lang w:val="en-US" w:eastAsia="zh-CN"/>
              </w:rPr>
              <w:t>土壤环境质量底线：根据《</w:t>
            </w:r>
            <w:r>
              <w:rPr>
                <w:rFonts w:hint="eastAsia" w:ascii="Times New Roman" w:hAnsi="Times New Roman" w:cs="Times New Roman"/>
                <w:color w:val="auto"/>
                <w:sz w:val="24"/>
                <w:szCs w:val="24"/>
                <w:highlight w:val="none"/>
                <w:lang w:val="en-US" w:eastAsia="zh-CN"/>
              </w:rPr>
              <w:t>中卫市</w:t>
            </w:r>
            <w:r>
              <w:rPr>
                <w:rFonts w:hint="eastAsia" w:ascii="Times New Roman" w:hAnsi="Times New Roman" w:eastAsia="仿宋_GB2312" w:cs="Times New Roman"/>
                <w:color w:val="auto"/>
                <w:sz w:val="24"/>
                <w:szCs w:val="24"/>
                <w:highlight w:val="none"/>
                <w:lang w:val="en-US" w:eastAsia="zh-CN"/>
              </w:rPr>
              <w:t>“三线一单”编制文本》中“表</w:t>
            </w:r>
            <w:r>
              <w:rPr>
                <w:rFonts w:hint="eastAsia" w:ascii="Times New Roman" w:hAnsi="Times New Roman" w:cs="Times New Roman"/>
                <w:color w:val="auto"/>
                <w:sz w:val="24"/>
                <w:szCs w:val="24"/>
                <w:highlight w:val="none"/>
                <w:lang w:val="en-US" w:eastAsia="zh-CN"/>
              </w:rPr>
              <w:t>3</w:t>
            </w:r>
            <w:r>
              <w:rPr>
                <w:rFonts w:hint="eastAsia" w:ascii="Times New Roman" w:hAnsi="Times New Roman" w:eastAsia="仿宋_GB2312"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w:t>
            </w:r>
            <w:r>
              <w:rPr>
                <w:rFonts w:hint="eastAsia" w:ascii="Times New Roman" w:hAnsi="Times New Roman" w:eastAsia="仿宋_GB2312"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val="en-US" w:eastAsia="zh-CN"/>
              </w:rPr>
              <w:t>中卫市</w:t>
            </w:r>
            <w:r>
              <w:rPr>
                <w:rFonts w:hint="eastAsia" w:ascii="Times New Roman" w:hAnsi="Times New Roman" w:eastAsia="仿宋_GB2312" w:cs="Times New Roman"/>
                <w:color w:val="auto"/>
                <w:sz w:val="24"/>
                <w:szCs w:val="24"/>
                <w:highlight w:val="none"/>
                <w:lang w:val="en-US" w:eastAsia="zh-CN"/>
              </w:rPr>
              <w:t>土壤污染风险管控目标”，</w:t>
            </w:r>
            <w:r>
              <w:rPr>
                <w:rFonts w:hint="eastAsia" w:ascii="Times New Roman" w:hAnsi="Times New Roman" w:cs="Times New Roman"/>
                <w:color w:val="auto"/>
                <w:sz w:val="24"/>
                <w:szCs w:val="24"/>
                <w:highlight w:val="none"/>
                <w:lang w:val="en-US" w:eastAsia="zh-CN"/>
              </w:rPr>
              <w:t>中卫市</w:t>
            </w:r>
            <w:r>
              <w:rPr>
                <w:rFonts w:hint="eastAsia" w:ascii="Times New Roman" w:hAnsi="Times New Roman" w:eastAsia="仿宋_GB2312" w:cs="Times New Roman"/>
                <w:color w:val="auto"/>
                <w:sz w:val="24"/>
                <w:szCs w:val="24"/>
                <w:highlight w:val="none"/>
                <w:lang w:val="en-US" w:eastAsia="zh-CN"/>
              </w:rPr>
              <w:t>2025年污染地块安全利用率9</w:t>
            </w:r>
            <w:r>
              <w:rPr>
                <w:rFonts w:hint="eastAsia" w:ascii="Times New Roman" w:hAnsi="Times New Roman" w:cs="Times New Roman"/>
                <w:color w:val="auto"/>
                <w:sz w:val="24"/>
                <w:szCs w:val="24"/>
                <w:highlight w:val="none"/>
                <w:lang w:val="en-US" w:eastAsia="zh-CN"/>
              </w:rPr>
              <w:t>5</w:t>
            </w:r>
            <w:r>
              <w:rPr>
                <w:rFonts w:hint="eastAsia" w:ascii="Times New Roman" w:hAnsi="Times New Roman" w:eastAsia="仿宋_GB2312" w:cs="Times New Roman"/>
                <w:color w:val="auto"/>
                <w:sz w:val="24"/>
                <w:szCs w:val="24"/>
                <w:highlight w:val="none"/>
                <w:lang w:val="en-US" w:eastAsia="zh-CN"/>
              </w:rPr>
              <w:t>%以上。本项目</w:t>
            </w:r>
            <w:r>
              <w:rPr>
                <w:rFonts w:hint="eastAsia"/>
                <w:color w:val="auto"/>
                <w:highlight w:val="none"/>
                <w:lang w:val="en-US" w:eastAsia="zh-CN"/>
              </w:rPr>
              <w:t>为河道防洪除涝项目，所涉及的占地不属于污染地块，不涉及污染地块的安全利用</w:t>
            </w:r>
            <w:r>
              <w:rPr>
                <w:rFonts w:hint="eastAsia" w:ascii="Times New Roman" w:hAnsi="Times New Roman" w:eastAsia="仿宋_GB2312" w:cs="Times New Roman"/>
                <w:color w:val="auto"/>
                <w:sz w:val="24"/>
                <w:szCs w:val="24"/>
                <w:highlight w:val="none"/>
                <w:lang w:val="en-US" w:eastAsia="zh-CN"/>
              </w:rPr>
              <w:t>，</w:t>
            </w:r>
            <w:r>
              <w:rPr>
                <w:rFonts w:hint="eastAsia" w:cs="Times New Roman"/>
                <w:color w:val="auto"/>
                <w:sz w:val="24"/>
                <w:szCs w:val="24"/>
                <w:highlight w:val="none"/>
                <w:lang w:val="en-US" w:eastAsia="zh-CN"/>
              </w:rPr>
              <w:t>因此，本项目的建设</w:t>
            </w:r>
            <w:r>
              <w:rPr>
                <w:rFonts w:hint="eastAsia" w:ascii="Times New Roman" w:hAnsi="Times New Roman" w:eastAsia="仿宋_GB2312" w:cs="Times New Roman"/>
                <w:color w:val="auto"/>
                <w:sz w:val="24"/>
                <w:szCs w:val="24"/>
                <w:highlight w:val="none"/>
                <w:lang w:val="en-US" w:eastAsia="zh-CN"/>
              </w:rPr>
              <w:t>符合土壤环境质量底线要求。</w:t>
            </w:r>
          </w:p>
          <w:p>
            <w:pPr>
              <w:pStyle w:val="64"/>
              <w:keepNext w:val="0"/>
              <w:keepLines w:val="0"/>
              <w:suppressLineNumbers w:val="0"/>
              <w:bidi w:val="0"/>
              <w:spacing w:before="0" w:beforeAutospacing="0" w:after="0" w:afterAutospacing="0"/>
              <w:ind w:left="0" w:right="0"/>
              <w:rPr>
                <w:rFonts w:hint="default"/>
                <w:color w:val="auto"/>
                <w:highlight w:val="none"/>
              </w:rPr>
            </w:pPr>
            <w:r>
              <w:rPr>
                <w:rFonts w:hint="eastAsia" w:ascii="Times New Roman" w:hAnsi="Times New Roman" w:eastAsia="仿宋_GB2312" w:cs="Times New Roman"/>
                <w:color w:val="auto"/>
                <w:sz w:val="24"/>
                <w:szCs w:val="24"/>
                <w:highlight w:val="none"/>
                <w:lang w:eastAsia="zh-CN"/>
              </w:rPr>
              <w:t>土壤环境分区管控符合性分析：</w:t>
            </w:r>
            <w:r>
              <w:rPr>
                <w:rFonts w:hint="default"/>
                <w:color w:val="auto"/>
                <w:highlight w:val="none"/>
              </w:rPr>
              <w:t>根据</w:t>
            </w:r>
            <w:r>
              <w:rPr>
                <w:rFonts w:hint="eastAsia"/>
                <w:color w:val="auto"/>
                <w:highlight w:val="none"/>
                <w:lang w:eastAsia="zh-CN"/>
              </w:rPr>
              <w:t>中卫市土壤污染风险管控分区，</w:t>
            </w:r>
            <w:r>
              <w:rPr>
                <w:rFonts w:hint="default"/>
                <w:color w:val="auto"/>
                <w:highlight w:val="none"/>
              </w:rPr>
              <w:t>本项目</w:t>
            </w:r>
            <w:r>
              <w:rPr>
                <w:rFonts w:hint="eastAsia"/>
                <w:color w:val="auto"/>
                <w:highlight w:val="none"/>
                <w:lang w:eastAsia="zh-CN"/>
              </w:rPr>
              <w:t>主要</w:t>
            </w:r>
            <w:r>
              <w:rPr>
                <w:rFonts w:hint="default"/>
                <w:color w:val="auto"/>
                <w:highlight w:val="none"/>
              </w:rPr>
              <w:t>位于中卫市土壤环境</w:t>
            </w:r>
            <w:r>
              <w:rPr>
                <w:rFonts w:hint="eastAsia"/>
                <w:color w:val="auto"/>
                <w:highlight w:val="none"/>
                <w:lang w:eastAsia="zh-CN"/>
              </w:rPr>
              <w:t>农用地优先保护区</w:t>
            </w:r>
            <w:r>
              <w:rPr>
                <w:rFonts w:hint="default"/>
                <w:color w:val="auto"/>
                <w:highlight w:val="none"/>
              </w:rPr>
              <w:t>。</w:t>
            </w:r>
            <w:r>
              <w:rPr>
                <w:rFonts w:hint="eastAsia" w:ascii="Times New Roman" w:hAnsi="Times New Roman" w:eastAsia="仿宋_GB2312" w:cs="Times New Roman"/>
                <w:color w:val="auto"/>
                <w:sz w:val="24"/>
                <w:szCs w:val="24"/>
                <w:highlight w:val="none"/>
                <w:lang w:val="en-US" w:eastAsia="zh-CN"/>
              </w:rPr>
              <w:t>其具体要求为：实行严格保护，确保其面积不减少、土壤环境质量不下降，除法律规定的重点建设项目选址确实无法避让外，其他任何建设不得占用。严格控制在优先保护类耕地集中区域新建有色金属冶炼、石油加工、化工、焦化、电镀、制革等行业企业，现有相关行业企业应当按照有关规定采取措施，防止对耕地造成污染。禁止任何单位和个人在基本农田保护区内建窑、建房、建坟、挖砂、采石、采矿、取土、堆放固体废弃物或者进行其他破坏基本农田的活动</w:t>
            </w:r>
            <w:r>
              <w:rPr>
                <w:rFonts w:hint="default"/>
                <w:color w:val="auto"/>
                <w:highlight w:val="none"/>
              </w:rPr>
              <w:t>。</w:t>
            </w:r>
          </w:p>
          <w:p>
            <w:pPr>
              <w:pStyle w:val="64"/>
              <w:keepNext w:val="0"/>
              <w:keepLines w:val="0"/>
              <w:suppressLineNumbers w:val="0"/>
              <w:bidi w:val="0"/>
              <w:spacing w:before="0" w:beforeAutospacing="0" w:after="0" w:afterAutospacing="0"/>
              <w:ind w:left="0" w:right="0"/>
              <w:rPr>
                <w:rFonts w:hint="eastAsia" w:eastAsia="仿宋_GB2312"/>
                <w:color w:val="auto"/>
                <w:highlight w:val="none"/>
                <w:lang w:eastAsia="zh-CN"/>
              </w:rPr>
            </w:pPr>
            <w:r>
              <w:rPr>
                <w:rFonts w:hint="eastAsia" w:ascii="Times New Roman" w:hAnsi="Times New Roman" w:eastAsia="仿宋_GB2312" w:cs="Times New Roman"/>
                <w:color w:val="auto"/>
                <w:sz w:val="24"/>
                <w:szCs w:val="24"/>
                <w:highlight w:val="none"/>
                <w:lang w:val="en-US" w:eastAsia="zh-CN"/>
              </w:rPr>
              <w:t>本项目</w:t>
            </w:r>
            <w:r>
              <w:rPr>
                <w:rFonts w:hint="eastAsia"/>
                <w:color w:val="auto"/>
                <w:highlight w:val="none"/>
                <w:lang w:val="en-US" w:eastAsia="zh-CN"/>
              </w:rPr>
              <w:t>为河道整治项目，项目的实施不改变土地利用类型，不会导致土壤环境质量下降</w:t>
            </w:r>
            <w:r>
              <w:rPr>
                <w:rFonts w:hint="eastAsia" w:ascii="Times New Roman" w:hAnsi="Times New Roman" w:eastAsia="仿宋_GB2312" w:cs="Times New Roman"/>
                <w:color w:val="auto"/>
                <w:sz w:val="24"/>
                <w:szCs w:val="24"/>
                <w:highlight w:val="none"/>
                <w:lang w:val="en-US" w:eastAsia="zh-CN"/>
              </w:rPr>
              <w:t>，</w:t>
            </w:r>
            <w:r>
              <w:rPr>
                <w:rFonts w:hint="eastAsia" w:cs="Times New Roman"/>
                <w:color w:val="auto"/>
                <w:sz w:val="24"/>
                <w:szCs w:val="24"/>
                <w:highlight w:val="none"/>
                <w:lang w:val="en-US" w:eastAsia="zh-CN"/>
              </w:rPr>
              <w:t>且本项目对于农用地优先保护区不涉及建设占用，</w:t>
            </w:r>
            <w:r>
              <w:rPr>
                <w:rFonts w:hint="eastAsia"/>
                <w:color w:val="auto"/>
                <w:highlight w:val="none"/>
                <w:lang w:eastAsia="zh-CN"/>
              </w:rPr>
              <w:t>故项目建设符合中卫市土壤分区管控要求。本项目与中卫市土壤污染风险分区管控位置关系见图</w:t>
            </w:r>
            <w:r>
              <w:rPr>
                <w:rFonts w:hint="eastAsia"/>
                <w:color w:val="auto"/>
                <w:highlight w:val="none"/>
                <w:lang w:val="en-US" w:eastAsia="zh-CN"/>
              </w:rPr>
              <w:t>5。</w:t>
            </w:r>
          </w:p>
          <w:p>
            <w:pPr>
              <w:pStyle w:val="64"/>
              <w:keepNext w:val="0"/>
              <w:keepLines w:val="0"/>
              <w:suppressLineNumbers w:val="0"/>
              <w:bidi w:val="0"/>
              <w:spacing w:before="0" w:beforeAutospacing="0" w:after="0" w:afterAutospacing="0"/>
              <w:ind w:left="0" w:right="0"/>
              <w:rPr>
                <w:rFonts w:hint="default"/>
                <w:color w:val="auto"/>
                <w:highlight w:val="none"/>
                <w:lang w:eastAsia="zh-CN"/>
              </w:rPr>
            </w:pPr>
            <w:r>
              <w:rPr>
                <w:rFonts w:hint="eastAsia"/>
                <w:color w:val="auto"/>
                <w:highlight w:val="none"/>
                <w:lang w:val="en-US" w:eastAsia="zh-CN"/>
              </w:rPr>
              <w:t>综上，本项目建设符合环境质量底线要求。</w:t>
            </w:r>
          </w:p>
          <w:p>
            <w:pPr>
              <w:pStyle w:val="64"/>
              <w:keepNext w:val="0"/>
              <w:keepLines w:val="0"/>
              <w:suppressLineNumbers w:val="0"/>
              <w:bidi w:val="0"/>
              <w:spacing w:before="0" w:beforeAutospacing="0" w:after="0" w:afterAutospacing="0"/>
              <w:ind w:left="0" w:right="0"/>
              <w:rPr>
                <w:rFonts w:hint="eastAsia"/>
                <w:b/>
                <w:bCs/>
                <w:color w:val="auto"/>
                <w:highlight w:val="none"/>
                <w:lang w:eastAsia="zh-CN"/>
              </w:rPr>
            </w:pPr>
            <w:r>
              <w:rPr>
                <w:rFonts w:hint="eastAsia"/>
                <w:b/>
                <w:bCs/>
                <w:color w:val="auto"/>
                <w:highlight w:val="none"/>
                <w:lang w:val="en-US" w:eastAsia="zh-CN"/>
              </w:rPr>
              <w:t xml:space="preserve">1.3 </w:t>
            </w:r>
            <w:r>
              <w:rPr>
                <w:rFonts w:hint="default"/>
                <w:b/>
                <w:bCs/>
                <w:color w:val="auto"/>
                <w:highlight w:val="none"/>
              </w:rPr>
              <w:t>资源利用上线</w:t>
            </w:r>
            <w:r>
              <w:rPr>
                <w:rFonts w:hint="eastAsia"/>
                <w:b/>
                <w:bCs/>
                <w:color w:val="auto"/>
                <w:highlight w:val="none"/>
                <w:lang w:eastAsia="zh-CN"/>
              </w:rPr>
              <w:t>及分区管控</w:t>
            </w:r>
          </w:p>
          <w:p>
            <w:pPr>
              <w:pStyle w:val="64"/>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①能源（煤炭）资源利用上线及分区管控</w:t>
            </w:r>
          </w:p>
          <w:p>
            <w:pPr>
              <w:pStyle w:val="64"/>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本项目主要建设</w:t>
            </w:r>
            <w:r>
              <w:rPr>
                <w:rFonts w:hint="default" w:ascii="Times New Roman" w:hAnsi="Times New Roman" w:cs="Times New Roman"/>
                <w:color w:val="auto"/>
                <w:highlight w:val="none"/>
                <w:lang w:eastAsia="zh-CN"/>
              </w:rPr>
              <w:t>灌区工程</w:t>
            </w:r>
            <w:r>
              <w:rPr>
                <w:rFonts w:hint="default" w:ascii="Times New Roman" w:hAnsi="Times New Roman" w:cs="Times New Roman"/>
                <w:color w:val="auto"/>
                <w:highlight w:val="none"/>
              </w:rPr>
              <w:t>，项目建设不</w:t>
            </w:r>
            <w:r>
              <w:rPr>
                <w:rFonts w:hint="default" w:ascii="Times New Roman" w:hAnsi="Times New Roman" w:cs="Times New Roman"/>
                <w:color w:val="auto"/>
                <w:highlight w:val="none"/>
                <w:lang w:eastAsia="zh-CN"/>
              </w:rPr>
              <w:t>涉及</w:t>
            </w:r>
            <w:r>
              <w:rPr>
                <w:rFonts w:hint="default" w:ascii="Times New Roman" w:hAnsi="Times New Roman" w:cs="Times New Roman"/>
                <w:color w:val="auto"/>
                <w:highlight w:val="none"/>
              </w:rPr>
              <w:t>中卫市能源（煤炭）资源利用上线。</w:t>
            </w:r>
          </w:p>
          <w:p>
            <w:pPr>
              <w:pStyle w:val="64"/>
              <w:keepNext w:val="0"/>
              <w:keepLines w:val="0"/>
              <w:pageBreakBefore w:val="0"/>
              <w:widowControl w:val="0"/>
              <w:kinsoku/>
              <w:wordWrap/>
              <w:topLinePunct w:val="0"/>
              <w:autoSpaceDE/>
              <w:autoSpaceDN/>
              <w:bidi w:val="0"/>
              <w:adjustRightInd w:val="0"/>
              <w:spacing w:line="336"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②水资源利用上线及分区管控</w:t>
            </w:r>
          </w:p>
          <w:p>
            <w:pPr>
              <w:pStyle w:val="64"/>
              <w:keepNext w:val="0"/>
              <w:keepLines w:val="0"/>
              <w:pageBreakBefore w:val="0"/>
              <w:widowControl w:val="0"/>
              <w:kinsoku/>
              <w:wordWrap/>
              <w:topLinePunct w:val="0"/>
              <w:autoSpaceDE/>
              <w:autoSpaceDN/>
              <w:bidi w:val="0"/>
              <w:adjustRightInd w:val="0"/>
              <w:spacing w:line="336"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本项目施工期用水资源消耗量相对区域资源利用总量较小</w:t>
            </w:r>
            <w:r>
              <w:rPr>
                <w:rFonts w:hint="eastAsia" w:cs="Times New Roman"/>
                <w:b w:val="0"/>
                <w:bCs w:val="0"/>
                <w:color w:val="auto"/>
                <w:highlight w:val="none"/>
                <w:lang w:eastAsia="zh-CN"/>
              </w:rPr>
              <w:t>，</w:t>
            </w:r>
            <w:r>
              <w:rPr>
                <w:rFonts w:hint="default" w:ascii="Times New Roman" w:hAnsi="Times New Roman" w:cs="Times New Roman"/>
                <w:color w:val="auto"/>
                <w:highlight w:val="none"/>
              </w:rPr>
              <w:t>符合水资源利用上线要求。</w:t>
            </w:r>
          </w:p>
          <w:p>
            <w:pPr>
              <w:pStyle w:val="64"/>
              <w:keepNext w:val="0"/>
              <w:keepLines w:val="0"/>
              <w:suppressLineNumbers w:val="0"/>
              <w:bidi w:val="0"/>
              <w:spacing w:before="0" w:beforeAutospacing="0" w:after="0" w:afterAutospacing="0"/>
              <w:ind w:left="0" w:right="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③土地资源利用上线及分区管控</w:t>
            </w:r>
          </w:p>
          <w:p>
            <w:pPr>
              <w:pStyle w:val="9"/>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本项目永久征地共计5.78亩，</w:t>
            </w:r>
            <w:r>
              <w:rPr>
                <w:rFonts w:hint="eastAsia" w:eastAsia="仿宋_GB2312" w:cs="Times New Roman"/>
                <w:b w:val="0"/>
                <w:bCs w:val="0"/>
                <w:color w:val="auto"/>
                <w:kern w:val="2"/>
                <w:sz w:val="24"/>
                <w:szCs w:val="24"/>
                <w:highlight w:val="none"/>
                <w:lang w:val="en-US" w:eastAsia="zh-CN" w:bidi="ar-SA"/>
              </w:rPr>
              <w:t>永久占地</w:t>
            </w:r>
            <w:r>
              <w:rPr>
                <w:rFonts w:hint="eastAsia" w:ascii="Times New Roman" w:hAnsi="Times New Roman" w:eastAsia="仿宋_GB2312" w:cs="Times New Roman"/>
                <w:b w:val="0"/>
                <w:bCs w:val="0"/>
                <w:color w:val="auto"/>
                <w:kern w:val="2"/>
                <w:sz w:val="24"/>
                <w:szCs w:val="24"/>
                <w:highlight w:val="none"/>
                <w:lang w:val="en-US" w:eastAsia="zh-CN" w:bidi="ar-SA"/>
              </w:rPr>
              <w:t>主要</w:t>
            </w:r>
            <w:r>
              <w:rPr>
                <w:rFonts w:hint="eastAsia" w:eastAsia="仿宋_GB2312" w:cs="Times New Roman"/>
                <w:b w:val="0"/>
                <w:bCs w:val="0"/>
                <w:color w:val="auto"/>
                <w:kern w:val="2"/>
                <w:sz w:val="24"/>
                <w:szCs w:val="24"/>
                <w:highlight w:val="none"/>
                <w:lang w:val="en-US" w:eastAsia="zh-CN" w:bidi="ar-SA"/>
              </w:rPr>
              <w:t>用于</w:t>
            </w:r>
            <w:r>
              <w:rPr>
                <w:rFonts w:hint="eastAsia" w:ascii="Times New Roman" w:hAnsi="Times New Roman" w:eastAsia="仿宋_GB2312" w:cs="Times New Roman"/>
                <w:b w:val="0"/>
                <w:bCs w:val="0"/>
                <w:color w:val="auto"/>
                <w:kern w:val="2"/>
                <w:sz w:val="24"/>
                <w:szCs w:val="24"/>
                <w:highlight w:val="none"/>
                <w:lang w:val="en-US" w:eastAsia="zh-CN" w:bidi="ar-SA"/>
              </w:rPr>
              <w:t>削坡、道路建设及生态修复占地，占地类型为耕地、灌木林地及荒地</w:t>
            </w:r>
            <w:r>
              <w:rPr>
                <w:rFonts w:hint="eastAsia" w:eastAsia="仿宋_GB2312" w:cs="Times New Roman"/>
                <w:b w:val="0"/>
                <w:bCs w:val="0"/>
                <w:color w:val="auto"/>
                <w:kern w:val="2"/>
                <w:sz w:val="24"/>
                <w:szCs w:val="24"/>
                <w:highlight w:val="none"/>
                <w:lang w:val="en-US" w:eastAsia="zh-CN" w:bidi="ar-SA"/>
              </w:rPr>
              <w:t>。</w:t>
            </w:r>
            <w:r>
              <w:rPr>
                <w:rFonts w:hint="eastAsia" w:ascii="Times New Roman" w:hAnsi="Times New Roman" w:eastAsia="仿宋_GB2312" w:cs="Times New Roman"/>
                <w:b w:val="0"/>
                <w:bCs w:val="0"/>
                <w:color w:val="auto"/>
                <w:kern w:val="2"/>
                <w:sz w:val="24"/>
                <w:szCs w:val="24"/>
                <w:highlight w:val="none"/>
                <w:lang w:val="en-US" w:eastAsia="zh-CN" w:bidi="ar-SA"/>
              </w:rPr>
              <w:t>永久占用：耕地0.9亩，林地0.97亩，荒地3.91亩</w:t>
            </w:r>
            <w:r>
              <w:rPr>
                <w:rFonts w:hint="eastAsia" w:eastAsia="仿宋_GB2312" w:cs="Times New Roman"/>
                <w:b w:val="0"/>
                <w:bCs w:val="0"/>
                <w:color w:val="auto"/>
                <w:kern w:val="2"/>
                <w:sz w:val="24"/>
                <w:szCs w:val="24"/>
                <w:highlight w:val="none"/>
                <w:lang w:val="en-US" w:eastAsia="zh-CN" w:bidi="ar-SA"/>
              </w:rPr>
              <w:t>。临时占地共19.1亩，其中：占用河滩地2亩、荒地15亩、耕地2.1亩</w:t>
            </w:r>
            <w:r>
              <w:rPr>
                <w:rFonts w:hint="eastAsia" w:ascii="Times New Roman" w:hAnsi="Times New Roman" w:cs="Times New Roman"/>
                <w:color w:val="auto"/>
                <w:highlight w:val="none"/>
                <w:lang w:eastAsia="zh-CN"/>
              </w:rPr>
              <w:t>。</w:t>
            </w:r>
            <w:r>
              <w:rPr>
                <w:rFonts w:hint="eastAsia" w:ascii="Times New Roman" w:hAnsi="Times New Roman" w:eastAsia="仿宋_GB2312" w:cs="Times New Roman"/>
                <w:b w:val="0"/>
                <w:bCs w:val="0"/>
                <w:color w:val="auto"/>
                <w:kern w:val="2"/>
                <w:sz w:val="24"/>
                <w:szCs w:val="24"/>
                <w:highlight w:val="none"/>
                <w:lang w:val="en-US" w:eastAsia="zh-CN" w:bidi="ar-SA"/>
              </w:rPr>
              <w:t>本项目施工结束后对临时用地进行生态修复，各施工临时占地原用地为林草地的区域采取撒播草籽的措施进行植被恢复，原耕地区域恢复耕种。因此本项目符合土地资源利用上线要求。</w:t>
            </w:r>
          </w:p>
          <w:p>
            <w:pPr>
              <w:pStyle w:val="9"/>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综上分析，本项目符合资源利用上线要求。</w:t>
            </w:r>
          </w:p>
          <w:p>
            <w:pPr>
              <w:pStyle w:val="64"/>
              <w:keepNext w:val="0"/>
              <w:keepLines w:val="0"/>
              <w:suppressLineNumbers w:val="0"/>
              <w:bidi w:val="0"/>
              <w:spacing w:before="0" w:beforeAutospacing="0" w:after="0" w:afterAutospacing="0"/>
              <w:ind w:left="0" w:right="0"/>
              <w:rPr>
                <w:rFonts w:hint="eastAsia"/>
                <w:b/>
                <w:bCs/>
                <w:color w:val="auto"/>
                <w:highlight w:val="none"/>
                <w:lang w:eastAsia="zh-CN"/>
              </w:rPr>
            </w:pPr>
            <w:r>
              <w:rPr>
                <w:rFonts w:hint="eastAsia"/>
                <w:b/>
                <w:bCs/>
                <w:color w:val="auto"/>
                <w:highlight w:val="none"/>
                <w:lang w:val="en-US" w:eastAsia="zh-CN"/>
              </w:rPr>
              <w:t xml:space="preserve">1.4 </w:t>
            </w:r>
            <w:r>
              <w:rPr>
                <w:rFonts w:hint="eastAsia"/>
                <w:b/>
                <w:bCs/>
                <w:color w:val="auto"/>
                <w:highlight w:val="none"/>
                <w:lang w:eastAsia="zh-CN"/>
              </w:rPr>
              <w:t>环境管控单元与准入清单</w:t>
            </w:r>
          </w:p>
          <w:p>
            <w:pPr>
              <w:autoSpaceDE w:val="0"/>
              <w:autoSpaceDN w:val="0"/>
              <w:adjustRightInd w:val="0"/>
              <w:spacing w:line="360" w:lineRule="auto"/>
              <w:ind w:firstLine="480" w:firstLineChars="200"/>
              <w:rPr>
                <w:rFonts w:hint="eastAsia" w:eastAsia="仿宋_GB2312"/>
                <w:color w:val="auto"/>
                <w:sz w:val="24"/>
                <w:highlight w:val="none"/>
                <w:lang w:eastAsia="zh-CN"/>
              </w:rPr>
            </w:pPr>
            <w:r>
              <w:rPr>
                <w:rFonts w:hint="eastAsia" w:eastAsia="仿宋_GB2312" w:cs="Times New Roman"/>
                <w:color w:val="auto"/>
                <w:kern w:val="2"/>
                <w:sz w:val="24"/>
                <w:szCs w:val="20"/>
                <w:highlight w:val="none"/>
                <w:lang w:val="en-US" w:eastAsia="zh-CN" w:bidi="en-US"/>
              </w:rPr>
              <w:t>本项目的建设符合国家及地方产业政策要求，符合相关规划要求，为环境准入允许类别。本项目位于沙坡头区永康镇-宣和镇-常乐镇生态空间优先保护单元中的一般生态空间，具体“负面清单”符合性分析见表3</w:t>
            </w:r>
            <w:r>
              <w:rPr>
                <w:rFonts w:hint="default" w:ascii="Times New Roman" w:hAnsi="Times New Roman" w:eastAsia="仿宋_GB2312" w:cs="Times New Roman"/>
                <w:color w:val="auto"/>
                <w:kern w:val="2"/>
                <w:sz w:val="24"/>
                <w:szCs w:val="24"/>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ascii="Times New Roman" w:hAnsi="Times New Roman" w:eastAsia="黑体" w:cs="Times New Roman"/>
                <w:b w:val="0"/>
                <w:bCs w:val="0"/>
                <w:color w:val="auto"/>
                <w:sz w:val="24"/>
                <w:szCs w:val="24"/>
                <w:highlight w:val="none"/>
                <w:lang w:eastAsia="zh-CN"/>
              </w:rPr>
            </w:pPr>
            <w:r>
              <w:rPr>
                <w:rFonts w:hint="default" w:ascii="Times New Roman" w:hAnsi="Times New Roman" w:eastAsia="黑体" w:cs="Times New Roman"/>
                <w:b w:val="0"/>
                <w:bCs w:val="0"/>
                <w:color w:val="auto"/>
                <w:kern w:val="0"/>
                <w:sz w:val="24"/>
                <w:szCs w:val="24"/>
                <w:highlight w:val="none"/>
                <w:lang w:eastAsia="zh-CN"/>
              </w:rPr>
              <w:t>表</w:t>
            </w:r>
            <w:r>
              <w:rPr>
                <w:rFonts w:hint="default" w:ascii="Times New Roman" w:hAnsi="Times New Roman" w:eastAsia="黑体" w:cs="Times New Roman"/>
                <w:b w:val="0"/>
                <w:bCs w:val="0"/>
                <w:color w:val="auto"/>
                <w:kern w:val="0"/>
                <w:sz w:val="24"/>
                <w:szCs w:val="24"/>
                <w:highlight w:val="none"/>
                <w:lang w:val="en-US" w:eastAsia="zh-CN"/>
              </w:rPr>
              <w:t>1</w:t>
            </w:r>
            <w:r>
              <w:rPr>
                <w:rFonts w:hint="default" w:ascii="Times New Roman" w:hAnsi="Times New Roman" w:eastAsia="黑体" w:cs="Times New Roman"/>
                <w:b w:val="0"/>
                <w:bCs w:val="0"/>
                <w:color w:val="auto"/>
                <w:sz w:val="24"/>
                <w:szCs w:val="24"/>
                <w:highlight w:val="none"/>
              </w:rPr>
              <w:t xml:space="preserve">        </w:t>
            </w:r>
            <w:r>
              <w:rPr>
                <w:rFonts w:hint="default" w:ascii="Times New Roman" w:hAnsi="Times New Roman" w:eastAsia="黑体" w:cs="Times New Roman"/>
                <w:b w:val="0"/>
                <w:bCs w:val="0"/>
                <w:color w:val="auto"/>
                <w:sz w:val="24"/>
                <w:szCs w:val="24"/>
                <w:highlight w:val="none"/>
                <w:lang w:eastAsia="zh-CN"/>
              </w:rPr>
              <w:t>中卫市生态环境准入</w:t>
            </w:r>
            <w:r>
              <w:rPr>
                <w:rFonts w:hint="eastAsia" w:eastAsia="黑体" w:cs="Times New Roman"/>
                <w:b w:val="0"/>
                <w:bCs w:val="0"/>
                <w:color w:val="auto"/>
                <w:sz w:val="24"/>
                <w:szCs w:val="24"/>
                <w:highlight w:val="none"/>
                <w:lang w:eastAsia="zh-CN"/>
              </w:rPr>
              <w:t>清单</w:t>
            </w:r>
            <w:r>
              <w:rPr>
                <w:rFonts w:hint="default" w:ascii="Times New Roman" w:hAnsi="Times New Roman" w:eastAsia="黑体" w:cs="Times New Roman"/>
                <w:b w:val="0"/>
                <w:bCs w:val="0"/>
                <w:color w:val="auto"/>
                <w:sz w:val="24"/>
                <w:szCs w:val="24"/>
                <w:highlight w:val="none"/>
                <w:lang w:eastAsia="zh-CN"/>
              </w:rPr>
              <w:t>要求一览表</w:t>
            </w:r>
          </w:p>
          <w:tbl>
            <w:tblPr>
              <w:tblStyle w:val="24"/>
              <w:tblW w:w="7626"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1046"/>
              <w:gridCol w:w="4702"/>
              <w:gridCol w:w="695"/>
              <w:gridCol w:w="118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46"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cs="Times New Roman"/>
                      <w:b/>
                      <w:bCs/>
                      <w:snapToGrid w:val="0"/>
                      <w:color w:val="auto"/>
                      <w:kern w:val="0"/>
                      <w:sz w:val="21"/>
                      <w:szCs w:val="21"/>
                      <w:highlight w:val="none"/>
                      <w:lang w:eastAsia="zh-CN"/>
                    </w:rPr>
                  </w:pPr>
                  <w:r>
                    <w:rPr>
                      <w:rFonts w:hint="eastAsia" w:cs="Times New Roman"/>
                      <w:b/>
                      <w:bCs/>
                      <w:snapToGrid w:val="0"/>
                      <w:color w:val="auto"/>
                      <w:kern w:val="0"/>
                      <w:sz w:val="21"/>
                      <w:szCs w:val="21"/>
                      <w:highlight w:val="none"/>
                      <w:lang w:eastAsia="zh-CN"/>
                    </w:rPr>
                    <w:t>管控要求</w:t>
                  </w:r>
                </w:p>
              </w:tc>
              <w:tc>
                <w:tcPr>
                  <w:tcW w:w="4702"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bCs/>
                      <w:snapToGrid w:val="0"/>
                      <w:color w:val="auto"/>
                      <w:kern w:val="0"/>
                      <w:sz w:val="21"/>
                      <w:szCs w:val="21"/>
                      <w:highlight w:val="none"/>
                    </w:rPr>
                  </w:pPr>
                  <w:r>
                    <w:rPr>
                      <w:rFonts w:hint="eastAsia" w:ascii="Times New Roman" w:hAnsi="Times New Roman" w:eastAsia="宋体" w:cs="Times New Roman"/>
                      <w:b/>
                      <w:bCs/>
                      <w:snapToGrid w:val="0"/>
                      <w:color w:val="auto"/>
                      <w:kern w:val="0"/>
                      <w:sz w:val="21"/>
                      <w:szCs w:val="21"/>
                      <w:highlight w:val="none"/>
                      <w:lang w:val="en-US" w:eastAsia="zh-CN"/>
                    </w:rPr>
                    <w:t>沙坡头区永康镇-宣和镇-常乐镇生态空间优先保护单元</w:t>
                  </w:r>
                </w:p>
              </w:tc>
              <w:tc>
                <w:tcPr>
                  <w:tcW w:w="695"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bCs/>
                      <w:snapToGrid w:val="0"/>
                      <w:color w:val="auto"/>
                      <w:kern w:val="0"/>
                      <w:sz w:val="21"/>
                      <w:szCs w:val="21"/>
                      <w:highlight w:val="none"/>
                      <w:lang w:val="en-US" w:eastAsia="zh-CN"/>
                    </w:rPr>
                  </w:pPr>
                  <w:r>
                    <w:rPr>
                      <w:rFonts w:hint="eastAsia" w:eastAsia="宋体" w:cs="Times New Roman"/>
                      <w:b/>
                      <w:bCs/>
                      <w:snapToGrid w:val="0"/>
                      <w:color w:val="auto"/>
                      <w:kern w:val="0"/>
                      <w:sz w:val="21"/>
                      <w:szCs w:val="21"/>
                      <w:highlight w:val="none"/>
                      <w:lang w:val="en-US" w:eastAsia="zh-CN"/>
                    </w:rPr>
                    <w:t>要素属性</w:t>
                  </w:r>
                </w:p>
              </w:tc>
              <w:tc>
                <w:tcPr>
                  <w:tcW w:w="1183"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b/>
                      <w:bCs/>
                      <w:snapToGrid w:val="0"/>
                      <w:color w:val="auto"/>
                      <w:kern w:val="0"/>
                      <w:sz w:val="21"/>
                      <w:szCs w:val="21"/>
                      <w:highlight w:val="none"/>
                      <w:lang w:val="en-US" w:eastAsia="zh-CN"/>
                    </w:rPr>
                  </w:pPr>
                  <w:r>
                    <w:rPr>
                      <w:rFonts w:hint="eastAsia" w:cs="Times New Roman"/>
                      <w:b/>
                      <w:bCs/>
                      <w:snapToGrid w:val="0"/>
                      <w:color w:val="auto"/>
                      <w:kern w:val="0"/>
                      <w:sz w:val="21"/>
                      <w:szCs w:val="21"/>
                      <w:highlight w:val="none"/>
                      <w:lang w:val="en-US" w:eastAsia="zh-CN"/>
                    </w:rPr>
                    <w:t>本项目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46"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bCs/>
                      <w:snapToGrid w:val="0"/>
                      <w:color w:val="auto"/>
                      <w:kern w:val="0"/>
                      <w:sz w:val="21"/>
                      <w:szCs w:val="21"/>
                      <w:highlight w:val="none"/>
                      <w:lang w:eastAsia="zh-CN"/>
                    </w:rPr>
                  </w:pPr>
                  <w:r>
                    <w:rPr>
                      <w:rFonts w:hint="eastAsia" w:cs="Times New Roman"/>
                      <w:b/>
                      <w:bCs/>
                      <w:snapToGrid w:val="0"/>
                      <w:color w:val="auto"/>
                      <w:kern w:val="0"/>
                      <w:sz w:val="21"/>
                      <w:szCs w:val="21"/>
                      <w:highlight w:val="none"/>
                      <w:lang w:eastAsia="zh-CN"/>
                    </w:rPr>
                    <w:t>空间布局约束</w:t>
                  </w:r>
                </w:p>
              </w:tc>
              <w:tc>
                <w:tcPr>
                  <w:tcW w:w="4702"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snapToGrid w:val="0"/>
                      <w:color w:val="auto"/>
                      <w:kern w:val="0"/>
                      <w:sz w:val="21"/>
                      <w:szCs w:val="21"/>
                      <w:highlight w:val="none"/>
                      <w:lang w:eastAsia="zh-CN"/>
                    </w:rPr>
                  </w:pPr>
                  <w:r>
                    <w:rPr>
                      <w:rFonts w:hint="eastAsia" w:ascii="Times New Roman" w:hAnsi="Times New Roman" w:eastAsia="宋体" w:cs="Times New Roman"/>
                      <w:b w:val="0"/>
                      <w:bCs w:val="0"/>
                      <w:snapToGrid w:val="0"/>
                      <w:color w:val="auto"/>
                      <w:kern w:val="0"/>
                      <w:sz w:val="21"/>
                      <w:szCs w:val="21"/>
                      <w:highlight w:val="none"/>
                    </w:rPr>
                    <w:t>1.禁止新建项目乱征滥占草地、破坏沙生植被，严格限制在区域内采砂取土</w:t>
                  </w:r>
                  <w:r>
                    <w:rPr>
                      <w:rFonts w:hint="eastAsia" w:eastAsia="宋体" w:cs="Times New Roman"/>
                      <w:b w:val="0"/>
                      <w:bCs w:val="0"/>
                      <w:snapToGrid w:val="0"/>
                      <w:color w:val="auto"/>
                      <w:kern w:val="0"/>
                      <w:sz w:val="21"/>
                      <w:szCs w:val="21"/>
                      <w:highlight w:val="none"/>
                      <w:lang w:eastAsia="zh-CN"/>
                    </w:rPr>
                    <w:t>。</w:t>
                  </w:r>
                </w:p>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snapToGrid w:val="0"/>
                      <w:color w:val="auto"/>
                      <w:kern w:val="0"/>
                      <w:sz w:val="21"/>
                      <w:szCs w:val="21"/>
                      <w:highlight w:val="none"/>
                      <w:lang w:eastAsia="zh-CN"/>
                    </w:rPr>
                  </w:pPr>
                  <w:r>
                    <w:rPr>
                      <w:rFonts w:hint="eastAsia" w:ascii="Times New Roman" w:hAnsi="Times New Roman" w:eastAsia="宋体" w:cs="Times New Roman"/>
                      <w:b w:val="0"/>
                      <w:bCs w:val="0"/>
                      <w:snapToGrid w:val="0"/>
                      <w:color w:val="auto"/>
                      <w:kern w:val="0"/>
                      <w:sz w:val="21"/>
                      <w:szCs w:val="21"/>
                      <w:highlight w:val="none"/>
                    </w:rPr>
                    <w:t>2.生态保护红线内，除国家重大战略项目以及对生态功能不造成破坏的八类有限人为活动之外，严格禁止各类开发性、生产性建设活动。一般生态空间内，在生态保护红线正面清单的基础上，仅允许开展生态修复等对生态环境扰动较小、不损害或有利于提升生态功能的开发项目</w:t>
                  </w:r>
                  <w:r>
                    <w:rPr>
                      <w:rFonts w:hint="eastAsia" w:eastAsia="宋体" w:cs="Times New Roman"/>
                      <w:b w:val="0"/>
                      <w:bCs w:val="0"/>
                      <w:snapToGrid w:val="0"/>
                      <w:color w:val="auto"/>
                      <w:kern w:val="0"/>
                      <w:sz w:val="21"/>
                      <w:szCs w:val="21"/>
                      <w:highlight w:val="none"/>
                      <w:lang w:eastAsia="zh-CN"/>
                    </w:rPr>
                    <w:t>。</w:t>
                  </w:r>
                </w:p>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snapToGrid w:val="0"/>
                      <w:color w:val="auto"/>
                      <w:kern w:val="0"/>
                      <w:sz w:val="21"/>
                      <w:szCs w:val="21"/>
                      <w:highlight w:val="none"/>
                    </w:rPr>
                  </w:pPr>
                  <w:r>
                    <w:rPr>
                      <w:rFonts w:hint="eastAsia" w:ascii="Times New Roman" w:hAnsi="Times New Roman" w:eastAsia="宋体" w:cs="Times New Roman"/>
                      <w:b w:val="0"/>
                      <w:bCs w:val="0"/>
                      <w:snapToGrid w:val="0"/>
                      <w:color w:val="auto"/>
                      <w:kern w:val="0"/>
                      <w:sz w:val="21"/>
                      <w:szCs w:val="21"/>
                      <w:highlight w:val="none"/>
                    </w:rPr>
                    <w:t>3.对区域内“散乱污”企业根据实际情况采取关停或搬迁入园措施。禁养区内现有的畜禽养殖场（小区）污染物的排放要符合《畜禽养殖污染物排放标准》的要求，并限期实现关停、转产或搬迁。</w:t>
                  </w:r>
                </w:p>
              </w:tc>
              <w:tc>
                <w:tcPr>
                  <w:tcW w:w="695" w:type="dxa"/>
                  <w:vMerge w:val="restart"/>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ascii="Times New Roman" w:hAnsi="Times New Roman" w:eastAsia="宋体" w:cs="Times New Roman"/>
                      <w:b w:val="0"/>
                      <w:bCs w:val="0"/>
                      <w:snapToGrid w:val="0"/>
                      <w:color w:val="auto"/>
                      <w:kern w:val="0"/>
                      <w:sz w:val="21"/>
                      <w:szCs w:val="21"/>
                      <w:highlight w:val="none"/>
                      <w:lang w:val="en-US" w:eastAsia="zh-CN"/>
                    </w:rPr>
                    <w:t>生态保护红线-一般生态空间</w:t>
                  </w:r>
                </w:p>
              </w:tc>
              <w:tc>
                <w:tcPr>
                  <w:tcW w:w="1183"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本项目不属于空间布局约束中禁止开展的相关工作，符合一般生态空间的要求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46"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bCs/>
                      <w:snapToGrid w:val="0"/>
                      <w:color w:val="auto"/>
                      <w:kern w:val="0"/>
                      <w:sz w:val="21"/>
                      <w:szCs w:val="21"/>
                      <w:highlight w:val="none"/>
                      <w:lang w:eastAsia="zh-CN"/>
                    </w:rPr>
                  </w:pPr>
                  <w:r>
                    <w:rPr>
                      <w:rFonts w:hint="eastAsia" w:cs="Times New Roman"/>
                      <w:b/>
                      <w:bCs/>
                      <w:snapToGrid w:val="0"/>
                      <w:color w:val="auto"/>
                      <w:kern w:val="0"/>
                      <w:sz w:val="21"/>
                      <w:szCs w:val="21"/>
                      <w:highlight w:val="none"/>
                      <w:lang w:eastAsia="zh-CN"/>
                    </w:rPr>
                    <w:t>污染物排放管控</w:t>
                  </w:r>
                </w:p>
              </w:tc>
              <w:tc>
                <w:tcPr>
                  <w:tcW w:w="4702"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val="0"/>
                      <w:bCs w:val="0"/>
                      <w:snapToGrid w:val="0"/>
                      <w:color w:val="auto"/>
                      <w:kern w:val="0"/>
                      <w:sz w:val="21"/>
                      <w:szCs w:val="21"/>
                      <w:highlight w:val="none"/>
                      <w:lang w:eastAsia="zh-CN"/>
                    </w:rPr>
                  </w:pPr>
                  <w:r>
                    <w:rPr>
                      <w:rFonts w:hint="eastAsia" w:eastAsia="宋体" w:cs="Times New Roman"/>
                      <w:b w:val="0"/>
                      <w:bCs w:val="0"/>
                      <w:snapToGrid w:val="0"/>
                      <w:color w:val="auto"/>
                      <w:kern w:val="0"/>
                      <w:sz w:val="21"/>
                      <w:szCs w:val="21"/>
                      <w:highlight w:val="none"/>
                      <w:lang w:eastAsia="zh-CN"/>
                    </w:rPr>
                    <w:t>/</w:t>
                  </w:r>
                </w:p>
              </w:tc>
              <w:tc>
                <w:tcPr>
                  <w:tcW w:w="695"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val="0"/>
                      <w:bCs w:val="0"/>
                      <w:snapToGrid w:val="0"/>
                      <w:color w:val="auto"/>
                      <w:kern w:val="0"/>
                      <w:sz w:val="21"/>
                      <w:szCs w:val="21"/>
                      <w:highlight w:val="none"/>
                      <w:lang w:val="en-US" w:eastAsia="zh-CN"/>
                    </w:rPr>
                  </w:pPr>
                </w:p>
              </w:tc>
              <w:tc>
                <w:tcPr>
                  <w:tcW w:w="1183"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rightChars="0"/>
                    <w:jc w:val="center"/>
                    <w:textAlignment w:val="auto"/>
                    <w:rPr>
                      <w:rFonts w:hint="default"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46"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bCs/>
                      <w:snapToGrid w:val="0"/>
                      <w:color w:val="auto"/>
                      <w:kern w:val="0"/>
                      <w:sz w:val="21"/>
                      <w:szCs w:val="21"/>
                      <w:highlight w:val="none"/>
                      <w:lang w:eastAsia="zh-CN"/>
                    </w:rPr>
                  </w:pPr>
                  <w:r>
                    <w:rPr>
                      <w:rFonts w:hint="eastAsia" w:cs="Times New Roman"/>
                      <w:b/>
                      <w:bCs/>
                      <w:snapToGrid w:val="0"/>
                      <w:color w:val="auto"/>
                      <w:kern w:val="0"/>
                      <w:sz w:val="21"/>
                      <w:szCs w:val="21"/>
                      <w:highlight w:val="none"/>
                      <w:lang w:eastAsia="zh-CN"/>
                    </w:rPr>
                    <w:t>环境风险防控</w:t>
                  </w:r>
                </w:p>
              </w:tc>
              <w:tc>
                <w:tcPr>
                  <w:tcW w:w="4702"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val="0"/>
                      <w:bCs w:val="0"/>
                      <w:snapToGrid w:val="0"/>
                      <w:color w:val="auto"/>
                      <w:kern w:val="0"/>
                      <w:sz w:val="21"/>
                      <w:szCs w:val="21"/>
                      <w:highlight w:val="none"/>
                      <w:lang w:val="en-US" w:eastAsia="zh-CN"/>
                    </w:rPr>
                  </w:pPr>
                  <w:r>
                    <w:rPr>
                      <w:rFonts w:hint="eastAsia" w:eastAsia="宋体" w:cs="Times New Roman"/>
                      <w:b w:val="0"/>
                      <w:bCs w:val="0"/>
                      <w:snapToGrid w:val="0"/>
                      <w:color w:val="auto"/>
                      <w:kern w:val="0"/>
                      <w:sz w:val="21"/>
                      <w:szCs w:val="21"/>
                      <w:highlight w:val="none"/>
                      <w:lang w:val="en-US" w:eastAsia="zh-CN"/>
                    </w:rPr>
                    <w:t>/</w:t>
                  </w:r>
                </w:p>
              </w:tc>
              <w:tc>
                <w:tcPr>
                  <w:tcW w:w="695"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val="0"/>
                      <w:bCs w:val="0"/>
                      <w:snapToGrid w:val="0"/>
                      <w:color w:val="auto"/>
                      <w:kern w:val="0"/>
                      <w:sz w:val="21"/>
                      <w:szCs w:val="21"/>
                      <w:highlight w:val="none"/>
                      <w:lang w:val="en-US" w:eastAsia="zh-CN"/>
                    </w:rPr>
                  </w:pPr>
                </w:p>
              </w:tc>
              <w:tc>
                <w:tcPr>
                  <w:tcW w:w="1183"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rightChars="0"/>
                    <w:jc w:val="center"/>
                    <w:textAlignment w:val="auto"/>
                    <w:rPr>
                      <w:rFonts w:hint="default"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46"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bCs/>
                      <w:snapToGrid w:val="0"/>
                      <w:color w:val="auto"/>
                      <w:kern w:val="0"/>
                      <w:sz w:val="21"/>
                      <w:szCs w:val="21"/>
                      <w:highlight w:val="none"/>
                      <w:lang w:eastAsia="zh-CN"/>
                    </w:rPr>
                  </w:pPr>
                  <w:r>
                    <w:rPr>
                      <w:rFonts w:hint="eastAsia" w:cs="Times New Roman"/>
                      <w:b/>
                      <w:bCs/>
                      <w:snapToGrid w:val="0"/>
                      <w:color w:val="auto"/>
                      <w:kern w:val="0"/>
                      <w:sz w:val="21"/>
                      <w:szCs w:val="21"/>
                      <w:highlight w:val="none"/>
                      <w:lang w:eastAsia="zh-CN"/>
                    </w:rPr>
                    <w:t>资源开发效率要求</w:t>
                  </w:r>
                </w:p>
              </w:tc>
              <w:tc>
                <w:tcPr>
                  <w:tcW w:w="4702"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val="0"/>
                      <w:bCs w:val="0"/>
                      <w:snapToGrid w:val="0"/>
                      <w:color w:val="auto"/>
                      <w:kern w:val="0"/>
                      <w:sz w:val="21"/>
                      <w:szCs w:val="21"/>
                      <w:highlight w:val="none"/>
                      <w:lang w:val="en-US" w:eastAsia="zh-CN"/>
                    </w:rPr>
                  </w:pPr>
                  <w:r>
                    <w:rPr>
                      <w:rFonts w:hint="eastAsia" w:eastAsia="宋体" w:cs="Times New Roman"/>
                      <w:b w:val="0"/>
                      <w:bCs w:val="0"/>
                      <w:snapToGrid w:val="0"/>
                      <w:color w:val="auto"/>
                      <w:kern w:val="0"/>
                      <w:sz w:val="21"/>
                      <w:szCs w:val="21"/>
                      <w:highlight w:val="none"/>
                      <w:lang w:val="en-US" w:eastAsia="zh-CN"/>
                    </w:rPr>
                    <w:t>/</w:t>
                  </w:r>
                </w:p>
              </w:tc>
              <w:tc>
                <w:tcPr>
                  <w:tcW w:w="695"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val="0"/>
                      <w:bCs w:val="0"/>
                      <w:snapToGrid w:val="0"/>
                      <w:color w:val="auto"/>
                      <w:kern w:val="0"/>
                      <w:sz w:val="21"/>
                      <w:szCs w:val="21"/>
                      <w:highlight w:val="none"/>
                      <w:lang w:val="en-US" w:eastAsia="zh-CN"/>
                    </w:rPr>
                  </w:pPr>
                </w:p>
              </w:tc>
              <w:tc>
                <w:tcPr>
                  <w:tcW w:w="1183" w:type="dxa"/>
                  <w:tcBorders>
                    <w:tl2br w:val="nil"/>
                    <w:tr2bl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right="0" w:rightChars="0"/>
                    <w:jc w:val="center"/>
                    <w:textAlignment w:val="auto"/>
                    <w:rPr>
                      <w:rFonts w:hint="default"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w:t>
                  </w:r>
                </w:p>
              </w:tc>
            </w:tr>
          </w:tbl>
          <w:p>
            <w:pPr>
              <w:autoSpaceDE w:val="0"/>
              <w:autoSpaceDN w:val="0"/>
              <w:adjustRightInd w:val="0"/>
              <w:spacing w:line="360" w:lineRule="auto"/>
              <w:ind w:firstLine="480" w:firstLineChars="200"/>
              <w:rPr>
                <w:rFonts w:hint="eastAsia" w:eastAsia="仿宋_GB2312"/>
                <w:b/>
                <w:bCs/>
                <w:color w:val="auto"/>
                <w:sz w:val="24"/>
                <w:highlight w:val="none"/>
              </w:rPr>
            </w:pPr>
            <w:r>
              <w:rPr>
                <w:rFonts w:hint="default" w:ascii="Times New Roman" w:hAnsi="Times New Roman" w:eastAsia="仿宋_GB2312" w:cs="Times New Roman"/>
                <w:color w:val="auto"/>
                <w:kern w:val="0"/>
                <w:sz w:val="24"/>
                <w:szCs w:val="24"/>
                <w:highlight w:val="none"/>
                <w:lang w:val="en-US" w:eastAsia="zh-CN" w:bidi="ar-SA"/>
              </w:rPr>
              <w:t>综上所述，项目的建设符合</w:t>
            </w:r>
            <w:r>
              <w:rPr>
                <w:rFonts w:hint="eastAsia" w:ascii="Times New Roman" w:hAnsi="Times New Roman" w:eastAsia="仿宋_GB2312" w:cs="Times New Roman"/>
                <w:color w:val="auto"/>
                <w:kern w:val="0"/>
                <w:sz w:val="24"/>
                <w:szCs w:val="24"/>
                <w:highlight w:val="none"/>
                <w:lang w:val="en-US" w:eastAsia="zh-CN" w:bidi="ar-SA"/>
              </w:rPr>
              <w:t>“</w:t>
            </w:r>
            <w:r>
              <w:rPr>
                <w:rFonts w:hint="default" w:ascii="Times New Roman" w:hAnsi="Times New Roman" w:eastAsia="仿宋_GB2312" w:cs="Times New Roman"/>
                <w:color w:val="auto"/>
                <w:kern w:val="0"/>
                <w:sz w:val="24"/>
                <w:szCs w:val="24"/>
                <w:highlight w:val="none"/>
                <w:lang w:val="en-US" w:eastAsia="zh-CN" w:bidi="ar-SA"/>
              </w:rPr>
              <w:t>三线一清单</w:t>
            </w:r>
            <w:r>
              <w:rPr>
                <w:rFonts w:hint="eastAsia" w:ascii="Times New Roman" w:hAnsi="Times New Roman" w:eastAsia="仿宋_GB2312" w:cs="Times New Roman"/>
                <w:color w:val="auto"/>
                <w:kern w:val="0"/>
                <w:sz w:val="24"/>
                <w:szCs w:val="24"/>
                <w:highlight w:val="none"/>
                <w:lang w:val="en-US" w:eastAsia="zh-CN" w:bidi="ar-SA"/>
              </w:rPr>
              <w:t>”</w:t>
            </w:r>
            <w:r>
              <w:rPr>
                <w:rFonts w:hint="default" w:ascii="Times New Roman" w:hAnsi="Times New Roman" w:eastAsia="仿宋_GB2312" w:cs="Times New Roman"/>
                <w:color w:val="auto"/>
                <w:kern w:val="0"/>
                <w:sz w:val="24"/>
                <w:szCs w:val="24"/>
                <w:highlight w:val="none"/>
                <w:lang w:val="en-US" w:eastAsia="zh-CN" w:bidi="ar-SA"/>
              </w:rPr>
              <w:t>相关要求</w:t>
            </w:r>
            <w:r>
              <w:rPr>
                <w:rFonts w:hint="eastAsia" w:eastAsia="仿宋_GB2312" w:cs="Times New Roman"/>
                <w:color w:val="auto"/>
                <w:kern w:val="2"/>
                <w:sz w:val="24"/>
                <w:szCs w:val="20"/>
                <w:highlight w:val="none"/>
                <w:lang w:val="en-US" w:eastAsia="zh-CN" w:bidi="en-US"/>
              </w:rPr>
              <w:t>。</w:t>
            </w:r>
          </w:p>
          <w:p>
            <w:pPr>
              <w:autoSpaceDE w:val="0"/>
              <w:autoSpaceDN w:val="0"/>
              <w:adjustRightInd w:val="0"/>
              <w:spacing w:line="360" w:lineRule="auto"/>
              <w:ind w:firstLine="482" w:firstLineChars="200"/>
              <w:rPr>
                <w:rFonts w:eastAsia="仿宋_GB2312"/>
                <w:b/>
                <w:bCs/>
                <w:color w:val="auto"/>
                <w:sz w:val="24"/>
                <w:highlight w:val="none"/>
              </w:rPr>
            </w:pPr>
            <w:r>
              <w:rPr>
                <w:rFonts w:hint="eastAsia" w:eastAsia="仿宋_GB2312"/>
                <w:b/>
                <w:bCs/>
                <w:color w:val="auto"/>
                <w:sz w:val="24"/>
                <w:highlight w:val="none"/>
                <w:lang w:val="en-US" w:eastAsia="zh-CN"/>
              </w:rPr>
              <w:t>2</w:t>
            </w:r>
            <w:r>
              <w:rPr>
                <w:rFonts w:hint="eastAsia" w:eastAsia="仿宋_GB2312"/>
                <w:b/>
                <w:bCs/>
                <w:color w:val="auto"/>
                <w:sz w:val="24"/>
                <w:highlight w:val="none"/>
              </w:rPr>
              <w:t>、项目产业政策符合性分析</w:t>
            </w:r>
          </w:p>
          <w:p>
            <w:pPr>
              <w:autoSpaceDE w:val="0"/>
              <w:autoSpaceDN w:val="0"/>
              <w:adjustRightInd w:val="0"/>
              <w:spacing w:line="360" w:lineRule="auto"/>
              <w:ind w:firstLine="482" w:firstLineChars="200"/>
              <w:rPr>
                <w:rFonts w:hint="eastAsia" w:eastAsia="仿宋_GB2312"/>
                <w:color w:val="auto"/>
                <w:sz w:val="24"/>
                <w:highlight w:val="none"/>
                <w:lang w:eastAsia="zh-CN"/>
              </w:rPr>
            </w:pPr>
            <w:r>
              <w:rPr>
                <w:rFonts w:hint="eastAsia" w:eastAsia="仿宋_GB2312"/>
                <w:b/>
                <w:bCs/>
                <w:color w:val="auto"/>
                <w:sz w:val="24"/>
                <w:highlight w:val="none"/>
                <w:lang w:eastAsia="zh-CN"/>
              </w:rPr>
              <w:t>（</w:t>
            </w:r>
            <w:r>
              <w:rPr>
                <w:rFonts w:hint="eastAsia" w:eastAsia="仿宋_GB2312"/>
                <w:b/>
                <w:bCs/>
                <w:color w:val="auto"/>
                <w:sz w:val="24"/>
                <w:highlight w:val="none"/>
                <w:lang w:val="en-US" w:eastAsia="zh-CN"/>
              </w:rPr>
              <w:t>1</w:t>
            </w:r>
            <w:r>
              <w:rPr>
                <w:rFonts w:hint="eastAsia" w:eastAsia="仿宋_GB2312"/>
                <w:b/>
                <w:bCs/>
                <w:color w:val="auto"/>
                <w:sz w:val="24"/>
                <w:highlight w:val="none"/>
                <w:lang w:eastAsia="zh-CN"/>
              </w:rPr>
              <w:t>）与</w:t>
            </w:r>
            <w:r>
              <w:rPr>
                <w:rFonts w:hint="default" w:ascii="Times New Roman" w:hAnsi="Times New Roman" w:eastAsia="仿宋_GB2312" w:cs="Times New Roman"/>
                <w:b/>
                <w:bCs/>
                <w:color w:val="auto"/>
                <w:sz w:val="24"/>
                <w:szCs w:val="24"/>
                <w:highlight w:val="none"/>
                <w:lang w:val="en-US" w:eastAsia="zh-CN"/>
              </w:rPr>
              <w:t>《产业结构调整指导目录》符合性分析</w:t>
            </w:r>
          </w:p>
          <w:p>
            <w:pPr>
              <w:autoSpaceDE w:val="0"/>
              <w:autoSpaceDN w:val="0"/>
              <w:adjustRightInd w:val="0"/>
              <w:spacing w:line="360" w:lineRule="auto"/>
              <w:ind w:firstLine="480" w:firstLineChars="200"/>
              <w:rPr>
                <w:rFonts w:hint="eastAsia"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szCs w:val="24"/>
                <w:highlight w:val="none"/>
                <w:lang w:val="en-US" w:eastAsia="zh-CN" w:bidi="ar-SA"/>
              </w:rPr>
              <w:t>根据中华人民共和国国家发展和改革委员会令2019年第29号《产业结构调整指导目录（2019年本）》可知，本项目属于鼓励类中</w:t>
            </w:r>
            <w:r>
              <w:rPr>
                <w:rFonts w:hint="eastAsia" w:ascii="Times New Roman" w:hAnsi="Times New Roman" w:eastAsia="仿宋_GB2312" w:cs="Times New Roman"/>
                <w:b w:val="0"/>
                <w:bCs w:val="0"/>
                <w:color w:val="auto"/>
                <w:sz w:val="24"/>
                <w:szCs w:val="24"/>
                <w:highlight w:val="none"/>
                <w:lang w:val="en-US" w:eastAsia="zh-CN"/>
              </w:rPr>
              <w:t>第二项、水利类：第1条“江河湖海堤防及河道治理工程”</w:t>
            </w:r>
            <w:r>
              <w:rPr>
                <w:rFonts w:hint="eastAsia" w:ascii="Times New Roman" w:hAnsi="Times New Roman" w:eastAsia="仿宋_GB2312" w:cs="Times New Roman"/>
                <w:color w:val="auto"/>
                <w:kern w:val="0"/>
                <w:sz w:val="24"/>
                <w:szCs w:val="24"/>
                <w:highlight w:val="none"/>
                <w:lang w:val="en-US" w:eastAsia="zh-CN" w:bidi="ar-SA"/>
              </w:rPr>
              <w:t>，</w:t>
            </w:r>
            <w:r>
              <w:rPr>
                <w:rFonts w:hint="eastAsia" w:ascii="Times New Roman" w:hAnsi="Times New Roman" w:eastAsia="仿宋_GB2312" w:cs="Times New Roman"/>
                <w:b w:val="0"/>
                <w:bCs w:val="0"/>
                <w:color w:val="auto"/>
                <w:sz w:val="24"/>
                <w:szCs w:val="24"/>
                <w:highlight w:val="none"/>
                <w:lang w:val="en-US" w:eastAsia="zh-CN"/>
              </w:rPr>
              <w:t>因此，本项目符合国家产业政策</w:t>
            </w:r>
            <w:r>
              <w:rPr>
                <w:rFonts w:hint="eastAsia" w:eastAsia="仿宋_GB2312" w:cs="Times New Roman"/>
                <w:color w:val="auto"/>
                <w:kern w:val="0"/>
                <w:sz w:val="24"/>
                <w:szCs w:val="24"/>
                <w:highlight w:val="none"/>
                <w:lang w:val="en-US" w:eastAsia="zh-CN" w:bidi="ar-SA"/>
              </w:rPr>
              <w:t>。</w:t>
            </w:r>
          </w:p>
          <w:p>
            <w:pPr>
              <w:numPr>
                <w:ilvl w:val="0"/>
                <w:numId w:val="0"/>
              </w:numPr>
              <w:autoSpaceDE w:val="0"/>
              <w:autoSpaceDN w:val="0"/>
              <w:adjustRightInd w:val="0"/>
              <w:spacing w:line="360" w:lineRule="auto"/>
              <w:ind w:firstLine="482" w:firstLineChars="200"/>
              <w:rPr>
                <w:rFonts w:hint="default" w:eastAsia="仿宋_GB2312" w:cs="Times New Roman"/>
                <w:b/>
                <w:bCs/>
                <w:color w:val="auto"/>
                <w:kern w:val="0"/>
                <w:sz w:val="24"/>
                <w:szCs w:val="24"/>
                <w:highlight w:val="none"/>
                <w:lang w:val="en-US" w:eastAsia="zh-CN" w:bidi="ar-SA"/>
              </w:rPr>
            </w:pPr>
            <w:r>
              <w:rPr>
                <w:rFonts w:hint="eastAsia" w:eastAsia="仿宋_GB2312" w:cs="Times New Roman"/>
                <w:b/>
                <w:bCs/>
                <w:color w:val="auto"/>
                <w:kern w:val="0"/>
                <w:sz w:val="24"/>
                <w:szCs w:val="24"/>
                <w:highlight w:val="none"/>
                <w:lang w:val="en-US" w:eastAsia="zh-CN" w:bidi="ar-SA"/>
              </w:rPr>
              <w:t>3、项目与相关规划符合性分析</w:t>
            </w:r>
          </w:p>
          <w:p>
            <w:pPr>
              <w:autoSpaceDE w:val="0"/>
              <w:autoSpaceDN w:val="0"/>
              <w:adjustRightInd w:val="0"/>
              <w:spacing w:line="360" w:lineRule="auto"/>
              <w:ind w:firstLine="482" w:firstLineChars="200"/>
              <w:rPr>
                <w:rFonts w:hint="eastAsia" w:ascii="Times New Roman" w:hAnsi="Times New Roman" w:eastAsia="仿宋_GB2312" w:cs="Times New Roman"/>
                <w:color w:val="auto"/>
                <w:kern w:val="0"/>
                <w:sz w:val="24"/>
                <w:szCs w:val="24"/>
                <w:highlight w:val="none"/>
                <w:lang w:val="en-US" w:eastAsia="zh-CN" w:bidi="ar-SA"/>
              </w:rPr>
            </w:pPr>
            <w:r>
              <w:rPr>
                <w:rFonts w:hint="eastAsia" w:eastAsia="仿宋_GB2312" w:cs="Times New Roman"/>
                <w:b/>
                <w:bCs/>
                <w:color w:val="auto"/>
                <w:kern w:val="0"/>
                <w:sz w:val="24"/>
                <w:szCs w:val="24"/>
                <w:highlight w:val="none"/>
                <w:lang w:val="en-US" w:eastAsia="zh-CN" w:bidi="ar-SA"/>
              </w:rPr>
              <w:t>（1）与</w:t>
            </w:r>
            <w:r>
              <w:rPr>
                <w:rFonts w:hint="eastAsia" w:ascii="Times New Roman" w:hAnsi="Times New Roman" w:eastAsia="仿宋_GB2312" w:cs="Times New Roman"/>
                <w:b/>
                <w:bCs/>
                <w:color w:val="auto"/>
                <w:sz w:val="24"/>
                <w:szCs w:val="24"/>
                <w:highlight w:val="none"/>
                <w:lang w:val="en-US" w:eastAsia="zh-CN"/>
              </w:rPr>
              <w:t>《宁夏回族自治区水生态环境保护“十四五”规划》符合性分析</w:t>
            </w:r>
          </w:p>
          <w:p>
            <w:pPr>
              <w:autoSpaceDE w:val="0"/>
              <w:autoSpaceDN w:val="0"/>
              <w:adjustRightInd w:val="0"/>
              <w:spacing w:line="360" w:lineRule="auto"/>
              <w:ind w:firstLine="480" w:firstLineChars="200"/>
              <w:rPr>
                <w:rFonts w:hint="eastAsia" w:eastAsia="仿宋_GB2312" w:cs="Times New Roman"/>
                <w:color w:val="auto"/>
                <w:kern w:val="0"/>
                <w:sz w:val="24"/>
                <w:szCs w:val="24"/>
                <w:highlight w:val="none"/>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根据《宁夏回族自治区水生态环境保护“十四五”规划》（20</w:t>
            </w:r>
            <w:r>
              <w:rPr>
                <w:rFonts w:hint="eastAsia" w:eastAsia="仿宋_GB2312" w:cs="Times New Roman"/>
                <w:color w:val="auto"/>
                <w:kern w:val="0"/>
                <w:sz w:val="24"/>
                <w:szCs w:val="24"/>
                <w:highlight w:val="none"/>
                <w:lang w:val="en-US" w:eastAsia="zh-CN" w:bidi="ar-SA"/>
              </w:rPr>
              <w:t>22</w:t>
            </w:r>
            <w:r>
              <w:rPr>
                <w:rFonts w:hint="eastAsia" w:ascii="Times New Roman" w:hAnsi="Times New Roman" w:eastAsia="仿宋_GB2312" w:cs="Times New Roman"/>
                <w:color w:val="auto"/>
                <w:kern w:val="0"/>
                <w:sz w:val="24"/>
                <w:szCs w:val="24"/>
                <w:highlight w:val="none"/>
                <w:lang w:val="en-US" w:eastAsia="zh-CN" w:bidi="ar-SA"/>
              </w:rPr>
              <w:t>年</w:t>
            </w:r>
            <w:r>
              <w:rPr>
                <w:rFonts w:hint="eastAsia" w:eastAsia="仿宋_GB2312" w:cs="Times New Roman"/>
                <w:color w:val="auto"/>
                <w:kern w:val="0"/>
                <w:sz w:val="24"/>
                <w:szCs w:val="24"/>
                <w:highlight w:val="none"/>
                <w:lang w:val="en-US" w:eastAsia="zh-CN" w:bidi="ar-SA"/>
              </w:rPr>
              <w:t>1月</w:t>
            </w:r>
            <w:r>
              <w:rPr>
                <w:rFonts w:hint="eastAsia" w:ascii="Times New Roman" w:hAnsi="Times New Roman" w:eastAsia="仿宋_GB2312" w:cs="Times New Roman"/>
                <w:color w:val="auto"/>
                <w:kern w:val="0"/>
                <w:sz w:val="24"/>
                <w:szCs w:val="24"/>
                <w:highlight w:val="none"/>
                <w:lang w:val="en-US" w:eastAsia="zh-CN" w:bidi="ar-SA"/>
              </w:rPr>
              <w:t>）</w:t>
            </w:r>
            <w:r>
              <w:rPr>
                <w:rFonts w:hint="eastAsia" w:eastAsia="仿宋_GB2312" w:cs="Times New Roman"/>
                <w:color w:val="auto"/>
                <w:kern w:val="0"/>
                <w:sz w:val="24"/>
                <w:szCs w:val="24"/>
                <w:highlight w:val="none"/>
                <w:lang w:val="en-US" w:eastAsia="zh-CN" w:bidi="ar-SA"/>
              </w:rPr>
              <w:t>中第十九节“实施生态缓冲带保护”中</w:t>
            </w:r>
            <w:r>
              <w:rPr>
                <w:rFonts w:hint="eastAsia" w:eastAsia="仿宋_GB2312" w:cs="Times New Roman"/>
                <w:b w:val="0"/>
                <w:bCs w:val="0"/>
                <w:color w:val="auto"/>
                <w:kern w:val="0"/>
                <w:sz w:val="24"/>
                <w:szCs w:val="24"/>
                <w:highlight w:val="none"/>
                <w:lang w:val="en-US" w:eastAsia="zh-CN" w:bidi="ar-SA"/>
              </w:rPr>
              <w:t>提出</w:t>
            </w:r>
            <w:r>
              <w:rPr>
                <w:rFonts w:hint="eastAsia" w:eastAsia="仿宋_GB2312" w:cs="Times New Roman"/>
                <w:b/>
                <w:bCs/>
                <w:color w:val="auto"/>
                <w:kern w:val="0"/>
                <w:sz w:val="24"/>
                <w:szCs w:val="24"/>
                <w:highlight w:val="none"/>
                <w:lang w:val="en-US" w:eastAsia="zh-CN" w:bidi="ar-SA"/>
              </w:rPr>
              <w:t>开展河湖岸线保护与修复</w:t>
            </w:r>
            <w:r>
              <w:rPr>
                <w:rFonts w:hint="eastAsia" w:eastAsia="仿宋_GB2312" w:cs="Times New Roman"/>
                <w:color w:val="auto"/>
                <w:kern w:val="0"/>
                <w:sz w:val="24"/>
                <w:szCs w:val="24"/>
                <w:highlight w:val="none"/>
                <w:lang w:val="en-US" w:eastAsia="zh-CN" w:bidi="ar-SA"/>
              </w:rPr>
              <w:t>：实施清水河、苦水河、典农河、红柳沟、渝河、茹河、泾河、葫芦河等重点河湖护与利用规划，对与规划不相符的各类生产、生活、经营、建设等活动，依法依规开展清理整治。强化岸线管控落实分区管理和用途管制，岸线利用项目建设必须符合规划和相关法律法规要求，与规划和相关法律法规要求不律不得许可，切实保障河势稳定和防洪、供水、航运及生态安全。按照生态优先、自然修复为主的原则，对河湖进行生态修复，加强生态缓冲带拦截污染、净化水体，提升生态系统完整性等功能。到2025年，全区新增修复河缓冲带65.6公里。</w:t>
            </w:r>
          </w:p>
          <w:p>
            <w:pPr>
              <w:autoSpaceDE w:val="0"/>
              <w:autoSpaceDN w:val="0"/>
              <w:adjustRightInd w:val="0"/>
              <w:spacing w:line="360" w:lineRule="auto"/>
              <w:ind w:firstLine="480" w:firstLineChars="200"/>
              <w:rPr>
                <w:rFonts w:hint="eastAsia" w:ascii="Times New Roman" w:hAnsi="Times New Roman" w:eastAsia="仿宋_GB2312" w:cs="Times New Roman"/>
                <w:color w:val="auto"/>
                <w:kern w:val="0"/>
                <w:sz w:val="24"/>
                <w:szCs w:val="24"/>
                <w:highlight w:val="none"/>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本项目</w:t>
            </w:r>
            <w:r>
              <w:rPr>
                <w:rFonts w:hint="eastAsia" w:eastAsia="仿宋_GB2312" w:cs="Times New Roman"/>
                <w:color w:val="auto"/>
                <w:kern w:val="0"/>
                <w:sz w:val="24"/>
                <w:szCs w:val="24"/>
                <w:highlight w:val="none"/>
                <w:lang w:val="en-US" w:eastAsia="zh-CN" w:bidi="ar-SA"/>
              </w:rPr>
              <w:t>对清水河左岸从山河桥到入黄口处岸线进行修复和保护</w:t>
            </w:r>
            <w:r>
              <w:rPr>
                <w:rFonts w:hint="eastAsia" w:ascii="Times New Roman" w:hAnsi="Times New Roman" w:eastAsia="仿宋_GB2312" w:cs="Times New Roman"/>
                <w:color w:val="auto"/>
                <w:kern w:val="0"/>
                <w:sz w:val="24"/>
                <w:szCs w:val="24"/>
                <w:highlight w:val="none"/>
                <w:lang w:val="en-US" w:eastAsia="zh-CN" w:bidi="ar-SA"/>
              </w:rPr>
              <w:t>，属于《宁夏回族自治区水生态环境保护“十四五”规划》（20</w:t>
            </w:r>
            <w:r>
              <w:rPr>
                <w:rFonts w:hint="eastAsia" w:eastAsia="仿宋_GB2312" w:cs="Times New Roman"/>
                <w:color w:val="auto"/>
                <w:kern w:val="0"/>
                <w:sz w:val="24"/>
                <w:szCs w:val="24"/>
                <w:highlight w:val="none"/>
                <w:lang w:val="en-US" w:eastAsia="zh-CN" w:bidi="ar-SA"/>
              </w:rPr>
              <w:t>22</w:t>
            </w:r>
            <w:r>
              <w:rPr>
                <w:rFonts w:hint="eastAsia" w:ascii="Times New Roman" w:hAnsi="Times New Roman" w:eastAsia="仿宋_GB2312" w:cs="Times New Roman"/>
                <w:color w:val="auto"/>
                <w:kern w:val="0"/>
                <w:sz w:val="24"/>
                <w:szCs w:val="24"/>
                <w:highlight w:val="none"/>
                <w:lang w:val="en-US" w:eastAsia="zh-CN" w:bidi="ar-SA"/>
              </w:rPr>
              <w:t>年</w:t>
            </w:r>
            <w:r>
              <w:rPr>
                <w:rFonts w:hint="eastAsia" w:eastAsia="仿宋_GB2312" w:cs="Times New Roman"/>
                <w:color w:val="auto"/>
                <w:kern w:val="0"/>
                <w:sz w:val="24"/>
                <w:szCs w:val="24"/>
                <w:highlight w:val="none"/>
                <w:lang w:val="en-US" w:eastAsia="zh-CN" w:bidi="ar-SA"/>
              </w:rPr>
              <w:t>1月</w:t>
            </w:r>
            <w:r>
              <w:rPr>
                <w:rFonts w:hint="eastAsia" w:ascii="Times New Roman" w:hAnsi="Times New Roman" w:eastAsia="仿宋_GB2312" w:cs="Times New Roman"/>
                <w:color w:val="auto"/>
                <w:kern w:val="0"/>
                <w:sz w:val="24"/>
                <w:szCs w:val="24"/>
                <w:highlight w:val="none"/>
                <w:lang w:val="en-US" w:eastAsia="zh-CN" w:bidi="ar-SA"/>
              </w:rPr>
              <w:t>）提出的重点规划；因此，本项目实施符合《宁夏回族自治区水生态环境保护“十四五”规划》（20</w:t>
            </w:r>
            <w:r>
              <w:rPr>
                <w:rFonts w:hint="eastAsia" w:eastAsia="仿宋_GB2312" w:cs="Times New Roman"/>
                <w:color w:val="auto"/>
                <w:kern w:val="0"/>
                <w:sz w:val="24"/>
                <w:szCs w:val="24"/>
                <w:highlight w:val="none"/>
                <w:lang w:val="en-US" w:eastAsia="zh-CN" w:bidi="ar-SA"/>
              </w:rPr>
              <w:t>22</w:t>
            </w:r>
            <w:r>
              <w:rPr>
                <w:rFonts w:hint="eastAsia" w:ascii="Times New Roman" w:hAnsi="Times New Roman" w:eastAsia="仿宋_GB2312" w:cs="Times New Roman"/>
                <w:color w:val="auto"/>
                <w:kern w:val="0"/>
                <w:sz w:val="24"/>
                <w:szCs w:val="24"/>
                <w:highlight w:val="none"/>
                <w:lang w:val="en-US" w:eastAsia="zh-CN" w:bidi="ar-SA"/>
              </w:rPr>
              <w:t>年</w:t>
            </w:r>
            <w:r>
              <w:rPr>
                <w:rFonts w:hint="eastAsia" w:eastAsia="仿宋_GB2312" w:cs="Times New Roman"/>
                <w:color w:val="auto"/>
                <w:kern w:val="0"/>
                <w:sz w:val="24"/>
                <w:szCs w:val="24"/>
                <w:highlight w:val="none"/>
                <w:lang w:val="en-US" w:eastAsia="zh-CN" w:bidi="ar-SA"/>
              </w:rPr>
              <w:t>1月</w:t>
            </w:r>
            <w:r>
              <w:rPr>
                <w:rFonts w:hint="eastAsia" w:ascii="Times New Roman" w:hAnsi="Times New Roman" w:eastAsia="仿宋_GB2312" w:cs="Times New Roman"/>
                <w:color w:val="auto"/>
                <w:kern w:val="0"/>
                <w:sz w:val="24"/>
                <w:szCs w:val="24"/>
                <w:highlight w:val="none"/>
                <w:lang w:val="en-US" w:eastAsia="zh-CN" w:bidi="ar-SA"/>
              </w:rPr>
              <w:t>）相关要求</w:t>
            </w:r>
            <w:r>
              <w:rPr>
                <w:rFonts w:hint="eastAsia" w:eastAsia="仿宋_GB2312" w:cs="Times New Roman"/>
                <w:color w:val="auto"/>
                <w:kern w:val="0"/>
                <w:sz w:val="24"/>
                <w:szCs w:val="24"/>
                <w:highlight w:val="none"/>
                <w:lang w:val="en-US" w:eastAsia="zh-CN" w:bidi="ar-SA"/>
              </w:rPr>
              <w:t>。</w:t>
            </w:r>
          </w:p>
          <w:p>
            <w:pPr>
              <w:autoSpaceDE w:val="0"/>
              <w:autoSpaceDN w:val="0"/>
              <w:adjustRightInd w:val="0"/>
              <w:spacing w:line="360" w:lineRule="auto"/>
              <w:ind w:firstLine="482" w:firstLineChars="200"/>
              <w:rPr>
                <w:rFonts w:hint="eastAsia" w:ascii="Times New Roman" w:hAnsi="Times New Roman" w:eastAsia="仿宋_GB2312" w:cs="Times New Roman"/>
                <w:color w:val="auto"/>
                <w:kern w:val="0"/>
                <w:sz w:val="24"/>
                <w:szCs w:val="24"/>
                <w:highlight w:val="none"/>
                <w:lang w:val="en-US" w:eastAsia="zh-CN" w:bidi="ar-SA"/>
              </w:rPr>
            </w:pPr>
            <w:r>
              <w:rPr>
                <w:rFonts w:hint="eastAsia" w:eastAsia="仿宋_GB2312" w:cs="Times New Roman"/>
                <w:b/>
                <w:bCs/>
                <w:color w:val="auto"/>
                <w:kern w:val="0"/>
                <w:sz w:val="24"/>
                <w:szCs w:val="24"/>
                <w:highlight w:val="none"/>
                <w:lang w:val="en-US" w:eastAsia="zh-CN" w:bidi="ar-SA"/>
              </w:rPr>
              <w:t>（2）与《中卫市水生态环境保护“十四五”规划》</w:t>
            </w:r>
            <w:r>
              <w:rPr>
                <w:rFonts w:hint="eastAsia" w:ascii="Times New Roman" w:hAnsi="Times New Roman" w:eastAsia="仿宋_GB2312" w:cs="Times New Roman"/>
                <w:b/>
                <w:bCs/>
                <w:color w:val="auto"/>
                <w:sz w:val="24"/>
                <w:szCs w:val="24"/>
                <w:highlight w:val="none"/>
                <w:lang w:val="en-US" w:eastAsia="zh-CN"/>
              </w:rPr>
              <w:t>符合性分析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eastAsia" w:eastAsia="仿宋_GB2312" w:cs="Times New Roman"/>
                <w:color w:val="auto"/>
                <w:kern w:val="0"/>
                <w:sz w:val="24"/>
                <w:szCs w:val="24"/>
                <w:highlight w:val="none"/>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根据《中卫市水生态环境保护“十四五”规划》（20</w:t>
            </w:r>
            <w:r>
              <w:rPr>
                <w:rFonts w:hint="eastAsia" w:eastAsia="仿宋_GB2312" w:cs="Times New Roman"/>
                <w:color w:val="auto"/>
                <w:kern w:val="0"/>
                <w:sz w:val="24"/>
                <w:szCs w:val="24"/>
                <w:highlight w:val="none"/>
                <w:lang w:val="en-US" w:eastAsia="zh-CN" w:bidi="ar-SA"/>
              </w:rPr>
              <w:t>22</w:t>
            </w:r>
            <w:r>
              <w:rPr>
                <w:rFonts w:hint="eastAsia" w:ascii="Times New Roman" w:hAnsi="Times New Roman" w:eastAsia="仿宋_GB2312" w:cs="Times New Roman"/>
                <w:color w:val="auto"/>
                <w:kern w:val="0"/>
                <w:sz w:val="24"/>
                <w:szCs w:val="24"/>
                <w:highlight w:val="none"/>
                <w:lang w:val="en-US" w:eastAsia="zh-CN" w:bidi="ar-SA"/>
              </w:rPr>
              <w:t>年）</w:t>
            </w:r>
            <w:r>
              <w:rPr>
                <w:rFonts w:hint="eastAsia" w:eastAsia="仿宋_GB2312" w:cs="Times New Roman"/>
                <w:color w:val="auto"/>
                <w:kern w:val="0"/>
                <w:sz w:val="24"/>
                <w:szCs w:val="24"/>
                <w:highlight w:val="none"/>
                <w:lang w:val="en-US" w:eastAsia="zh-CN" w:bidi="ar-SA"/>
              </w:rPr>
              <w:t>中第三章“规划任务”第八节“河湖生态恢复”中</w:t>
            </w:r>
            <w:r>
              <w:rPr>
                <w:rFonts w:hint="eastAsia" w:eastAsia="仿宋_GB2312" w:cs="Times New Roman"/>
                <w:b w:val="0"/>
                <w:bCs w:val="0"/>
                <w:color w:val="auto"/>
                <w:kern w:val="0"/>
                <w:sz w:val="24"/>
                <w:szCs w:val="24"/>
                <w:highlight w:val="none"/>
                <w:lang w:val="en-US" w:eastAsia="zh-CN" w:bidi="ar-SA"/>
              </w:rPr>
              <w:t>提出</w:t>
            </w:r>
            <w:r>
              <w:rPr>
                <w:rFonts w:hint="eastAsia" w:eastAsia="仿宋_GB2312" w:cs="Times New Roman"/>
                <w:b/>
                <w:bCs/>
                <w:color w:val="auto"/>
                <w:kern w:val="0"/>
                <w:sz w:val="24"/>
                <w:szCs w:val="24"/>
                <w:highlight w:val="none"/>
                <w:lang w:val="en-US" w:eastAsia="zh-CN" w:bidi="ar-SA"/>
              </w:rPr>
              <w:t>开展岸带修复</w:t>
            </w:r>
            <w:r>
              <w:rPr>
                <w:rFonts w:hint="eastAsia" w:eastAsia="仿宋_GB2312" w:cs="Times New Roman"/>
                <w:color w:val="auto"/>
                <w:kern w:val="0"/>
                <w:sz w:val="24"/>
                <w:szCs w:val="24"/>
                <w:highlight w:val="none"/>
                <w:lang w:val="en-US" w:eastAsia="zh-CN" w:bidi="ar-SA"/>
              </w:rPr>
              <w:t>：结合黄河干流岸线确界工作，划定黄河中卫段河湖岸线，并开展制定岸线利用功能，对与岸线利用功能不相符的，进行清理整治，整治地段开展河湖生态缓冲带建设工作。严格实施《宁夏清水河岸线保护与利用规划》，清理整治与规划不相符的农业种植及人类活动，整治地段开展河湖生态缓冲带建设工作。</w:t>
            </w:r>
          </w:p>
          <w:p>
            <w:pPr>
              <w:autoSpaceDE w:val="0"/>
              <w:autoSpaceDN w:val="0"/>
              <w:adjustRightInd w:val="0"/>
              <w:spacing w:line="360" w:lineRule="auto"/>
              <w:ind w:firstLine="480" w:firstLineChars="200"/>
              <w:rPr>
                <w:rFonts w:hint="eastAsia" w:ascii="Times New Roman" w:hAnsi="Times New Roman" w:eastAsia="仿宋_GB2312" w:cs="Times New Roman"/>
                <w:color w:val="auto"/>
                <w:kern w:val="0"/>
                <w:sz w:val="24"/>
                <w:szCs w:val="24"/>
                <w:highlight w:val="none"/>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本项目</w:t>
            </w:r>
            <w:r>
              <w:rPr>
                <w:rFonts w:hint="eastAsia" w:eastAsia="仿宋_GB2312" w:cs="Times New Roman"/>
                <w:color w:val="auto"/>
                <w:kern w:val="0"/>
                <w:sz w:val="24"/>
                <w:szCs w:val="24"/>
                <w:highlight w:val="none"/>
                <w:lang w:val="en-US" w:eastAsia="zh-CN" w:bidi="ar-SA"/>
              </w:rPr>
              <w:t>对清水河左岸从山河桥到入黄口处进行防洪治理工程，</w:t>
            </w:r>
            <w:r>
              <w:rPr>
                <w:rFonts w:hint="eastAsia" w:ascii="Times New Roman" w:hAnsi="Times New Roman" w:eastAsia="仿宋_GB2312" w:cs="Times New Roman"/>
                <w:color w:val="auto"/>
                <w:kern w:val="0"/>
                <w:sz w:val="24"/>
                <w:szCs w:val="24"/>
                <w:highlight w:val="none"/>
                <w:lang w:val="en-US" w:eastAsia="zh-CN" w:bidi="ar-SA"/>
              </w:rPr>
              <w:t>属于《中卫市水生态环境保护“十四五”规划》（20</w:t>
            </w:r>
            <w:r>
              <w:rPr>
                <w:rFonts w:hint="eastAsia" w:eastAsia="仿宋_GB2312" w:cs="Times New Roman"/>
                <w:color w:val="auto"/>
                <w:kern w:val="0"/>
                <w:sz w:val="24"/>
                <w:szCs w:val="24"/>
                <w:highlight w:val="none"/>
                <w:lang w:val="en-US" w:eastAsia="zh-CN" w:bidi="ar-SA"/>
              </w:rPr>
              <w:t>22</w:t>
            </w:r>
            <w:r>
              <w:rPr>
                <w:rFonts w:hint="eastAsia" w:ascii="Times New Roman" w:hAnsi="Times New Roman" w:eastAsia="仿宋_GB2312" w:cs="Times New Roman"/>
                <w:color w:val="auto"/>
                <w:kern w:val="0"/>
                <w:sz w:val="24"/>
                <w:szCs w:val="24"/>
                <w:highlight w:val="none"/>
                <w:lang w:val="en-US" w:eastAsia="zh-CN" w:bidi="ar-SA"/>
              </w:rPr>
              <w:t>年）中提出的规划任务；因此，本项目实施符合《中卫市水生态环境保护“十四五”规划》（20</w:t>
            </w:r>
            <w:r>
              <w:rPr>
                <w:rFonts w:hint="eastAsia" w:eastAsia="仿宋_GB2312" w:cs="Times New Roman"/>
                <w:color w:val="auto"/>
                <w:kern w:val="0"/>
                <w:sz w:val="24"/>
                <w:szCs w:val="24"/>
                <w:highlight w:val="none"/>
                <w:lang w:val="en-US" w:eastAsia="zh-CN" w:bidi="ar-SA"/>
              </w:rPr>
              <w:t>22</w:t>
            </w:r>
            <w:r>
              <w:rPr>
                <w:rFonts w:hint="eastAsia" w:ascii="Times New Roman" w:hAnsi="Times New Roman" w:eastAsia="仿宋_GB2312" w:cs="Times New Roman"/>
                <w:color w:val="auto"/>
                <w:kern w:val="0"/>
                <w:sz w:val="24"/>
                <w:szCs w:val="24"/>
                <w:highlight w:val="none"/>
                <w:lang w:val="en-US" w:eastAsia="zh-CN" w:bidi="ar-SA"/>
              </w:rPr>
              <w:t>年）相关要求</w:t>
            </w:r>
            <w:r>
              <w:rPr>
                <w:rFonts w:hint="eastAsia" w:eastAsia="仿宋_GB2312" w:cs="Times New Roman"/>
                <w:color w:val="auto"/>
                <w:kern w:val="0"/>
                <w:sz w:val="24"/>
                <w:szCs w:val="24"/>
                <w:highlight w:val="none"/>
                <w:lang w:val="en-US" w:eastAsia="zh-CN" w:bidi="ar-SA"/>
              </w:rPr>
              <w:t>。</w:t>
            </w:r>
          </w:p>
          <w:p>
            <w:pPr>
              <w:numPr>
                <w:ilvl w:val="0"/>
                <w:numId w:val="0"/>
              </w:numPr>
              <w:autoSpaceDE w:val="0"/>
              <w:autoSpaceDN w:val="0"/>
              <w:adjustRightInd w:val="0"/>
              <w:spacing w:line="360" w:lineRule="auto"/>
              <w:ind w:firstLine="480" w:firstLineChars="200"/>
              <w:rPr>
                <w:rFonts w:hint="eastAsia" w:eastAsia="仿宋_GB2312"/>
                <w:color w:val="auto"/>
                <w:kern w:val="0"/>
                <w:sz w:val="24"/>
                <w:highlight w:val="none"/>
                <w:lang w:eastAsia="zh-CN"/>
              </w:rPr>
            </w:pPr>
          </w:p>
        </w:tc>
      </w:tr>
    </w:tbl>
    <w:p>
      <w:pPr>
        <w:spacing w:line="360" w:lineRule="auto"/>
        <w:outlineLvl w:val="0"/>
        <w:rPr>
          <w:rFonts w:eastAsia="黑体"/>
          <w:color w:val="auto"/>
          <w:sz w:val="30"/>
          <w:highlight w:val="none"/>
        </w:rPr>
        <w:sectPr>
          <w:pgSz w:w="11906" w:h="16838"/>
          <w:pgMar w:top="1701" w:right="1417" w:bottom="1701"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highlight w:val="none"/>
          <w:lang w:eastAsia="zh-CN"/>
        </w:rPr>
      </w:pPr>
      <w:r>
        <w:rPr>
          <w:rFonts w:hint="eastAsia" w:ascii="黑体" w:hAnsi="黑体" w:eastAsia="黑体"/>
          <w:snapToGrid w:val="0"/>
          <w:color w:val="auto"/>
          <w:sz w:val="30"/>
          <w:szCs w:val="30"/>
          <w:highlight w:val="none"/>
        </w:rPr>
        <w:t>二、建设</w:t>
      </w:r>
      <w:r>
        <w:rPr>
          <w:rFonts w:hint="eastAsia" w:ascii="黑体" w:hAnsi="黑体" w:eastAsia="黑体"/>
          <w:snapToGrid w:val="0"/>
          <w:color w:val="auto"/>
          <w:sz w:val="30"/>
          <w:szCs w:val="30"/>
          <w:highlight w:val="none"/>
          <w:lang w:eastAsia="zh-CN"/>
        </w:rPr>
        <w:t>内容</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23"/>
        <w:gridCol w:w="822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911" w:hRule="atLeast"/>
          <w:jc w:val="center"/>
        </w:trPr>
        <w:tc>
          <w:tcPr>
            <w:tcW w:w="823" w:type="dxa"/>
            <w:tcBorders>
              <w:tl2br w:val="nil"/>
              <w:tr2bl w:val="nil"/>
            </w:tcBorders>
            <w:vAlign w:val="center"/>
          </w:tcPr>
          <w:p>
            <w:pPr>
              <w:pStyle w:val="21"/>
              <w:adjustRightInd w:val="0"/>
              <w:snapToGrid w:val="0"/>
              <w:spacing w:before="0" w:beforeAutospacing="0" w:after="0" w:afterAutospacing="0"/>
              <w:jc w:val="center"/>
              <w:rPr>
                <w:rFonts w:hint="eastAsia" w:eastAsia="宋体" w:cs="宋体"/>
                <w:b/>
                <w:bCs/>
                <w:color w:val="auto"/>
                <w:szCs w:val="24"/>
                <w:highlight w:val="none"/>
                <w:lang w:eastAsia="zh-CN"/>
              </w:rPr>
            </w:pPr>
            <w:r>
              <w:rPr>
                <w:rFonts w:hint="eastAsia" w:cs="宋体"/>
                <w:b/>
                <w:bCs/>
                <w:color w:val="auto"/>
                <w:szCs w:val="24"/>
                <w:highlight w:val="none"/>
                <w:lang w:eastAsia="zh-CN"/>
              </w:rPr>
              <w:t>地理位置</w:t>
            </w:r>
          </w:p>
        </w:tc>
        <w:tc>
          <w:tcPr>
            <w:tcW w:w="8220" w:type="dxa"/>
            <w:tcBorders>
              <w:tl2br w:val="nil"/>
              <w:tr2bl w:val="nil"/>
            </w:tcBorders>
          </w:tcPr>
          <w:p>
            <w:pPr>
              <w:adjustRightInd w:val="0"/>
              <w:spacing w:line="360" w:lineRule="auto"/>
              <w:ind w:firstLine="480" w:firstLineChars="200"/>
              <w:rPr>
                <w:rFonts w:hint="default" w:eastAsia="仿宋_GB2312"/>
                <w:bCs/>
                <w:color w:val="auto"/>
                <w:sz w:val="24"/>
                <w:highlight w:val="none"/>
                <w:lang w:val="en-US" w:eastAsia="zh-CN"/>
              </w:rPr>
            </w:pPr>
            <w:r>
              <w:rPr>
                <w:rFonts w:hint="eastAsia" w:eastAsia="仿宋_GB2312"/>
                <w:bCs/>
                <w:color w:val="auto"/>
                <w:sz w:val="24"/>
                <w:highlight w:val="none"/>
                <w:lang w:eastAsia="zh-CN"/>
              </w:rPr>
              <w:t>本项目位于宁夏回族自治区中卫市沙坡头区宣和镇，项目起点位于卫宁线山河桥北</w:t>
            </w:r>
            <w:r>
              <w:rPr>
                <w:rFonts w:hint="eastAsia" w:ascii="Times New Roman" w:hAnsi="Times New Roman" w:eastAsia="仿宋_GB2312" w:cs="Times New Roman"/>
                <w:bCs/>
                <w:color w:val="auto"/>
                <w:sz w:val="24"/>
                <w:highlight w:val="none"/>
                <w:lang w:eastAsia="zh-CN"/>
              </w:rPr>
              <w:t>，</w:t>
            </w:r>
            <w:r>
              <w:rPr>
                <w:rFonts w:hint="eastAsia" w:eastAsia="仿宋_GB2312" w:cs="Times New Roman"/>
                <w:bCs/>
                <w:color w:val="auto"/>
                <w:sz w:val="24"/>
                <w:highlight w:val="none"/>
                <w:lang w:eastAsia="zh-CN"/>
              </w:rPr>
              <w:t>坐标为</w:t>
            </w:r>
            <w:r>
              <w:rPr>
                <w:rFonts w:hint="eastAsia" w:eastAsia="仿宋_GB2312" w:cs="Times New Roman"/>
                <w:bCs/>
                <w:color w:val="auto"/>
                <w:sz w:val="24"/>
                <w:highlight w:val="none"/>
                <w:lang w:val="en-US" w:eastAsia="zh-CN"/>
              </w:rPr>
              <w:t>E</w:t>
            </w:r>
            <w:r>
              <w:rPr>
                <w:rFonts w:hint="eastAsia" w:eastAsia="仿宋_GB2312" w:cs="Times New Roman"/>
                <w:bCs/>
                <w:color w:val="auto"/>
                <w:sz w:val="24"/>
                <w:highlight w:val="none"/>
                <w:lang w:eastAsia="zh-CN"/>
              </w:rPr>
              <w:t>10</w:t>
            </w:r>
            <w:r>
              <w:rPr>
                <w:rFonts w:hint="default" w:ascii="Times New Roman" w:hAnsi="Times New Roman" w:eastAsia="仿宋_GB2312" w:cs="Times New Roman"/>
                <w:bCs/>
                <w:color w:val="auto"/>
                <w:sz w:val="24"/>
                <w:highlight w:val="none"/>
                <w:lang w:eastAsia="zh-CN"/>
              </w:rPr>
              <w:t>5°32′30.90</w:t>
            </w:r>
            <w:r>
              <w:rPr>
                <w:rFonts w:hint="eastAsia" w:ascii="Times New Roman" w:hAnsi="Times New Roman" w:eastAsia="仿宋_GB2312" w:cs="Times New Roman"/>
                <w:bCs/>
                <w:color w:val="auto"/>
                <w:sz w:val="24"/>
                <w:highlight w:val="none"/>
                <w:lang w:val="en-US" w:eastAsia="zh-CN"/>
              </w:rPr>
              <w:t>8</w:t>
            </w:r>
            <w:r>
              <w:rPr>
                <w:rFonts w:hint="default" w:ascii="Times New Roman" w:hAnsi="Times New Roman" w:eastAsia="仿宋_GB2312" w:cs="Times New Roman"/>
                <w:bCs/>
                <w:color w:val="auto"/>
                <w:sz w:val="24"/>
                <w:highlight w:val="none"/>
                <w:lang w:eastAsia="zh-CN"/>
              </w:rPr>
              <w:t>″</w:t>
            </w:r>
            <w:r>
              <w:rPr>
                <w:rFonts w:hint="eastAsia" w:ascii="Times New Roman" w:hAnsi="Times New Roman" w:eastAsia="仿宋_GB2312" w:cs="Times New Roman"/>
                <w:bCs/>
                <w:color w:val="auto"/>
                <w:sz w:val="24"/>
                <w:highlight w:val="none"/>
                <w:lang w:eastAsia="zh-CN"/>
              </w:rPr>
              <w:t>，</w:t>
            </w:r>
            <w:r>
              <w:rPr>
                <w:rFonts w:hint="default" w:ascii="Times New Roman" w:hAnsi="Times New Roman" w:eastAsia="仿宋_GB2312" w:cs="Times New Roman"/>
                <w:bCs/>
                <w:color w:val="auto"/>
                <w:sz w:val="24"/>
                <w:highlight w:val="none"/>
                <w:lang w:eastAsia="zh-CN"/>
              </w:rPr>
              <w:t>37°27′59.43</w:t>
            </w:r>
            <w:r>
              <w:rPr>
                <w:rFonts w:hint="eastAsia" w:ascii="Times New Roman" w:hAnsi="Times New Roman" w:eastAsia="仿宋_GB2312" w:cs="Times New Roman"/>
                <w:bCs/>
                <w:color w:val="auto"/>
                <w:sz w:val="24"/>
                <w:highlight w:val="none"/>
                <w:lang w:val="en-US" w:eastAsia="zh-CN"/>
              </w:rPr>
              <w:t>6</w:t>
            </w:r>
            <w:r>
              <w:rPr>
                <w:rFonts w:hint="default" w:ascii="Times New Roman" w:hAnsi="Times New Roman" w:eastAsia="仿宋_GB2312" w:cs="Times New Roman"/>
                <w:bCs/>
                <w:color w:val="auto"/>
                <w:sz w:val="24"/>
                <w:highlight w:val="none"/>
                <w:lang w:eastAsia="zh-CN"/>
              </w:rPr>
              <w:t>″</w:t>
            </w:r>
            <w:r>
              <w:rPr>
                <w:rFonts w:hint="eastAsia" w:ascii="Times New Roman" w:hAnsi="Times New Roman" w:eastAsia="仿宋_GB2312" w:cs="Times New Roman"/>
                <w:bCs/>
                <w:color w:val="auto"/>
                <w:sz w:val="24"/>
                <w:highlight w:val="none"/>
                <w:lang w:eastAsia="zh-CN"/>
              </w:rPr>
              <w:t>，终点位于滨河大道入黄口西侧</w:t>
            </w:r>
            <w:r>
              <w:rPr>
                <w:rFonts w:hint="eastAsia" w:ascii="Times New Roman" w:hAnsi="Times New Roman" w:eastAsia="仿宋_GB2312" w:cs="Times New Roman"/>
                <w:bCs/>
                <w:color w:val="auto"/>
                <w:sz w:val="24"/>
                <w:highlight w:val="none"/>
                <w:lang w:val="en-US" w:eastAsia="zh-CN"/>
              </w:rPr>
              <w:t>m，坐标为</w:t>
            </w:r>
            <w:r>
              <w:rPr>
                <w:rFonts w:hint="eastAsia" w:eastAsia="仿宋_GB2312" w:cs="Times New Roman"/>
                <w:bCs/>
                <w:color w:val="auto"/>
                <w:sz w:val="24"/>
                <w:highlight w:val="none"/>
                <w:lang w:val="en-US" w:eastAsia="zh-CN"/>
              </w:rPr>
              <w:t>E</w:t>
            </w:r>
            <w:r>
              <w:rPr>
                <w:rFonts w:hint="eastAsia" w:eastAsia="仿宋_GB2312" w:cs="Times New Roman"/>
                <w:bCs/>
                <w:color w:val="auto"/>
                <w:sz w:val="24"/>
                <w:highlight w:val="none"/>
                <w:lang w:eastAsia="zh-CN"/>
              </w:rPr>
              <w:t>10</w:t>
            </w:r>
            <w:r>
              <w:rPr>
                <w:rFonts w:hint="default" w:ascii="Times New Roman" w:hAnsi="Times New Roman" w:eastAsia="仿宋_GB2312" w:cs="Times New Roman"/>
                <w:bCs/>
                <w:color w:val="auto"/>
                <w:sz w:val="24"/>
                <w:highlight w:val="none"/>
                <w:lang w:eastAsia="zh-CN"/>
              </w:rPr>
              <w:t>5°32′30.90</w:t>
            </w:r>
            <w:r>
              <w:rPr>
                <w:rFonts w:hint="eastAsia" w:ascii="Times New Roman" w:hAnsi="Times New Roman" w:eastAsia="仿宋_GB2312" w:cs="Times New Roman"/>
                <w:bCs/>
                <w:color w:val="auto"/>
                <w:sz w:val="24"/>
                <w:highlight w:val="none"/>
                <w:lang w:val="en-US" w:eastAsia="zh-CN"/>
              </w:rPr>
              <w:t>8</w:t>
            </w:r>
            <w:r>
              <w:rPr>
                <w:rFonts w:hint="default" w:ascii="Times New Roman" w:hAnsi="Times New Roman" w:eastAsia="仿宋_GB2312" w:cs="Times New Roman"/>
                <w:bCs/>
                <w:color w:val="auto"/>
                <w:sz w:val="24"/>
                <w:highlight w:val="none"/>
                <w:lang w:eastAsia="zh-CN"/>
              </w:rPr>
              <w:t>″</w:t>
            </w:r>
            <w:r>
              <w:rPr>
                <w:rFonts w:hint="eastAsia" w:ascii="Times New Roman" w:hAnsi="Times New Roman" w:eastAsia="仿宋_GB2312" w:cs="Times New Roman"/>
                <w:bCs/>
                <w:color w:val="auto"/>
                <w:sz w:val="24"/>
                <w:highlight w:val="none"/>
                <w:lang w:eastAsia="zh-CN"/>
              </w:rPr>
              <w:t>，</w:t>
            </w:r>
            <w:r>
              <w:rPr>
                <w:rFonts w:hint="default" w:ascii="Times New Roman" w:hAnsi="Times New Roman" w:eastAsia="仿宋_GB2312" w:cs="Times New Roman"/>
                <w:bCs/>
                <w:color w:val="auto"/>
                <w:sz w:val="24"/>
                <w:highlight w:val="none"/>
                <w:lang w:eastAsia="zh-CN"/>
              </w:rPr>
              <w:t>37°27′59.43</w:t>
            </w:r>
            <w:r>
              <w:rPr>
                <w:rFonts w:hint="eastAsia" w:ascii="Times New Roman" w:hAnsi="Times New Roman" w:eastAsia="仿宋_GB2312" w:cs="Times New Roman"/>
                <w:bCs/>
                <w:color w:val="auto"/>
                <w:sz w:val="24"/>
                <w:highlight w:val="none"/>
                <w:lang w:val="en-US" w:eastAsia="zh-CN"/>
              </w:rPr>
              <w:t>6</w:t>
            </w:r>
            <w:r>
              <w:rPr>
                <w:rFonts w:hint="default" w:ascii="Times New Roman" w:hAnsi="Times New Roman" w:eastAsia="仿宋_GB2312" w:cs="Times New Roman"/>
                <w:bCs/>
                <w:color w:val="auto"/>
                <w:sz w:val="24"/>
                <w:highlight w:val="none"/>
                <w:lang w:eastAsia="zh-CN"/>
              </w:rPr>
              <w:t>″</w:t>
            </w:r>
            <w:r>
              <w:rPr>
                <w:rFonts w:hint="eastAsia" w:ascii="Times New Roman" w:hAnsi="Times New Roman" w:eastAsia="仿宋_GB2312" w:cs="Times New Roman"/>
                <w:bCs/>
                <w:color w:val="auto"/>
                <w:sz w:val="24"/>
                <w:highlight w:val="none"/>
                <w:lang w:eastAsia="zh-CN"/>
              </w:rPr>
              <w:t>，河道桩号K0+000～K3+280（对应大断面：QSH100～QSH101，对应全河桩号：K307+606～310+886）</w:t>
            </w:r>
            <w:r>
              <w:rPr>
                <w:rFonts w:hint="eastAsia" w:eastAsia="仿宋_GB2312" w:cs="Times New Roman"/>
                <w:bCs/>
                <w:color w:val="auto"/>
                <w:sz w:val="24"/>
                <w:highlight w:val="none"/>
                <w:lang w:val="en-US" w:eastAsia="zh-CN"/>
              </w:rPr>
              <w:t>本项目与中卫市沙坡头区行政区划位置关系见图6。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823" w:type="dxa"/>
            <w:tcBorders>
              <w:tl2br w:val="nil"/>
              <w:tr2bl w:val="nil"/>
            </w:tcBorders>
            <w:vAlign w:val="center"/>
          </w:tcPr>
          <w:p>
            <w:pPr>
              <w:pStyle w:val="21"/>
              <w:adjustRightInd w:val="0"/>
              <w:snapToGrid w:val="0"/>
              <w:spacing w:before="0" w:beforeAutospacing="0" w:after="0" w:afterAutospacing="0"/>
              <w:jc w:val="center"/>
              <w:rPr>
                <w:rFonts w:hint="eastAsia" w:ascii="Times New Roman" w:hAnsi="Times New Roman" w:eastAsia="仿宋_GB2312"/>
                <w:b/>
                <w:bCs/>
                <w:color w:val="auto"/>
                <w:szCs w:val="24"/>
                <w:highlight w:val="none"/>
                <w:lang w:eastAsia="zh-CN"/>
              </w:rPr>
            </w:pPr>
            <w:r>
              <w:rPr>
                <w:rFonts w:hint="eastAsia" w:ascii="宋体" w:hAnsi="宋体" w:eastAsia="宋体" w:cs="宋体"/>
                <w:b/>
                <w:bCs/>
                <w:color w:val="auto"/>
                <w:szCs w:val="24"/>
                <w:highlight w:val="none"/>
                <w:lang w:eastAsia="zh-CN"/>
              </w:rPr>
              <w:t>项目组成及规模</w:t>
            </w:r>
          </w:p>
        </w:tc>
        <w:tc>
          <w:tcPr>
            <w:tcW w:w="8220" w:type="dxa"/>
            <w:tcBorders>
              <w:tl2br w:val="nil"/>
              <w:tr2bl w:val="nil"/>
            </w:tcBorders>
          </w:tcPr>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color w:val="auto"/>
                <w:sz w:val="24"/>
                <w:highlight w:val="none"/>
              </w:rPr>
              <w:t>1、</w:t>
            </w:r>
            <w:r>
              <w:rPr>
                <w:rFonts w:hint="eastAsia" w:eastAsia="仿宋_GB2312"/>
                <w:b/>
                <w:bCs w:val="0"/>
                <w:color w:val="auto"/>
                <w:sz w:val="24"/>
                <w:highlight w:val="none"/>
                <w:lang w:val="en-US" w:eastAsia="zh-CN"/>
              </w:rPr>
              <w:t>项目组成及建设规模</w:t>
            </w:r>
          </w:p>
          <w:p>
            <w:pPr>
              <w:adjustRightInd w:val="0"/>
              <w:spacing w:line="360" w:lineRule="auto"/>
              <w:ind w:firstLine="482" w:firstLineChars="200"/>
              <w:rPr>
                <w:rFonts w:hint="eastAsia" w:eastAsia="仿宋_GB2312"/>
                <w:b/>
                <w:bCs w:val="0"/>
                <w:color w:val="auto"/>
                <w:sz w:val="24"/>
                <w:highlight w:val="none"/>
                <w:lang w:val="en-US" w:eastAsia="zh-CN"/>
              </w:rPr>
            </w:pPr>
            <w:r>
              <w:rPr>
                <w:rFonts w:hint="eastAsia" w:eastAsia="仿宋_GB2312"/>
                <w:b/>
                <w:bCs w:val="0"/>
                <w:color w:val="auto"/>
                <w:sz w:val="24"/>
                <w:highlight w:val="none"/>
                <w:lang w:val="en-US" w:eastAsia="zh-CN"/>
              </w:rPr>
              <w:t>1.1 建设规模</w:t>
            </w:r>
          </w:p>
          <w:p>
            <w:pPr>
              <w:adjustRightInd w:val="0"/>
              <w:spacing w:line="360" w:lineRule="auto"/>
              <w:ind w:firstLine="480" w:firstLineChars="200"/>
              <w:rPr>
                <w:rFonts w:hint="eastAsia" w:eastAsia="仿宋_GB2312"/>
                <w:color w:val="auto"/>
                <w:sz w:val="24"/>
                <w:highlight w:val="none"/>
                <w:lang w:eastAsia="zh-CN"/>
              </w:rPr>
            </w:pPr>
            <w:r>
              <w:rPr>
                <w:rFonts w:hint="eastAsia" w:eastAsia="仿宋_GB2312"/>
                <w:bCs/>
                <w:color w:val="auto"/>
                <w:sz w:val="24"/>
                <w:highlight w:val="none"/>
              </w:rPr>
              <w:t>本项目</w:t>
            </w:r>
            <w:r>
              <w:rPr>
                <w:rFonts w:hint="eastAsia" w:eastAsia="仿宋_GB2312"/>
                <w:color w:val="auto"/>
                <w:sz w:val="24"/>
                <w:highlight w:val="none"/>
              </w:rPr>
              <w:t>工程</w:t>
            </w:r>
            <w:r>
              <w:rPr>
                <w:rFonts w:hint="eastAsia" w:eastAsia="仿宋_GB2312"/>
                <w:color w:val="auto"/>
                <w:sz w:val="24"/>
                <w:highlight w:val="none"/>
                <w:lang w:eastAsia="zh-CN"/>
              </w:rPr>
              <w:t>内容</w:t>
            </w:r>
            <w:r>
              <w:rPr>
                <w:rFonts w:hint="eastAsia" w:eastAsia="仿宋_GB2312"/>
                <w:color w:val="auto"/>
                <w:sz w:val="24"/>
                <w:highlight w:val="none"/>
              </w:rPr>
              <w:t>主要包括高边坡坡脚防护工程、高边坡生态修复工程、防汛道路工程三项工程建设内容</w:t>
            </w:r>
            <w:r>
              <w:rPr>
                <w:rFonts w:hint="eastAsia" w:eastAsia="仿宋_GB2312"/>
                <w:color w:val="auto"/>
                <w:sz w:val="24"/>
                <w:highlight w:val="none"/>
                <w:lang w:eastAsia="zh-CN"/>
              </w:rPr>
              <w:t>。其中，对清水河山河桥段沟道高边坡坡脚进行防护0.25km；对清水河沙坡头区山河桥段裸露地块及边坡进行生态修复，治理总长0.85km，生态修复面积31.7亩；新建防道路2.85km，安装双波护栏3.15km，改线D40渠道0.13km，新建巡河步道350m，采用彩色混凝土，路宽1.5m。</w:t>
            </w:r>
          </w:p>
          <w:p>
            <w:pPr>
              <w:adjustRightInd w:val="0"/>
              <w:spacing w:line="360" w:lineRule="auto"/>
              <w:ind w:firstLine="482" w:firstLineChars="200"/>
              <w:rPr>
                <w:rFonts w:hint="default" w:ascii="Times New Roman" w:hAnsi="Times New Roman" w:eastAsia="仿宋_GB2312" w:cs="Times New Roman"/>
                <w:b/>
                <w:bCs/>
                <w:color w:val="auto"/>
                <w:sz w:val="24"/>
                <w:highlight w:val="none"/>
                <w:lang w:val="en-US" w:eastAsia="zh-CN"/>
              </w:rPr>
            </w:pPr>
            <w:r>
              <w:rPr>
                <w:rFonts w:hint="eastAsia" w:eastAsia="仿宋_GB2312" w:cs="Times New Roman"/>
                <w:b/>
                <w:bCs/>
                <w:color w:val="auto"/>
                <w:sz w:val="24"/>
                <w:highlight w:val="none"/>
                <w:lang w:val="en-US" w:eastAsia="zh-CN"/>
              </w:rPr>
              <w:t>1.2 项目组成</w:t>
            </w:r>
          </w:p>
          <w:p>
            <w:pPr>
              <w:adjustRightInd w:val="0"/>
              <w:spacing w:line="360" w:lineRule="auto"/>
              <w:ind w:firstLine="480" w:firstLineChars="200"/>
              <w:rPr>
                <w:rFonts w:eastAsia="仿宋_GB2312"/>
                <w:bCs/>
                <w:color w:val="auto"/>
                <w:sz w:val="24"/>
                <w:highlight w:val="none"/>
              </w:rPr>
            </w:pPr>
            <w:r>
              <w:rPr>
                <w:rFonts w:hint="default" w:ascii="Times New Roman" w:hAnsi="Times New Roman" w:eastAsia="仿宋_GB2312" w:cs="Times New Roman"/>
                <w:color w:val="auto"/>
                <w:sz w:val="24"/>
                <w:highlight w:val="none"/>
                <w:lang w:val="en-US" w:eastAsia="zh-CN"/>
              </w:rPr>
              <w:t>根据项目工程特征，工程组成由主体工程、</w:t>
            </w:r>
            <w:r>
              <w:rPr>
                <w:rFonts w:hint="eastAsia" w:eastAsia="仿宋_GB2312" w:cs="Times New Roman"/>
                <w:color w:val="auto"/>
                <w:sz w:val="24"/>
                <w:highlight w:val="none"/>
                <w:lang w:val="en-US" w:eastAsia="zh-CN"/>
              </w:rPr>
              <w:t>临时工程</w:t>
            </w:r>
            <w:r>
              <w:rPr>
                <w:rFonts w:hint="default" w:ascii="Times New Roman" w:hAnsi="Times New Roman" w:eastAsia="仿宋_GB2312" w:cs="Times New Roman"/>
                <w:color w:val="auto"/>
                <w:sz w:val="24"/>
                <w:highlight w:val="none"/>
                <w:lang w:val="en-US" w:eastAsia="zh-CN"/>
              </w:rPr>
              <w:t>、公用工程、环保工程组成。本项目工程组成见表</w:t>
            </w:r>
            <w:r>
              <w:rPr>
                <w:rFonts w:hint="eastAsia" w:eastAsia="仿宋_GB2312" w:cs="Times New Roman"/>
                <w:color w:val="auto"/>
                <w:sz w:val="24"/>
                <w:highlight w:val="none"/>
                <w:lang w:val="en-US" w:eastAsia="zh-CN"/>
              </w:rPr>
              <w:t>4</w:t>
            </w:r>
            <w:r>
              <w:rPr>
                <w:rFonts w:hint="eastAsia" w:eastAsia="仿宋_GB2312"/>
                <w:color w:val="auto"/>
                <w:sz w:val="24"/>
                <w:highlight w:val="none"/>
              </w:rPr>
              <w:t>。</w:t>
            </w:r>
          </w:p>
          <w:p>
            <w:pPr>
              <w:adjustRightInd w:val="0"/>
              <w:ind w:firstLine="480" w:firstLineChars="200"/>
              <w:rPr>
                <w:rFonts w:eastAsia="黑体"/>
                <w:color w:val="auto"/>
                <w:sz w:val="24"/>
                <w:highlight w:val="none"/>
              </w:rPr>
            </w:pPr>
            <w:r>
              <w:rPr>
                <w:rFonts w:eastAsia="黑体"/>
                <w:color w:val="auto"/>
                <w:sz w:val="24"/>
                <w:highlight w:val="none"/>
              </w:rPr>
              <w:t>表</w:t>
            </w:r>
            <w:r>
              <w:rPr>
                <w:rFonts w:hint="eastAsia" w:eastAsia="黑体"/>
                <w:color w:val="auto"/>
                <w:sz w:val="24"/>
                <w:highlight w:val="none"/>
                <w:lang w:val="en-US" w:eastAsia="zh-CN"/>
              </w:rPr>
              <w:t>4</w:t>
            </w:r>
            <w:r>
              <w:rPr>
                <w:rFonts w:eastAsia="黑体"/>
                <w:color w:val="auto"/>
                <w:sz w:val="24"/>
                <w:highlight w:val="none"/>
              </w:rPr>
              <w:t xml:space="preserve">                项目工程组成一览表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75"/>
              <w:gridCol w:w="60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工程类别</w:t>
                  </w:r>
                </w:p>
              </w:tc>
              <w:tc>
                <w:tcPr>
                  <w:tcW w:w="799"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项目名称</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主体工程</w:t>
                  </w:r>
                </w:p>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坡脚防护工程</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cs="Times New Roman"/>
                      <w:color w:val="auto"/>
                      <w:szCs w:val="21"/>
                      <w:highlight w:val="none"/>
                    </w:rPr>
                  </w:pPr>
                  <w:r>
                    <w:rPr>
                      <w:rFonts w:hint="eastAsia" w:ascii="Times New Roman" w:cs="Times New Roman"/>
                      <w:color w:val="auto"/>
                      <w:szCs w:val="21"/>
                      <w:highlight w:val="none"/>
                      <w:lang w:val="en-US" w:eastAsia="zh-CN"/>
                    </w:rPr>
                    <w:t>对山河桥段沟道高边坡坡脚进行防护0.25km，对应全河桩号：K307+806～308+006，采用格宾墙式结构，顶宽1.0m，基础深1.0m、宽4.5m。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生态修复工程</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left"/>
                    <w:textAlignment w:val="auto"/>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lang w:eastAsia="zh-CN"/>
                    </w:rPr>
                    <w:t>对山河桥段裸露地块及边坡进行生态修复，治理总长0.85km，对应全河桩号：K307+606～308+456</w:t>
                  </w:r>
                  <w:r>
                    <w:rPr>
                      <w:rFonts w:hint="eastAsia" w:ascii="Times New Roman" w:hAnsi="Times New Roman" w:cs="Times New Roman"/>
                      <w:b w:val="0"/>
                      <w:bCs/>
                      <w:color w:val="auto"/>
                      <w:szCs w:val="21"/>
                      <w:highlight w:val="none"/>
                      <w:lang w:eastAsia="zh-CN"/>
                    </w:rPr>
                    <w:t>，</w:t>
                  </w:r>
                  <w:r>
                    <w:rPr>
                      <w:rFonts w:hint="eastAsia" w:ascii="Times New Roman" w:cs="Times New Roman"/>
                      <w:b w:val="0"/>
                      <w:bCs/>
                      <w:color w:val="auto"/>
                      <w:szCs w:val="21"/>
                      <w:highlight w:val="none"/>
                      <w:lang w:eastAsia="zh-CN"/>
                    </w:rPr>
                    <w:t>采用阶梯式削坡，坡比1：1.5～1:4，削坡后对裸露地块及边坡进行覆土，并采取植树造林，</w:t>
                  </w:r>
                  <w:r>
                    <w:rPr>
                      <w:rFonts w:hint="default" w:ascii="Times New Roman" w:hAnsi="Times New Roman" w:cs="Times New Roman"/>
                      <w:b w:val="0"/>
                      <w:bCs/>
                      <w:color w:val="auto"/>
                      <w:szCs w:val="21"/>
                      <w:highlight w:val="none"/>
                      <w:lang w:eastAsia="zh-CN"/>
                    </w:rPr>
                    <w:t>生态修复面积31.7亩</w:t>
                  </w:r>
                  <w:r>
                    <w:rPr>
                      <w:rFonts w:hint="eastAsia" w:ascii="Times New Roman" w:cs="Times New Roman"/>
                      <w:b w:val="0"/>
                      <w:bCs/>
                      <w:color w:val="auto"/>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防汛道路工程</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left"/>
                    <w:textAlignment w:val="auto"/>
                    <w:rPr>
                      <w:rFonts w:hint="eastAsia" w:ascii="Times New Roman" w:cs="Times New Roman"/>
                      <w:b w:val="0"/>
                      <w:bCs/>
                      <w:color w:val="auto"/>
                      <w:szCs w:val="21"/>
                      <w:highlight w:val="none"/>
                      <w:lang w:val="en-US" w:eastAsia="zh-CN"/>
                    </w:rPr>
                  </w:pPr>
                  <w:r>
                    <w:rPr>
                      <w:rFonts w:hint="eastAsia" w:ascii="Times New Roman" w:cs="Times New Roman"/>
                      <w:b w:val="0"/>
                      <w:bCs/>
                      <w:color w:val="auto"/>
                      <w:szCs w:val="21"/>
                      <w:highlight w:val="none"/>
                      <w:lang w:eastAsia="zh-CN"/>
                    </w:rPr>
                    <w:t>将现有</w:t>
                  </w:r>
                  <w:r>
                    <w:rPr>
                      <w:rFonts w:hint="eastAsia" w:ascii="Times New Roman" w:cs="Times New Roman"/>
                      <w:b w:val="0"/>
                      <w:bCs/>
                      <w:color w:val="auto"/>
                      <w:szCs w:val="21"/>
                      <w:highlight w:val="none"/>
                      <w:lang w:val="en-US" w:eastAsia="zh-CN"/>
                    </w:rPr>
                    <w:t>2.85km石子防汛道路改造为混凝土路面，路宽4.0m，硬化3.5m，路面结构为混凝土路面。</w:t>
                  </w:r>
                </w:p>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left"/>
                    <w:textAlignment w:val="auto"/>
                    <w:rPr>
                      <w:rFonts w:hint="eastAsia" w:ascii="Times New Roman" w:cs="Times New Roman"/>
                      <w:b w:val="0"/>
                      <w:bCs/>
                      <w:color w:val="auto"/>
                      <w:szCs w:val="21"/>
                      <w:highlight w:val="none"/>
                      <w:lang w:val="en-US" w:eastAsia="zh-CN"/>
                    </w:rPr>
                  </w:pPr>
                  <w:r>
                    <w:rPr>
                      <w:rFonts w:hint="default" w:ascii="Times New Roman" w:cs="Times New Roman"/>
                      <w:b w:val="0"/>
                      <w:bCs/>
                      <w:color w:val="auto"/>
                      <w:szCs w:val="21"/>
                      <w:highlight w:val="none"/>
                      <w:lang w:val="en-US" w:eastAsia="zh-CN"/>
                    </w:rPr>
                    <w:t>新建巡河步道350m，采用彩色混凝土，路宽1.5m</w:t>
                  </w:r>
                  <w:r>
                    <w:rPr>
                      <w:rFonts w:hint="eastAsia" w:ascii="Times New Roman" w:cs="Times New Roman"/>
                      <w:b w:val="0"/>
                      <w:bCs/>
                      <w:color w:val="auto"/>
                      <w:szCs w:val="21"/>
                      <w:highlight w:val="none"/>
                      <w:lang w:val="en-US" w:eastAsia="zh-CN"/>
                    </w:rPr>
                    <w:t>。</w:t>
                  </w:r>
                </w:p>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left"/>
                    <w:textAlignment w:val="auto"/>
                    <w:rPr>
                      <w:rFonts w:hint="default" w:ascii="Times New Roman" w:cs="Times New Roman"/>
                      <w:b w:val="0"/>
                      <w:bCs/>
                      <w:color w:val="auto"/>
                      <w:szCs w:val="21"/>
                      <w:highlight w:val="none"/>
                      <w:lang w:val="en-US" w:eastAsia="zh-CN"/>
                    </w:rPr>
                  </w:pPr>
                  <w:r>
                    <w:rPr>
                      <w:rFonts w:hint="eastAsia" w:ascii="Times New Roman" w:cs="Times New Roman"/>
                      <w:b w:val="0"/>
                      <w:bCs/>
                      <w:color w:val="auto"/>
                      <w:szCs w:val="21"/>
                      <w:highlight w:val="none"/>
                      <w:lang w:val="en-US" w:eastAsia="zh-CN"/>
                    </w:rPr>
                    <w:t>在改造以及新建的道路东侧</w:t>
                  </w:r>
                  <w:r>
                    <w:rPr>
                      <w:rFonts w:hint="default" w:ascii="Times New Roman" w:cs="Times New Roman"/>
                      <w:b w:val="0"/>
                      <w:bCs/>
                      <w:color w:val="auto"/>
                      <w:szCs w:val="21"/>
                      <w:highlight w:val="none"/>
                      <w:lang w:val="en-US" w:eastAsia="zh-CN"/>
                    </w:rPr>
                    <w:t>安装双波护栏3.15km</w:t>
                  </w:r>
                  <w:r>
                    <w:rPr>
                      <w:rFonts w:hint="eastAsia" w:ascii="Times New Roman" w:cs="Times New Roman"/>
                      <w:b w:val="0"/>
                      <w:bCs/>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渠道改线工程</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left"/>
                    <w:textAlignment w:val="auto"/>
                    <w:rPr>
                      <w:rFonts w:hint="default" w:ascii="Times New Roman" w:hAnsi="Times New Roman" w:cs="Times New Roman"/>
                      <w:b w:val="0"/>
                      <w:bCs/>
                      <w:color w:val="auto"/>
                      <w:szCs w:val="21"/>
                      <w:highlight w:val="none"/>
                      <w:lang w:val="en-US" w:eastAsia="zh-CN"/>
                    </w:rPr>
                  </w:pPr>
                  <w:r>
                    <w:rPr>
                      <w:rFonts w:hint="eastAsia" w:ascii="Times New Roman" w:cs="Times New Roman"/>
                      <w:b w:val="0"/>
                      <w:bCs/>
                      <w:color w:val="auto"/>
                      <w:szCs w:val="21"/>
                      <w:highlight w:val="none"/>
                      <w:lang w:val="en-US" w:eastAsia="zh-CN"/>
                    </w:rPr>
                    <w:t>对现状D40农渠进行改线重建，重建长度为50m，渠道尺寸维持现状（D40农渠），比降根据实地田面高程确定。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r>
                    <w:rPr>
                      <w:rFonts w:hint="eastAsia" w:ascii="Times New Roman" w:cs="Times New Roman"/>
                      <w:b/>
                      <w:bCs/>
                      <w:color w:val="auto"/>
                      <w:szCs w:val="21"/>
                      <w:highlight w:val="none"/>
                      <w:lang w:eastAsia="zh-CN"/>
                    </w:rPr>
                    <w:t>临时</w:t>
                  </w:r>
                  <w:r>
                    <w:rPr>
                      <w:rFonts w:hint="default" w:ascii="Times New Roman" w:hAnsi="Times New Roman" w:cs="Times New Roman"/>
                      <w:b/>
                      <w:bCs/>
                      <w:color w:val="auto"/>
                      <w:szCs w:val="21"/>
                      <w:highlight w:val="none"/>
                    </w:rPr>
                    <w:t>工程</w:t>
                  </w:r>
                </w:p>
              </w:tc>
              <w:tc>
                <w:tcPr>
                  <w:tcW w:w="799"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临时施工区</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施工营地占地2亩，</w:t>
                  </w:r>
                  <w:r>
                    <w:rPr>
                      <w:rFonts w:hint="eastAsia" w:ascii="Times New Roman" w:cs="Times New Roman"/>
                      <w:color w:val="auto"/>
                      <w:szCs w:val="21"/>
                      <w:highlight w:val="none"/>
                      <w:lang w:val="en-US" w:eastAsia="zh-CN"/>
                    </w:rPr>
                    <w:t>占地类型为河滩地，</w:t>
                  </w:r>
                  <w:r>
                    <w:rPr>
                      <w:rFonts w:hint="eastAsia" w:ascii="Times New Roman" w:hAnsi="Times New Roman" w:cs="Times New Roman"/>
                      <w:color w:val="auto"/>
                      <w:szCs w:val="21"/>
                      <w:highlight w:val="none"/>
                      <w:lang w:val="en-US" w:eastAsia="zh-CN"/>
                    </w:rPr>
                    <w:t>用于停放施工车辆，搭建临时仓库存放施工机械设备等。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取土场</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根据现场勘察，土料厂选定在项目区西侧5km处台地上，料场面积15亩，有用层平均厚度3.5m，土料储量约3.4万</w:t>
                  </w:r>
                  <w:r>
                    <w:rPr>
                      <w:rFonts w:hint="eastAsia" w:ascii="Times New Roman" w:cs="Times New Roman"/>
                      <w:color w:val="auto"/>
                      <w:szCs w:val="21"/>
                      <w:highlight w:val="none"/>
                      <w:lang w:val="en-US" w:eastAsia="zh-CN"/>
                    </w:rPr>
                    <w:t>m</w:t>
                  </w:r>
                  <w:r>
                    <w:rPr>
                      <w:rFonts w:hint="eastAsia" w:ascii="Times New Roman"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，可以作为填筑土料使用</w:t>
                  </w:r>
                  <w:r>
                    <w:rPr>
                      <w:rFonts w:hint="eastAsia" w:ascii="Times New Roman" w:cs="Times New Roman"/>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noWrap w:val="0"/>
                  <w:vAlign w:val="center"/>
                </w:tcPr>
                <w:p>
                  <w:pPr>
                    <w:adjustRightInd w:val="0"/>
                    <w:snapToGrid w:val="0"/>
                    <w:spacing w:line="240" w:lineRule="auto"/>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弃土场</w:t>
                  </w:r>
                </w:p>
              </w:tc>
              <w:tc>
                <w:tcPr>
                  <w:tcW w:w="37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本项目不设置弃土场。施工期开挖土方全部回填，施工期结束后拆除围堰产生的弃方运送至政府指定地点。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noWrap w:val="0"/>
                  <w:vAlign w:val="center"/>
                </w:tcPr>
                <w:p>
                  <w:pPr>
                    <w:adjustRightInd w:val="0"/>
                    <w:snapToGrid w:val="0"/>
                    <w:spacing w:line="240" w:lineRule="auto"/>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导流围堰</w:t>
                  </w:r>
                </w:p>
              </w:tc>
              <w:tc>
                <w:tcPr>
                  <w:tcW w:w="37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left"/>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先在河道外侧开挖明渠，在主体工程部位沿河道布置纵向围堰，待河道内主体工程施工完毕后，进行围堰拆除。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noWrap w:val="0"/>
                  <w:vAlign w:val="center"/>
                </w:tcPr>
                <w:p>
                  <w:pPr>
                    <w:pStyle w:val="34"/>
                    <w:spacing w:before="0" w:line="240" w:lineRule="auto"/>
                    <w:ind w:firstLine="0" w:firstLineChars="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公用</w:t>
                  </w:r>
                </w:p>
                <w:p>
                  <w:pPr>
                    <w:pStyle w:val="34"/>
                    <w:spacing w:before="0" w:line="240" w:lineRule="auto"/>
                    <w:ind w:firstLine="0" w:firstLineChars="0"/>
                    <w:rPr>
                      <w:rFonts w:hint="default" w:ascii="Times New Roman" w:hAnsi="Times New Roman" w:cs="Times New Roman"/>
                      <w:b/>
                      <w:bCs/>
                      <w:color w:val="auto"/>
                      <w:szCs w:val="21"/>
                      <w:highlight w:val="none"/>
                    </w:rPr>
                  </w:pPr>
                  <w:r>
                    <w:rPr>
                      <w:rFonts w:hint="default" w:ascii="Times New Roman" w:hAnsi="Times New Roman" w:eastAsia="宋体" w:cs="Times New Roman"/>
                      <w:b/>
                      <w:bCs/>
                      <w:color w:val="auto"/>
                      <w:kern w:val="0"/>
                      <w:sz w:val="21"/>
                      <w:szCs w:val="21"/>
                      <w:highlight w:val="none"/>
                      <w:lang w:val="en-US" w:eastAsia="zh-CN" w:bidi="ar-SA"/>
                    </w:rPr>
                    <w:t>工程</w:t>
                  </w:r>
                </w:p>
              </w:tc>
              <w:tc>
                <w:tcPr>
                  <w:tcW w:w="799" w:type="pct"/>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供水</w:t>
                  </w:r>
                </w:p>
              </w:tc>
              <w:tc>
                <w:tcPr>
                  <w:tcW w:w="3796" w:type="pct"/>
                  <w:noWrap w:val="0"/>
                  <w:vAlign w:val="center"/>
                </w:tcPr>
                <w:p>
                  <w:pPr>
                    <w:adjustRightInd w:val="0"/>
                    <w:snapToGrid w:val="0"/>
                    <w:spacing w:line="240" w:lineRule="auto"/>
                    <w:ind w:firstLine="420" w:firstLineChars="20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临时施工区仅用于停放施工车辆，搭建临时仓库存放施工机械设备，不提供食宿。施工人员全部租用附近民房，生活用水依托附近农村供水管网。项目施工期施工用水为洒水车洒水抑尘用水，依托附近农村供水管网，拉运至工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4"/>
                    <w:spacing w:before="0" w:line="240" w:lineRule="auto"/>
                    <w:ind w:firstLine="0" w:firstLineChars="0"/>
                    <w:rPr>
                      <w:rFonts w:hint="default" w:ascii="Times New Roman" w:hAnsi="Times New Roman" w:cs="Times New Roman"/>
                      <w:b/>
                      <w:bCs/>
                      <w:color w:val="auto"/>
                      <w:szCs w:val="21"/>
                      <w:highlight w:val="none"/>
                    </w:rPr>
                  </w:pPr>
                </w:p>
              </w:tc>
              <w:tc>
                <w:tcPr>
                  <w:tcW w:w="799" w:type="pct"/>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排水</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本项目施工期施工人员生活污水依托租住民房，排入农村污水管网，进入宏爱村污水处理站进行处理。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4"/>
                    <w:spacing w:before="0" w:line="240" w:lineRule="auto"/>
                    <w:ind w:firstLine="0" w:firstLineChars="0"/>
                    <w:rPr>
                      <w:rFonts w:hint="default" w:ascii="Times New Roman" w:hAnsi="Times New Roman" w:cs="Times New Roman"/>
                      <w:b/>
                      <w:bCs/>
                      <w:color w:val="auto"/>
                      <w:szCs w:val="21"/>
                      <w:highlight w:val="none"/>
                    </w:rPr>
                  </w:pPr>
                </w:p>
              </w:tc>
              <w:tc>
                <w:tcPr>
                  <w:tcW w:w="799" w:type="pct"/>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供电</w:t>
                  </w:r>
                </w:p>
              </w:tc>
              <w:tc>
                <w:tcPr>
                  <w:tcW w:w="3796" w:type="pct"/>
                  <w:noWrap w:val="0"/>
                  <w:vAlign w:val="center"/>
                </w:tcPr>
                <w:p>
                  <w:pPr>
                    <w:adjustRightInd w:val="0"/>
                    <w:snapToGrid w:val="0"/>
                    <w:spacing w:line="240" w:lineRule="auto"/>
                    <w:ind w:firstLine="420" w:firstLineChars="20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本项目施工期用电量较小，依托附近农村电网，配备2台柴油发电机作为备用电源。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auto"/>
                      <w:szCs w:val="21"/>
                      <w:highlight w:val="none"/>
                    </w:rPr>
                  </w:pPr>
                </w:p>
              </w:tc>
              <w:tc>
                <w:tcPr>
                  <w:tcW w:w="799"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供暖</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eastAsia" w:ascii="Times New Roman" w:cs="Times New Roman"/>
                      <w:color w:val="auto"/>
                      <w:szCs w:val="21"/>
                      <w:highlight w:val="none"/>
                      <w:lang w:val="en-US" w:eastAsia="zh-CN"/>
                    </w:rPr>
                    <w:t>本项目冬季不进行施工，不供暖。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noWrap w:val="0"/>
                  <w:vAlign w:val="center"/>
                </w:tcPr>
                <w:p>
                  <w:pPr>
                    <w:pStyle w:val="34"/>
                    <w:spacing w:before="0" w:line="240" w:lineRule="auto"/>
                    <w:ind w:firstLine="0" w:firstLineChars="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环保</w:t>
                  </w:r>
                </w:p>
                <w:p>
                  <w:pPr>
                    <w:pStyle w:val="34"/>
                    <w:spacing w:before="0" w:line="240" w:lineRule="auto"/>
                    <w:ind w:firstLine="0" w:firstLineChars="0"/>
                    <w:rPr>
                      <w:rFonts w:hint="default" w:ascii="Times New Roman" w:hAnsi="Times New Roman" w:cs="Times New Roman"/>
                      <w:b/>
                      <w:bCs/>
                      <w:color w:val="auto"/>
                      <w:szCs w:val="21"/>
                      <w:highlight w:val="none"/>
                    </w:rPr>
                  </w:pPr>
                  <w:r>
                    <w:rPr>
                      <w:rFonts w:hint="default" w:ascii="Times New Roman" w:hAnsi="Times New Roman" w:eastAsia="宋体" w:cs="Times New Roman"/>
                      <w:b/>
                      <w:bCs/>
                      <w:color w:val="auto"/>
                      <w:kern w:val="0"/>
                      <w:sz w:val="21"/>
                      <w:szCs w:val="21"/>
                      <w:highlight w:val="none"/>
                      <w:lang w:val="en-US" w:eastAsia="zh-CN" w:bidi="ar-SA"/>
                    </w:rPr>
                    <w:t>工程</w:t>
                  </w:r>
                </w:p>
              </w:tc>
              <w:tc>
                <w:tcPr>
                  <w:tcW w:w="799" w:type="pct"/>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废气治理措施</w:t>
                  </w:r>
                </w:p>
              </w:tc>
              <w:tc>
                <w:tcPr>
                  <w:tcW w:w="3796" w:type="pct"/>
                  <w:noWrap w:val="0"/>
                  <w:vAlign w:val="center"/>
                </w:tcPr>
                <w:p>
                  <w:pPr>
                    <w:adjustRightInd w:val="0"/>
                    <w:snapToGrid w:val="0"/>
                    <w:spacing w:line="240" w:lineRule="auto"/>
                    <w:ind w:firstLine="420" w:firstLineChars="200"/>
                    <w:jc w:val="both"/>
                    <w:rPr>
                      <w:rFonts w:hint="eastAsia"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 w:val="21"/>
                      <w:szCs w:val="21"/>
                      <w:highlight w:val="none"/>
                    </w:rPr>
                    <w:t>施工期</w:t>
                  </w:r>
                  <w:r>
                    <w:rPr>
                      <w:rFonts w:hint="eastAsia" w:cs="Times New Roman" w:eastAsiaTheme="minorEastAsia"/>
                      <w:color w:val="auto"/>
                      <w:sz w:val="21"/>
                      <w:szCs w:val="21"/>
                      <w:highlight w:val="none"/>
                      <w:lang w:eastAsia="zh-CN"/>
                    </w:rPr>
                    <w:t>对施工道路、施工作业面、临时施工区</w:t>
                  </w:r>
                  <w:r>
                    <w:rPr>
                      <w:rFonts w:hint="default" w:ascii="Times New Roman" w:hAnsi="Times New Roman" w:cs="Times New Roman" w:eastAsiaTheme="minorEastAsia"/>
                      <w:color w:val="auto"/>
                      <w:sz w:val="21"/>
                      <w:szCs w:val="21"/>
                      <w:highlight w:val="none"/>
                    </w:rPr>
                    <w:t>定期洒水抑尘</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运输车辆限速</w:t>
                  </w:r>
                  <w:r>
                    <w:rPr>
                      <w:rFonts w:hint="eastAsia" w:cs="Times New Roman" w:eastAsiaTheme="minorEastAsia"/>
                      <w:color w:val="auto"/>
                      <w:sz w:val="21"/>
                      <w:szCs w:val="21"/>
                      <w:highlight w:val="none"/>
                      <w:lang w:eastAsia="zh-CN"/>
                    </w:rPr>
                    <w:t>，从河道桩号</w:t>
                  </w:r>
                  <w:r>
                    <w:rPr>
                      <w:rFonts w:hint="default" w:ascii="Times New Roman" w:hAnsi="Times New Roman" w:cs="Times New Roman"/>
                      <w:b w:val="0"/>
                      <w:bCs/>
                      <w:color w:val="auto"/>
                      <w:szCs w:val="21"/>
                      <w:highlight w:val="none"/>
                      <w:lang w:eastAsia="zh-CN"/>
                    </w:rPr>
                    <w:t>K307+606～308+456</w:t>
                  </w:r>
                  <w:r>
                    <w:rPr>
                      <w:rFonts w:hint="eastAsia" w:cs="Times New Roman"/>
                      <w:b w:val="0"/>
                      <w:bCs/>
                      <w:color w:val="auto"/>
                      <w:szCs w:val="21"/>
                      <w:highlight w:val="none"/>
                      <w:lang w:eastAsia="zh-CN"/>
                    </w:rPr>
                    <w:t>处</w:t>
                  </w:r>
                  <w:r>
                    <w:rPr>
                      <w:rFonts w:hint="eastAsia" w:ascii="Times New Roman" w:hAnsi="Times New Roman" w:cs="Times New Roman" w:eastAsiaTheme="minorEastAsia"/>
                      <w:color w:val="auto"/>
                      <w:sz w:val="21"/>
                      <w:szCs w:val="21"/>
                      <w:highlight w:val="none"/>
                      <w:lang w:eastAsia="zh-CN"/>
                    </w:rPr>
                    <w:t>设置围挡等</w:t>
                  </w:r>
                  <w:r>
                    <w:rPr>
                      <w:rFonts w:hint="default" w:ascii="Times New Roman" w:hAnsi="Times New Roman" w:cs="Times New Roman" w:eastAsiaTheme="minorEastAsia"/>
                      <w:color w:val="auto"/>
                      <w:sz w:val="21"/>
                      <w:szCs w:val="21"/>
                      <w:highlight w:val="none"/>
                    </w:rPr>
                    <w:t>措施用以抑制施工扬尘</w:t>
                  </w:r>
                  <w:r>
                    <w:rPr>
                      <w:rFonts w:hint="eastAsia" w:ascii="Times New Roman" w:hAnsi="Times New Roman" w:cs="Times New Roman" w:eastAsiaTheme="minorEastAsia"/>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4"/>
                    <w:spacing w:before="0" w:line="240" w:lineRule="auto"/>
                    <w:ind w:firstLine="0" w:firstLineChars="0"/>
                    <w:rPr>
                      <w:rFonts w:hint="default" w:ascii="Times New Roman" w:hAnsi="Times New Roman" w:cs="Times New Roman"/>
                      <w:b/>
                      <w:bCs/>
                      <w:color w:val="auto"/>
                      <w:szCs w:val="21"/>
                      <w:highlight w:val="none"/>
                    </w:rPr>
                  </w:pPr>
                </w:p>
              </w:tc>
              <w:tc>
                <w:tcPr>
                  <w:tcW w:w="799" w:type="pct"/>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噪声治理措施</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eastAsia"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 w:val="21"/>
                      <w:szCs w:val="21"/>
                      <w:highlight w:val="none"/>
                    </w:rPr>
                    <w:t>施工机械选用低噪声设备</w:t>
                  </w:r>
                  <w:r>
                    <w:rPr>
                      <w:rFonts w:hint="eastAsia" w:ascii="Times New Roman" w:hAnsi="Times New Roman"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eastAsia="zh-CN"/>
                    </w:rPr>
                    <w:t>从河道桩号</w:t>
                  </w:r>
                  <w:r>
                    <w:rPr>
                      <w:rFonts w:hint="default" w:ascii="Times New Roman" w:hAnsi="Times New Roman" w:cs="Times New Roman"/>
                      <w:b w:val="0"/>
                      <w:bCs/>
                      <w:color w:val="auto"/>
                      <w:szCs w:val="21"/>
                      <w:highlight w:val="none"/>
                      <w:lang w:eastAsia="zh-CN"/>
                    </w:rPr>
                    <w:t>K307+606～308+456</w:t>
                  </w:r>
                  <w:r>
                    <w:rPr>
                      <w:rFonts w:hint="eastAsia" w:cs="Times New Roman"/>
                      <w:b w:val="0"/>
                      <w:bCs/>
                      <w:color w:val="auto"/>
                      <w:szCs w:val="21"/>
                      <w:highlight w:val="none"/>
                      <w:lang w:eastAsia="zh-CN"/>
                    </w:rPr>
                    <w:t>处</w:t>
                  </w:r>
                  <w:r>
                    <w:rPr>
                      <w:rFonts w:hint="eastAsia" w:ascii="Times New Roman" w:hAnsi="Times New Roman" w:cs="Times New Roman" w:eastAsiaTheme="minorEastAsia"/>
                      <w:color w:val="auto"/>
                      <w:sz w:val="21"/>
                      <w:szCs w:val="21"/>
                      <w:highlight w:val="none"/>
                      <w:lang w:eastAsia="zh-CN"/>
                    </w:rPr>
                    <w:t>设置围挡。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4"/>
                    <w:spacing w:before="0" w:line="240" w:lineRule="auto"/>
                    <w:ind w:firstLine="0" w:firstLineChars="0"/>
                    <w:rPr>
                      <w:rFonts w:hint="default" w:ascii="Times New Roman" w:hAnsi="Times New Roman" w:cs="Times New Roman"/>
                      <w:b/>
                      <w:bCs/>
                      <w:color w:val="auto"/>
                      <w:szCs w:val="21"/>
                      <w:highlight w:val="none"/>
                    </w:rPr>
                  </w:pPr>
                </w:p>
              </w:tc>
              <w:tc>
                <w:tcPr>
                  <w:tcW w:w="799" w:type="pct"/>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废水治理措施</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eastAsiaTheme="minorEastAsia"/>
                      <w:color w:val="auto"/>
                      <w:sz w:val="21"/>
                      <w:szCs w:val="21"/>
                      <w:highlight w:val="none"/>
                    </w:rPr>
                    <w:t>施工人员生活污水排放依托现有民房</w:t>
                  </w:r>
                  <w:r>
                    <w:rPr>
                      <w:rFonts w:hint="eastAsia" w:ascii="Times New Roman" w:cs="Times New Roman"/>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4"/>
                    <w:spacing w:before="0" w:line="240" w:lineRule="auto"/>
                    <w:ind w:firstLine="0" w:firstLineChars="0"/>
                    <w:rPr>
                      <w:rFonts w:hint="default" w:ascii="Times New Roman" w:hAnsi="Times New Roman" w:cs="Times New Roman"/>
                      <w:b/>
                      <w:bCs/>
                      <w:color w:val="auto"/>
                      <w:szCs w:val="21"/>
                      <w:highlight w:val="none"/>
                    </w:rPr>
                  </w:pPr>
                </w:p>
              </w:tc>
              <w:tc>
                <w:tcPr>
                  <w:tcW w:w="799" w:type="pct"/>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固体废物治理措施</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eastAsia" w:ascii="Times New Roman" w:hAnsi="Times New Roman" w:cs="Times New Roman" w:eastAsiaTheme="minorEastAsia"/>
                      <w:color w:val="auto"/>
                      <w:szCs w:val="21"/>
                      <w:highlight w:val="none"/>
                      <w:lang w:val="en-US" w:eastAsia="zh-CN"/>
                    </w:rPr>
                  </w:pPr>
                  <w:r>
                    <w:rPr>
                      <w:rFonts w:hint="eastAsia" w:asciiTheme="minorEastAsia" w:hAnsiTheme="minorEastAsia" w:eastAsiaTheme="minorEastAsia" w:cstheme="minorEastAsia"/>
                      <w:color w:val="auto"/>
                      <w:sz w:val="21"/>
                      <w:szCs w:val="21"/>
                      <w:highlight w:val="none"/>
                    </w:rPr>
                    <w:t>生活垃圾</w:t>
                  </w:r>
                  <w:r>
                    <w:rPr>
                      <w:rFonts w:hint="eastAsia" w:asciiTheme="minorEastAsia" w:hAnsiTheme="minorEastAsia" w:eastAsiaTheme="minorEastAsia" w:cstheme="minorEastAsia"/>
                      <w:color w:val="auto"/>
                      <w:sz w:val="21"/>
                      <w:szCs w:val="21"/>
                      <w:highlight w:val="none"/>
                      <w:lang w:eastAsia="zh-CN"/>
                    </w:rPr>
                    <w:t>依托租住民房</w:t>
                  </w:r>
                  <w:r>
                    <w:rPr>
                      <w:rFonts w:hint="eastAsia" w:asciiTheme="minorEastAsia" w:hAnsiTheme="minorEastAsia" w:eastAsiaTheme="minorEastAsia" w:cstheme="minorEastAsia"/>
                      <w:color w:val="auto"/>
                      <w:sz w:val="21"/>
                      <w:szCs w:val="21"/>
                      <w:highlight w:val="none"/>
                    </w:rPr>
                    <w:t>垃圾桶收集，</w:t>
                  </w:r>
                  <w:r>
                    <w:rPr>
                      <w:rFonts w:hint="eastAsia" w:asciiTheme="minorEastAsia" w:hAnsiTheme="minorEastAsia" w:eastAsiaTheme="minorEastAsia" w:cstheme="minorEastAsia"/>
                      <w:color w:val="auto"/>
                      <w:sz w:val="21"/>
                      <w:szCs w:val="21"/>
                      <w:highlight w:val="none"/>
                      <w:lang w:eastAsia="zh-CN"/>
                    </w:rPr>
                    <w:t>定期运送至附近垃圾中转站由环卫部门处置</w:t>
                  </w:r>
                  <w:r>
                    <w:rPr>
                      <w:rFonts w:hint="eastAsia" w:asciiTheme="minorEastAsia" w:hAnsiTheme="minorEastAsia" w:eastAsiaTheme="minorEastAsia" w:cstheme="minorEastAsia"/>
                      <w:color w:val="auto"/>
                      <w:sz w:val="21"/>
                      <w:szCs w:val="21"/>
                      <w:highlight w:val="none"/>
                    </w:rPr>
                    <w:t>；</w:t>
                  </w:r>
                  <w:r>
                    <w:rPr>
                      <w:rFonts w:hint="eastAsia" w:cs="Times New Roman"/>
                      <w:color w:val="auto"/>
                      <w:szCs w:val="21"/>
                      <w:highlight w:val="none"/>
                      <w:lang w:val="en-US" w:eastAsia="zh-CN"/>
                    </w:rPr>
                    <w:t>施工期结束后拆除围堰产生的弃方运送至政府指定地点</w:t>
                  </w:r>
                  <w:r>
                    <w:rPr>
                      <w:rFonts w:hint="eastAsia" w:asciiTheme="minorEastAsia" w:hAnsiTheme="minorEastAsia" w:eastAsiaTheme="minorEastAsia" w:cstheme="minorEastAsia"/>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4"/>
                    <w:spacing w:before="0" w:line="240" w:lineRule="auto"/>
                    <w:ind w:firstLine="0" w:firstLineChars="0"/>
                    <w:rPr>
                      <w:rFonts w:hint="default" w:ascii="Times New Roman" w:hAnsi="Times New Roman" w:cs="Times New Roman"/>
                      <w:b/>
                      <w:bCs/>
                      <w:color w:val="auto"/>
                      <w:szCs w:val="21"/>
                      <w:highlight w:val="none"/>
                    </w:rPr>
                  </w:pPr>
                </w:p>
              </w:tc>
              <w:tc>
                <w:tcPr>
                  <w:tcW w:w="799" w:type="pct"/>
                  <w:vMerge w:val="restart"/>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生态治理措施</w:t>
                  </w: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cs="Times New Roman"/>
                      <w:color w:val="auto"/>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边坡采用鱼鳞坑种植，为减少水土流失，在山坡上挖掘有一定蓄水容量、交错排列、类似鱼鳞状的半圆型或月牙型土坑，坑内蓄水，植树造林</w:t>
                  </w:r>
                  <w:r>
                    <w:rPr>
                      <w:rFonts w:hint="eastAsia" w:ascii="Times New Roman" w:cs="Times New Roman"/>
                      <w:color w:val="auto"/>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4"/>
                    <w:spacing w:before="0" w:line="240" w:lineRule="auto"/>
                    <w:ind w:firstLine="0" w:firstLineChars="0"/>
                    <w:rPr>
                      <w:rFonts w:hint="default" w:ascii="Times New Roman" w:hAnsi="Times New Roman" w:cs="Times New Roman"/>
                      <w:b/>
                      <w:bCs/>
                      <w:color w:val="auto"/>
                      <w:szCs w:val="21"/>
                      <w:highlight w:val="none"/>
                    </w:rPr>
                  </w:pPr>
                </w:p>
              </w:tc>
              <w:tc>
                <w:tcPr>
                  <w:tcW w:w="799" w:type="pct"/>
                  <w:vMerge w:val="continue"/>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cs="Times New Roman"/>
                      <w:color w:val="auto"/>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高边坡植物选择河北杨</w:t>
                  </w:r>
                  <w:r>
                    <w:rPr>
                      <w:rFonts w:hint="eastAsia" w:ascii="Times New Roman" w:cs="Times New Roman"/>
                      <w:color w:val="auto"/>
                      <w:szCs w:val="21"/>
                      <w:highlight w:val="none"/>
                      <w:vertAlign w:val="baseline"/>
                      <w:lang w:val="en-US" w:eastAsia="zh-CN"/>
                    </w:rPr>
                    <w:t>、刺槐、柠条进行种植，河北杨、刺槐株行距3</w:t>
                  </w:r>
                  <w:r>
                    <w:rPr>
                      <w:rFonts w:hint="default" w:ascii="Times New Roman" w:hAnsi="Times New Roman" w:cs="Times New Roman"/>
                      <w:color w:val="auto"/>
                      <w:szCs w:val="21"/>
                      <w:highlight w:val="none"/>
                      <w:vertAlign w:val="baseline"/>
                      <w:lang w:val="en-US" w:eastAsia="zh-CN"/>
                    </w:rPr>
                    <w:t>×</w:t>
                  </w:r>
                  <w:r>
                    <w:rPr>
                      <w:rFonts w:hint="eastAsia" w:ascii="Times New Roman" w:cs="Times New Roman"/>
                      <w:color w:val="auto"/>
                      <w:szCs w:val="21"/>
                      <w:highlight w:val="none"/>
                      <w:vertAlign w:val="baseline"/>
                      <w:lang w:val="en-US" w:eastAsia="zh-CN"/>
                    </w:rPr>
                    <w:t>4m，柠条种植密度9株/m</w:t>
                  </w:r>
                  <w:r>
                    <w:rPr>
                      <w:rFonts w:hint="eastAsia" w:ascii="Times New Roman" w:cs="Times New Roman"/>
                      <w:color w:val="auto"/>
                      <w:szCs w:val="21"/>
                      <w:highlight w:val="none"/>
                      <w:vertAlign w:val="superscript"/>
                      <w:lang w:val="en-US" w:eastAsia="zh-CN"/>
                    </w:rPr>
                    <w:t>2</w:t>
                  </w:r>
                  <w:r>
                    <w:rPr>
                      <w:rFonts w:hint="eastAsia" w:ascii="Times New Roman" w:cs="Times New Roman"/>
                      <w:color w:val="auto"/>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4"/>
                    <w:spacing w:before="0" w:line="240" w:lineRule="auto"/>
                    <w:ind w:firstLine="0" w:firstLineChars="0"/>
                    <w:rPr>
                      <w:rFonts w:hint="default" w:ascii="Times New Roman" w:hAnsi="Times New Roman" w:cs="Times New Roman"/>
                      <w:b/>
                      <w:bCs/>
                      <w:color w:val="auto"/>
                      <w:szCs w:val="21"/>
                      <w:highlight w:val="none"/>
                    </w:rPr>
                  </w:pPr>
                </w:p>
              </w:tc>
              <w:tc>
                <w:tcPr>
                  <w:tcW w:w="799" w:type="pct"/>
                  <w:vMerge w:val="continue"/>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cs="Times New Roman"/>
                      <w:color w:val="auto"/>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滩地平原植物选择</w:t>
                  </w:r>
                  <w:r>
                    <w:rPr>
                      <w:rFonts w:hint="eastAsia" w:ascii="Times New Roman" w:cs="Times New Roman"/>
                      <w:color w:val="auto"/>
                      <w:szCs w:val="21"/>
                      <w:highlight w:val="none"/>
                      <w:vertAlign w:val="baseline"/>
                      <w:lang w:val="en-US" w:eastAsia="zh-CN"/>
                    </w:rPr>
                    <w:t>柽柳，种植密度9株/m</w:t>
                  </w:r>
                  <w:r>
                    <w:rPr>
                      <w:rFonts w:hint="eastAsia" w:ascii="Times New Roman" w:cs="Times New Roman"/>
                      <w:color w:val="auto"/>
                      <w:szCs w:val="21"/>
                      <w:highlight w:val="none"/>
                      <w:vertAlign w:val="superscript"/>
                      <w:lang w:val="en-US" w:eastAsia="zh-CN"/>
                    </w:rPr>
                    <w:t>2</w:t>
                  </w:r>
                  <w:r>
                    <w:rPr>
                      <w:rFonts w:hint="eastAsia" w:ascii="Times New Roman" w:cs="Times New Roman"/>
                      <w:color w:val="auto"/>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pStyle w:val="34"/>
                    <w:spacing w:before="0" w:line="240" w:lineRule="auto"/>
                    <w:ind w:firstLine="0" w:firstLineChars="0"/>
                    <w:rPr>
                      <w:rFonts w:hint="default" w:ascii="Times New Roman" w:hAnsi="Times New Roman" w:cs="Times New Roman"/>
                      <w:b/>
                      <w:bCs/>
                      <w:color w:val="auto"/>
                      <w:szCs w:val="21"/>
                      <w:highlight w:val="none"/>
                    </w:rPr>
                  </w:pPr>
                </w:p>
              </w:tc>
              <w:tc>
                <w:tcPr>
                  <w:tcW w:w="799" w:type="pct"/>
                  <w:vMerge w:val="continue"/>
                  <w:noWrap w:val="0"/>
                  <w:vAlign w:val="center"/>
                </w:tcPr>
                <w:p>
                  <w:pPr>
                    <w:adjustRightInd w:val="0"/>
                    <w:snapToGrid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p>
              </w:tc>
              <w:tc>
                <w:tcPr>
                  <w:tcW w:w="3796" w:type="pct"/>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cs="Times New Roman"/>
                      <w:color w:val="auto"/>
                      <w:szCs w:val="21"/>
                      <w:highlight w:val="none"/>
                      <w:vertAlign w:val="baseline"/>
                      <w:lang w:val="en-US" w:eastAsia="zh-CN"/>
                    </w:rPr>
                  </w:pPr>
                  <w:r>
                    <w:rPr>
                      <w:rFonts w:hint="eastAsia" w:ascii="Times New Roman" w:cs="Times New Roman"/>
                      <w:color w:val="auto"/>
                      <w:szCs w:val="21"/>
                      <w:highlight w:val="none"/>
                      <w:vertAlign w:val="baseline"/>
                      <w:lang w:val="en-US" w:eastAsia="zh-CN"/>
                    </w:rPr>
                    <w:t>山河桥北侧空地植物选择四季玫瑰、马蔺，四季玫瑰种植密度9株/m</w:t>
                  </w:r>
                  <w:r>
                    <w:rPr>
                      <w:rFonts w:hint="eastAsia" w:ascii="Times New Roman" w:cs="Times New Roman"/>
                      <w:color w:val="auto"/>
                      <w:szCs w:val="21"/>
                      <w:highlight w:val="none"/>
                      <w:vertAlign w:val="superscript"/>
                      <w:lang w:val="en-US" w:eastAsia="zh-CN"/>
                    </w:rPr>
                    <w:t>2</w:t>
                  </w:r>
                  <w:r>
                    <w:rPr>
                      <w:rFonts w:hint="eastAsia" w:ascii="Times New Roman" w:cs="Times New Roman"/>
                      <w:color w:val="auto"/>
                      <w:szCs w:val="21"/>
                      <w:highlight w:val="none"/>
                      <w:vertAlign w:val="baseline"/>
                      <w:lang w:val="en-US" w:eastAsia="zh-CN"/>
                    </w:rPr>
                    <w:t>，马蔺种植密度25株/m</w:t>
                  </w:r>
                  <w:r>
                    <w:rPr>
                      <w:rFonts w:hint="eastAsia" w:ascii="Times New Roman" w:cs="Times New Roman"/>
                      <w:color w:val="auto"/>
                      <w:szCs w:val="21"/>
                      <w:highlight w:val="none"/>
                      <w:vertAlign w:val="superscript"/>
                      <w:lang w:val="en-US" w:eastAsia="zh-CN"/>
                    </w:rPr>
                    <w:t>2</w:t>
                  </w:r>
                  <w:r>
                    <w:rPr>
                      <w:rFonts w:hint="eastAsia" w:ascii="Times New Roman" w:cs="Times New Roman"/>
                      <w:color w:val="auto"/>
                      <w:szCs w:val="21"/>
                      <w:highlight w:val="none"/>
                      <w:vertAlign w:val="baseline"/>
                      <w:lang w:val="en-US" w:eastAsia="zh-CN"/>
                    </w:rPr>
                    <w:t>。</w:t>
                  </w:r>
                </w:p>
              </w:tc>
            </w:tr>
          </w:tbl>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2、工程建设任务</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通过清水河下段（沙坡头区）综合治理工程的实施，在现有河道防洪工程的基础上，贯通防汛道路、改善河道生态环境、消除高边坡滑塌等地质灾害，有效减少洪水对灌区带来的损失，减轻河道险情。</w:t>
            </w:r>
          </w:p>
          <w:p>
            <w:pPr>
              <w:adjustRightInd w:val="0"/>
              <w:spacing w:line="360" w:lineRule="auto"/>
              <w:ind w:firstLine="482" w:firstLineChars="200"/>
              <w:rPr>
                <w:rFonts w:hint="default" w:eastAsia="仿宋_GB2312"/>
                <w:b/>
                <w:bCs w:val="0"/>
                <w:color w:val="auto"/>
                <w:sz w:val="24"/>
                <w:highlight w:val="none"/>
                <w:lang w:val="en-US" w:eastAsia="zh-CN"/>
              </w:rPr>
            </w:pPr>
            <w:r>
              <w:rPr>
                <w:rFonts w:hint="eastAsia" w:eastAsia="仿宋_GB2312"/>
                <w:b/>
                <w:bCs w:val="0"/>
                <w:color w:val="auto"/>
                <w:sz w:val="24"/>
                <w:highlight w:val="none"/>
                <w:lang w:val="en-US" w:eastAsia="zh-CN"/>
              </w:rPr>
              <w:t>3、工程设计方案</w:t>
            </w:r>
          </w:p>
          <w:p>
            <w:pPr>
              <w:adjustRightInd w:val="0"/>
              <w:spacing w:line="360" w:lineRule="auto"/>
              <w:ind w:firstLine="482" w:firstLineChars="200"/>
              <w:rPr>
                <w:rFonts w:hint="default" w:eastAsia="仿宋_GB2312"/>
                <w:b/>
                <w:color w:val="auto"/>
                <w:sz w:val="24"/>
                <w:highlight w:val="none"/>
                <w:lang w:val="en-US" w:eastAsia="zh-CN"/>
              </w:rPr>
            </w:pPr>
            <w:r>
              <w:rPr>
                <w:rFonts w:hint="eastAsia" w:eastAsia="仿宋_GB2312"/>
                <w:b/>
                <w:color w:val="auto"/>
                <w:sz w:val="24"/>
                <w:highlight w:val="none"/>
                <w:lang w:val="en-US" w:eastAsia="zh-CN"/>
              </w:rPr>
              <w:t>3.1 工程等级和标准</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（1）工程等级</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根据《水利水电工程等级划分及洪水标准》（SL252-2017）及《堤防工程设计规范》（GB50286-2013），防洪标准20年一遇的河段堤防及护岸工程级别为4级，次要建筑物及临时工程的级别采用5级。</w:t>
            </w:r>
          </w:p>
          <w:p>
            <w:pPr>
              <w:numPr>
                <w:ilvl w:val="0"/>
                <w:numId w:val="0"/>
              </w:num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（2）洪水标准</w:t>
            </w:r>
          </w:p>
          <w:p>
            <w:pPr>
              <w:numPr>
                <w:ilvl w:val="0"/>
                <w:numId w:val="0"/>
              </w:numPr>
              <w:adjustRightInd w:val="0"/>
              <w:spacing w:line="360" w:lineRule="auto"/>
              <w:ind w:firstLine="480" w:firstLineChars="200"/>
              <w:rPr>
                <w:rFonts w:hint="default" w:eastAsia="仿宋_GB2312"/>
                <w:b w:val="0"/>
                <w:bCs/>
                <w:color w:val="auto"/>
                <w:sz w:val="24"/>
                <w:highlight w:val="none"/>
                <w:lang w:val="en-US" w:eastAsia="zh-CN"/>
              </w:rPr>
            </w:pPr>
            <w:r>
              <w:rPr>
                <w:rFonts w:hint="eastAsia" w:eastAsia="仿宋_GB2312"/>
                <w:b w:val="0"/>
                <w:bCs/>
                <w:color w:val="auto"/>
                <w:sz w:val="24"/>
                <w:highlight w:val="none"/>
                <w:lang w:val="en-US" w:eastAsia="zh-CN"/>
              </w:rPr>
              <w:t>根据《防洪标准》（GB50201-2014），本次清水河下段（沙坡头区）综合治理工程防洪标准为20年一遇（P=5%）。</w:t>
            </w:r>
          </w:p>
          <w:p>
            <w:pPr>
              <w:adjustRightInd w:val="0"/>
              <w:spacing w:line="360" w:lineRule="auto"/>
              <w:ind w:firstLine="482" w:firstLineChars="200"/>
              <w:rPr>
                <w:rFonts w:hint="default" w:eastAsia="仿宋_GB2312"/>
                <w:b/>
                <w:color w:val="auto"/>
                <w:sz w:val="24"/>
                <w:highlight w:val="none"/>
                <w:lang w:val="en-US" w:eastAsia="zh-CN"/>
              </w:rPr>
            </w:pPr>
            <w:r>
              <w:rPr>
                <w:rFonts w:hint="eastAsia" w:eastAsia="仿宋_GB2312"/>
                <w:b/>
                <w:color w:val="auto"/>
                <w:sz w:val="24"/>
                <w:highlight w:val="none"/>
                <w:lang w:val="en-US" w:eastAsia="zh-CN"/>
              </w:rPr>
              <w:t>3.2 高边坡坡脚防护工程设计</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整治段高边坡坡脚防护结构型式采用墙式结构，主要由格宾挡墙、基础和护脚三部分组成，格宾挡墙采用顶宽1.0m，底宽3.0m厚格宾石笼错层砌筑，背水侧采用壤土进行填筑，回填边坡1:2.0，回填土压实度不小于0.91。</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eastAsia" w:eastAsia="仿宋_GB2312"/>
                <w:b w:val="0"/>
                <w:bCs/>
                <w:color w:val="auto"/>
                <w:sz w:val="24"/>
                <w:highlight w:val="none"/>
                <w:lang w:val="en-US" w:eastAsia="zh-CN"/>
              </w:rPr>
              <w:t>挡墙下部为格宾基础，基础尺寸1.0</w:t>
            </w:r>
            <w:r>
              <w:rPr>
                <w:rFonts w:hint="default" w:ascii="Times New Roman" w:hAnsi="Times New Roman" w:eastAsia="仿宋_GB2312" w:cs="Times New Roman"/>
                <w:b w:val="0"/>
                <w:bCs/>
                <w:color w:val="auto"/>
                <w:sz w:val="24"/>
                <w:highlight w:val="none"/>
                <w:lang w:val="en-US" w:eastAsia="zh-CN"/>
              </w:rPr>
              <w:t>×</w:t>
            </w:r>
            <w:r>
              <w:rPr>
                <w:rFonts w:hint="eastAsia" w:eastAsia="仿宋_GB2312"/>
                <w:b w:val="0"/>
                <w:bCs/>
                <w:color w:val="auto"/>
                <w:sz w:val="24"/>
                <w:highlight w:val="none"/>
                <w:lang w:val="en-US" w:eastAsia="zh-CN"/>
              </w:rPr>
              <w:t>1.0m，基础外部设格宾护脚，护脚宽度、深度根据局部冲刷深度确定。为适应河床冲刷，护脚部分按冲刷坑影响体积估算，厚度取1m，宽度一般为1.5~2.0倍冲深，本次设计按1.5倍冲深考虑。该河段设计采用冲深为2m，拟定护脚宽度为3.0m。考虑到冲刷一般造成护脚向河道方向倾斜，护脚按两层放置，即每层</w:t>
            </w:r>
            <w:r>
              <w:rPr>
                <w:rFonts w:hint="default" w:ascii="Times New Roman" w:hAnsi="Times New Roman" w:eastAsia="仿宋_GB2312" w:cs="Times New Roman"/>
                <w:b w:val="0"/>
                <w:bCs/>
                <w:color w:val="auto"/>
                <w:sz w:val="24"/>
                <w:highlight w:val="none"/>
                <w:lang w:val="en-US" w:eastAsia="zh-CN"/>
              </w:rPr>
              <w:t>高×宽=1.0m×3</w:t>
            </w:r>
            <w:r>
              <w:rPr>
                <w:rFonts w:hint="eastAsia" w:eastAsia="仿宋_GB2312"/>
                <w:b w:val="0"/>
                <w:bCs/>
                <w:color w:val="auto"/>
                <w:sz w:val="24"/>
                <w:highlight w:val="none"/>
                <w:lang w:val="en-US" w:eastAsia="zh-CN"/>
              </w:rPr>
              <w:t>m，上层石笼倾斜下滑后，护脚体最大宽度仍可达到3m。分两层摆放，每层0.5m厚，上层为格宾石笼，宽度3m，下层为格栅石笼，宽度3.5m。上下错台，下层宽度比上层宽出0.5</w:t>
            </w:r>
            <w:r>
              <w:rPr>
                <w:rFonts w:hint="default" w:ascii="Times New Roman" w:hAnsi="Times New Roman" w:eastAsia="仿宋_GB2312" w:cs="Times New Roman"/>
                <w:b w:val="0"/>
                <w:bCs/>
                <w:color w:val="auto"/>
                <w:sz w:val="24"/>
                <w:highlight w:val="none"/>
                <w:lang w:val="en-US" w:eastAsia="zh-CN"/>
              </w:rPr>
              <w:t>m。</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本工程格宾箱及格宾护垫材料选用锌-10%铝-混合稀土低碳钢丝。经机器编织成的六边形双绞合钢丝网，护脚、基础及戗台网孔为100×120mm，格宾护坡网孔为80×100mm，网面机械强度大于30KN/m，钢丝线径Φ2.7，编织前延伸率大于12％，每平米镀层含量大于350g，编织网钢丝符合规范《宁夏水利工程格宾应用技术导则》(DB64/T1094-2015)标准。</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格栅石笼采用聚丙烯双向土工格栅，其碳黑含量≥2.0，横向、纵向抗拉强度30.0KN/m，网孔尺寸</w:t>
            </w:r>
            <w:r>
              <w:rPr>
                <w:rFonts w:hint="default" w:ascii="Times New Roman" w:hAnsi="Times New Roman" w:eastAsia="仿宋_GB2312" w:cs="Times New Roman"/>
                <w:b w:val="0"/>
                <w:bCs/>
                <w:color w:val="auto"/>
                <w:sz w:val="24"/>
                <w:highlight w:val="none"/>
                <w:lang w:val="en-US" w:eastAsia="zh-CN"/>
              </w:rPr>
              <w:t>：长×宽＝50×50m</w:t>
            </w:r>
            <w:r>
              <w:rPr>
                <w:rFonts w:hint="eastAsia" w:eastAsia="仿宋_GB2312"/>
                <w:b w:val="0"/>
                <w:bCs/>
                <w:color w:val="auto"/>
                <w:sz w:val="24"/>
                <w:highlight w:val="none"/>
                <w:lang w:val="en-US" w:eastAsia="zh-CN"/>
              </w:rPr>
              <w:t>m。</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高边坡坡脚防护设计及参数见图7~9。</w:t>
            </w:r>
          </w:p>
          <w:p>
            <w:pPr>
              <w:adjustRightInd w:val="0"/>
              <w:spacing w:line="360" w:lineRule="auto"/>
              <w:ind w:firstLine="482" w:firstLineChars="200"/>
              <w:rPr>
                <w:rFonts w:hint="default" w:eastAsia="仿宋_GB2312"/>
                <w:b/>
                <w:color w:val="auto"/>
                <w:sz w:val="24"/>
                <w:highlight w:val="none"/>
                <w:lang w:val="en-US" w:eastAsia="zh-CN"/>
              </w:rPr>
            </w:pPr>
            <w:r>
              <w:rPr>
                <w:rFonts w:hint="eastAsia" w:eastAsia="仿宋_GB2312"/>
                <w:b/>
                <w:color w:val="auto"/>
                <w:sz w:val="24"/>
                <w:highlight w:val="none"/>
                <w:lang w:val="en-US" w:eastAsia="zh-CN"/>
              </w:rPr>
              <w:t>3.3 防汛道路工程设计</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（1）路面结构</w:t>
            </w:r>
          </w:p>
          <w:p>
            <w:pPr>
              <w:adjustRightInd w:val="0"/>
              <w:spacing w:line="360" w:lineRule="auto"/>
              <w:ind w:firstLine="480" w:firstLineChars="200"/>
              <w:rPr>
                <w:rFonts w:hint="default" w:eastAsia="仿宋_GB2312"/>
                <w:b w:val="0"/>
                <w:bCs/>
                <w:color w:val="auto"/>
                <w:sz w:val="24"/>
                <w:highlight w:val="none"/>
                <w:lang w:val="en-US" w:eastAsia="zh-CN"/>
              </w:rPr>
            </w:pPr>
            <w:r>
              <w:rPr>
                <w:rFonts w:hint="eastAsia" w:eastAsia="仿宋_GB2312"/>
                <w:b w:val="0"/>
                <w:bCs/>
                <w:color w:val="auto"/>
                <w:sz w:val="24"/>
                <w:highlight w:val="none"/>
                <w:lang w:val="en-US" w:eastAsia="zh-CN"/>
              </w:rPr>
              <w:t>本项目道路工程为沿清水河堤防路、防汛路，本项目道路采用四级公路（Ⅱ类）技术标准，设计速度为15km/h。防汛路采用单车道设计，路基宽度为5.0m，路面宽度为4.0m，具体布设为：4.0m=0.25m土路肩+3.5m行车道+0.25m土路肩，采用混凝土路面，18cm水泥混凝土面层，20cm级配砂砾底基层，总厚度38cm，其中道路桩号K0+590～K2+850段利用原有砂砾石路基。路面设计及参数见图10、11。</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（2）道路护栏</w:t>
            </w:r>
          </w:p>
          <w:p>
            <w:pPr>
              <w:adjustRightInd w:val="0"/>
              <w:spacing w:line="360" w:lineRule="auto"/>
              <w:ind w:firstLine="480" w:firstLineChars="200"/>
              <w:rPr>
                <w:rFonts w:hint="default" w:eastAsia="仿宋_GB2312"/>
                <w:b w:val="0"/>
                <w:bCs/>
                <w:color w:val="auto"/>
                <w:sz w:val="24"/>
                <w:highlight w:val="none"/>
                <w:lang w:val="en-US" w:eastAsia="zh-CN"/>
              </w:rPr>
            </w:pPr>
            <w:r>
              <w:rPr>
                <w:rFonts w:hint="eastAsia" w:eastAsia="仿宋_GB2312"/>
                <w:b w:val="0"/>
                <w:bCs/>
                <w:color w:val="auto"/>
                <w:sz w:val="24"/>
                <w:highlight w:val="none"/>
                <w:lang w:val="en-US" w:eastAsia="zh-CN"/>
              </w:rPr>
              <w:t>为保证车辆及行人安全，规划在清水河原防洪堤段、马莲渠2#～杨营段拜顶、山河桥段、九排入清水河段增加波形防护栏杆。波形栏杆主要有立柱和横梁组成，立柱基础1.5m范围内的填土密实度必须达到《公路工程技术标准》所规定的路基压实度；横梁搭接方向与行车方向一致，所有钢制构建必须进行热浸镀锌处理，总长3.15km。波形护栏设计及参数见图12。</w:t>
            </w:r>
          </w:p>
          <w:p>
            <w:pPr>
              <w:adjustRightInd w:val="0"/>
              <w:spacing w:line="360" w:lineRule="auto"/>
              <w:ind w:firstLine="480" w:firstLineChars="200"/>
              <w:rPr>
                <w:rFonts w:hint="eastAsia" w:eastAsia="仿宋_GB2312" w:cs="Times New Roman"/>
                <w:color w:val="auto"/>
                <w:sz w:val="24"/>
                <w:szCs w:val="24"/>
                <w:highlight w:val="none"/>
                <w:lang w:eastAsia="zh-CN"/>
              </w:rPr>
            </w:pP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3</w:t>
            </w:r>
            <w:r>
              <w:rPr>
                <w:rFonts w:hint="eastAsia" w:eastAsia="仿宋_GB2312" w:cs="Times New Roman"/>
                <w:color w:val="auto"/>
                <w:sz w:val="24"/>
                <w:szCs w:val="24"/>
                <w:highlight w:val="none"/>
                <w:lang w:eastAsia="zh-CN"/>
              </w:rPr>
              <w:t>）改线渠道（</w:t>
            </w:r>
            <w:r>
              <w:rPr>
                <w:rFonts w:hint="eastAsia" w:eastAsia="仿宋_GB2312" w:cs="Times New Roman"/>
                <w:color w:val="auto"/>
                <w:sz w:val="24"/>
                <w:szCs w:val="24"/>
                <w:highlight w:val="none"/>
                <w:lang w:val="en-US" w:eastAsia="zh-CN"/>
              </w:rPr>
              <w:t>D40农渠</w:t>
            </w:r>
            <w:r>
              <w:rPr>
                <w:rFonts w:hint="eastAsia" w:eastAsia="仿宋_GB2312" w:cs="Times New Roman"/>
                <w:color w:val="auto"/>
                <w:sz w:val="24"/>
                <w:szCs w:val="24"/>
                <w:highlight w:val="none"/>
                <w:lang w:eastAsia="zh-CN"/>
              </w:rPr>
              <w:t>）</w:t>
            </w:r>
          </w:p>
          <w:p>
            <w:pPr>
              <w:adjustRightInd w:val="0"/>
              <w:spacing w:line="360" w:lineRule="auto"/>
              <w:ind w:firstLine="480" w:firstLineChars="200"/>
              <w:rPr>
                <w:rFonts w:hint="default" w:eastAsia="仿宋_GB2312" w:cs="Times New Roman"/>
                <w:b w:val="0"/>
                <w:bCs/>
                <w:color w:val="auto"/>
                <w:sz w:val="24"/>
                <w:highlight w:val="none"/>
                <w:vertAlign w:val="baseline"/>
                <w:lang w:val="en-US" w:eastAsia="zh-CN"/>
              </w:rPr>
            </w:pPr>
            <w:r>
              <w:rPr>
                <w:rFonts w:hint="eastAsia" w:eastAsia="仿宋_GB2312" w:cs="Times New Roman"/>
                <w:b w:val="0"/>
                <w:bCs/>
                <w:color w:val="auto"/>
                <w:sz w:val="24"/>
                <w:highlight w:val="none"/>
                <w:vertAlign w:val="baseline"/>
                <w:lang w:val="en-US" w:eastAsia="zh-CN"/>
              </w:rPr>
              <w:t>由于本工程清水河山河桥段左侧岸坡需修整，涉及占地问题，并影响现状D40渠道对农田的正常灌溉，为保证农田正常灌溉，需对该段渠道进行改线重建，重建长度为50m，渠道尺寸维持现状（D40农渠），比降根据实地田面高程确定。</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vertAlign w:val="baseline"/>
                <w:lang w:val="en-US" w:eastAsia="zh-CN"/>
              </w:rPr>
            </w:pPr>
            <w:r>
              <w:rPr>
                <w:rFonts w:hint="eastAsia" w:eastAsia="仿宋_GB2312" w:cs="Times New Roman"/>
                <w:b w:val="0"/>
                <w:bCs/>
                <w:color w:val="auto"/>
                <w:sz w:val="24"/>
                <w:highlight w:val="none"/>
                <w:vertAlign w:val="baseline"/>
                <w:lang w:val="en-US" w:eastAsia="zh-CN"/>
              </w:rPr>
              <w:t>现状农渠采用“U”型砼板衬砌，按照《宁夏灌区支斗农渠衬砌定型图集(试用版)》要求，预制安装的U型砼板强度标号为C20，抗冻标号为F100，抗渗标号为W4，且所有U型砼板宽为40cm。渠道衬砌板缝宽5cm，缝内塞填C20细石砼，填缝前将缝内泥土、杂物清理干净，缝内填料饱满并捣实压光。预制安装的D40渠道每7.60m设一道伸缩缝，伸缩缝宽3cm，采用聚乙烯油膏填塞，预制U型板表面要光滑。弧形渠道（D40）设计及参数见图13。</w:t>
            </w:r>
          </w:p>
          <w:p>
            <w:pPr>
              <w:adjustRightInd w:val="0"/>
              <w:spacing w:line="360" w:lineRule="auto"/>
              <w:ind w:firstLine="482" w:firstLineChars="200"/>
              <w:rPr>
                <w:rFonts w:hint="default" w:ascii="Times New Roman" w:hAnsi="Times New Roman" w:eastAsia="仿宋_GB2312" w:cs="Times New Roman"/>
                <w:b/>
                <w:bCs w:val="0"/>
                <w:color w:val="auto"/>
                <w:sz w:val="24"/>
                <w:highlight w:val="none"/>
                <w:vertAlign w:val="baseline"/>
                <w:lang w:val="en-US" w:eastAsia="zh-CN"/>
              </w:rPr>
            </w:pPr>
            <w:r>
              <w:rPr>
                <w:rFonts w:hint="eastAsia" w:eastAsia="仿宋_GB2312" w:cs="Times New Roman"/>
                <w:b/>
                <w:bCs w:val="0"/>
                <w:color w:val="auto"/>
                <w:sz w:val="24"/>
                <w:highlight w:val="none"/>
                <w:vertAlign w:val="baseline"/>
                <w:lang w:val="en-US" w:eastAsia="zh-CN"/>
              </w:rPr>
              <w:t>3.4 高边坡生态修复工程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（1）整地方式</w:t>
            </w:r>
          </w:p>
          <w:p>
            <w:pPr>
              <w:adjustRightInd w:val="0"/>
              <w:spacing w:line="360" w:lineRule="auto"/>
              <w:ind w:firstLine="480" w:firstLineChars="200"/>
              <w:rPr>
                <w:rFonts w:hint="eastAsia"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①</w:t>
            </w:r>
            <w:r>
              <w:rPr>
                <w:rFonts w:hint="eastAsia" w:ascii="Times New Roman" w:hAnsi="Times New Roman" w:eastAsia="仿宋_GB2312" w:cs="Times New Roman"/>
                <w:b w:val="0"/>
                <w:bCs/>
                <w:color w:val="auto"/>
                <w:sz w:val="24"/>
                <w:highlight w:val="none"/>
                <w:lang w:val="en-US" w:eastAsia="zh-CN"/>
              </w:rPr>
              <w:t>鱼鳞坑</w:t>
            </w:r>
            <w:r>
              <w:rPr>
                <w:rFonts w:hint="default" w:ascii="Times New Roman" w:hAnsi="Times New Roman" w:eastAsia="仿宋_GB2312" w:cs="Times New Roman"/>
                <w:b w:val="0"/>
                <w:bCs/>
                <w:color w:val="auto"/>
                <w:sz w:val="24"/>
                <w:highlight w:val="none"/>
                <w:lang w:val="en-US" w:eastAsia="zh-CN"/>
              </w:rPr>
              <w:t>：边坡采用鱼鳞坑种植</w:t>
            </w:r>
            <w:r>
              <w:rPr>
                <w:rFonts w:hint="eastAsia" w:ascii="Times New Roman" w:hAnsi="Times New Roman" w:eastAsia="仿宋_GB2312" w:cs="Times New Roman"/>
                <w:b w:val="0"/>
                <w:bCs/>
                <w:color w:val="auto"/>
                <w:sz w:val="24"/>
                <w:highlight w:val="none"/>
                <w:lang w:val="en-US" w:eastAsia="zh-CN"/>
              </w:rPr>
              <w:t>。鱼鳞坑是一种水土保持造林整地方法，在较陡的梁峁坡面和支离破碎的沟坡上沿等高线自上而下的挖半月型坑，呈品字形排列，形如鱼鳞，故称鱼鳞坑。鱼鳞坑具有一定蓄水能力，在坑内栽树，可保土保水保肥。可将树植在坑中。</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eastAsia" w:ascii="Times New Roman" w:hAnsi="Times New Roman" w:eastAsia="仿宋_GB2312" w:cs="Times New Roman"/>
                <w:b w:val="0"/>
                <w:bCs/>
                <w:color w:val="auto"/>
                <w:sz w:val="24"/>
                <w:highlight w:val="none"/>
                <w:lang w:val="en-US" w:eastAsia="zh-CN"/>
              </w:rPr>
              <w:t>鱼鳞坑的作用：为减少水土流失，在山坡上挖掘有一定蓄水容量、交错排列、类似鱼鳞状的的半圆型或月牙型土坑，坑内蓄水，植树造林。鱼鳞坑断面结构见图1</w:t>
            </w:r>
            <w:r>
              <w:rPr>
                <w:rFonts w:hint="eastAsia" w:eastAsia="仿宋_GB2312" w:cs="Times New Roman"/>
                <w:b w:val="0"/>
                <w:bCs/>
                <w:color w:val="auto"/>
                <w:sz w:val="24"/>
                <w:highlight w:val="none"/>
                <w:lang w:val="en-US" w:eastAsia="zh-CN"/>
              </w:rPr>
              <w:t>4</w:t>
            </w:r>
            <w:r>
              <w:rPr>
                <w:rFonts w:hint="eastAsia" w:ascii="Times New Roman" w:hAnsi="Times New Roman" w:eastAsia="仿宋_GB2312" w:cs="Times New Roman"/>
                <w:b w:val="0"/>
                <w:bCs/>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color w:val="auto"/>
                <w:sz w:val="24"/>
                <w:highlight w:val="none"/>
                <w:lang w:val="en-US" w:eastAsia="zh-CN"/>
              </w:rPr>
            </w:pPr>
            <w:r>
              <w:rPr>
                <w:color w:val="auto"/>
                <w:highlight w:val="none"/>
              </w:rPr>
              <w:drawing>
                <wp:inline distT="0" distB="0" distL="114300" distR="114300">
                  <wp:extent cx="5027295" cy="1883410"/>
                  <wp:effectExtent l="19050" t="19050" r="20955" b="215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027295" cy="1883410"/>
                          </a:xfrm>
                          <a:prstGeom prst="rect">
                            <a:avLst/>
                          </a:prstGeom>
                          <a:noFill/>
                          <a:ln w="19050">
                            <a:solidFill>
                              <a:schemeClr val="tx1"/>
                            </a:solidFill>
                          </a:ln>
                        </pic:spPr>
                      </pic:pic>
                    </a:graphicData>
                  </a:graphic>
                </wp:inline>
              </w:drawing>
            </w:r>
          </w:p>
          <w:p>
            <w:pPr>
              <w:adjustRightInd w:val="0"/>
              <w:snapToGrid w:val="0"/>
              <w:spacing w:line="240" w:lineRule="auto"/>
              <w:jc w:val="center"/>
              <w:rPr>
                <w:rFonts w:hint="eastAsia"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val="en-US" w:eastAsia="zh-CN"/>
              </w:rPr>
              <w:t>图</w:t>
            </w:r>
            <w:r>
              <w:rPr>
                <w:rFonts w:hint="eastAsia" w:eastAsia="黑体" w:cs="Times New Roman"/>
                <w:color w:val="auto"/>
                <w:sz w:val="24"/>
                <w:highlight w:val="none"/>
                <w:lang w:val="en-US" w:eastAsia="zh-CN"/>
              </w:rPr>
              <w:t>14</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鱼鳞坑断面结构</w:t>
            </w:r>
            <w:r>
              <w:rPr>
                <w:rFonts w:hint="eastAsia" w:eastAsia="黑体" w:cs="Times New Roman"/>
                <w:color w:val="auto"/>
                <w:sz w:val="24"/>
                <w:highlight w:val="none"/>
                <w:lang w:val="en-US" w:eastAsia="zh-CN"/>
              </w:rPr>
              <w:t>示意</w:t>
            </w:r>
            <w:bookmarkStart w:id="10" w:name="_GoBack"/>
            <w:bookmarkEnd w:id="10"/>
            <w:r>
              <w:rPr>
                <w:rFonts w:hint="eastAsia" w:ascii="Times New Roman" w:hAnsi="Times New Roman" w:eastAsia="黑体" w:cs="Times New Roman"/>
                <w:color w:val="auto"/>
                <w:sz w:val="24"/>
                <w:highlight w:val="none"/>
                <w:lang w:val="en-US" w:eastAsia="zh-CN"/>
              </w:rPr>
              <w:t>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color w:val="auto"/>
                <w:sz w:val="24"/>
                <w:highlight w:val="none"/>
                <w:lang w:val="en-US" w:eastAsia="zh-CN"/>
              </w:rPr>
              <w:t>②台阶式边坡</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高边坡按照挖填基本原则，将原河道直立陡坎削坡多级台阶式边坡，边坡1:1.5-1:2，并对多级台阶进行植草防护。为减少对岸上的耕地的影响，尽</w:t>
            </w:r>
            <w:r>
              <w:rPr>
                <w:rFonts w:hint="eastAsia" w:ascii="仿宋_GB2312" w:hAnsi="仿宋_GB2312" w:eastAsia="仿宋_GB2312" w:cs="仿宋_GB2312"/>
                <w:b w:val="0"/>
                <w:bCs/>
                <w:color w:val="auto"/>
                <w:sz w:val="24"/>
                <w:highlight w:val="none"/>
                <w:lang w:val="en-US" w:eastAsia="zh-CN"/>
              </w:rPr>
              <w:t>量减少“上削”，加大“下填”。台阶式边坡断面结构见图</w:t>
            </w:r>
            <w:r>
              <w:rPr>
                <w:rFonts w:hint="eastAsia" w:ascii="Times New Roman" w:hAnsi="Times New Roman" w:eastAsia="仿宋_GB2312" w:cs="Times New Roman"/>
                <w:b w:val="0"/>
                <w:bCs/>
                <w:color w:val="auto"/>
                <w:sz w:val="24"/>
                <w:highlight w:val="none"/>
                <w:lang w:val="en-US" w:eastAsia="zh-CN"/>
              </w:rPr>
              <w:t>1</w:t>
            </w:r>
            <w:r>
              <w:rPr>
                <w:rFonts w:hint="eastAsia" w:eastAsia="仿宋_GB2312" w:cs="Times New Roman"/>
                <w:b w:val="0"/>
                <w:bCs/>
                <w:color w:val="auto"/>
                <w:sz w:val="24"/>
                <w:highlight w:val="none"/>
                <w:lang w:val="en-US" w:eastAsia="zh-CN"/>
              </w:rPr>
              <w:t>5</w:t>
            </w:r>
            <w:r>
              <w:rPr>
                <w:rFonts w:hint="eastAsia" w:ascii="Times New Roman" w:hAnsi="Times New Roman" w:eastAsia="仿宋_GB2312" w:cs="Times New Roman"/>
                <w:b w:val="0"/>
                <w:bCs/>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color w:val="auto"/>
                <w:highlight w:val="none"/>
              </w:rPr>
              <w:drawing>
                <wp:inline distT="0" distB="0" distL="114300" distR="114300">
                  <wp:extent cx="5050155" cy="3374390"/>
                  <wp:effectExtent l="19050" t="19050" r="36195" b="355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050155" cy="3374390"/>
                          </a:xfrm>
                          <a:prstGeom prst="rect">
                            <a:avLst/>
                          </a:prstGeom>
                          <a:noFill/>
                          <a:ln w="19050">
                            <a:solidFill>
                              <a:schemeClr val="tx1"/>
                            </a:solidFill>
                          </a:ln>
                        </pic:spPr>
                      </pic:pic>
                    </a:graphicData>
                  </a:graphic>
                </wp:inline>
              </w:drawing>
            </w:r>
          </w:p>
          <w:p>
            <w:pPr>
              <w:adjustRightInd w:val="0"/>
              <w:snapToGrid w:val="0"/>
              <w:spacing w:line="240" w:lineRule="auto"/>
              <w:jc w:val="center"/>
              <w:rPr>
                <w:rFonts w:hint="eastAsia"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val="en-US" w:eastAsia="zh-CN"/>
              </w:rPr>
              <w:t>图</w:t>
            </w:r>
            <w:r>
              <w:rPr>
                <w:rFonts w:hint="eastAsia" w:eastAsia="黑体" w:cs="Times New Roman"/>
                <w:color w:val="auto"/>
                <w:sz w:val="24"/>
                <w:highlight w:val="none"/>
                <w:lang w:val="en-US" w:eastAsia="zh-CN"/>
              </w:rPr>
              <w:t>15</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台阶式边坡断面结构图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（2）植被选择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高边坡植物选择：以防风故土植物为主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河北杨（</w:t>
            </w:r>
            <w:r>
              <w:rPr>
                <w:rFonts w:hint="eastAsia" w:eastAsia="仿宋_GB2312" w:cs="Times New Roman"/>
                <w:b w:val="0"/>
                <w:bCs w:val="0"/>
                <w:color w:val="auto"/>
                <w:kern w:val="2"/>
                <w:sz w:val="24"/>
                <w:szCs w:val="24"/>
                <w:highlight w:val="none"/>
                <w:lang w:val="en-US" w:eastAsia="zh-CN" w:bidi="ar-SA"/>
              </w:rPr>
              <w:t>乔</w:t>
            </w:r>
            <w:r>
              <w:rPr>
                <w:rFonts w:hint="eastAsia" w:ascii="Times New Roman" w:hAnsi="Times New Roman" w:eastAsia="仿宋_GB2312" w:cs="Times New Roman"/>
                <w:b w:val="0"/>
                <w:bCs w:val="0"/>
                <w:color w:val="auto"/>
                <w:kern w:val="2"/>
                <w:sz w:val="24"/>
                <w:szCs w:val="24"/>
                <w:highlight w:val="none"/>
                <w:lang w:val="en-US" w:eastAsia="zh-CN" w:bidi="ar-SA"/>
              </w:rPr>
              <w:t>木，高达30米，具有抗病、抗寒、抗旱、耐瘠薄的特性。株行距：3</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ascii="Times New Roman" w:hAnsi="Times New Roman" w:eastAsia="仿宋_GB2312" w:cs="Times New Roman"/>
                <w:b w:val="0"/>
                <w:bCs w:val="0"/>
                <w:color w:val="auto"/>
                <w:kern w:val="2"/>
                <w:sz w:val="24"/>
                <w:szCs w:val="24"/>
                <w:highlight w:val="none"/>
                <w:lang w:val="en-US" w:eastAsia="zh-CN" w:bidi="ar-SA"/>
              </w:rPr>
              <w:t>4米）。刺槐（本种根系浅而发达，易风倒，适应性强，为优良固沙保土树种，对二氧化硫、氯气、光化学烟雾等的抗性都较强，生长快，萌芽力强。株行距：3</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ascii="Times New Roman" w:hAnsi="Times New Roman" w:eastAsia="仿宋_GB2312" w:cs="Times New Roman"/>
                <w:b w:val="0"/>
                <w:bCs w:val="0"/>
                <w:color w:val="auto"/>
                <w:kern w:val="2"/>
                <w:sz w:val="24"/>
                <w:szCs w:val="24"/>
                <w:highlight w:val="none"/>
                <w:lang w:val="en-US" w:eastAsia="zh-CN" w:bidi="ar-SA"/>
              </w:rPr>
              <w:t>4米）。柠条（适应性很强，既耐寒又抗高温。能起到防风固沙、保持水土的作用。种植密度9株/平方米。）。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滩地平原植物选择：以耐旱耐碱植物为主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柽柳（耐高温和严寒，喜光树种，不耐遮荫。能耐烈日曝晒，耐干又耐水湿，抗风又耐碱土。种植密度9株/平方米。）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桥北侧空地植物选择：</w:t>
            </w:r>
            <w:r>
              <w:rPr>
                <w:rFonts w:hint="eastAsia" w:eastAsia="仿宋_GB2312" w:cs="Times New Roman"/>
                <w:b w:val="0"/>
                <w:bCs w:val="0"/>
                <w:color w:val="auto"/>
                <w:kern w:val="2"/>
                <w:sz w:val="24"/>
                <w:szCs w:val="24"/>
                <w:highlight w:val="none"/>
                <w:lang w:val="en-US" w:eastAsia="zh-CN" w:bidi="ar-SA"/>
              </w:rPr>
              <w:t>以</w:t>
            </w:r>
            <w:r>
              <w:rPr>
                <w:rFonts w:hint="eastAsia" w:ascii="Times New Roman" w:hAnsi="Times New Roman" w:eastAsia="仿宋_GB2312" w:cs="Times New Roman"/>
                <w:b w:val="0"/>
                <w:bCs w:val="0"/>
                <w:color w:val="auto"/>
                <w:kern w:val="2"/>
                <w:sz w:val="24"/>
                <w:szCs w:val="24"/>
                <w:highlight w:val="none"/>
                <w:lang w:val="en-US" w:eastAsia="zh-CN" w:bidi="ar-SA"/>
              </w:rPr>
              <w:t>游览节点美化种植为主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四季玫瑰（抗旱、抗寒、抗病虫害、适应性强等；花期长，花可食用和提炼精油；秋季到来时，叶、枝变为紫红色，绿化效果好。种植密度9株/平方米）。马蔺（喜阳光、稍耐阴，华北地区冬季地上茎叶枯萎。耐高温、干旱、水涝、盐碱，是一种适应性极强的地被花卉。种植密度25株/平方米）。</w:t>
            </w:r>
          </w:p>
          <w:p>
            <w:pPr>
              <w:adjustRightInd w:val="0"/>
              <w:spacing w:line="360" w:lineRule="auto"/>
              <w:ind w:firstLine="480" w:firstLineChars="200"/>
              <w:rPr>
                <w:rFonts w:hint="default" w:eastAsia="仿宋_GB2312" w:cs="Times New Roman"/>
                <w:b w:val="0"/>
                <w:bCs/>
                <w:i w:val="0"/>
                <w:iCs w:val="0"/>
                <w:color w:val="auto"/>
                <w:sz w:val="24"/>
                <w:highlight w:val="none"/>
                <w:vertAlign w:val="baseline"/>
                <w:lang w:val="en-US" w:eastAsia="zh-CN"/>
              </w:rPr>
            </w:pPr>
            <w:r>
              <w:rPr>
                <w:rFonts w:hint="eastAsia" w:eastAsia="仿宋_GB2312" w:cs="Times New Roman"/>
                <w:b w:val="0"/>
                <w:bCs/>
                <w:i w:val="0"/>
                <w:iCs w:val="0"/>
                <w:color w:val="auto"/>
                <w:sz w:val="24"/>
                <w:highlight w:val="none"/>
                <w:vertAlign w:val="baseline"/>
                <w:lang w:val="en-US" w:eastAsia="zh-CN"/>
              </w:rPr>
              <w:t>本项目边坡规划种植植物见图16。</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2668"/>
              <w:gridCol w:w="26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668" w:type="dxa"/>
                  <w:tcBorders>
                    <w:tl2br w:val="nil"/>
                    <w:tr2bl w:val="nil"/>
                  </w:tcBorders>
                  <w:vAlign w:val="top"/>
                </w:tcPr>
                <w:p>
                  <w:pPr>
                    <w:adjustRightInd w:val="0"/>
                    <w:snapToGrid w:val="0"/>
                    <w:spacing w:line="240" w:lineRule="auto"/>
                    <w:jc w:val="center"/>
                    <w:rPr>
                      <w:rFonts w:hint="default" w:ascii="Times New Roman" w:hAnsi="Times New Roman" w:eastAsia="黑体" w:cs="Times New Roman"/>
                      <w:color w:val="auto"/>
                      <w:sz w:val="24"/>
                      <w:highlight w:val="none"/>
                      <w:vertAlign w:val="baseline"/>
                      <w:lang w:val="en-US" w:eastAsia="zh-CN"/>
                    </w:rPr>
                  </w:pPr>
                  <w:r>
                    <w:rPr>
                      <w:color w:val="auto"/>
                      <w:highlight w:val="none"/>
                    </w:rPr>
                    <w:drawing>
                      <wp:inline distT="0" distB="0" distL="114300" distR="114300">
                        <wp:extent cx="1678940" cy="1830705"/>
                        <wp:effectExtent l="0" t="0" r="16510" b="171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1678940" cy="1830705"/>
                                </a:xfrm>
                                <a:prstGeom prst="rect">
                                  <a:avLst/>
                                </a:prstGeom>
                                <a:noFill/>
                                <a:ln>
                                  <a:noFill/>
                                </a:ln>
                              </pic:spPr>
                            </pic:pic>
                          </a:graphicData>
                        </a:graphic>
                      </wp:inline>
                    </w:drawing>
                  </w:r>
                </w:p>
              </w:tc>
              <w:tc>
                <w:tcPr>
                  <w:tcW w:w="2668" w:type="dxa"/>
                  <w:tcBorders>
                    <w:tl2br w:val="nil"/>
                    <w:tr2bl w:val="nil"/>
                  </w:tcBorders>
                  <w:vAlign w:val="top"/>
                </w:tcPr>
                <w:p>
                  <w:pPr>
                    <w:adjustRightInd w:val="0"/>
                    <w:snapToGrid w:val="0"/>
                    <w:spacing w:line="240" w:lineRule="auto"/>
                    <w:jc w:val="center"/>
                    <w:rPr>
                      <w:rFonts w:hint="default" w:ascii="Times New Roman" w:hAnsi="Times New Roman" w:eastAsia="黑体" w:cs="Times New Roman"/>
                      <w:color w:val="auto"/>
                      <w:sz w:val="24"/>
                      <w:highlight w:val="none"/>
                      <w:vertAlign w:val="baseline"/>
                      <w:lang w:val="en-US" w:eastAsia="zh-CN"/>
                    </w:rPr>
                  </w:pPr>
                  <w:r>
                    <w:rPr>
                      <w:color w:val="auto"/>
                      <w:highlight w:val="none"/>
                    </w:rPr>
                    <w:drawing>
                      <wp:inline distT="0" distB="0" distL="114300" distR="114300">
                        <wp:extent cx="1699260" cy="1844040"/>
                        <wp:effectExtent l="0" t="0" r="1524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1699260" cy="1844040"/>
                                </a:xfrm>
                                <a:prstGeom prst="rect">
                                  <a:avLst/>
                                </a:prstGeom>
                                <a:noFill/>
                                <a:ln>
                                  <a:noFill/>
                                </a:ln>
                              </pic:spPr>
                            </pic:pic>
                          </a:graphicData>
                        </a:graphic>
                      </wp:inline>
                    </w:drawing>
                  </w:r>
                </w:p>
              </w:tc>
              <w:tc>
                <w:tcPr>
                  <w:tcW w:w="2668" w:type="dxa"/>
                  <w:tcBorders>
                    <w:tl2br w:val="nil"/>
                    <w:tr2bl w:val="nil"/>
                  </w:tcBorders>
                  <w:vAlign w:val="top"/>
                </w:tcPr>
                <w:p>
                  <w:pPr>
                    <w:adjustRightInd w:val="0"/>
                    <w:snapToGrid w:val="0"/>
                    <w:spacing w:line="240" w:lineRule="auto"/>
                    <w:jc w:val="center"/>
                    <w:rPr>
                      <w:rFonts w:hint="default" w:ascii="Times New Roman" w:hAnsi="Times New Roman" w:eastAsia="黑体" w:cs="Times New Roman"/>
                      <w:color w:val="auto"/>
                      <w:sz w:val="24"/>
                      <w:highlight w:val="none"/>
                      <w:vertAlign w:val="baseline"/>
                      <w:lang w:val="en-US" w:eastAsia="zh-CN"/>
                    </w:rPr>
                  </w:pPr>
                  <w:r>
                    <w:rPr>
                      <w:color w:val="auto"/>
                      <w:highlight w:val="none"/>
                    </w:rPr>
                    <w:drawing>
                      <wp:inline distT="0" distB="0" distL="114300" distR="114300">
                        <wp:extent cx="1609090" cy="1838960"/>
                        <wp:effectExtent l="0" t="0" r="10160"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1609090" cy="183896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8" w:type="dxa"/>
                  <w:tcBorders>
                    <w:tl2br w:val="nil"/>
                    <w:tr2bl w:val="nil"/>
                  </w:tcBorders>
                  <w:vAlign w:val="top"/>
                </w:tcPr>
                <w:p>
                  <w:pPr>
                    <w:adjustRightInd w:val="0"/>
                    <w:snapToGrid w:val="0"/>
                    <w:spacing w:line="240" w:lineRule="auto"/>
                    <w:jc w:val="center"/>
                    <w:rPr>
                      <w:rFonts w:hint="default" w:ascii="Times New Roman" w:hAnsi="Times New Roman" w:eastAsia="黑体" w:cs="Times New Roman"/>
                      <w:color w:val="auto"/>
                      <w:sz w:val="24"/>
                      <w:highlight w:val="none"/>
                      <w:vertAlign w:val="baseline"/>
                      <w:lang w:val="en-US" w:eastAsia="zh-CN"/>
                    </w:rPr>
                  </w:pPr>
                  <w:r>
                    <w:rPr>
                      <w:color w:val="auto"/>
                      <w:highlight w:val="none"/>
                    </w:rPr>
                    <w:drawing>
                      <wp:inline distT="0" distB="0" distL="114300" distR="114300">
                        <wp:extent cx="1632585" cy="1139190"/>
                        <wp:effectExtent l="0" t="0" r="5715" b="381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stretch>
                                  <a:fillRect/>
                                </a:stretch>
                              </pic:blipFill>
                              <pic:spPr>
                                <a:xfrm>
                                  <a:off x="0" y="0"/>
                                  <a:ext cx="1632585" cy="1139190"/>
                                </a:xfrm>
                                <a:prstGeom prst="rect">
                                  <a:avLst/>
                                </a:prstGeom>
                                <a:noFill/>
                                <a:ln>
                                  <a:noFill/>
                                </a:ln>
                              </pic:spPr>
                            </pic:pic>
                          </a:graphicData>
                        </a:graphic>
                      </wp:inline>
                    </w:drawing>
                  </w:r>
                </w:p>
              </w:tc>
              <w:tc>
                <w:tcPr>
                  <w:tcW w:w="2668" w:type="dxa"/>
                  <w:tcBorders>
                    <w:tl2br w:val="nil"/>
                    <w:tr2bl w:val="nil"/>
                  </w:tcBorders>
                  <w:vAlign w:val="top"/>
                </w:tcPr>
                <w:p>
                  <w:pPr>
                    <w:adjustRightInd w:val="0"/>
                    <w:snapToGrid w:val="0"/>
                    <w:spacing w:line="240" w:lineRule="auto"/>
                    <w:jc w:val="center"/>
                    <w:rPr>
                      <w:rFonts w:hint="default" w:ascii="Times New Roman" w:hAnsi="Times New Roman" w:eastAsia="黑体" w:cs="Times New Roman"/>
                      <w:color w:val="auto"/>
                      <w:sz w:val="24"/>
                      <w:highlight w:val="none"/>
                      <w:vertAlign w:val="baseline"/>
                      <w:lang w:val="en-US" w:eastAsia="zh-CN"/>
                    </w:rPr>
                  </w:pPr>
                  <w:r>
                    <w:rPr>
                      <w:color w:val="auto"/>
                      <w:highlight w:val="none"/>
                    </w:rPr>
                    <w:drawing>
                      <wp:inline distT="0" distB="0" distL="114300" distR="114300">
                        <wp:extent cx="1661160" cy="1143635"/>
                        <wp:effectExtent l="0" t="0" r="15240" b="184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6"/>
                                <a:stretch>
                                  <a:fillRect/>
                                </a:stretch>
                              </pic:blipFill>
                              <pic:spPr>
                                <a:xfrm>
                                  <a:off x="0" y="0"/>
                                  <a:ext cx="1661160" cy="1143635"/>
                                </a:xfrm>
                                <a:prstGeom prst="rect">
                                  <a:avLst/>
                                </a:prstGeom>
                                <a:noFill/>
                                <a:ln>
                                  <a:noFill/>
                                </a:ln>
                              </pic:spPr>
                            </pic:pic>
                          </a:graphicData>
                        </a:graphic>
                      </wp:inline>
                    </w:drawing>
                  </w:r>
                </w:p>
              </w:tc>
              <w:tc>
                <w:tcPr>
                  <w:tcW w:w="2668" w:type="dxa"/>
                  <w:tcBorders>
                    <w:tl2br w:val="nil"/>
                    <w:tr2bl w:val="nil"/>
                  </w:tcBorders>
                  <w:vAlign w:val="top"/>
                </w:tcPr>
                <w:p>
                  <w:pPr>
                    <w:adjustRightInd w:val="0"/>
                    <w:snapToGrid w:val="0"/>
                    <w:spacing w:line="240" w:lineRule="auto"/>
                    <w:jc w:val="center"/>
                    <w:rPr>
                      <w:rFonts w:hint="default" w:ascii="Times New Roman" w:hAnsi="Times New Roman" w:eastAsia="黑体" w:cs="Times New Roman"/>
                      <w:color w:val="auto"/>
                      <w:sz w:val="24"/>
                      <w:highlight w:val="none"/>
                      <w:vertAlign w:val="baseline"/>
                      <w:lang w:val="en-US" w:eastAsia="zh-CN"/>
                    </w:rPr>
                  </w:pPr>
                  <w:r>
                    <w:rPr>
                      <w:color w:val="auto"/>
                      <w:highlight w:val="none"/>
                    </w:rPr>
                    <w:drawing>
                      <wp:inline distT="0" distB="0" distL="114300" distR="114300">
                        <wp:extent cx="1612900" cy="1161415"/>
                        <wp:effectExtent l="0" t="0" r="6350" b="63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7"/>
                                <a:stretch>
                                  <a:fillRect/>
                                </a:stretch>
                              </pic:blipFill>
                              <pic:spPr>
                                <a:xfrm>
                                  <a:off x="0" y="0"/>
                                  <a:ext cx="1612900" cy="1161415"/>
                                </a:xfrm>
                                <a:prstGeom prst="rect">
                                  <a:avLst/>
                                </a:prstGeom>
                                <a:noFill/>
                                <a:ln>
                                  <a:noFill/>
                                </a:ln>
                              </pic:spPr>
                            </pic:pic>
                          </a:graphicData>
                        </a:graphic>
                      </wp:inline>
                    </w:drawing>
                  </w:r>
                </w:p>
              </w:tc>
            </w:tr>
          </w:tbl>
          <w:p>
            <w:pPr>
              <w:adjustRightInd w:val="0"/>
              <w:snapToGrid w:val="0"/>
              <w:spacing w:line="240" w:lineRule="auto"/>
              <w:jc w:val="center"/>
              <w:rPr>
                <w:rFonts w:hint="eastAsia"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val="en-US" w:eastAsia="zh-CN"/>
              </w:rPr>
              <w:t>图</w:t>
            </w:r>
            <w:r>
              <w:rPr>
                <w:rFonts w:hint="eastAsia" w:eastAsia="黑体" w:cs="Times New Roman"/>
                <w:color w:val="auto"/>
                <w:sz w:val="24"/>
                <w:highlight w:val="none"/>
                <w:lang w:val="en-US" w:eastAsia="zh-CN"/>
              </w:rPr>
              <w:t>16</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高边坡规划种植植物图</w:t>
            </w:r>
          </w:p>
          <w:p>
            <w:pPr>
              <w:adjustRightInd w:val="0"/>
              <w:spacing w:line="360" w:lineRule="auto"/>
              <w:ind w:firstLine="482" w:firstLineChars="200"/>
              <w:rPr>
                <w:rFonts w:hint="eastAsia" w:eastAsia="仿宋_GB2312" w:cs="Times New Roman"/>
                <w:b w:val="0"/>
                <w:bCs/>
                <w:color w:val="auto"/>
                <w:sz w:val="24"/>
                <w:highlight w:val="none"/>
                <w:vertAlign w:val="baseline"/>
                <w:lang w:val="en-US" w:eastAsia="zh-CN"/>
              </w:rPr>
            </w:pPr>
            <w:r>
              <w:rPr>
                <w:rFonts w:hint="eastAsia" w:eastAsia="仿宋_GB2312" w:cs="Times New Roman"/>
                <w:b/>
                <w:bCs w:val="0"/>
                <w:color w:val="auto"/>
                <w:sz w:val="24"/>
                <w:highlight w:val="none"/>
                <w:vertAlign w:val="baseline"/>
                <w:lang w:val="en-US" w:eastAsia="zh-CN"/>
              </w:rPr>
              <w:t>4、</w:t>
            </w:r>
            <w:r>
              <w:rPr>
                <w:rFonts w:hint="eastAsia" w:eastAsia="仿宋_GB2312" w:cs="Times New Roman"/>
                <w:b/>
                <w:bCs w:val="0"/>
                <w:color w:val="auto"/>
                <w:kern w:val="2"/>
                <w:sz w:val="24"/>
                <w:szCs w:val="24"/>
                <w:highlight w:val="none"/>
                <w:lang w:val="en-US" w:eastAsia="zh-CN" w:bidi="ar-SA"/>
              </w:rPr>
              <w:t>主要工程量</w:t>
            </w:r>
          </w:p>
          <w:p>
            <w:pPr>
              <w:adjustRightInd w:val="0"/>
              <w:spacing w:line="360" w:lineRule="auto"/>
              <w:ind w:firstLine="480" w:firstLineChars="200"/>
              <w:rPr>
                <w:rFonts w:hint="default" w:eastAsia="仿宋_GB2312" w:cs="Times New Roman"/>
                <w:b w:val="0"/>
                <w:bCs/>
                <w:color w:val="auto"/>
                <w:sz w:val="24"/>
                <w:highlight w:val="none"/>
                <w:vertAlign w:val="baseline"/>
                <w:lang w:val="en-US" w:eastAsia="zh-CN"/>
              </w:rPr>
            </w:pPr>
            <w:r>
              <w:rPr>
                <w:rFonts w:hint="eastAsia" w:eastAsia="仿宋_GB2312" w:cs="Times New Roman"/>
                <w:b w:val="0"/>
                <w:bCs/>
                <w:color w:val="auto"/>
                <w:sz w:val="24"/>
                <w:highlight w:val="none"/>
                <w:vertAlign w:val="baseline"/>
                <w:lang w:val="en-US" w:eastAsia="zh-CN"/>
              </w:rPr>
              <w:t>本项目主要工程量见表5。</w:t>
            </w:r>
          </w:p>
          <w:p>
            <w:pPr>
              <w:pStyle w:val="9"/>
              <w:adjustRightInd w:val="0"/>
              <w:spacing w:before="0" w:after="0" w:line="240" w:lineRule="auto"/>
              <w:ind w:right="0" w:firstLine="480" w:firstLineChars="200"/>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w:t>
            </w:r>
            <w:r>
              <w:rPr>
                <w:rFonts w:hint="eastAsia" w:eastAsia="黑体" w:cs="Times New Roman"/>
                <w:color w:val="auto"/>
                <w:kern w:val="2"/>
                <w:sz w:val="24"/>
                <w:szCs w:val="24"/>
                <w:highlight w:val="none"/>
                <w:lang w:val="en-US" w:eastAsia="zh-CN" w:bidi="ar-SA"/>
              </w:rPr>
              <w:t>5</w:t>
            </w:r>
            <w:r>
              <w:rPr>
                <w:rFonts w:hint="eastAsia" w:ascii="Times New Roman" w:hAnsi="Times New Roman" w:eastAsia="黑体" w:cs="Times New Roman"/>
                <w:color w:val="auto"/>
                <w:kern w:val="2"/>
                <w:sz w:val="24"/>
                <w:szCs w:val="24"/>
                <w:highlight w:val="none"/>
                <w:lang w:val="en-US" w:eastAsia="zh-CN" w:bidi="ar-SA"/>
              </w:rPr>
              <w:t xml:space="preserve">                   工程量清单</w:t>
            </w:r>
          </w:p>
          <w:tbl>
            <w:tblPr>
              <w:tblStyle w:val="25"/>
              <w:tblW w:w="79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4835"/>
              <w:gridCol w:w="1170"/>
              <w:gridCol w:w="1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top"/>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4835" w:type="dxa"/>
                  <w:tcBorders>
                    <w:tl2br w:val="nil"/>
                    <w:tr2bl w:val="nil"/>
                  </w:tcBorders>
                  <w:vAlign w:val="top"/>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工程名称</w:t>
                  </w:r>
                </w:p>
              </w:tc>
              <w:tc>
                <w:tcPr>
                  <w:tcW w:w="1170" w:type="dxa"/>
                  <w:tcBorders>
                    <w:tl2br w:val="nil"/>
                    <w:tr2bl w:val="nil"/>
                  </w:tcBorders>
                  <w:vAlign w:val="top"/>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单位</w:t>
                  </w:r>
                </w:p>
              </w:tc>
              <w:tc>
                <w:tcPr>
                  <w:tcW w:w="1155" w:type="dxa"/>
                  <w:tcBorders>
                    <w:tl2br w:val="nil"/>
                    <w:tr2bl w:val="nil"/>
                  </w:tcBorders>
                  <w:vAlign w:val="top"/>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一</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高边坡治理工程</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1</w:t>
                  </w: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土方工程</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土方开挖</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8366.51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土方回填</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superscript"/>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32147.85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清基（3cm）厚</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5177.10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平面种植土回填（运输、铺设）运距5</w:t>
                  </w:r>
                  <w:r>
                    <w:rPr>
                      <w:rFonts w:hint="eastAsia" w:cs="Times New Roman"/>
                      <w:color w:val="auto"/>
                      <w:sz w:val="21"/>
                      <w:szCs w:val="21"/>
                      <w:highlight w:val="none"/>
                      <w:vertAlign w:val="baseline"/>
                      <w:lang w:val="en-US" w:eastAsia="zh-CN"/>
                    </w:rPr>
                    <w:t>k</w:t>
                  </w:r>
                  <w:r>
                    <w:rPr>
                      <w:rFonts w:hint="default" w:ascii="Times New Roman" w:hAnsi="Times New Roman" w:eastAsia="宋体" w:cs="Times New Roman"/>
                      <w:color w:val="auto"/>
                      <w:sz w:val="21"/>
                      <w:szCs w:val="21"/>
                      <w:highlight w:val="none"/>
                      <w:vertAlign w:val="baseline"/>
                      <w:lang w:val="en-US" w:eastAsia="zh-CN"/>
                    </w:rPr>
                    <w:t>m</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4130.00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坡</w:t>
                  </w:r>
                  <w:r>
                    <w:rPr>
                      <w:rFonts w:hint="default" w:ascii="Times New Roman" w:hAnsi="Times New Roman" w:eastAsia="宋体" w:cs="Times New Roman"/>
                      <w:color w:val="auto"/>
                      <w:sz w:val="21"/>
                      <w:szCs w:val="21"/>
                      <w:highlight w:val="none"/>
                      <w:vertAlign w:val="baseline"/>
                      <w:lang w:val="en-US" w:eastAsia="zh-CN"/>
                    </w:rPr>
                    <w:t>面种植土回填（运输、铺设）运距5</w:t>
                  </w:r>
                  <w:r>
                    <w:rPr>
                      <w:rFonts w:hint="eastAsia" w:cs="Times New Roman"/>
                      <w:color w:val="auto"/>
                      <w:sz w:val="21"/>
                      <w:szCs w:val="21"/>
                      <w:highlight w:val="none"/>
                      <w:vertAlign w:val="baseline"/>
                      <w:lang w:val="en-US" w:eastAsia="zh-CN"/>
                    </w:rPr>
                    <w:t>k</w:t>
                  </w:r>
                  <w:r>
                    <w:rPr>
                      <w:rFonts w:hint="default" w:ascii="Times New Roman" w:hAnsi="Times New Roman" w:eastAsia="宋体" w:cs="Times New Roman"/>
                      <w:color w:val="auto"/>
                      <w:sz w:val="21"/>
                      <w:szCs w:val="21"/>
                      <w:highlight w:val="none"/>
                      <w:vertAlign w:val="baseline"/>
                      <w:lang w:val="en-US" w:eastAsia="zh-CN"/>
                    </w:rPr>
                    <w:t>m</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7487.50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2</w:t>
                  </w: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高边坡坡脚防护工程</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2.1</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挡墙</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superscript"/>
                      <w:lang w:val="en-US" w:eastAsia="zh-CN"/>
                    </w:rPr>
                  </w:pPr>
                  <w:r>
                    <w:rPr>
                      <w:rFonts w:hint="default" w:ascii="Times New Roman" w:hAnsi="Times New Roman" w:cs="Times New Roman"/>
                      <w:b/>
                      <w:bCs/>
                      <w:color w:val="auto"/>
                      <w:sz w:val="21"/>
                      <w:szCs w:val="21"/>
                      <w:highlight w:val="none"/>
                      <w:vertAlign w:val="baseline"/>
                      <w:lang w:val="en-US" w:eastAsia="zh-CN"/>
                    </w:rPr>
                    <w:t>m</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基础土方开挖</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1375.00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基础土方回填</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687.50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格宾网箱</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1181.25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土工布（250g/m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67"/>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1278.75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2.2</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护脚</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格宾</w:t>
                  </w:r>
                  <w:r>
                    <w:rPr>
                      <w:rFonts w:hint="eastAsia" w:cs="Times New Roman"/>
                      <w:color w:val="auto"/>
                      <w:sz w:val="21"/>
                      <w:szCs w:val="21"/>
                      <w:highlight w:val="none"/>
                      <w:vertAlign w:val="baseline"/>
                      <w:lang w:val="en-US" w:eastAsia="zh-CN"/>
                    </w:rPr>
                    <w:t>石笼</w:t>
                  </w:r>
                  <w:r>
                    <w:rPr>
                      <w:rFonts w:hint="eastAsia" w:ascii="Times New Roman" w:hAnsi="Times New Roman" w:cs="Times New Roman"/>
                      <w:color w:val="auto"/>
                      <w:sz w:val="21"/>
                      <w:szCs w:val="21"/>
                      <w:highlight w:val="none"/>
                      <w:vertAlign w:val="baseline"/>
                      <w:lang w:val="en-US" w:eastAsia="zh-CN"/>
                    </w:rPr>
                    <w:t>护脚</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262.50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格栅</w:t>
                  </w:r>
                  <w:r>
                    <w:rPr>
                      <w:rFonts w:hint="eastAsia" w:cs="Times New Roman"/>
                      <w:color w:val="auto"/>
                      <w:sz w:val="21"/>
                      <w:szCs w:val="21"/>
                      <w:highlight w:val="none"/>
                      <w:vertAlign w:val="baseline"/>
                      <w:lang w:val="en-US" w:eastAsia="zh-CN"/>
                    </w:rPr>
                    <w:t>石笼</w:t>
                  </w:r>
                  <w:r>
                    <w:rPr>
                      <w:rFonts w:hint="eastAsia" w:ascii="Times New Roman" w:hAnsi="Times New Roman" w:cs="Times New Roman"/>
                      <w:color w:val="auto"/>
                      <w:sz w:val="21"/>
                      <w:szCs w:val="21"/>
                      <w:highlight w:val="none"/>
                      <w:vertAlign w:val="baseline"/>
                      <w:lang w:val="en-US" w:eastAsia="zh-CN"/>
                    </w:rPr>
                    <w:t>护脚</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328.13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2.3</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基础</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格宾网箱基础</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3</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苗木工程</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刺槐 </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 xml:space="preserve">树高≥2.5 </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D:4.1-5</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株</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河北杨 </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 xml:space="preserve">树高≥2.5 </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D:4.1-5</w:t>
                  </w:r>
                </w:p>
              </w:tc>
              <w:tc>
                <w:tcPr>
                  <w:tcW w:w="1170" w:type="dxa"/>
                  <w:tcBorders>
                    <w:tl2br w:val="nil"/>
                    <w:tr2bl w:val="nil"/>
                  </w:tcBorders>
                  <w:vAlign w:val="center"/>
                </w:tcPr>
                <w:p>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株</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柽柳</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 xml:space="preserve"> 三年生 </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9株/m</w:t>
                  </w:r>
                  <w:r>
                    <w:rPr>
                      <w:rFonts w:hint="eastAsia" w:cs="Times New Roman"/>
                      <w:color w:val="auto"/>
                      <w:sz w:val="21"/>
                      <w:szCs w:val="21"/>
                      <w:highlight w:val="none"/>
                      <w:vertAlign w:val="superscript"/>
                      <w:lang w:val="en-US" w:eastAsia="zh-CN"/>
                    </w:rPr>
                    <w:t>2</w:t>
                  </w:r>
                </w:p>
              </w:tc>
              <w:tc>
                <w:tcPr>
                  <w:tcW w:w="1170" w:type="dxa"/>
                  <w:tcBorders>
                    <w:tl2br w:val="nil"/>
                    <w:tr2bl w:val="nil"/>
                  </w:tcBorders>
                  <w:vAlign w:val="center"/>
                </w:tcPr>
                <w:p>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株</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50940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柠条</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 xml:space="preserve"> 树高≥0.8</w:t>
                  </w:r>
                  <w:r>
                    <w:rPr>
                      <w:rFonts w:hint="default" w:ascii="Times New Roman" w:hAnsi="Times New Roman"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 xml:space="preserve"> d≥0.5</w:t>
                  </w:r>
                  <w:r>
                    <w:rPr>
                      <w:rFonts w:hint="default" w:ascii="Times New Roman" w:hAnsi="Times New Roman"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9株/m</w:t>
                  </w:r>
                  <w:r>
                    <w:rPr>
                      <w:rFonts w:hint="eastAsia" w:cs="Times New Roman"/>
                      <w:color w:val="auto"/>
                      <w:sz w:val="21"/>
                      <w:szCs w:val="21"/>
                      <w:highlight w:val="none"/>
                      <w:vertAlign w:val="superscript"/>
                      <w:lang w:val="en-US" w:eastAsia="zh-CN"/>
                    </w:rPr>
                    <w:t>2</w:t>
                  </w:r>
                </w:p>
              </w:tc>
              <w:tc>
                <w:tcPr>
                  <w:tcW w:w="1170" w:type="dxa"/>
                  <w:tcBorders>
                    <w:tl2br w:val="nil"/>
                    <w:tr2bl w:val="nil"/>
                  </w:tcBorders>
                  <w:vAlign w:val="center"/>
                </w:tcPr>
                <w:p>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株</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134775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四季玫瑰 </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高度≥0.6</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 xml:space="preserve"> 冠幅≥0.2 </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分枝数6-9</w:t>
                  </w:r>
                </w:p>
              </w:tc>
              <w:tc>
                <w:tcPr>
                  <w:tcW w:w="1170" w:type="dxa"/>
                  <w:tcBorders>
                    <w:tl2br w:val="nil"/>
                    <w:tr2bl w:val="nil"/>
                  </w:tcBorders>
                  <w:vAlign w:val="center"/>
                </w:tcPr>
                <w:p>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株</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2322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马蔺 </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t>营养袋苗</w:t>
                  </w:r>
                </w:p>
              </w:tc>
              <w:tc>
                <w:tcPr>
                  <w:tcW w:w="1170" w:type="dxa"/>
                  <w:tcBorders>
                    <w:tl2br w:val="nil"/>
                    <w:tr2bl w:val="nil"/>
                  </w:tcBorders>
                  <w:vAlign w:val="center"/>
                </w:tcPr>
                <w:p>
                  <w:pPr>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株</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鱼鳞坑</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个</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二</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防汛路工程</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km</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1</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混凝土路面硬化</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2852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18cmC25厚水泥混凝土面层</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10481.10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20cm级配砂砾基层</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2797.20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C25砼梯形路缘石（495</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465</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200cm）</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5989.20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路床整形碾压</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11978.40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路面防滑钢筋</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t</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路面切缝</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缝深5cm</w:t>
                  </w:r>
                  <w:r>
                    <w:rPr>
                      <w:rFonts w:hint="eastAsia" w:cs="Times New Roman"/>
                      <w:color w:val="auto"/>
                      <w:sz w:val="21"/>
                      <w:szCs w:val="21"/>
                      <w:highlight w:val="none"/>
                      <w:vertAlign w:val="baseline"/>
                      <w:lang w:val="en-US" w:eastAsia="zh-CN"/>
                    </w:rPr>
                    <w:t>）</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1109.11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2</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巡河步道，宽度1.5m</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m</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表层清基</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698.25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土方开挖</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367.50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土方回填</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275.63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双丙聚氨酯密封处理</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551.25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30mmC25彩色强固混凝土（6mm粒径）</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551.25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150mmC25砼路面</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551.25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30cm级配碎石垫层</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698.25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素土夯实</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698.25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芝麻白花岗岩道牙（600</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250</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100）</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735.00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C20砼垫层</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3</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单波护栏</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m</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3150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4</w:t>
                  </w:r>
                </w:p>
              </w:tc>
              <w:tc>
                <w:tcPr>
                  <w:tcW w:w="483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D40渠道</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m</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130.00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土方开挖</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土方回填</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28.61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C20砼U型渠道砌护（0.17板缝比）</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聚乙烯油膏</w:t>
                  </w:r>
                </w:p>
              </w:tc>
              <w:tc>
                <w:tcPr>
                  <w:tcW w:w="1170" w:type="dxa"/>
                  <w:tcBorders>
                    <w:tl2br w:val="nil"/>
                    <w:tr2bl w:val="nil"/>
                  </w:tcBorders>
                  <w:vAlign w:val="center"/>
                </w:tcPr>
                <w:p>
                  <w:pPr>
                    <w:pStyle w:val="1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人工修整边坡</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2</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214.50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4835"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旧砼板拆除及外运</w:t>
                  </w:r>
                </w:p>
              </w:tc>
              <w:tc>
                <w:tcPr>
                  <w:tcW w:w="1170" w:type="dxa"/>
                  <w:tcBorders>
                    <w:tl2br w:val="nil"/>
                    <w:tr2bl w:val="nil"/>
                  </w:tcBorders>
                  <w:vAlign w:val="center"/>
                </w:tcPr>
                <w:p>
                  <w:pPr>
                    <w:pStyle w:val="6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p>
              </w:tc>
              <w:tc>
                <w:tcPr>
                  <w:tcW w:w="1155" w:type="dxa"/>
                  <w:tcBorders>
                    <w:tl2br w:val="nil"/>
                    <w:tr2bl w:val="nil"/>
                  </w:tcBorders>
                  <w:vAlign w:val="center"/>
                </w:tcPr>
                <w:p>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9.37</w:t>
                  </w:r>
                </w:p>
              </w:tc>
            </w:tr>
          </w:tbl>
          <w:p>
            <w:pPr>
              <w:adjustRightInd w:val="0"/>
              <w:spacing w:line="360" w:lineRule="auto"/>
              <w:ind w:firstLine="482" w:firstLineChars="200"/>
              <w:rPr>
                <w:rFonts w:hint="default" w:ascii="Times New Roman" w:hAnsi="Times New Roman" w:eastAsia="仿宋_GB2312" w:cs="Times New Roman"/>
                <w:b w:val="0"/>
                <w:bCs/>
                <w:color w:val="auto"/>
                <w:sz w:val="24"/>
                <w:highlight w:val="none"/>
                <w:vertAlign w:val="baseline"/>
                <w:lang w:val="en-US" w:eastAsia="zh-CN"/>
              </w:rPr>
            </w:pPr>
            <w:r>
              <w:rPr>
                <w:rFonts w:hint="eastAsia" w:eastAsia="仿宋_GB2312" w:cs="Times New Roman"/>
                <w:b/>
                <w:bCs w:val="0"/>
                <w:color w:val="auto"/>
                <w:sz w:val="24"/>
                <w:highlight w:val="none"/>
                <w:vertAlign w:val="baseline"/>
                <w:lang w:val="en-US" w:eastAsia="zh-CN"/>
              </w:rPr>
              <w:t>5、</w:t>
            </w:r>
            <w:r>
              <w:rPr>
                <w:rFonts w:hint="eastAsia" w:eastAsia="仿宋_GB2312" w:cs="Times New Roman"/>
                <w:b/>
                <w:bCs w:val="0"/>
                <w:color w:val="auto"/>
                <w:kern w:val="2"/>
                <w:sz w:val="24"/>
                <w:szCs w:val="24"/>
                <w:highlight w:val="none"/>
                <w:lang w:val="en-US" w:eastAsia="zh-CN" w:bidi="ar-SA"/>
              </w:rPr>
              <w:t>主要施工设备</w:t>
            </w:r>
          </w:p>
          <w:p>
            <w:pPr>
              <w:pStyle w:val="9"/>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sz w:val="24"/>
                <w:szCs w:val="24"/>
                <w:highlight w:val="none"/>
                <w:lang w:val="en-US" w:eastAsia="zh-CN"/>
              </w:rPr>
              <w:t>本项目主要设备为施工期间所用施工车辆以及施工机械设备，施工车辆全部停放在临时施工区内，施工机械设备全部存放在临时施工区内搭建的临时仓库内。具体设备一览表见表</w:t>
            </w:r>
            <w:r>
              <w:rPr>
                <w:rFonts w:hint="eastAsia" w:eastAsia="仿宋_GB2312" w:cs="Times New Roman"/>
                <w:b w:val="0"/>
                <w:bCs w:val="0"/>
                <w:color w:val="auto"/>
                <w:sz w:val="24"/>
                <w:szCs w:val="24"/>
                <w:highlight w:val="none"/>
                <w:lang w:val="en-US" w:eastAsia="zh-CN"/>
              </w:rPr>
              <w:t>6</w:t>
            </w:r>
          </w:p>
          <w:p>
            <w:pPr>
              <w:pStyle w:val="9"/>
              <w:adjustRightInd w:val="0"/>
              <w:spacing w:before="0" w:after="0" w:line="240" w:lineRule="auto"/>
              <w:ind w:right="0" w:firstLine="480" w:firstLineChars="200"/>
              <w:rPr>
                <w:rFonts w:hint="eastAsia"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w:t>
            </w:r>
            <w:r>
              <w:rPr>
                <w:rFonts w:hint="eastAsia" w:eastAsia="黑体" w:cs="Times New Roman"/>
                <w:color w:val="auto"/>
                <w:kern w:val="2"/>
                <w:sz w:val="24"/>
                <w:szCs w:val="24"/>
                <w:highlight w:val="none"/>
                <w:lang w:val="en-US" w:eastAsia="zh-CN" w:bidi="ar-SA"/>
              </w:rPr>
              <w:t xml:space="preserve">6 </w:t>
            </w:r>
            <w:r>
              <w:rPr>
                <w:rFonts w:hint="default" w:ascii="Times New Roman" w:hAnsi="Times New Roman" w:eastAsia="黑体" w:cs="Times New Roman"/>
                <w:color w:val="auto"/>
                <w:kern w:val="2"/>
                <w:sz w:val="24"/>
                <w:szCs w:val="24"/>
                <w:highlight w:val="none"/>
                <w:lang w:val="en-US" w:eastAsia="zh-CN" w:bidi="ar-SA"/>
              </w:rPr>
              <w:t xml:space="preserve">  </w:t>
            </w:r>
            <w:r>
              <w:rPr>
                <w:rFonts w:hint="eastAsia" w:ascii="Times New Roman" w:hAnsi="Times New Roman" w:eastAsia="黑体" w:cs="Times New Roman"/>
                <w:color w:val="auto"/>
                <w:kern w:val="2"/>
                <w:sz w:val="24"/>
                <w:szCs w:val="24"/>
                <w:highlight w:val="none"/>
                <w:lang w:val="en-US" w:eastAsia="zh-CN" w:bidi="ar-SA"/>
              </w:rPr>
              <w:t xml:space="preserve">             </w:t>
            </w:r>
            <w:r>
              <w:rPr>
                <w:rFonts w:hint="default" w:ascii="Times New Roman" w:hAnsi="Times New Roman" w:eastAsia="黑体" w:cs="Times New Roman"/>
                <w:color w:val="auto"/>
                <w:kern w:val="2"/>
                <w:sz w:val="24"/>
                <w:szCs w:val="24"/>
                <w:highlight w:val="none"/>
                <w:lang w:val="en-US" w:eastAsia="zh-CN" w:bidi="ar-SA"/>
              </w:rPr>
              <w:t>项目</w:t>
            </w:r>
            <w:r>
              <w:rPr>
                <w:rFonts w:hint="eastAsia" w:ascii="Times New Roman" w:hAnsi="Times New Roman" w:eastAsia="黑体" w:cs="Times New Roman"/>
                <w:color w:val="auto"/>
                <w:kern w:val="2"/>
                <w:sz w:val="24"/>
                <w:szCs w:val="24"/>
                <w:highlight w:val="none"/>
                <w:lang w:val="en-US" w:eastAsia="zh-CN" w:bidi="ar-SA"/>
              </w:rPr>
              <w:t>主要设备</w:t>
            </w:r>
            <w:r>
              <w:rPr>
                <w:rFonts w:hint="default" w:ascii="Times New Roman" w:hAnsi="Times New Roman" w:eastAsia="黑体" w:cs="Times New Roman"/>
                <w:color w:val="auto"/>
                <w:kern w:val="2"/>
                <w:sz w:val="24"/>
                <w:szCs w:val="24"/>
                <w:highlight w:val="none"/>
                <w:lang w:val="en-US" w:eastAsia="zh-CN" w:bidi="ar-SA"/>
              </w:rPr>
              <w:t>一览表</w:t>
            </w:r>
          </w:p>
          <w:tbl>
            <w:tblPr>
              <w:tblStyle w:val="25"/>
              <w:tblW w:w="79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208"/>
              <w:gridCol w:w="3300"/>
              <w:gridCol w:w="885"/>
              <w:gridCol w:w="8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序号</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名称</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规格型号</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单位</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eastAsia"/>
                      <w:b/>
                      <w:bCs/>
                      <w:color w:val="auto"/>
                      <w:highlight w:val="none"/>
                      <w:vertAlign w:val="baseline"/>
                      <w:lang w:val="en-US" w:eastAsia="zh-CN"/>
                    </w:rPr>
                  </w:pPr>
                  <w:r>
                    <w:rPr>
                      <w:rFonts w:hint="eastAsia"/>
                      <w:b/>
                      <w:bCs/>
                      <w:color w:val="auto"/>
                      <w:highlight w:val="none"/>
                      <w:vertAlign w:val="baseli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1</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柳工220</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2</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沃尔沃330</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3</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柳工180</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4</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沃尔沃370</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5</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230</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6</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260</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7</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挖掘机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150</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8</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双桥载重汽车</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东风</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9</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装载机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龙工245</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10</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装载机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ZL50</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11</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洒水车</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superscript"/>
                      <w:lang w:val="en-US" w:eastAsia="zh-CN"/>
                    </w:rPr>
                  </w:pPr>
                  <w:r>
                    <w:rPr>
                      <w:rFonts w:hint="eastAsia" w:ascii="Times New Roman" w:hAnsi="Times New Roman" w:cs="Times New Roman"/>
                      <w:color w:val="auto"/>
                      <w:highlight w:val="none"/>
                      <w:vertAlign w:val="baseline"/>
                      <w:lang w:val="en-US" w:eastAsia="zh-CN"/>
                    </w:rPr>
                    <w:t>3m</w:t>
                  </w:r>
                  <w:r>
                    <w:rPr>
                      <w:rFonts w:hint="eastAsia" w:ascii="Times New Roman" w:hAnsi="Times New Roman" w:cs="Times New Roman"/>
                      <w:color w:val="auto"/>
                      <w:highlight w:val="none"/>
                      <w:vertAlign w:val="superscript"/>
                      <w:lang w:val="en-US" w:eastAsia="zh-CN"/>
                    </w:rPr>
                    <w:t>3</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eastAsia="宋体" w:cs="Times New Roman"/>
                      <w:b w:val="0"/>
                      <w:bCs w:val="0"/>
                      <w:color w:val="auto"/>
                      <w:highlight w:val="none"/>
                      <w:vertAlign w:val="baseline"/>
                      <w:lang w:val="en-US" w:eastAsia="zh-CN"/>
                    </w:rPr>
                    <w:t>12</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洒水车</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superscript"/>
                      <w:lang w:val="en-US" w:eastAsia="zh-CN"/>
                    </w:rPr>
                  </w:pPr>
                  <w:r>
                    <w:rPr>
                      <w:rFonts w:hint="eastAsia" w:ascii="Times New Roman" w:hAnsi="Times New Roman" w:cs="Times New Roman"/>
                      <w:color w:val="auto"/>
                      <w:highlight w:val="none"/>
                      <w:vertAlign w:val="baseline"/>
                      <w:lang w:val="en-US" w:eastAsia="zh-CN"/>
                    </w:rPr>
                    <w:t>4m</w:t>
                  </w:r>
                  <w:r>
                    <w:rPr>
                      <w:rFonts w:hint="eastAsia" w:ascii="Times New Roman" w:hAnsi="Times New Roman" w:cs="Times New Roman"/>
                      <w:color w:val="auto"/>
                      <w:highlight w:val="none"/>
                      <w:vertAlign w:val="superscript"/>
                      <w:lang w:val="en-US" w:eastAsia="zh-CN"/>
                    </w:rPr>
                    <w:t>3</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辆</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auto"/>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13</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压路机</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徐工22T</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台</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val="0"/>
                      <w:bCs w:val="0"/>
                      <w:color w:val="auto"/>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14</w:t>
                  </w:r>
                </w:p>
              </w:tc>
              <w:tc>
                <w:tcPr>
                  <w:tcW w:w="2208"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潜水泵</w:t>
                  </w:r>
                </w:p>
              </w:tc>
              <w:tc>
                <w:tcPr>
                  <w:tcW w:w="3300"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3kV</w:t>
                  </w:r>
                </w:p>
              </w:tc>
              <w:tc>
                <w:tcPr>
                  <w:tcW w:w="885"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台</w:t>
                  </w:r>
                </w:p>
              </w:tc>
              <w:tc>
                <w:tcPr>
                  <w:tcW w:w="852" w:type="dxa"/>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3</w:t>
                  </w:r>
                </w:p>
              </w:tc>
            </w:tr>
          </w:tbl>
          <w:p>
            <w:pPr>
              <w:pStyle w:val="9"/>
              <w:adjustRightInd w:val="0"/>
              <w:spacing w:before="0" w:after="0" w:line="360" w:lineRule="auto"/>
              <w:ind w:right="0" w:firstLine="482"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bCs w:val="0"/>
                <w:color w:val="auto"/>
                <w:sz w:val="24"/>
                <w:highlight w:val="none"/>
                <w:vertAlign w:val="baseline"/>
                <w:lang w:val="en-US" w:eastAsia="zh-CN"/>
              </w:rPr>
              <w:t>6、</w:t>
            </w:r>
            <w:r>
              <w:rPr>
                <w:rFonts w:hint="eastAsia" w:eastAsia="仿宋_GB2312" w:cs="Times New Roman"/>
                <w:b/>
                <w:bCs/>
                <w:color w:val="auto"/>
                <w:kern w:val="2"/>
                <w:sz w:val="24"/>
                <w:szCs w:val="24"/>
                <w:highlight w:val="none"/>
                <w:lang w:val="en-US" w:eastAsia="zh-CN" w:bidi="ar-SA"/>
              </w:rPr>
              <w:t>土石方平衡</w:t>
            </w:r>
          </w:p>
          <w:p>
            <w:pPr>
              <w:pStyle w:val="9"/>
              <w:adjustRightInd w:val="0"/>
              <w:spacing w:before="0" w:after="0" w:line="360" w:lineRule="auto"/>
              <w:ind w:right="0" w:firstLine="480" w:firstLineChars="200"/>
              <w:rPr>
                <w:rFonts w:hint="default" w:ascii="Times New Roman" w:hAnsi="Times New Roman" w:eastAsia="仿宋_GB2312" w:cs="Times New Roman"/>
                <w:b w:val="0"/>
                <w:bCs w:val="0"/>
                <w:color w:val="auto"/>
                <w:sz w:val="24"/>
                <w:szCs w:val="24"/>
                <w:highlight w:val="none"/>
                <w:vertAlign w:val="baseline"/>
                <w:lang w:val="en-US" w:eastAsia="zh-CN"/>
              </w:rPr>
            </w:pPr>
            <w:r>
              <w:rPr>
                <w:rFonts w:hint="eastAsia" w:eastAsia="仿宋_GB2312" w:cs="Times New Roman"/>
                <w:b w:val="0"/>
                <w:bCs w:val="0"/>
                <w:color w:val="auto"/>
                <w:sz w:val="24"/>
                <w:szCs w:val="24"/>
                <w:highlight w:val="none"/>
                <w:vertAlign w:val="baseline"/>
                <w:lang w:val="en-US" w:eastAsia="zh-CN"/>
              </w:rPr>
              <w:t>本项目施工期高边坡生态治理削坡土方开挖量为8366.51</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cs="Times New Roman"/>
                <w:b w:val="0"/>
                <w:bCs w:val="0"/>
                <w:color w:val="auto"/>
                <w:sz w:val="24"/>
                <w:szCs w:val="24"/>
                <w:highlight w:val="none"/>
                <w:vertAlign w:val="baseline"/>
                <w:lang w:val="en-US" w:eastAsia="zh-CN"/>
              </w:rPr>
              <w:t>，坡脚防护工程挡墙土方开挖量为1375.00</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cs="Times New Roman"/>
                <w:b w:val="0"/>
                <w:bCs w:val="0"/>
                <w:color w:val="auto"/>
                <w:sz w:val="24"/>
                <w:szCs w:val="24"/>
                <w:highlight w:val="none"/>
                <w:vertAlign w:val="baseline"/>
                <w:lang w:val="en-US" w:eastAsia="zh-CN"/>
              </w:rPr>
              <w:t>，清基土方5177.10</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cs="Times New Roman"/>
                <w:b w:val="0"/>
                <w:bCs w:val="0"/>
                <w:color w:val="auto"/>
                <w:sz w:val="24"/>
                <w:szCs w:val="24"/>
                <w:highlight w:val="none"/>
                <w:vertAlign w:val="baseline"/>
                <w:lang w:val="en-US" w:eastAsia="zh-CN"/>
              </w:rPr>
              <w:t>，巡河步道土方开挖量为367.50</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cs="Times New Roman"/>
                <w:b w:val="0"/>
                <w:bCs w:val="0"/>
                <w:color w:val="auto"/>
                <w:sz w:val="24"/>
                <w:szCs w:val="24"/>
                <w:highlight w:val="none"/>
                <w:vertAlign w:val="baseline"/>
                <w:lang w:val="en-US" w:eastAsia="zh-CN"/>
              </w:rPr>
              <w:t>，清基土方量为698.25</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cs="Times New Roman"/>
                <w:b w:val="0"/>
                <w:bCs w:val="0"/>
                <w:color w:val="auto"/>
                <w:sz w:val="24"/>
                <w:szCs w:val="24"/>
                <w:highlight w:val="none"/>
                <w:vertAlign w:val="baseline"/>
                <w:lang w:val="en-US" w:eastAsia="zh-CN"/>
              </w:rPr>
              <w:t>，D40渠道改道土方开挖量为39.00</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，土方开挖量共为16023.45</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，施工期开挖土方全部回填。施工前围堰利用开挖土方进行填筑，施工期结束后，拆除围堰产生的挖方为弃方，共</w:t>
            </w:r>
            <w:r>
              <w:rPr>
                <w:rFonts w:hint="eastAsia" w:eastAsia="仿宋_GB2312"/>
                <w:b w:val="0"/>
                <w:bCs/>
                <w:color w:val="auto"/>
                <w:sz w:val="24"/>
                <w:highlight w:val="none"/>
                <w:lang w:val="en-US" w:eastAsia="zh-CN"/>
              </w:rPr>
              <w:t>1600m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，运送至政府指定地点。</w:t>
            </w:r>
          </w:p>
          <w:p>
            <w:pPr>
              <w:pStyle w:val="9"/>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sz w:val="24"/>
                <w:szCs w:val="24"/>
                <w:highlight w:val="none"/>
                <w:vertAlign w:val="baseline"/>
                <w:lang w:val="en-US" w:eastAsia="zh-CN"/>
              </w:rPr>
              <w:t>本项目施工期高边坡生态治理土方回填量为43765.35</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w:t>
            </w:r>
            <w:r>
              <w:rPr>
                <w:rFonts w:hint="eastAsia" w:eastAsia="仿宋_GB2312" w:cs="Times New Roman"/>
                <w:b w:val="0"/>
                <w:bCs w:val="0"/>
                <w:color w:val="auto"/>
                <w:sz w:val="24"/>
                <w:szCs w:val="24"/>
                <w:highlight w:val="none"/>
                <w:vertAlign w:val="baseline"/>
                <w:lang w:val="en-US" w:eastAsia="zh-CN"/>
              </w:rPr>
              <w:t>坡脚防护工程土方回填量为687.5</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w:t>
            </w:r>
            <w:r>
              <w:rPr>
                <w:rFonts w:hint="eastAsia" w:eastAsia="仿宋_GB2312" w:cs="Times New Roman"/>
                <w:b w:val="0"/>
                <w:bCs w:val="0"/>
                <w:color w:val="auto"/>
                <w:sz w:val="24"/>
                <w:szCs w:val="24"/>
                <w:highlight w:val="none"/>
                <w:vertAlign w:val="baseline"/>
                <w:lang w:val="en-US" w:eastAsia="zh-CN"/>
              </w:rPr>
              <w:t>巡河步道土方回填量为275.63</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w:t>
            </w:r>
            <w:r>
              <w:rPr>
                <w:rFonts w:hint="eastAsia" w:eastAsia="仿宋_GB2312" w:cs="Times New Roman"/>
                <w:b w:val="0"/>
                <w:bCs w:val="0"/>
                <w:color w:val="auto"/>
                <w:sz w:val="24"/>
                <w:szCs w:val="24"/>
                <w:highlight w:val="none"/>
                <w:vertAlign w:val="baseline"/>
                <w:lang w:val="en-US" w:eastAsia="zh-CN"/>
              </w:rPr>
              <w:t>D40渠道改道土方回填量为28.61</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，土方</w:t>
            </w:r>
            <w:r>
              <w:rPr>
                <w:rFonts w:hint="eastAsia" w:eastAsia="仿宋_GB2312" w:cs="Times New Roman"/>
                <w:b w:val="0"/>
                <w:bCs w:val="0"/>
                <w:color w:val="auto"/>
                <w:sz w:val="24"/>
                <w:szCs w:val="24"/>
                <w:highlight w:val="none"/>
                <w:vertAlign w:val="baseline"/>
                <w:lang w:val="en-US" w:eastAsia="zh-CN"/>
              </w:rPr>
              <w:t>回填量</w:t>
            </w:r>
            <w:r>
              <w:rPr>
                <w:rFonts w:hint="eastAsia" w:eastAsia="仿宋_GB2312"/>
                <w:b w:val="0"/>
                <w:bCs/>
                <w:color w:val="auto"/>
                <w:sz w:val="24"/>
                <w:highlight w:val="none"/>
                <w:vertAlign w:val="baseline"/>
                <w:lang w:val="en-US" w:eastAsia="zh-CN"/>
              </w:rPr>
              <w:t>共为44757.09</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。需从取土场外调土方量为28733.64</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vertAlign w:val="baseline"/>
                <w:lang w:val="en-US" w:eastAsia="zh-CN"/>
              </w:rPr>
              <w:t>。</w:t>
            </w:r>
            <w:r>
              <w:rPr>
                <w:rFonts w:hint="eastAsia" w:ascii="Times New Roman" w:hAnsi="Times New Roman" w:eastAsia="仿宋_GB2312" w:cs="Times New Roman"/>
                <w:b w:val="0"/>
                <w:bCs w:val="0"/>
                <w:color w:val="auto"/>
                <w:sz w:val="24"/>
                <w:szCs w:val="24"/>
                <w:highlight w:val="none"/>
                <w:vertAlign w:val="baseline"/>
                <w:lang w:val="en-US" w:eastAsia="zh-CN"/>
              </w:rPr>
              <w:t>本项目土石方平衡见表</w:t>
            </w:r>
            <w:r>
              <w:rPr>
                <w:rFonts w:hint="eastAsia" w:eastAsia="仿宋_GB2312" w:cs="Times New Roman"/>
                <w:b w:val="0"/>
                <w:bCs w:val="0"/>
                <w:color w:val="auto"/>
                <w:sz w:val="24"/>
                <w:szCs w:val="24"/>
                <w:highlight w:val="none"/>
                <w:vertAlign w:val="baseline"/>
                <w:lang w:val="en-US" w:eastAsia="zh-CN"/>
              </w:rPr>
              <w:t>7。</w:t>
            </w:r>
          </w:p>
          <w:p>
            <w:pPr>
              <w:adjustRightInd w:val="0"/>
              <w:snapToGrid w:val="0"/>
              <w:spacing w:line="240" w:lineRule="auto"/>
              <w:ind w:firstLine="480" w:firstLineChars="200"/>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val="en-US" w:eastAsia="zh-CN"/>
              </w:rPr>
              <w:t>表</w:t>
            </w:r>
            <w:r>
              <w:rPr>
                <w:rFonts w:hint="eastAsia" w:eastAsia="黑体" w:cs="Times New Roman"/>
                <w:color w:val="auto"/>
                <w:sz w:val="24"/>
                <w:highlight w:val="none"/>
                <w:lang w:val="en-US" w:eastAsia="zh-CN"/>
              </w:rPr>
              <w:t xml:space="preserve">7 </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土石方平衡表</w:t>
            </w:r>
          </w:p>
          <w:tbl>
            <w:tblPr>
              <w:tblStyle w:val="25"/>
              <w:tblW w:w="80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601"/>
              <w:gridCol w:w="1601"/>
              <w:gridCol w:w="1601"/>
              <w:gridCol w:w="16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项目名称</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土方开挖（m</w:t>
                  </w:r>
                  <w:r>
                    <w:rPr>
                      <w:rFonts w:hint="eastAsia" w:ascii="Times New Roman" w:hAnsi="Times New Roman" w:eastAsia="宋体" w:cs="Times New Roman"/>
                      <w:b/>
                      <w:bCs/>
                      <w:color w:val="auto"/>
                      <w:kern w:val="2"/>
                      <w:sz w:val="21"/>
                      <w:szCs w:val="21"/>
                      <w:highlight w:val="none"/>
                      <w:vertAlign w:val="superscript"/>
                      <w:lang w:val="en-US" w:eastAsia="zh-CN" w:bidi="ar-SA"/>
                    </w:rPr>
                    <w:t>3</w:t>
                  </w:r>
                  <w:r>
                    <w:rPr>
                      <w:rFonts w:hint="eastAsia" w:ascii="Times New Roman" w:hAnsi="Times New Roman" w:eastAsia="宋体" w:cs="Times New Roman"/>
                      <w:b/>
                      <w:bCs/>
                      <w:color w:val="auto"/>
                      <w:kern w:val="2"/>
                      <w:sz w:val="21"/>
                      <w:szCs w:val="21"/>
                      <w:highlight w:val="none"/>
                      <w:vertAlign w:val="baseline"/>
                      <w:lang w:val="en-US" w:eastAsia="zh-CN" w:bidi="ar-SA"/>
                    </w:rPr>
                    <w:t>）</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土方回填（m</w:t>
                  </w:r>
                  <w:r>
                    <w:rPr>
                      <w:rFonts w:hint="eastAsia" w:ascii="Times New Roman" w:hAnsi="Times New Roman" w:eastAsia="宋体" w:cs="Times New Roman"/>
                      <w:b/>
                      <w:bCs/>
                      <w:color w:val="auto"/>
                      <w:kern w:val="2"/>
                      <w:sz w:val="21"/>
                      <w:szCs w:val="21"/>
                      <w:highlight w:val="none"/>
                      <w:vertAlign w:val="superscript"/>
                      <w:lang w:val="en-US" w:eastAsia="zh-CN" w:bidi="ar-SA"/>
                    </w:rPr>
                    <w:t>3</w:t>
                  </w:r>
                  <w:r>
                    <w:rPr>
                      <w:rFonts w:hint="eastAsia" w:ascii="Times New Roman" w:hAnsi="Times New Roman" w:eastAsia="宋体" w:cs="Times New Roman"/>
                      <w:b/>
                      <w:bCs/>
                      <w:color w:val="auto"/>
                      <w:kern w:val="2"/>
                      <w:sz w:val="21"/>
                      <w:szCs w:val="21"/>
                      <w:highlight w:val="none"/>
                      <w:vertAlign w:val="baseline"/>
                      <w:lang w:val="en-US" w:eastAsia="zh-CN" w:bidi="ar-SA"/>
                    </w:rPr>
                    <w:t>）</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土方外调（m</w:t>
                  </w:r>
                  <w:r>
                    <w:rPr>
                      <w:rFonts w:hint="eastAsia" w:ascii="Times New Roman" w:hAnsi="Times New Roman" w:eastAsia="宋体" w:cs="Times New Roman"/>
                      <w:b/>
                      <w:bCs/>
                      <w:color w:val="auto"/>
                      <w:kern w:val="2"/>
                      <w:sz w:val="21"/>
                      <w:szCs w:val="21"/>
                      <w:highlight w:val="none"/>
                      <w:vertAlign w:val="superscript"/>
                      <w:lang w:val="en-US" w:eastAsia="zh-CN" w:bidi="ar-SA"/>
                    </w:rPr>
                    <w:t>3</w:t>
                  </w:r>
                  <w:r>
                    <w:rPr>
                      <w:rFonts w:hint="eastAsia" w:ascii="Times New Roman" w:hAnsi="Times New Roman" w:eastAsia="宋体" w:cs="Times New Roman"/>
                      <w:b/>
                      <w:bCs/>
                      <w:color w:val="auto"/>
                      <w:kern w:val="2"/>
                      <w:sz w:val="21"/>
                      <w:szCs w:val="21"/>
                      <w:highlight w:val="none"/>
                      <w:vertAlign w:val="baseline"/>
                      <w:lang w:val="en-US" w:eastAsia="zh-CN" w:bidi="ar-SA"/>
                    </w:rPr>
                    <w:t>）</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弃方（m</w:t>
                  </w:r>
                  <w:r>
                    <w:rPr>
                      <w:rFonts w:hint="eastAsia" w:ascii="Times New Roman" w:hAnsi="Times New Roman" w:eastAsia="宋体" w:cs="Times New Roman"/>
                      <w:b/>
                      <w:bCs/>
                      <w:color w:val="auto"/>
                      <w:kern w:val="2"/>
                      <w:sz w:val="21"/>
                      <w:szCs w:val="21"/>
                      <w:highlight w:val="none"/>
                      <w:vertAlign w:val="superscript"/>
                      <w:lang w:val="en-US" w:eastAsia="zh-CN" w:bidi="ar-SA"/>
                    </w:rPr>
                    <w:t>3</w:t>
                  </w:r>
                  <w:r>
                    <w:rPr>
                      <w:rFonts w:hint="eastAsia" w:ascii="Times New Roman" w:hAnsi="Times New Roman" w:eastAsia="宋体" w:cs="Times New Roman"/>
                      <w:b/>
                      <w:bCs/>
                      <w:color w:val="auto"/>
                      <w:kern w:val="2"/>
                      <w:sz w:val="21"/>
                      <w:szCs w:val="21"/>
                      <w:highlight w:val="none"/>
                      <w:vertAlign w:val="baseli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高边坡生态治理</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8366.51</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43765.35</w:t>
                  </w:r>
                </w:p>
              </w:tc>
              <w:tc>
                <w:tcPr>
                  <w:tcW w:w="1601" w:type="dxa"/>
                  <w:vMerge w:val="restart"/>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28733.64</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坡脚防护工程</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6552.1</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687.5</w:t>
                  </w:r>
                </w:p>
              </w:tc>
              <w:tc>
                <w:tcPr>
                  <w:tcW w:w="1601" w:type="dxa"/>
                  <w:vMerge w:val="continue"/>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巡河步道</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1065.75</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275.63</w:t>
                  </w:r>
                </w:p>
              </w:tc>
              <w:tc>
                <w:tcPr>
                  <w:tcW w:w="1601" w:type="dxa"/>
                  <w:vMerge w:val="continue"/>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D40渠道改道</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39.00</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28.61</w:t>
                  </w:r>
                </w:p>
              </w:tc>
              <w:tc>
                <w:tcPr>
                  <w:tcW w:w="1601" w:type="dxa"/>
                  <w:vMerge w:val="continue"/>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导流</w:t>
                  </w:r>
                  <w:r>
                    <w:rPr>
                      <w:rFonts w:hint="default" w:ascii="Times New Roman" w:hAnsi="Times New Roman" w:eastAsia="宋体" w:cs="Times New Roman"/>
                      <w:b/>
                      <w:bCs/>
                      <w:color w:val="auto"/>
                      <w:kern w:val="2"/>
                      <w:sz w:val="21"/>
                      <w:szCs w:val="21"/>
                      <w:highlight w:val="none"/>
                      <w:vertAlign w:val="baseline"/>
                      <w:lang w:val="en-US" w:eastAsia="zh-CN" w:bidi="ar-SA"/>
                    </w:rPr>
                    <w:t>围堰</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tcBorders>
                    <w:tl2br w:val="nil"/>
                    <w:tr2bl w:val="nil"/>
                  </w:tcBorders>
                  <w:vAlign w:val="center"/>
                </w:tcPr>
                <w:p>
                  <w:pPr>
                    <w:pStyle w:val="9"/>
                    <w:adjustRightInd w:val="0"/>
                    <w:spacing w:before="0" w:after="0" w:line="240" w:lineRule="auto"/>
                    <w:ind w:right="0"/>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合计</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16023.45</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43765.35</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28733.64</w:t>
                  </w:r>
                </w:p>
              </w:tc>
              <w:tc>
                <w:tcPr>
                  <w:tcW w:w="1601" w:type="dxa"/>
                  <w:tcBorders>
                    <w:tl2br w:val="nil"/>
                    <w:tr2bl w:val="nil"/>
                  </w:tcBorders>
                  <w:vAlign w:val="center"/>
                </w:tcPr>
                <w:p>
                  <w:pPr>
                    <w:pStyle w:val="9"/>
                    <w:adjustRightInd w:val="0"/>
                    <w:spacing w:before="0" w:after="0" w:line="240" w:lineRule="auto"/>
                    <w:ind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1600</w:t>
                  </w:r>
                </w:p>
              </w:tc>
            </w:tr>
          </w:tbl>
          <w:p>
            <w:pPr>
              <w:pStyle w:val="9"/>
              <w:adjustRightInd w:val="0"/>
              <w:spacing w:before="0" w:after="0" w:line="360" w:lineRule="auto"/>
              <w:ind w:right="0" w:firstLine="482" w:firstLineChars="200"/>
              <w:rPr>
                <w:rFonts w:hint="default" w:ascii="Times New Roman" w:hAnsi="Times New Roman"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7、施工组织</w:t>
            </w:r>
          </w:p>
          <w:p>
            <w:pPr>
              <w:pStyle w:val="9"/>
              <w:adjustRightInd w:val="0"/>
              <w:spacing w:before="0" w:after="0" w:line="360" w:lineRule="auto"/>
              <w:ind w:right="0" w:firstLine="482" w:firstLineChars="200"/>
              <w:rPr>
                <w:rFonts w:hint="default" w:ascii="Times New Roman" w:hAnsi="Times New Roman"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7.1 交通条件</w:t>
            </w:r>
          </w:p>
          <w:p>
            <w:pPr>
              <w:pStyle w:val="9"/>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本工程位于沙坡头区境内，项目区距中卫市区约35km，东西向有滨河路、卫宁公路，乡村生产道路纵横交错，交通便利</w:t>
            </w:r>
          </w:p>
          <w:p>
            <w:pPr>
              <w:pStyle w:val="9"/>
              <w:adjustRightInd w:val="0"/>
              <w:spacing w:before="0" w:after="0" w:line="360" w:lineRule="auto"/>
              <w:ind w:right="0" w:firstLine="482" w:firstLineChars="200"/>
              <w:rPr>
                <w:rFonts w:hint="eastAsia"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7.2 供水供电条件</w:t>
            </w:r>
          </w:p>
          <w:p>
            <w:pPr>
              <w:pStyle w:val="9"/>
              <w:adjustRightInd w:val="0"/>
              <w:spacing w:before="0" w:after="0" w:line="360" w:lineRule="auto"/>
              <w:ind w:right="0" w:firstLine="480" w:firstLineChars="200"/>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施工用电基本都能够从附近村镇原有输电线路接线供电，电压满足施工要求，为了保证工程顺利施工，各施工区配备柴油发电机作为备用电源。</w:t>
            </w:r>
          </w:p>
          <w:p>
            <w:pPr>
              <w:pStyle w:val="9"/>
              <w:adjustRightInd w:val="0"/>
              <w:spacing w:before="0" w:after="0" w:line="360" w:lineRule="auto"/>
              <w:ind w:right="0" w:firstLine="480" w:firstLineChars="200"/>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本项目临时施工区不提供食宿。施工人员全部租用附近民房，生活用水依托附近农村供水管网。项目施工期施工用水为车辆及机械设备冲洗用水以及洒水车洒水抑尘用水，依托附近农村供水管网，拉运至工地。</w:t>
            </w:r>
          </w:p>
          <w:p>
            <w:pPr>
              <w:pStyle w:val="9"/>
              <w:adjustRightInd w:val="0"/>
              <w:spacing w:before="0" w:after="0" w:line="360" w:lineRule="auto"/>
              <w:ind w:right="0" w:firstLine="482" w:firstLineChars="200"/>
              <w:rPr>
                <w:rFonts w:hint="eastAsia"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7.3 料场选择与开采</w:t>
            </w:r>
          </w:p>
          <w:p>
            <w:pPr>
              <w:pStyle w:val="9"/>
              <w:adjustRightInd w:val="0"/>
              <w:spacing w:before="0" w:after="0" w:line="360" w:lineRule="auto"/>
              <w:ind w:right="0" w:firstLine="480" w:firstLineChars="200"/>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（1）块石料场：石炭沟料场</w:t>
            </w:r>
          </w:p>
          <w:p>
            <w:pPr>
              <w:pStyle w:val="9"/>
              <w:adjustRightInd w:val="0"/>
              <w:spacing w:before="0" w:after="0" w:line="360" w:lineRule="auto"/>
              <w:ind w:right="0" w:firstLine="480" w:firstLineChars="200"/>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工程区块石料场为石炭沟料场，石炭沟料场位于吴忠市红寺堡区石炭沟村赵花井组以东烟简山乏羊坡沟中，距离中宁县城48km。属低山地貌单元，地形起伏较大，由东向西倾斜，沟壑纵横，基岩裸露，植被不发育。</w:t>
            </w:r>
          </w:p>
          <w:p>
            <w:pPr>
              <w:pStyle w:val="9"/>
              <w:adjustRightInd w:val="0"/>
              <w:spacing w:before="0" w:after="0" w:line="360" w:lineRule="auto"/>
              <w:ind w:right="0" w:firstLine="480" w:firstLineChars="200"/>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岩性为志留系(S1-2sh)长石石英砂岩、粉砂岩、砾岩，紫红色，致密坚硬，钙质胶结，层状结构，块状构造，岩体较完整，单层厚度0.4-1m，中厚层-厚层状。强风化层厚度0.5m，风化裂隙发育，岩体破碎。产状25°∠28°。</w:t>
            </w:r>
          </w:p>
          <w:p>
            <w:pPr>
              <w:pStyle w:val="9"/>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根据《水利水电工程天然建筑材料勘察规范》(SL251-2015)的规定，基本符合质量要求，可以使用。运距较远，属外购料</w:t>
            </w:r>
            <w:r>
              <w:rPr>
                <w:rFonts w:hint="eastAsia" w:eastAsia="仿宋_GB2312" w:cs="Times New Roman"/>
                <w:b w:val="0"/>
                <w:bCs w:val="0"/>
                <w:color w:val="auto"/>
                <w:kern w:val="2"/>
                <w:sz w:val="24"/>
                <w:szCs w:val="24"/>
                <w:highlight w:val="none"/>
                <w:lang w:val="en-US" w:eastAsia="zh-CN" w:bidi="ar-SA"/>
              </w:rPr>
              <w:t>。</w:t>
            </w:r>
          </w:p>
          <w:p>
            <w:pPr>
              <w:pStyle w:val="9"/>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（2）粗骨料（砾料）：中卫宣和镇刘岗井村料场</w:t>
            </w:r>
          </w:p>
          <w:p>
            <w:pPr>
              <w:pStyle w:val="9"/>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中卫宣和镇刘岗井村料场位于项目区南侧，距清水河中卫段上段35km、下段30km。中卫宣和镇刘岗井村料场河谷由东向西展布，河床宽度30～40m，两侧发育Ⅰ级阶地，高出河床3m，左右岸I级阶地宽度5m。河床无地表水，地下水埋深较大</w:t>
            </w:r>
            <w:r>
              <w:rPr>
                <w:rFonts w:hint="eastAsia" w:eastAsia="仿宋_GB2312" w:cs="Times New Roman"/>
                <w:b w:val="0"/>
                <w:bCs w:val="0"/>
                <w:color w:val="auto"/>
                <w:kern w:val="2"/>
                <w:sz w:val="24"/>
                <w:szCs w:val="24"/>
                <w:highlight w:val="none"/>
                <w:lang w:val="en-US" w:eastAsia="zh-CN" w:bidi="ar-SA"/>
              </w:rPr>
              <w:t>。</w:t>
            </w:r>
          </w:p>
          <w:p>
            <w:pPr>
              <w:pStyle w:val="9"/>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地层为第四系全新统冲洪积物，岩性为角砾，杂色，稍湿，中密-密实状态，磨圆度差，分选性差，一般粒径10～20mm，大于2mm的颗粒占总重的60-70%，成分为灰岩、砂岩、变质岩等，粗细砂、砂壤土充填，含10%左右的碎石。夹有数层壤土、砂壤土薄层。上部有1m左右的壤土层，有用层厚度5m，正在开采，开采条件良好，位于白石公路旁边，交通便利</w:t>
            </w:r>
            <w:r>
              <w:rPr>
                <w:rFonts w:hint="eastAsia" w:eastAsia="仿宋_GB2312" w:cs="Times New Roman"/>
                <w:b w:val="0"/>
                <w:bCs w:val="0"/>
                <w:color w:val="auto"/>
                <w:kern w:val="2"/>
                <w:sz w:val="24"/>
                <w:szCs w:val="24"/>
                <w:highlight w:val="none"/>
                <w:lang w:val="en-US" w:eastAsia="zh-CN" w:bidi="ar-SA"/>
              </w:rPr>
              <w:t>。</w:t>
            </w:r>
          </w:p>
          <w:p>
            <w:pPr>
              <w:pStyle w:val="9"/>
              <w:adjustRightInd w:val="0"/>
              <w:spacing w:before="0" w:after="0" w:line="360" w:lineRule="auto"/>
              <w:ind w:right="0" w:firstLine="480" w:firstLineChars="200"/>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（3）细骨料（砂料）：中卫常乐镇料场倪滩村羊圈沟</w:t>
            </w:r>
          </w:p>
          <w:p>
            <w:pPr>
              <w:pStyle w:val="9"/>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中卫常乐镇料场倪滩村羊圈沟混合料总储量充足，能够满足工程需求。正在开采，开采条件良好，位于S202公路旁边，交通便利。</w:t>
            </w:r>
          </w:p>
          <w:p>
            <w:pPr>
              <w:pStyle w:val="9"/>
              <w:adjustRightInd w:val="0"/>
              <w:spacing w:before="0" w:after="0" w:line="360" w:lineRule="auto"/>
              <w:ind w:right="0" w:firstLine="480" w:firstLineChars="200"/>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（4）土料场</w:t>
            </w:r>
          </w:p>
          <w:p>
            <w:pPr>
              <w:pStyle w:val="9"/>
              <w:adjustRightInd w:val="0"/>
              <w:spacing w:before="0" w:after="0" w:line="360" w:lineRule="auto"/>
              <w:ind w:right="0" w:firstLine="480" w:firstLineChars="200"/>
              <w:rPr>
                <w:rFonts w:hint="default"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清水河下段（沙坡头区）综合治理工程土料分布在河道左岸</w:t>
            </w:r>
            <w:r>
              <w:rPr>
                <w:rFonts w:hint="default" w:ascii="Times New Roman" w:hAnsi="Times New Roman" w:eastAsia="仿宋_GB2312" w:cs="Times New Roman"/>
                <w:b w:val="0"/>
                <w:bCs w:val="0"/>
                <w:color w:val="auto"/>
                <w:kern w:val="2"/>
                <w:sz w:val="24"/>
                <w:szCs w:val="24"/>
                <w:highlight w:val="none"/>
                <w:lang w:val="en-US" w:eastAsia="zh-CN" w:bidi="ar-SA"/>
              </w:rPr>
              <w:t>Ⅱ</w:t>
            </w:r>
            <w:r>
              <w:rPr>
                <w:rFonts w:hint="eastAsia" w:eastAsia="仿宋_GB2312" w:cs="Times New Roman"/>
                <w:b w:val="0"/>
                <w:bCs w:val="0"/>
                <w:color w:val="auto"/>
                <w:kern w:val="2"/>
                <w:sz w:val="24"/>
                <w:szCs w:val="24"/>
                <w:highlight w:val="none"/>
                <w:lang w:val="en-US" w:eastAsia="zh-CN" w:bidi="ar-SA"/>
              </w:rPr>
              <w:t>级阶地上，占地15亩，土层厚度约3.0m，储量约3万m</w:t>
            </w:r>
            <w:r>
              <w:rPr>
                <w:rFonts w:hint="eastAsia" w:eastAsia="仿宋_GB2312" w:cs="Times New Roman"/>
                <w:b w:val="0"/>
                <w:bCs w:val="0"/>
                <w:color w:val="auto"/>
                <w:kern w:val="2"/>
                <w:sz w:val="24"/>
                <w:szCs w:val="24"/>
                <w:highlight w:val="none"/>
                <w:vertAlign w:val="superscript"/>
                <w:lang w:val="en-US" w:eastAsia="zh-CN" w:bidi="ar-SA"/>
              </w:rPr>
              <w:t>3</w:t>
            </w:r>
            <w:r>
              <w:rPr>
                <w:rFonts w:hint="eastAsia" w:eastAsia="仿宋_GB2312" w:cs="Times New Roman"/>
                <w:b w:val="0"/>
                <w:bCs w:val="0"/>
                <w:color w:val="auto"/>
                <w:kern w:val="2"/>
                <w:sz w:val="24"/>
                <w:szCs w:val="24"/>
                <w:highlight w:val="none"/>
                <w:lang w:val="en-US" w:eastAsia="zh-CN" w:bidi="ar-SA"/>
              </w:rPr>
              <w:t>，距项目区2.0km。</w:t>
            </w:r>
          </w:p>
          <w:p>
            <w:pPr>
              <w:pStyle w:val="9"/>
              <w:adjustRightInd w:val="0"/>
              <w:spacing w:before="0" w:after="0" w:line="360" w:lineRule="auto"/>
              <w:ind w:right="0" w:firstLine="482" w:firstLineChars="200"/>
              <w:rPr>
                <w:rFonts w:hint="default" w:ascii="Times New Roman" w:hAnsi="Times New Roman"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8、</w:t>
            </w:r>
            <w:r>
              <w:rPr>
                <w:rFonts w:hint="eastAsia" w:ascii="Times New Roman" w:hAnsi="Times New Roman" w:eastAsia="仿宋_GB2312" w:cs="Times New Roman"/>
                <w:b/>
                <w:bCs/>
                <w:color w:val="auto"/>
                <w:sz w:val="24"/>
                <w:szCs w:val="24"/>
                <w:highlight w:val="none"/>
                <w:lang w:val="en-US" w:eastAsia="zh-CN"/>
              </w:rPr>
              <w:t>建设征地</w:t>
            </w:r>
          </w:p>
          <w:p>
            <w:pPr>
              <w:pStyle w:val="9"/>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（1）永久占地</w:t>
            </w:r>
          </w:p>
          <w:p>
            <w:pPr>
              <w:pStyle w:val="9"/>
              <w:adjustRightInd w:val="0"/>
              <w:spacing w:before="0" w:after="0" w:line="360" w:lineRule="auto"/>
              <w:ind w:right="0" w:firstLine="480" w:firstLineChars="200"/>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本项目永久征地共计5.78亩，</w:t>
            </w:r>
            <w:r>
              <w:rPr>
                <w:rFonts w:hint="eastAsia" w:eastAsia="仿宋_GB2312" w:cs="Times New Roman"/>
                <w:b w:val="0"/>
                <w:bCs w:val="0"/>
                <w:color w:val="auto"/>
                <w:kern w:val="2"/>
                <w:sz w:val="24"/>
                <w:szCs w:val="24"/>
                <w:highlight w:val="none"/>
                <w:lang w:val="en-US" w:eastAsia="zh-CN" w:bidi="ar-SA"/>
              </w:rPr>
              <w:t>永久占地</w:t>
            </w:r>
            <w:r>
              <w:rPr>
                <w:rFonts w:hint="eastAsia" w:ascii="Times New Roman" w:hAnsi="Times New Roman" w:eastAsia="仿宋_GB2312" w:cs="Times New Roman"/>
                <w:b w:val="0"/>
                <w:bCs w:val="0"/>
                <w:color w:val="auto"/>
                <w:kern w:val="2"/>
                <w:sz w:val="24"/>
                <w:szCs w:val="24"/>
                <w:highlight w:val="none"/>
                <w:lang w:val="en-US" w:eastAsia="zh-CN" w:bidi="ar-SA"/>
              </w:rPr>
              <w:t>主要</w:t>
            </w:r>
            <w:r>
              <w:rPr>
                <w:rFonts w:hint="eastAsia" w:eastAsia="仿宋_GB2312" w:cs="Times New Roman"/>
                <w:b w:val="0"/>
                <w:bCs w:val="0"/>
                <w:color w:val="auto"/>
                <w:kern w:val="2"/>
                <w:sz w:val="24"/>
                <w:szCs w:val="24"/>
                <w:highlight w:val="none"/>
                <w:lang w:val="en-US" w:eastAsia="zh-CN" w:bidi="ar-SA"/>
              </w:rPr>
              <w:t>用于</w:t>
            </w:r>
            <w:r>
              <w:rPr>
                <w:rFonts w:hint="eastAsia" w:ascii="Times New Roman" w:hAnsi="Times New Roman" w:eastAsia="仿宋_GB2312" w:cs="Times New Roman"/>
                <w:b w:val="0"/>
                <w:bCs w:val="0"/>
                <w:color w:val="auto"/>
                <w:kern w:val="2"/>
                <w:sz w:val="24"/>
                <w:szCs w:val="24"/>
                <w:highlight w:val="none"/>
                <w:lang w:val="en-US" w:eastAsia="zh-CN" w:bidi="ar-SA"/>
              </w:rPr>
              <w:t>削坡、道路建设及生态修复占地，占地类型为耕地、灌木林地及荒地</w:t>
            </w:r>
            <w:r>
              <w:rPr>
                <w:rFonts w:hint="eastAsia" w:eastAsia="仿宋_GB2312" w:cs="Times New Roman"/>
                <w:b w:val="0"/>
                <w:bCs w:val="0"/>
                <w:color w:val="auto"/>
                <w:kern w:val="2"/>
                <w:sz w:val="24"/>
                <w:szCs w:val="24"/>
                <w:highlight w:val="none"/>
                <w:lang w:val="en-US" w:eastAsia="zh-CN" w:bidi="ar-SA"/>
              </w:rPr>
              <w:t>。</w:t>
            </w:r>
            <w:r>
              <w:rPr>
                <w:rFonts w:hint="eastAsia" w:ascii="Times New Roman" w:hAnsi="Times New Roman" w:eastAsia="仿宋_GB2312" w:cs="Times New Roman"/>
                <w:b w:val="0"/>
                <w:bCs w:val="0"/>
                <w:color w:val="auto"/>
                <w:kern w:val="2"/>
                <w:sz w:val="24"/>
                <w:szCs w:val="24"/>
                <w:highlight w:val="none"/>
                <w:lang w:val="en-US" w:eastAsia="zh-CN" w:bidi="ar-SA"/>
              </w:rPr>
              <w:t>永久占用：耕地0.9亩，林地0.97亩，荒地3.91亩</w:t>
            </w:r>
            <w:r>
              <w:rPr>
                <w:rFonts w:hint="eastAsia" w:eastAsia="仿宋_GB2312" w:cs="Times New Roman"/>
                <w:b w:val="0"/>
                <w:bCs w:val="0"/>
                <w:color w:val="auto"/>
                <w:kern w:val="2"/>
                <w:sz w:val="24"/>
                <w:szCs w:val="24"/>
                <w:highlight w:val="none"/>
                <w:lang w:val="en-US" w:eastAsia="zh-CN" w:bidi="ar-SA"/>
              </w:rPr>
              <w:t>。</w:t>
            </w:r>
          </w:p>
          <w:p>
            <w:pPr>
              <w:pStyle w:val="9"/>
              <w:adjustRightInd w:val="0"/>
              <w:spacing w:before="0" w:after="0" w:line="360" w:lineRule="auto"/>
              <w:ind w:right="0" w:firstLine="480" w:firstLineChars="200"/>
              <w:rPr>
                <w:rFonts w:hint="eastAsia"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（2）临时占地</w:t>
            </w:r>
          </w:p>
          <w:p>
            <w:pPr>
              <w:pStyle w:val="9"/>
              <w:adjustRightInd w:val="0"/>
              <w:spacing w:before="0" w:after="0" w:line="360" w:lineRule="auto"/>
              <w:ind w:right="0" w:firstLine="480" w:firstLineChars="200"/>
              <w:rPr>
                <w:rFonts w:hint="default" w:eastAsia="仿宋_GB2312"/>
                <w:bCs/>
                <w:color w:val="auto"/>
                <w:sz w:val="24"/>
                <w:highlight w:val="none"/>
                <w:lang w:val="en-US" w:eastAsia="zh-CN"/>
              </w:rPr>
            </w:pPr>
            <w:r>
              <w:rPr>
                <w:rFonts w:hint="eastAsia" w:ascii="Times New Roman" w:hAnsi="Times New Roman" w:eastAsia="仿宋_GB2312" w:cs="Times New Roman"/>
                <w:b w:val="0"/>
                <w:bCs w:val="0"/>
                <w:color w:val="auto"/>
                <w:sz w:val="24"/>
                <w:szCs w:val="24"/>
                <w:highlight w:val="none"/>
                <w:lang w:val="en-US" w:eastAsia="zh-CN"/>
              </w:rPr>
              <w:t>本项目设置2亩的临时施工区，仅用于停放施工车辆，搭建临时仓库存放施工机械设备</w:t>
            </w:r>
            <w:r>
              <w:rPr>
                <w:rFonts w:hint="eastAsia" w:ascii="Times New Roman" w:hAnsi="Times New Roman" w:eastAsia="仿宋_GB2312" w:cs="Times New Roman"/>
                <w:color w:val="auto"/>
                <w:kern w:val="2"/>
                <w:sz w:val="24"/>
                <w:szCs w:val="24"/>
                <w:highlight w:val="none"/>
                <w:lang w:val="en-US" w:eastAsia="zh-CN" w:bidi="ar-SA"/>
              </w:rPr>
              <w:t>，占地为</w:t>
            </w:r>
            <w:r>
              <w:rPr>
                <w:rFonts w:hint="eastAsia" w:eastAsia="仿宋_GB2312" w:cs="Times New Roman"/>
                <w:color w:val="auto"/>
                <w:kern w:val="2"/>
                <w:sz w:val="24"/>
                <w:szCs w:val="24"/>
                <w:highlight w:val="none"/>
                <w:lang w:val="en-US" w:eastAsia="zh-CN" w:bidi="ar-SA"/>
              </w:rPr>
              <w:t>河滩</w:t>
            </w:r>
            <w:r>
              <w:rPr>
                <w:rFonts w:hint="eastAsia" w:ascii="Times New Roman" w:hAnsi="Times New Roman" w:eastAsia="仿宋_GB2312" w:cs="Times New Roman"/>
                <w:color w:val="auto"/>
                <w:kern w:val="2"/>
                <w:sz w:val="24"/>
                <w:szCs w:val="24"/>
                <w:highlight w:val="none"/>
                <w:lang w:val="en-US" w:eastAsia="zh-CN" w:bidi="ar-SA"/>
              </w:rPr>
              <w:t>地。设置取土场1处，占地</w:t>
            </w:r>
            <w:r>
              <w:rPr>
                <w:rFonts w:hint="eastAsia" w:ascii="Times New Roman" w:hAnsi="Times New Roman" w:eastAsia="仿宋_GB2312" w:cs="Times New Roman"/>
                <w:b w:val="0"/>
                <w:bCs w:val="0"/>
                <w:color w:val="auto"/>
                <w:kern w:val="2"/>
                <w:sz w:val="24"/>
                <w:szCs w:val="24"/>
                <w:highlight w:val="none"/>
                <w:lang w:val="en-US" w:eastAsia="zh-CN" w:bidi="ar-SA"/>
              </w:rPr>
              <w:t>15亩，占地为荒地</w:t>
            </w:r>
            <w:r>
              <w:rPr>
                <w:rFonts w:hint="eastAsia" w:eastAsia="仿宋_GB2312" w:cs="Times New Roman"/>
                <w:b w:val="0"/>
                <w:bCs w:val="0"/>
                <w:color w:val="auto"/>
                <w:kern w:val="2"/>
                <w:sz w:val="24"/>
                <w:szCs w:val="24"/>
                <w:highlight w:val="none"/>
                <w:lang w:val="en-US" w:eastAsia="zh-CN" w:bidi="ar-SA"/>
              </w:rPr>
              <w:t>。其余临时占地为施工工作面、开挖土方堆放临时用地约2.1亩。本工程临时占地共19.1亩，其中：占用河滩地2亩、荒地15亩、耕地2.1亩。</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76" w:hRule="atLeast"/>
          <w:jc w:val="center"/>
        </w:trPr>
        <w:tc>
          <w:tcPr>
            <w:tcW w:w="823" w:type="dxa"/>
            <w:tcBorders>
              <w:tl2br w:val="nil"/>
              <w:tr2bl w:val="nil"/>
            </w:tcBorders>
            <w:vAlign w:val="center"/>
          </w:tcPr>
          <w:p>
            <w:pPr>
              <w:pStyle w:val="21"/>
              <w:adjustRightInd w:val="0"/>
              <w:snapToGrid w:val="0"/>
              <w:spacing w:before="0" w:beforeAutospacing="0" w:after="0" w:afterAutospacing="0"/>
              <w:jc w:val="center"/>
              <w:rPr>
                <w:rFonts w:hint="eastAsia" w:ascii="Times New Roman" w:hAnsi="Times New Roman" w:eastAsia="仿宋_GB2312"/>
                <w:b/>
                <w:bCs/>
                <w:color w:val="auto"/>
                <w:szCs w:val="24"/>
                <w:highlight w:val="none"/>
                <w:lang w:eastAsia="zh-CN"/>
              </w:rPr>
            </w:pPr>
            <w:r>
              <w:rPr>
                <w:rFonts w:hint="eastAsia" w:ascii="Times New Roman" w:hAnsi="Times New Roman" w:eastAsiaTheme="minorEastAsia"/>
                <w:b/>
                <w:bCs/>
                <w:color w:val="auto"/>
                <w:szCs w:val="24"/>
                <w:highlight w:val="none"/>
                <w:lang w:eastAsia="zh-CN"/>
              </w:rPr>
              <w:t>总平面及现场布置</w:t>
            </w:r>
          </w:p>
        </w:tc>
        <w:tc>
          <w:tcPr>
            <w:tcW w:w="8220" w:type="dxa"/>
            <w:tcBorders>
              <w:tl2br w:val="nil"/>
              <w:tr2bl w:val="nil"/>
            </w:tcBorders>
          </w:tcPr>
          <w:p>
            <w:pPr>
              <w:adjustRightInd w:val="0"/>
              <w:spacing w:line="360" w:lineRule="auto"/>
              <w:ind w:firstLine="482" w:firstLineChars="200"/>
              <w:rPr>
                <w:rFonts w:hint="eastAsia" w:ascii="Times New Roman" w:hAnsi="Times New Roman" w:eastAsia="仿宋_GB2312" w:cs="Times New Roman"/>
                <w:b/>
                <w:bCs w:val="0"/>
                <w:color w:val="auto"/>
                <w:sz w:val="24"/>
                <w:highlight w:val="none"/>
                <w:vertAlign w:val="baseline"/>
                <w:lang w:val="en-US" w:eastAsia="zh-CN"/>
              </w:rPr>
            </w:pPr>
            <w:r>
              <w:rPr>
                <w:rFonts w:hint="eastAsia" w:ascii="Times New Roman" w:hAnsi="Times New Roman" w:eastAsia="仿宋_GB2312" w:cs="Times New Roman"/>
                <w:b/>
                <w:bCs w:val="0"/>
                <w:color w:val="auto"/>
                <w:sz w:val="24"/>
                <w:highlight w:val="none"/>
                <w:vertAlign w:val="baseline"/>
                <w:lang w:val="en-US" w:eastAsia="zh-CN"/>
              </w:rPr>
              <w:t>1、工程布局情况</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rPr>
            </w:pPr>
            <w:r>
              <w:rPr>
                <w:rFonts w:hint="eastAsia" w:ascii="Times New Roman" w:hAnsi="Times New Roman" w:eastAsia="仿宋_GB2312" w:cs="Times New Roman"/>
                <w:b w:val="0"/>
                <w:bCs w:val="0"/>
                <w:color w:val="auto"/>
                <w:kern w:val="2"/>
                <w:sz w:val="24"/>
                <w:szCs w:val="24"/>
                <w:highlight w:val="none"/>
                <w:lang w:val="en-US" w:eastAsia="zh-CN" w:bidi="ar-SA"/>
              </w:rPr>
              <w:t>根据工程总体</w:t>
            </w:r>
            <w:r>
              <w:rPr>
                <w:rFonts w:hint="eastAsia" w:eastAsia="仿宋_GB2312" w:cs="Times New Roman"/>
                <w:b w:val="0"/>
                <w:bCs w:val="0"/>
                <w:color w:val="auto"/>
                <w:kern w:val="2"/>
                <w:sz w:val="24"/>
                <w:szCs w:val="24"/>
                <w:highlight w:val="none"/>
                <w:lang w:val="en-US" w:eastAsia="zh-CN" w:bidi="ar-SA"/>
              </w:rPr>
              <w:t>设计</w:t>
            </w:r>
            <w:r>
              <w:rPr>
                <w:rFonts w:hint="eastAsia" w:ascii="Times New Roman" w:hAnsi="Times New Roman" w:eastAsia="仿宋_GB2312" w:cs="Times New Roman"/>
                <w:b w:val="0"/>
                <w:bCs w:val="0"/>
                <w:color w:val="auto"/>
                <w:kern w:val="2"/>
                <w:sz w:val="24"/>
                <w:szCs w:val="24"/>
                <w:highlight w:val="none"/>
                <w:lang w:val="en-US" w:eastAsia="zh-CN" w:bidi="ar-SA"/>
              </w:rPr>
              <w:t>，本次</w:t>
            </w:r>
            <w:r>
              <w:rPr>
                <w:rFonts w:hint="eastAsia" w:eastAsia="仿宋_GB2312" w:cs="Times New Roman"/>
                <w:b w:val="0"/>
                <w:bCs w:val="0"/>
                <w:color w:val="auto"/>
                <w:kern w:val="2"/>
                <w:sz w:val="24"/>
                <w:szCs w:val="24"/>
                <w:highlight w:val="none"/>
                <w:lang w:val="en-US" w:eastAsia="zh-CN" w:bidi="ar-SA"/>
              </w:rPr>
              <w:t>治理段为清水河山河桥~清水河入黄口，河道桩号K0+000～K3+280（对应大断面：QSH100～QSH101，对应全河桩号：K307+606～310+886），治理河长约3.28km。工程主要包括高边坡坡脚防护工程、高边坡生态修复工程、防汛道路工程三项工程建设内容</w:t>
            </w:r>
            <w:r>
              <w:rPr>
                <w:rFonts w:hint="eastAsia"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olor w:val="auto"/>
                <w:sz w:val="24"/>
                <w:highlight w:val="none"/>
                <w:lang w:eastAsia="zh-CN"/>
              </w:rPr>
              <w:t>其中，对清水河山河桥段沟道高边坡坡脚进行防护0.25km；对清水河沙坡头区山河桥段裸露地块及边坡进行生态修复，治理总长0.85km，生态修复面积31.7亩；新建防道路2.85km，安装双波护栏3.15km，改线D40渠道0.13km，新建巡河步道350m，采用彩色混凝土，路宽1.5m。</w:t>
            </w:r>
            <w:r>
              <w:rPr>
                <w:rFonts w:hint="default" w:ascii="Times New Roman" w:hAnsi="Times New Roman" w:eastAsia="仿宋_GB2312" w:cs="Times New Roman"/>
                <w:color w:val="auto"/>
                <w:sz w:val="24"/>
                <w:szCs w:val="24"/>
                <w:highlight w:val="none"/>
              </w:rPr>
              <w:t>具体总平面</w:t>
            </w:r>
            <w:r>
              <w:rPr>
                <w:rFonts w:hint="eastAsia" w:ascii="Times New Roman" w:hAnsi="Times New Roman" w:eastAsia="仿宋_GB2312" w:cs="Times New Roman"/>
                <w:color w:val="auto"/>
                <w:sz w:val="24"/>
                <w:szCs w:val="24"/>
                <w:highlight w:val="none"/>
                <w:lang w:eastAsia="zh-CN"/>
              </w:rPr>
              <w:t>布置</w:t>
            </w:r>
            <w:r>
              <w:rPr>
                <w:rFonts w:hint="default" w:ascii="Times New Roman" w:hAnsi="Times New Roman" w:eastAsia="仿宋_GB2312" w:cs="Times New Roman"/>
                <w:color w:val="auto"/>
                <w:sz w:val="24"/>
                <w:szCs w:val="24"/>
                <w:highlight w:val="none"/>
              </w:rPr>
              <w:t>见图</w:t>
            </w:r>
            <w:r>
              <w:rPr>
                <w:rFonts w:hint="eastAsia" w:eastAsia="仿宋_GB2312" w:cs="Times New Roman"/>
                <w:color w:val="auto"/>
                <w:sz w:val="24"/>
                <w:szCs w:val="24"/>
                <w:highlight w:val="none"/>
                <w:lang w:val="en-US" w:eastAsia="zh-CN"/>
              </w:rPr>
              <w:t>17</w:t>
            </w:r>
            <w:r>
              <w:rPr>
                <w:rFonts w:hint="default" w:ascii="Times New Roman" w:hAnsi="Times New Roman" w:eastAsia="仿宋_GB2312" w:cs="Times New Roman"/>
                <w:color w:val="auto"/>
                <w:sz w:val="24"/>
                <w:szCs w:val="24"/>
                <w:highlight w:val="none"/>
              </w:rPr>
              <w:t>。</w:t>
            </w:r>
          </w:p>
          <w:p>
            <w:pPr>
              <w:adjustRightInd w:val="0"/>
              <w:spacing w:line="360" w:lineRule="auto"/>
              <w:ind w:firstLine="482" w:firstLineChars="200"/>
              <w:rPr>
                <w:rFonts w:hint="default" w:ascii="Times New Roman" w:hAnsi="Times New Roman" w:eastAsia="仿宋_GB2312" w:cs="Times New Roman"/>
                <w:b/>
                <w:bCs w:val="0"/>
                <w:color w:val="auto"/>
                <w:sz w:val="24"/>
                <w:highlight w:val="none"/>
                <w:vertAlign w:val="baseline"/>
                <w:lang w:val="en-US" w:eastAsia="zh-CN"/>
              </w:rPr>
            </w:pPr>
            <w:r>
              <w:rPr>
                <w:rFonts w:hint="default" w:ascii="Times New Roman" w:hAnsi="Times New Roman" w:eastAsia="仿宋_GB2312" w:cs="Times New Roman"/>
                <w:b/>
                <w:bCs w:val="0"/>
                <w:color w:val="auto"/>
                <w:sz w:val="24"/>
                <w:highlight w:val="none"/>
                <w:vertAlign w:val="baseline"/>
                <w:lang w:val="en-US" w:eastAsia="zh-CN"/>
              </w:rPr>
              <w:t>2</w:t>
            </w:r>
            <w:r>
              <w:rPr>
                <w:rFonts w:hint="eastAsia" w:ascii="Times New Roman" w:hAnsi="Times New Roman" w:eastAsia="仿宋_GB2312" w:cs="Times New Roman"/>
                <w:b/>
                <w:bCs w:val="0"/>
                <w:color w:val="auto"/>
                <w:sz w:val="24"/>
                <w:highlight w:val="none"/>
                <w:vertAlign w:val="baseline"/>
                <w:lang w:val="en-US" w:eastAsia="zh-CN"/>
              </w:rPr>
              <w:t>、</w:t>
            </w:r>
            <w:r>
              <w:rPr>
                <w:rFonts w:hint="default" w:ascii="Times New Roman" w:hAnsi="Times New Roman" w:eastAsia="仿宋_GB2312" w:cs="Times New Roman"/>
                <w:b/>
                <w:bCs w:val="0"/>
                <w:color w:val="auto"/>
                <w:sz w:val="24"/>
                <w:highlight w:val="none"/>
                <w:vertAlign w:val="baseline"/>
                <w:lang w:val="en-US" w:eastAsia="zh-CN"/>
              </w:rPr>
              <w:t>施工</w:t>
            </w:r>
            <w:r>
              <w:rPr>
                <w:rFonts w:hint="eastAsia" w:ascii="Times New Roman" w:hAnsi="Times New Roman" w:eastAsia="仿宋_GB2312" w:cs="Times New Roman"/>
                <w:b/>
                <w:bCs w:val="0"/>
                <w:color w:val="auto"/>
                <w:sz w:val="24"/>
                <w:highlight w:val="none"/>
                <w:vertAlign w:val="baseline"/>
                <w:lang w:val="en-US" w:eastAsia="zh-CN"/>
              </w:rPr>
              <w:t>布置</w:t>
            </w:r>
            <w:r>
              <w:rPr>
                <w:rFonts w:hint="default" w:ascii="Times New Roman" w:hAnsi="Times New Roman" w:eastAsia="仿宋_GB2312" w:cs="Times New Roman"/>
                <w:b/>
                <w:bCs w:val="0"/>
                <w:color w:val="auto"/>
                <w:sz w:val="24"/>
                <w:highlight w:val="none"/>
                <w:vertAlign w:val="baseline"/>
                <w:lang w:val="en-US" w:eastAsia="zh-CN"/>
              </w:rPr>
              <w:t>情况</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outlineLvl w:val="1"/>
              <w:rPr>
                <w:rFonts w:hint="default"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临时施工区</w:t>
            </w:r>
            <w:r>
              <w:rPr>
                <w:rFonts w:hint="eastAsia" w:ascii="Times New Roman" w:hAnsi="Times New Roman" w:eastAsia="仿宋_GB2312" w:cs="Times New Roman"/>
                <w:b w:val="0"/>
                <w:bCs w:val="0"/>
                <w:color w:val="auto"/>
                <w:kern w:val="2"/>
                <w:sz w:val="24"/>
                <w:szCs w:val="24"/>
                <w:highlight w:val="none"/>
                <w:lang w:val="en-US" w:eastAsia="zh-CN" w:bidi="ar-SA"/>
              </w:rPr>
              <w:t>：</w:t>
            </w:r>
            <w:r>
              <w:rPr>
                <w:rFonts w:hint="eastAsia" w:ascii="Times New Roman" w:hAnsi="Times New Roman" w:eastAsia="仿宋_GB2312" w:cs="Times New Roman"/>
                <w:b w:val="0"/>
                <w:bCs w:val="0"/>
                <w:color w:val="auto"/>
                <w:sz w:val="24"/>
                <w:szCs w:val="24"/>
                <w:highlight w:val="none"/>
                <w:lang w:val="en-US" w:eastAsia="zh-CN"/>
              </w:rPr>
              <w:t>本项目临时施工区设置在</w:t>
            </w:r>
            <w:r>
              <w:rPr>
                <w:rFonts w:hint="eastAsia" w:eastAsia="仿宋_GB2312" w:cs="Times New Roman"/>
                <w:b w:val="0"/>
                <w:bCs w:val="0"/>
                <w:color w:val="auto"/>
                <w:sz w:val="24"/>
                <w:szCs w:val="24"/>
                <w:highlight w:val="none"/>
                <w:lang w:val="en-US" w:eastAsia="zh-CN"/>
              </w:rPr>
              <w:t>七星渠板桥西北侧200m处</w:t>
            </w:r>
            <w:r>
              <w:rPr>
                <w:rFonts w:hint="eastAsia" w:ascii="Times New Roman" w:hAnsi="Times New Roman" w:eastAsia="仿宋_GB2312" w:cs="Times New Roman"/>
                <w:b w:val="0"/>
                <w:bCs w:val="0"/>
                <w:color w:val="auto"/>
                <w:sz w:val="24"/>
                <w:szCs w:val="24"/>
                <w:highlight w:val="none"/>
                <w:lang w:val="en-US" w:eastAsia="zh-CN"/>
              </w:rPr>
              <w:t>，地理坐标为</w:t>
            </w:r>
            <w:r>
              <w:rPr>
                <w:rFonts w:hint="default" w:ascii="Times New Roman" w:hAnsi="Times New Roman" w:eastAsia="仿宋_GB2312" w:cs="Times New Roman"/>
                <w:color w:val="auto"/>
                <w:kern w:val="2"/>
                <w:sz w:val="24"/>
                <w:szCs w:val="24"/>
                <w:highlight w:val="none"/>
                <w:lang w:val="en-US" w:eastAsia="zh-CN" w:bidi="ar-SA"/>
              </w:rPr>
              <w:t>E105°3</w:t>
            </w:r>
            <w:r>
              <w:rPr>
                <w:rFonts w:hint="eastAsia" w:eastAsia="仿宋_GB2312" w:cs="Times New Roman"/>
                <w:color w:val="auto"/>
                <w:kern w:val="2"/>
                <w:sz w:val="24"/>
                <w:szCs w:val="24"/>
                <w:highlight w:val="none"/>
                <w:lang w:val="en-US" w:eastAsia="zh-CN" w:bidi="ar-SA"/>
              </w:rPr>
              <w:t>2</w:t>
            </w:r>
            <w:r>
              <w:rPr>
                <w:rFonts w:hint="default" w:ascii="Times New Roman" w:hAnsi="Times New Roman" w:eastAsia="仿宋_GB2312" w:cs="Times New Roman"/>
                <w:color w:val="auto"/>
                <w:kern w:val="2"/>
                <w:sz w:val="24"/>
                <w:szCs w:val="24"/>
                <w:highlight w:val="none"/>
                <w:lang w:val="en-US" w:eastAsia="zh-CN" w:bidi="ar-SA"/>
              </w:rPr>
              <w:t>′</w:t>
            </w:r>
            <w:r>
              <w:rPr>
                <w:rFonts w:hint="eastAsia" w:eastAsia="仿宋_GB2312" w:cs="Times New Roman"/>
                <w:color w:val="auto"/>
                <w:kern w:val="2"/>
                <w:sz w:val="24"/>
                <w:szCs w:val="24"/>
                <w:highlight w:val="none"/>
                <w:lang w:val="en-US" w:eastAsia="zh-CN" w:bidi="ar-SA"/>
              </w:rPr>
              <w:t>15.091</w:t>
            </w:r>
            <w:r>
              <w:rPr>
                <w:rFonts w:hint="default" w:ascii="Times New Roman" w:hAnsi="Times New Roman" w:eastAsia="仿宋_GB2312" w:cs="Times New Roman"/>
                <w:color w:val="auto"/>
                <w:kern w:val="2"/>
                <w:sz w:val="24"/>
                <w:szCs w:val="24"/>
                <w:highlight w:val="none"/>
                <w:lang w:val="en-US" w:eastAsia="zh-CN" w:bidi="ar-SA"/>
              </w:rPr>
              <w:t>″，N37°2</w:t>
            </w:r>
            <w:r>
              <w:rPr>
                <w:rFonts w:hint="eastAsia" w:ascii="Times New Roman" w:hAnsi="Times New Roman" w:eastAsia="仿宋_GB2312" w:cs="Times New Roman"/>
                <w:color w:val="auto"/>
                <w:kern w:val="2"/>
                <w:sz w:val="24"/>
                <w:szCs w:val="24"/>
                <w:highlight w:val="none"/>
                <w:lang w:val="en-US" w:eastAsia="zh-CN" w:bidi="ar-SA"/>
              </w:rPr>
              <w:t>8</w:t>
            </w:r>
            <w:r>
              <w:rPr>
                <w:rFonts w:hint="default" w:ascii="Times New Roman" w:hAnsi="Times New Roman" w:eastAsia="仿宋_GB2312" w:cs="Times New Roman"/>
                <w:color w:val="auto"/>
                <w:kern w:val="2"/>
                <w:sz w:val="24"/>
                <w:szCs w:val="24"/>
                <w:highlight w:val="none"/>
                <w:lang w:val="en-US" w:eastAsia="zh-CN" w:bidi="ar-SA"/>
              </w:rPr>
              <w:t>′</w:t>
            </w:r>
            <w:r>
              <w:rPr>
                <w:rFonts w:hint="eastAsia" w:eastAsia="仿宋_GB2312" w:cs="Times New Roman"/>
                <w:color w:val="auto"/>
                <w:kern w:val="2"/>
                <w:sz w:val="24"/>
                <w:szCs w:val="24"/>
                <w:highlight w:val="none"/>
                <w:lang w:val="en-US" w:eastAsia="zh-CN" w:bidi="ar-SA"/>
              </w:rPr>
              <w:t>18.680</w:t>
            </w:r>
            <w:r>
              <w:rPr>
                <w:rFonts w:hint="default" w:ascii="Times New Roman" w:hAnsi="Times New Roman" w:eastAsia="仿宋_GB2312" w:cs="Times New Roman"/>
                <w:color w:val="auto"/>
                <w:kern w:val="2"/>
                <w:sz w:val="24"/>
                <w:szCs w:val="24"/>
                <w:highlight w:val="none"/>
                <w:lang w:val="en-US" w:eastAsia="zh-CN" w:bidi="ar-SA"/>
              </w:rPr>
              <w:t>″</w:t>
            </w:r>
            <w:r>
              <w:rPr>
                <w:rFonts w:hint="eastAsia" w:ascii="Times New Roman" w:hAnsi="Times New Roman" w:eastAsia="仿宋_GB2312" w:cs="Times New Roman"/>
                <w:color w:val="auto"/>
                <w:kern w:val="2"/>
                <w:sz w:val="24"/>
                <w:szCs w:val="24"/>
                <w:highlight w:val="none"/>
                <w:lang w:val="en-US" w:eastAsia="zh-CN" w:bidi="ar-SA"/>
              </w:rPr>
              <w:t>，距离黄河直线距离约1</w:t>
            </w:r>
            <w:r>
              <w:rPr>
                <w:rFonts w:hint="eastAsia" w:eastAsia="仿宋_GB2312" w:cs="Times New Roman"/>
                <w:color w:val="auto"/>
                <w:kern w:val="2"/>
                <w:sz w:val="24"/>
                <w:szCs w:val="24"/>
                <w:highlight w:val="none"/>
                <w:lang w:val="en-US" w:eastAsia="zh-CN" w:bidi="ar-SA"/>
              </w:rPr>
              <w:t>8</w:t>
            </w:r>
            <w:r>
              <w:rPr>
                <w:rFonts w:hint="eastAsia" w:ascii="Times New Roman" w:hAnsi="Times New Roman" w:eastAsia="仿宋_GB2312" w:cs="Times New Roman"/>
                <w:color w:val="auto"/>
                <w:kern w:val="2"/>
                <w:sz w:val="24"/>
                <w:szCs w:val="24"/>
                <w:highlight w:val="none"/>
                <w:lang w:val="en-US" w:eastAsia="zh-CN" w:bidi="ar-SA"/>
              </w:rPr>
              <w:t>00m，占地为</w:t>
            </w:r>
            <w:r>
              <w:rPr>
                <w:rFonts w:hint="eastAsia" w:eastAsia="仿宋_GB2312" w:cs="Times New Roman"/>
                <w:color w:val="auto"/>
                <w:kern w:val="2"/>
                <w:sz w:val="24"/>
                <w:szCs w:val="24"/>
                <w:highlight w:val="none"/>
                <w:lang w:val="en-US" w:eastAsia="zh-CN" w:bidi="ar-SA"/>
              </w:rPr>
              <w:t>河滩</w:t>
            </w:r>
            <w:r>
              <w:rPr>
                <w:rFonts w:hint="eastAsia" w:ascii="Times New Roman" w:hAnsi="Times New Roman" w:eastAsia="仿宋_GB2312" w:cs="Times New Roman"/>
                <w:color w:val="auto"/>
                <w:kern w:val="2"/>
                <w:sz w:val="24"/>
                <w:szCs w:val="24"/>
                <w:highlight w:val="none"/>
                <w:lang w:val="en-US" w:eastAsia="zh-CN" w:bidi="ar-SA"/>
              </w:rPr>
              <w:t>地。临时</w:t>
            </w:r>
            <w:r>
              <w:rPr>
                <w:rFonts w:hint="eastAsia" w:eastAsia="仿宋_GB2312" w:cs="Times New Roman"/>
                <w:b w:val="0"/>
                <w:bCs w:val="0"/>
                <w:color w:val="auto"/>
                <w:kern w:val="2"/>
                <w:sz w:val="24"/>
                <w:szCs w:val="24"/>
                <w:highlight w:val="none"/>
                <w:lang w:val="en-US" w:eastAsia="zh-CN" w:bidi="ar-SA"/>
              </w:rPr>
              <w:t>施工区</w:t>
            </w:r>
            <w:r>
              <w:rPr>
                <w:rFonts w:hint="eastAsia" w:ascii="Times New Roman" w:hAnsi="Times New Roman" w:eastAsia="仿宋_GB2312" w:cs="Times New Roman"/>
                <w:color w:val="auto"/>
                <w:kern w:val="2"/>
                <w:sz w:val="24"/>
                <w:szCs w:val="24"/>
                <w:highlight w:val="none"/>
                <w:lang w:val="en-US" w:eastAsia="zh-CN" w:bidi="ar-SA"/>
              </w:rPr>
              <w:t>位于本项目治理段中部，交通较为便利，对于原辅材料的拉运储存较为方便。</w:t>
            </w:r>
            <w:r>
              <w:rPr>
                <w:rFonts w:hint="eastAsia" w:eastAsia="仿宋_GB2312" w:cs="Times New Roman"/>
                <w:color w:val="auto"/>
                <w:kern w:val="2"/>
                <w:sz w:val="24"/>
                <w:szCs w:val="24"/>
                <w:highlight w:val="none"/>
                <w:lang w:val="en-US" w:eastAsia="zh-CN" w:bidi="ar-SA"/>
              </w:rPr>
              <w:t>临时施工区仅停放施工车辆及及设备，</w:t>
            </w:r>
            <w:r>
              <w:rPr>
                <w:rFonts w:hint="eastAsia" w:ascii="Times New Roman" w:hAnsi="Times New Roman" w:eastAsia="仿宋_GB2312" w:cs="Times New Roman"/>
                <w:color w:val="auto"/>
                <w:kern w:val="2"/>
                <w:sz w:val="24"/>
                <w:szCs w:val="24"/>
                <w:highlight w:val="none"/>
                <w:lang w:val="en-US" w:eastAsia="zh-CN" w:bidi="ar-SA"/>
              </w:rPr>
              <w:t>对周围环境影响较小，所以临时施工区选址合理</w:t>
            </w:r>
            <w:r>
              <w:rPr>
                <w:rFonts w:hint="default" w:ascii="Times New Roman" w:hAnsi="Times New Roman" w:eastAsia="仿宋_GB2312" w:cs="Times New Roman"/>
                <w:b w:val="0"/>
                <w:bCs w:val="0"/>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outlineLvl w:val="1"/>
              <w:rPr>
                <w:rFonts w:hint="default"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取土场</w:t>
            </w:r>
            <w:r>
              <w:rPr>
                <w:rFonts w:hint="eastAsia" w:ascii="Times New Roman" w:hAnsi="Times New Roman" w:eastAsia="仿宋_GB2312" w:cs="Times New Roman"/>
                <w:b w:val="0"/>
                <w:bCs w:val="0"/>
                <w:color w:val="auto"/>
                <w:kern w:val="2"/>
                <w:sz w:val="24"/>
                <w:szCs w:val="24"/>
                <w:highlight w:val="none"/>
                <w:lang w:val="en-US" w:eastAsia="zh-CN" w:bidi="ar-SA"/>
              </w:rPr>
              <w:t>：根据现场勘察，土料厂选定在项目区西侧5km处台地上，料场面积15亩，有用层平均厚度3.5m，土料储量约3.4万m</w:t>
            </w:r>
            <w:r>
              <w:rPr>
                <w:rFonts w:hint="eastAsia" w:ascii="Times New Roman" w:hAnsi="Times New Roman" w:eastAsia="仿宋_GB2312" w:cs="Times New Roman"/>
                <w:b w:val="0"/>
                <w:bCs w:val="0"/>
                <w:color w:val="auto"/>
                <w:kern w:val="2"/>
                <w:sz w:val="24"/>
                <w:szCs w:val="24"/>
                <w:highlight w:val="none"/>
                <w:vertAlign w:val="superscript"/>
                <w:lang w:val="en-US" w:eastAsia="zh-CN" w:bidi="ar-SA"/>
              </w:rPr>
              <w:t>3</w:t>
            </w:r>
            <w:r>
              <w:rPr>
                <w:rFonts w:hint="eastAsia" w:ascii="Times New Roman" w:hAnsi="Times New Roman" w:eastAsia="仿宋_GB2312" w:cs="Times New Roman"/>
                <w:b w:val="0"/>
                <w:bCs w:val="0"/>
                <w:color w:val="auto"/>
                <w:kern w:val="2"/>
                <w:sz w:val="24"/>
                <w:szCs w:val="24"/>
                <w:highlight w:val="none"/>
                <w:lang w:val="en-US" w:eastAsia="zh-CN" w:bidi="ar-SA"/>
              </w:rPr>
              <w:t>，可以作为填筑土料使用</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本项目取土场位置见图18。</w:t>
            </w:r>
          </w:p>
          <w:p>
            <w:pPr>
              <w:adjustRightInd w:val="0"/>
              <w:spacing w:line="360" w:lineRule="auto"/>
              <w:ind w:firstLine="480" w:firstLineChars="200"/>
              <w:rPr>
                <w:rFonts w:eastAsia="仿宋_GB2312"/>
                <w:bCs/>
                <w:color w:val="auto"/>
                <w:sz w:val="24"/>
                <w:highlight w:val="none"/>
              </w:rPr>
            </w:pPr>
            <w:r>
              <w:rPr>
                <w:rFonts w:hint="eastAsia" w:eastAsia="仿宋_GB2312" w:cs="Times New Roman"/>
                <w:b w:val="0"/>
                <w:bCs w:val="0"/>
                <w:color w:val="auto"/>
                <w:kern w:val="2"/>
                <w:sz w:val="24"/>
                <w:szCs w:val="24"/>
                <w:highlight w:val="none"/>
                <w:lang w:val="en-US" w:eastAsia="zh-CN" w:bidi="ar-SA"/>
              </w:rPr>
              <w:t>弃土场</w:t>
            </w:r>
            <w:r>
              <w:rPr>
                <w:rFonts w:hint="eastAsia" w:ascii="Times New Roman" w:hAnsi="Times New Roman" w:eastAsia="仿宋_GB2312" w:cs="Times New Roman"/>
                <w:b w:val="0"/>
                <w:bCs w:val="0"/>
                <w:color w:val="auto"/>
                <w:kern w:val="2"/>
                <w:sz w:val="24"/>
                <w:szCs w:val="24"/>
                <w:highlight w:val="none"/>
                <w:lang w:val="en-US" w:eastAsia="zh-CN" w:bidi="ar-SA"/>
              </w:rPr>
              <w:t>：本项目</w:t>
            </w:r>
            <w:r>
              <w:rPr>
                <w:rFonts w:hint="eastAsia" w:eastAsia="仿宋_GB2312" w:cs="Times New Roman"/>
                <w:b w:val="0"/>
                <w:bCs w:val="0"/>
                <w:color w:val="auto"/>
                <w:kern w:val="2"/>
                <w:sz w:val="24"/>
                <w:szCs w:val="24"/>
                <w:highlight w:val="none"/>
                <w:lang w:val="en-US" w:eastAsia="zh-CN" w:bidi="ar-SA"/>
              </w:rPr>
              <w:t>施工期所有开挖土方全部回填利用，施工期结束后围堰拆除产生的弃方运输至政府指定地点。</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993" w:hRule="atLeast"/>
          <w:jc w:val="center"/>
        </w:trPr>
        <w:tc>
          <w:tcPr>
            <w:tcW w:w="823" w:type="dxa"/>
            <w:tcBorders>
              <w:tl2br w:val="nil"/>
              <w:tr2bl w:val="nil"/>
            </w:tcBorders>
            <w:vAlign w:val="center"/>
          </w:tcPr>
          <w:p>
            <w:pPr>
              <w:pStyle w:val="21"/>
              <w:adjustRightInd w:val="0"/>
              <w:snapToGrid w:val="0"/>
              <w:spacing w:before="0" w:beforeAutospacing="0" w:after="0" w:afterAutospacing="0"/>
              <w:jc w:val="center"/>
              <w:rPr>
                <w:rFonts w:hint="eastAsia" w:ascii="Times New Roman" w:hAnsi="Times New Roman" w:eastAsia="仿宋_GB2312"/>
                <w:b/>
                <w:bCs/>
                <w:color w:val="auto"/>
                <w:szCs w:val="24"/>
                <w:highlight w:val="none"/>
                <w:lang w:eastAsia="zh-CN"/>
              </w:rPr>
            </w:pPr>
            <w:r>
              <w:rPr>
                <w:rFonts w:hint="eastAsia" w:ascii="Times New Roman" w:hAnsi="Times New Roman" w:eastAsiaTheme="minorEastAsia"/>
                <w:b/>
                <w:bCs/>
                <w:color w:val="auto"/>
                <w:szCs w:val="24"/>
                <w:highlight w:val="none"/>
                <w:lang w:eastAsia="zh-CN"/>
              </w:rPr>
              <w:t>施工方案</w:t>
            </w:r>
          </w:p>
        </w:tc>
        <w:tc>
          <w:tcPr>
            <w:tcW w:w="8220" w:type="dxa"/>
            <w:tcBorders>
              <w:tl2br w:val="nil"/>
              <w:tr2bl w:val="nil"/>
            </w:tcBorders>
          </w:tcPr>
          <w:p>
            <w:pPr>
              <w:adjustRightInd w:val="0"/>
              <w:spacing w:line="360" w:lineRule="auto"/>
              <w:ind w:firstLine="482" w:firstLineChars="200"/>
              <w:rPr>
                <w:rFonts w:hint="default" w:eastAsia="仿宋_GB2312"/>
                <w:b/>
                <w:color w:val="auto"/>
                <w:sz w:val="24"/>
                <w:highlight w:val="none"/>
                <w:lang w:val="en-US" w:eastAsia="zh-CN"/>
              </w:rPr>
            </w:pPr>
            <w:r>
              <w:rPr>
                <w:rFonts w:hint="eastAsia" w:eastAsia="仿宋_GB2312"/>
                <w:b/>
                <w:color w:val="auto"/>
                <w:sz w:val="24"/>
                <w:highlight w:val="none"/>
                <w:lang w:val="en-US" w:eastAsia="zh-CN"/>
              </w:rPr>
              <w:t>1、施工工艺</w:t>
            </w:r>
          </w:p>
          <w:p>
            <w:pPr>
              <w:adjustRightInd w:val="0"/>
              <w:spacing w:line="360" w:lineRule="auto"/>
              <w:ind w:firstLine="482" w:firstLineChars="200"/>
              <w:rPr>
                <w:rFonts w:hint="eastAsia" w:eastAsia="仿宋_GB2312"/>
                <w:b/>
                <w:bCs w:val="0"/>
                <w:color w:val="auto"/>
                <w:sz w:val="24"/>
                <w:highlight w:val="none"/>
                <w:lang w:val="en-US" w:eastAsia="zh-CN"/>
              </w:rPr>
            </w:pPr>
            <w:r>
              <w:rPr>
                <w:rFonts w:hint="eastAsia" w:eastAsia="仿宋_GB2312"/>
                <w:b/>
                <w:bCs w:val="0"/>
                <w:color w:val="auto"/>
                <w:sz w:val="24"/>
                <w:highlight w:val="none"/>
                <w:lang w:val="en-US" w:eastAsia="zh-CN"/>
              </w:rPr>
              <w:t>1.1施工导截流</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本项目高边坡坡脚防护工程施工时需要进行施工导流，施工安排在非汛期进行。</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（1）导流方式</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河采用一次拦断河床围堰导流方式，先在河道外侧开挖明渠，在主体工程部位沿河道布置纵向围堰，待河道内主体工程施工完毕后，进行围堰拆除。</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（2）导流建筑物</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本工程采用围堰的方式进行导流，围堰采用土石围堰，总长0.2km，断面形式为梯形，坡比1:1，高2.0m，顶宽2.0m，底宽6.0m。</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明渠开挖采用2m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挖掘机挖装，15t自卸汽车运输。明渠回填利用开挖料，采用2m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挖掘机挖装，15t自卸汽车运输，74kW推土机平料，14t振动碾碾压。围堰利用开挖料进行填筑，采用2m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挖掘机挖土，15t自卸汽车运输，74kW推土机推土集料。施工结束后，应拆除围堰，采用2m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挖掘机拆除弃方1600m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，15t自卸汽车运输至政府指定地点。</w:t>
            </w:r>
          </w:p>
          <w:p>
            <w:pPr>
              <w:adjustRightInd w:val="0"/>
              <w:spacing w:line="360" w:lineRule="auto"/>
              <w:ind w:firstLine="482" w:firstLineChars="200"/>
              <w:rPr>
                <w:rFonts w:hint="eastAsia" w:eastAsia="仿宋_GB2312"/>
                <w:b/>
                <w:bCs w:val="0"/>
                <w:color w:val="auto"/>
                <w:sz w:val="24"/>
                <w:highlight w:val="none"/>
                <w:lang w:val="en-US" w:eastAsia="zh-CN"/>
              </w:rPr>
            </w:pPr>
            <w:r>
              <w:rPr>
                <w:rFonts w:hint="eastAsia" w:eastAsia="仿宋_GB2312"/>
                <w:b/>
                <w:bCs w:val="0"/>
                <w:color w:val="auto"/>
                <w:sz w:val="24"/>
                <w:highlight w:val="none"/>
                <w:lang w:val="en-US" w:eastAsia="zh-CN"/>
              </w:rPr>
              <w:t>1.2水利工程施工</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本项目水利工程施工包括场地平整土方开挖及构筑物基础土方开挖，场地平整土方回填，构筑物混凝土浇筑等。</w:t>
            </w:r>
          </w:p>
          <w:p>
            <w:pPr>
              <w:numPr>
                <w:ilvl w:val="0"/>
                <w:numId w:val="0"/>
              </w:num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（1）土方开挖</w:t>
            </w:r>
          </w:p>
          <w:p>
            <w:pPr>
              <w:numPr>
                <w:ilvl w:val="0"/>
                <w:numId w:val="0"/>
              </w:num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土方开挖采用2m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挖掘机挖土，15t自卸汽车运输，利用料就近堆放，直接用于土方回填。</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（2）土方填筑</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土方回填采用2m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挖掘机挖装，15t自卸汽车运输至工作面，74kW 推土机铺土，14t振动碾碾压，对于面积窄小的边角部位，机械碾压困难时，可采用机械铺料2.8kW蛙夯夯实。土方填筑分层施工，土料摊铺分层厚度按0.3m～0.5m控制，土块粒径不大于50mm，回填区土料不得含植物根茎、石块、砖瓦垃圾等杂质，铺土要求均匀平整，压实度应满足设计要求。</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（3）混凝土施工</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素混凝土垫层主要是建筑物基础垫层，采用商品混凝土，6m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混凝土搅拌运输车运输，溜槽入仓，人工摊铺、平整。主体混凝土浇筑采用6m</w:t>
            </w:r>
            <w:r>
              <w:rPr>
                <w:rFonts w:hint="eastAsia" w:eastAsia="仿宋_GB2312"/>
                <w:b w:val="0"/>
                <w:bCs/>
                <w:color w:val="auto"/>
                <w:sz w:val="24"/>
                <w:highlight w:val="none"/>
                <w:vertAlign w:val="superscript"/>
                <w:lang w:val="en-US" w:eastAsia="zh-CN"/>
              </w:rPr>
              <w:t>3</w:t>
            </w:r>
            <w:r>
              <w:rPr>
                <w:rFonts w:hint="eastAsia" w:eastAsia="仿宋_GB2312"/>
                <w:b w:val="0"/>
                <w:bCs/>
                <w:color w:val="auto"/>
                <w:sz w:val="24"/>
                <w:highlight w:val="none"/>
                <w:lang w:val="en-US" w:eastAsia="zh-CN"/>
              </w:rPr>
              <w:t>混凝土搅拌运输车送至工作面，人工立模，电动插入式振捣器振捣。</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混凝土浇筑应按次序分层进行，混凝土振捣时间以混凝土无明显下沉、不出现气泡、并开始泛浆为止。当混凝土浇筑完毕后，应根据气温条件，做好降温、保温、洒水等养护工作。</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（4）土工布施工</w:t>
            </w:r>
          </w:p>
          <w:p>
            <w:pPr>
              <w:adjustRightInd w:val="0"/>
              <w:spacing w:line="360" w:lineRule="auto"/>
              <w:ind w:firstLine="480" w:firstLineChars="200"/>
              <w:rPr>
                <w:rFonts w:hint="eastAsia"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①储存：土工布卷在安装展开前要避免受到损坏；土工布卷应该堆放于经平整不积水的地方，堆高不超过四卷的高度，并能看到卷的识别片；土工布卷必须用不透明材料覆盖以防紫外线老化；在储存过程中，要保持标签的完整和资料的完整</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eastAsia"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②运输：在运输过程中，土工布卷必须避免受到损坏</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eastAsia"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③铺设：土工布采用人工滚铺方式，要求布面平整，并适当留有变形余量；在施工中，土工布采用自然搭接，自然搭接时最小宽度为20cm；在坡面上，对土工布的一端进行锚固，然后将卷材须坡面放下以保证土工布保持拉紧的状态</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eastAsia" w:ascii="Times New Roman" w:hAnsi="Times New Roman" w:eastAsia="仿宋_GB2312" w:cs="Times New Roman"/>
                <w:b w:val="0"/>
                <w:bCs/>
                <w:color w:val="auto"/>
                <w:sz w:val="24"/>
                <w:highlight w:val="none"/>
                <w:lang w:val="en-US" w:eastAsia="zh-CN"/>
              </w:rPr>
            </w:pPr>
            <w:r>
              <w:rPr>
                <w:rFonts w:hint="eastAsia" w:ascii="Times New Roman" w:hAnsi="Times New Roman" w:eastAsia="仿宋_GB2312" w:cs="Times New Roman"/>
                <w:b w:val="0"/>
                <w:bCs/>
                <w:color w:val="auto"/>
                <w:sz w:val="24"/>
                <w:highlight w:val="none"/>
                <w:lang w:val="en-US" w:eastAsia="zh-CN"/>
              </w:rPr>
              <w:t>（5）格宾网箱施工</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①组装：格宾网垫生产厂家先将格宾护垫制作成半成品，然后折叠包装成捆运输到施工工地，在靠近安装位置的平整场地上打开，根据设计要求组装格宾网箱，避免损坏笼体和网线表面涂层</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②安装：将组装好的格宾网网箱按设计的平面位置、高程进行安装</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③填充石料施工：填充石料必须是坚固密实、耐风化的石料，严禁使用风化石，应采用粒径级配好的石料，石料使用机械入笼</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④封盖施工：必须在面层石料铺砌平整后，方可进入封盖施工工序。盖网片及框线与护垫组边框线间交（框）线每间隔25cm绑扎一道。将盖网片及框线与护垫组边框线间的所有相交（框）线绑扎在一起</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eastAsia" w:ascii="Times New Roman" w:hAnsi="Times New Roman" w:eastAsia="仿宋_GB2312" w:cs="Times New Roman"/>
                <w:b w:val="0"/>
                <w:bCs/>
                <w:color w:val="auto"/>
                <w:sz w:val="24"/>
                <w:highlight w:val="none"/>
                <w:lang w:val="en-US" w:eastAsia="zh-CN"/>
              </w:rPr>
              <w:t>（6）格栅石笼施工</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①格栅材料为TGSG30-30一次拉伸成型塑料双向土工格栅，无焊接点；其碳黑含量≥2.0，横向、纵向抗拉强度30.0KN/m，网孔尺寸：长×宽＝40×40mm，±误差不得超过2mm</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②隔网与网身的四处交角各绑扎一道；隔网与网身交接处，每间隔15cm绑扎一道；网箱水平拉丝按照《宁夏水利工程格宾应用技术导则》前述规定设置</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③网箱的填充材料粒径中，应满足有90%以上的填料粒径不小于（1.5～2.0）D</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④填充材料为块石（含碎石）时，块石应质地坚硬、软化系数大于0.8、比重大于2.0t/</w:t>
            </w:r>
            <w:r>
              <w:rPr>
                <w:rFonts w:hint="eastAsia" w:eastAsia="仿宋_GB2312"/>
                <w:b w:val="0"/>
                <w:bCs/>
                <w:color w:val="auto"/>
                <w:sz w:val="24"/>
                <w:highlight w:val="none"/>
                <w:lang w:val="en-US" w:eastAsia="zh-CN"/>
              </w:rPr>
              <w:t>m</w:t>
            </w:r>
            <w:r>
              <w:rPr>
                <w:rFonts w:hint="eastAsia" w:eastAsia="仿宋_GB2312"/>
                <w:b w:val="0"/>
                <w:bCs/>
                <w:color w:val="auto"/>
                <w:sz w:val="24"/>
                <w:highlight w:val="none"/>
                <w:vertAlign w:val="superscript"/>
                <w:lang w:val="en-US" w:eastAsia="zh-CN"/>
              </w:rPr>
              <w:t>3</w:t>
            </w:r>
            <w:r>
              <w:rPr>
                <w:rFonts w:hint="default" w:ascii="Times New Roman" w:hAnsi="Times New Roman" w:eastAsia="仿宋_GB2312" w:cs="Times New Roman"/>
                <w:b w:val="0"/>
                <w:bCs/>
                <w:color w:val="auto"/>
                <w:sz w:val="24"/>
                <w:highlight w:val="none"/>
                <w:lang w:val="en-US" w:eastAsia="zh-CN"/>
              </w:rPr>
              <w:t>。最小粒径大于12cm、最大粒径一般不超过50cm</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⑤填充材料级配必须满足格宾网箱体空隙率小于0.3的要求</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⑥依次、均匀、分批向各网箱内填料，严禁将单个网箱一次性填满</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⑦结合设置的水平拉丝，采用分层填料的方式填筑，避免网箱产生超规定的变形</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⑧单个网箱按照要求完成填料后，要即刻将网盖与网盖边丝绑扎在一起，绑扎间距15～20cm</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⑨允许偏差：网目尺寸纵、横向偏差需≤±5%</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⑩外观要求：颜色为黑色、色泽均匀，无损伤、无破裂、网孔尺寸大小均匀、厚薄一致</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2" w:firstLineChars="200"/>
              <w:rPr>
                <w:rFonts w:hint="eastAsia" w:eastAsia="仿宋_GB2312"/>
                <w:b/>
                <w:bCs w:val="0"/>
                <w:color w:val="auto"/>
                <w:sz w:val="24"/>
                <w:highlight w:val="none"/>
                <w:lang w:val="en-US" w:eastAsia="zh-CN"/>
              </w:rPr>
            </w:pPr>
            <w:r>
              <w:rPr>
                <w:rFonts w:hint="eastAsia" w:eastAsia="仿宋_GB2312"/>
                <w:b/>
                <w:bCs w:val="0"/>
                <w:color w:val="auto"/>
                <w:sz w:val="24"/>
                <w:highlight w:val="none"/>
                <w:lang w:val="en-US" w:eastAsia="zh-CN"/>
              </w:rPr>
              <w:t>1.3生态修复工程施工</w:t>
            </w:r>
          </w:p>
          <w:p>
            <w:pPr>
              <w:adjustRightIn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lang w:eastAsia="zh-CN"/>
              </w:rPr>
              <w:t>本项目</w:t>
            </w:r>
            <w:r>
              <w:rPr>
                <w:rFonts w:hint="eastAsia" w:eastAsia="仿宋_GB2312"/>
                <w:color w:val="auto"/>
                <w:sz w:val="24"/>
                <w:highlight w:val="none"/>
              </w:rPr>
              <w:t>生态修复工程施工包括水土流失防治、高边坡生态修复区等内容</w:t>
            </w:r>
            <w:r>
              <w:rPr>
                <w:rFonts w:hint="eastAsia" w:eastAsia="仿宋_GB2312"/>
                <w:color w:val="auto"/>
                <w:sz w:val="24"/>
                <w:highlight w:val="none"/>
                <w:lang w:eastAsia="zh-CN"/>
              </w:rPr>
              <w:t>。</w:t>
            </w:r>
          </w:p>
          <w:p>
            <w:pPr>
              <w:adjustRightIn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1</w:t>
            </w:r>
            <w:r>
              <w:rPr>
                <w:rFonts w:hint="eastAsia" w:eastAsia="仿宋_GB2312"/>
                <w:color w:val="auto"/>
                <w:sz w:val="24"/>
                <w:highlight w:val="none"/>
                <w:lang w:eastAsia="zh-CN"/>
              </w:rPr>
              <w:t>）苗木栽植</w:t>
            </w:r>
          </w:p>
          <w:p>
            <w:pPr>
              <w:adjustRightInd w:val="0"/>
              <w:spacing w:line="360" w:lineRule="auto"/>
              <w:ind w:firstLine="480" w:firstLineChars="200"/>
              <w:rPr>
                <w:rFonts w:hint="eastAsia" w:eastAsia="仿宋_GB2312"/>
                <w:color w:val="auto"/>
                <w:sz w:val="24"/>
                <w:highlight w:val="none"/>
                <w:lang w:eastAsia="zh-CN"/>
              </w:rPr>
            </w:pPr>
            <w:r>
              <w:rPr>
                <w:rFonts w:hint="default" w:ascii="Times New Roman" w:hAnsi="Times New Roman" w:eastAsia="仿宋_GB2312" w:cs="Times New Roman"/>
                <w:b w:val="0"/>
                <w:bCs/>
                <w:color w:val="auto"/>
                <w:sz w:val="24"/>
                <w:highlight w:val="none"/>
                <w:lang w:val="en-US" w:eastAsia="zh-CN"/>
              </w:rPr>
              <w:t>①定位放线</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根据施工图和已知的坐标，依据现场地形、地物进行放线，以石灰或定植桩确定种植点，以保证苗木栽植位置准确，整齐，使种植效果明显</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eastAsia" w:eastAsia="仿宋_GB2312"/>
                <w:color w:val="auto"/>
                <w:sz w:val="24"/>
                <w:highlight w:val="none"/>
                <w:lang w:eastAsia="zh-CN"/>
              </w:rPr>
            </w:pPr>
            <w:r>
              <w:rPr>
                <w:rFonts w:hint="default" w:ascii="Times New Roman" w:hAnsi="Times New Roman" w:eastAsia="仿宋_GB2312" w:cs="Times New Roman"/>
                <w:b w:val="0"/>
                <w:bCs/>
                <w:color w:val="auto"/>
                <w:sz w:val="24"/>
                <w:highlight w:val="none"/>
                <w:lang w:val="en-US" w:eastAsia="zh-CN"/>
              </w:rPr>
              <w:t>②挖种植穴</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种植穴的大小应满足设计要求。种植穴以机械打穴为主，以保证坑穴质量。本项目依据树种和规格，种植穴规格见下表</w:t>
            </w:r>
            <w:r>
              <w:rPr>
                <w:rFonts w:hint="eastAsia" w:ascii="Times New Roman" w:hAnsi="Times New Roman" w:eastAsia="仿宋_GB2312" w:cs="Times New Roman"/>
                <w:b w:val="0"/>
                <w:bCs/>
                <w:color w:val="auto"/>
                <w:sz w:val="24"/>
                <w:highlight w:val="none"/>
                <w:lang w:val="en-US" w:eastAsia="zh-CN"/>
              </w:rPr>
              <w:t>。</w:t>
            </w:r>
          </w:p>
          <w:p>
            <w:pPr>
              <w:adjustRightInd w:val="0"/>
              <w:snapToGrid w:val="0"/>
              <w:spacing w:line="240" w:lineRule="auto"/>
              <w:ind w:firstLine="480" w:firstLineChars="200"/>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val="en-US" w:eastAsia="zh-CN"/>
              </w:rPr>
              <w:t>表</w:t>
            </w:r>
            <w:r>
              <w:rPr>
                <w:rFonts w:hint="eastAsia" w:eastAsia="黑体" w:cs="Times New Roman"/>
                <w:color w:val="auto"/>
                <w:sz w:val="24"/>
                <w:highlight w:val="none"/>
                <w:lang w:val="en-US" w:eastAsia="zh-CN"/>
              </w:rPr>
              <w:t xml:space="preserve">8  </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常绿乔木类种植穴规格</w:t>
            </w:r>
          </w:p>
          <w:tbl>
            <w:tblPr>
              <w:tblStyle w:val="24"/>
              <w:tblW w:w="497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gridCol w:w="19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eastAsia="zh-CN"/>
                    </w:rPr>
                  </w:pPr>
                  <w:r>
                    <w:rPr>
                      <w:rFonts w:hint="eastAsia" w:ascii="Times New Roman" w:hAnsi="Times New Roman"/>
                      <w:b/>
                      <w:snapToGrid w:val="0"/>
                      <w:color w:val="auto"/>
                      <w:kern w:val="0"/>
                      <w:sz w:val="21"/>
                      <w:szCs w:val="21"/>
                      <w:highlight w:val="none"/>
                      <w:lang w:eastAsia="zh-CN"/>
                    </w:rPr>
                    <w:t>树高（</w:t>
                  </w:r>
                  <w:r>
                    <w:rPr>
                      <w:rFonts w:hint="eastAsia" w:ascii="Times New Roman" w:hAnsi="Times New Roman"/>
                      <w:b/>
                      <w:snapToGrid w:val="0"/>
                      <w:color w:val="auto"/>
                      <w:kern w:val="0"/>
                      <w:sz w:val="21"/>
                      <w:szCs w:val="21"/>
                      <w:highlight w:val="none"/>
                      <w:lang w:val="en-US" w:eastAsia="zh-CN"/>
                    </w:rPr>
                    <w:t>cm</w:t>
                  </w:r>
                  <w:r>
                    <w:rPr>
                      <w:rFonts w:hint="eastAsia" w:ascii="Times New Roman" w:hAnsi="Times New Roman"/>
                      <w:b/>
                      <w:snapToGrid w:val="0"/>
                      <w:color w:val="auto"/>
                      <w:kern w:val="0"/>
                      <w:sz w:val="21"/>
                      <w:szCs w:val="21"/>
                      <w:highlight w:val="none"/>
                      <w:lang w:eastAsia="zh-CN"/>
                    </w:rPr>
                    <w:t>）</w:t>
                  </w:r>
                </w:p>
              </w:tc>
              <w:tc>
                <w:tcPr>
                  <w:tcW w:w="1250"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eastAsia="zh-CN"/>
                    </w:rPr>
                  </w:pPr>
                  <w:r>
                    <w:rPr>
                      <w:rFonts w:hint="eastAsia" w:ascii="Times New Roman" w:hAnsi="Times New Roman"/>
                      <w:b/>
                      <w:snapToGrid w:val="0"/>
                      <w:color w:val="auto"/>
                      <w:kern w:val="0"/>
                      <w:sz w:val="21"/>
                      <w:szCs w:val="21"/>
                      <w:highlight w:val="none"/>
                      <w:lang w:eastAsia="zh-CN"/>
                    </w:rPr>
                    <w:t>土球直径（</w:t>
                  </w:r>
                  <w:r>
                    <w:rPr>
                      <w:rFonts w:hint="eastAsia" w:ascii="Times New Roman" w:hAnsi="Times New Roman"/>
                      <w:b/>
                      <w:snapToGrid w:val="0"/>
                      <w:color w:val="auto"/>
                      <w:kern w:val="0"/>
                      <w:sz w:val="21"/>
                      <w:szCs w:val="21"/>
                      <w:highlight w:val="none"/>
                      <w:lang w:val="en-US" w:eastAsia="zh-CN"/>
                    </w:rPr>
                    <w:t>cm</w:t>
                  </w:r>
                  <w:r>
                    <w:rPr>
                      <w:rFonts w:hint="eastAsia" w:ascii="Times New Roman" w:hAnsi="Times New Roman"/>
                      <w:b/>
                      <w:snapToGrid w:val="0"/>
                      <w:color w:val="auto"/>
                      <w:kern w:val="0"/>
                      <w:sz w:val="21"/>
                      <w:szCs w:val="21"/>
                      <w:highlight w:val="none"/>
                      <w:lang w:eastAsia="zh-CN"/>
                    </w:rPr>
                    <w:t>）</w:t>
                  </w:r>
                </w:p>
              </w:tc>
              <w:tc>
                <w:tcPr>
                  <w:tcW w:w="1250"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val="en-US" w:eastAsia="zh-CN" w:bidi="ar-SA"/>
                    </w:rPr>
                  </w:pPr>
                  <w:r>
                    <w:rPr>
                      <w:rFonts w:hint="eastAsia" w:ascii="Times New Roman" w:hAnsi="Times New Roman" w:eastAsia="宋体"/>
                      <w:b/>
                      <w:snapToGrid w:val="0"/>
                      <w:color w:val="auto"/>
                      <w:kern w:val="0"/>
                      <w:sz w:val="21"/>
                      <w:szCs w:val="21"/>
                      <w:highlight w:val="none"/>
                      <w:lang w:val="en-US" w:eastAsia="zh-CN" w:bidi="ar-SA"/>
                    </w:rPr>
                    <w:t>种植穴深度</w:t>
                  </w:r>
                  <w:r>
                    <w:rPr>
                      <w:rFonts w:hint="eastAsia" w:ascii="Times New Roman" w:hAnsi="Times New Roman"/>
                      <w:b/>
                      <w:snapToGrid w:val="0"/>
                      <w:color w:val="auto"/>
                      <w:kern w:val="0"/>
                      <w:sz w:val="21"/>
                      <w:szCs w:val="21"/>
                      <w:highlight w:val="none"/>
                      <w:lang w:eastAsia="zh-CN"/>
                    </w:rPr>
                    <w:t>（</w:t>
                  </w:r>
                  <w:r>
                    <w:rPr>
                      <w:rFonts w:hint="eastAsia" w:ascii="Times New Roman" w:hAnsi="Times New Roman"/>
                      <w:b/>
                      <w:snapToGrid w:val="0"/>
                      <w:color w:val="auto"/>
                      <w:kern w:val="0"/>
                      <w:sz w:val="21"/>
                      <w:szCs w:val="21"/>
                      <w:highlight w:val="none"/>
                      <w:lang w:val="en-US" w:eastAsia="zh-CN"/>
                    </w:rPr>
                    <w:t>cm</w:t>
                  </w:r>
                  <w:r>
                    <w:rPr>
                      <w:rFonts w:hint="eastAsia" w:ascii="Times New Roman" w:hAnsi="Times New Roman"/>
                      <w:b/>
                      <w:snapToGrid w:val="0"/>
                      <w:color w:val="auto"/>
                      <w:kern w:val="0"/>
                      <w:sz w:val="21"/>
                      <w:szCs w:val="21"/>
                      <w:highlight w:val="none"/>
                      <w:lang w:eastAsia="zh-CN"/>
                    </w:rPr>
                    <w:t>）</w:t>
                  </w:r>
                </w:p>
              </w:tc>
              <w:tc>
                <w:tcPr>
                  <w:tcW w:w="1250"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eastAsia="zh-CN"/>
                    </w:rPr>
                  </w:pPr>
                  <w:r>
                    <w:rPr>
                      <w:rFonts w:hint="eastAsia" w:ascii="Times New Roman" w:hAnsi="Times New Roman"/>
                      <w:b/>
                      <w:snapToGrid w:val="0"/>
                      <w:color w:val="auto"/>
                      <w:kern w:val="0"/>
                      <w:sz w:val="21"/>
                      <w:szCs w:val="21"/>
                      <w:highlight w:val="none"/>
                      <w:lang w:eastAsia="zh-CN"/>
                    </w:rPr>
                    <w:t>种植穴直径（</w:t>
                  </w:r>
                  <w:r>
                    <w:rPr>
                      <w:rFonts w:hint="eastAsia" w:ascii="Times New Roman" w:hAnsi="Times New Roman"/>
                      <w:b/>
                      <w:snapToGrid w:val="0"/>
                      <w:color w:val="auto"/>
                      <w:kern w:val="0"/>
                      <w:sz w:val="21"/>
                      <w:szCs w:val="21"/>
                      <w:highlight w:val="none"/>
                      <w:lang w:val="en-US" w:eastAsia="zh-CN"/>
                    </w:rPr>
                    <w:t>cm</w:t>
                  </w:r>
                  <w:r>
                    <w:rPr>
                      <w:rFonts w:hint="eastAsia" w:ascii="Times New Roman" w:hAnsi="Times New Roman"/>
                      <w:b/>
                      <w:snapToGrid w:val="0"/>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noWrap w:val="0"/>
                  <w:vAlign w:val="center"/>
                </w:tcPr>
                <w:p>
                  <w:pPr>
                    <w:widowControl/>
                    <w:spacing w:line="240" w:lineRule="auto"/>
                    <w:jc w:val="center"/>
                    <w:textAlignment w:val="center"/>
                    <w:rPr>
                      <w:rFonts w:hint="default" w:ascii="Times New Roman" w:hAnsi="Times New Roman" w:eastAsia="宋体"/>
                      <w:bCs/>
                      <w:snapToGrid w:val="0"/>
                      <w:color w:val="auto"/>
                      <w:kern w:val="0"/>
                      <w:sz w:val="21"/>
                      <w:szCs w:val="21"/>
                      <w:highlight w:val="none"/>
                      <w:lang w:val="en-US" w:eastAsia="zh-CN"/>
                    </w:rPr>
                  </w:pPr>
                  <w:r>
                    <w:rPr>
                      <w:rFonts w:hint="eastAsia" w:ascii="Times New Roman" w:hAnsi="Times New Roman"/>
                      <w:bCs/>
                      <w:snapToGrid w:val="0"/>
                      <w:color w:val="auto"/>
                      <w:kern w:val="0"/>
                      <w:sz w:val="21"/>
                      <w:szCs w:val="21"/>
                      <w:highlight w:val="none"/>
                      <w:lang w:val="en-US" w:eastAsia="zh-CN"/>
                    </w:rPr>
                    <w:t>210~250</w:t>
                  </w:r>
                </w:p>
              </w:tc>
              <w:tc>
                <w:tcPr>
                  <w:tcW w:w="1250" w:type="pct"/>
                  <w:noWrap w:val="0"/>
                  <w:vAlign w:val="center"/>
                </w:tcPr>
                <w:p>
                  <w:pPr>
                    <w:adjustRightInd w:val="0"/>
                    <w:snapToGrid w:val="0"/>
                    <w:jc w:val="center"/>
                    <w:rPr>
                      <w:rFonts w:hint="default" w:ascii="Times New Roman" w:hAnsi="Times New Roman" w:eastAsia="宋体"/>
                      <w:bCs/>
                      <w:snapToGrid w:val="0"/>
                      <w:color w:val="auto"/>
                      <w:kern w:val="0"/>
                      <w:sz w:val="21"/>
                      <w:szCs w:val="21"/>
                      <w:highlight w:val="none"/>
                      <w:lang w:val="en-US" w:eastAsia="zh-CN"/>
                    </w:rPr>
                  </w:pPr>
                  <w:r>
                    <w:rPr>
                      <w:rFonts w:hint="eastAsia" w:ascii="Times New Roman" w:hAnsi="Times New Roman" w:eastAsia="宋体"/>
                      <w:bCs/>
                      <w:snapToGrid w:val="0"/>
                      <w:color w:val="auto"/>
                      <w:kern w:val="0"/>
                      <w:sz w:val="21"/>
                      <w:szCs w:val="21"/>
                      <w:highlight w:val="none"/>
                      <w:lang w:val="en-US" w:eastAsia="zh-CN"/>
                    </w:rPr>
                    <w:t>70~80</w:t>
                  </w:r>
                </w:p>
              </w:tc>
              <w:tc>
                <w:tcPr>
                  <w:tcW w:w="1250" w:type="pct"/>
                  <w:noWrap w:val="0"/>
                  <w:vAlign w:val="center"/>
                </w:tcPr>
                <w:p>
                  <w:pPr>
                    <w:widowControl/>
                    <w:spacing w:line="240" w:lineRule="auto"/>
                    <w:jc w:val="center"/>
                    <w:textAlignment w:val="center"/>
                    <w:rPr>
                      <w:rFonts w:hint="default" w:ascii="Times New Roman" w:hAnsi="Times New Roman"/>
                      <w:bCs/>
                      <w:snapToGrid w:val="0"/>
                      <w:color w:val="auto"/>
                      <w:kern w:val="0"/>
                      <w:sz w:val="21"/>
                      <w:szCs w:val="21"/>
                      <w:highlight w:val="none"/>
                      <w:lang w:val="en-US" w:eastAsia="zh-CN" w:bidi="ar-SA"/>
                    </w:rPr>
                  </w:pPr>
                  <w:r>
                    <w:rPr>
                      <w:rFonts w:hint="eastAsia" w:ascii="Times New Roman" w:hAnsi="Times New Roman"/>
                      <w:bCs/>
                      <w:snapToGrid w:val="0"/>
                      <w:color w:val="auto"/>
                      <w:kern w:val="0"/>
                      <w:sz w:val="21"/>
                      <w:szCs w:val="21"/>
                      <w:highlight w:val="none"/>
                      <w:lang w:val="en-US" w:eastAsia="zh-CN" w:bidi="ar-SA"/>
                    </w:rPr>
                    <w:t>80~90</w:t>
                  </w:r>
                </w:p>
              </w:tc>
              <w:tc>
                <w:tcPr>
                  <w:tcW w:w="1250" w:type="pct"/>
                  <w:noWrap w:val="0"/>
                  <w:vAlign w:val="center"/>
                </w:tcPr>
                <w:p>
                  <w:pPr>
                    <w:adjustRightInd w:val="0"/>
                    <w:snapToGrid w:val="0"/>
                    <w:jc w:val="center"/>
                    <w:rPr>
                      <w:rFonts w:hint="default" w:ascii="Times New Roman" w:hAnsi="Times New Roman" w:eastAsia="宋体"/>
                      <w:bCs/>
                      <w:snapToGrid w:val="0"/>
                      <w:color w:val="auto"/>
                      <w:kern w:val="0"/>
                      <w:sz w:val="21"/>
                      <w:szCs w:val="21"/>
                      <w:highlight w:val="none"/>
                      <w:lang w:val="en-US" w:eastAsia="zh-CN"/>
                    </w:rPr>
                  </w:pPr>
                  <w:r>
                    <w:rPr>
                      <w:rFonts w:hint="eastAsia" w:ascii="Times New Roman" w:hAnsi="Times New Roman" w:eastAsia="宋体"/>
                      <w:bCs/>
                      <w:snapToGrid w:val="0"/>
                      <w:color w:val="auto"/>
                      <w:kern w:val="0"/>
                      <w:sz w:val="21"/>
                      <w:szCs w:val="21"/>
                      <w:highlight w:val="none"/>
                      <w:lang w:val="en-US" w:eastAsia="zh-CN"/>
                    </w:rPr>
                    <w:t>100~110</w:t>
                  </w:r>
                </w:p>
              </w:tc>
            </w:tr>
          </w:tbl>
          <w:p>
            <w:pPr>
              <w:adjustRightInd w:val="0"/>
              <w:snapToGrid w:val="0"/>
              <w:spacing w:line="240" w:lineRule="auto"/>
              <w:ind w:firstLine="480" w:firstLineChars="200"/>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val="en-US" w:eastAsia="zh-CN"/>
              </w:rPr>
              <w:t>表</w:t>
            </w:r>
            <w:r>
              <w:rPr>
                <w:rFonts w:hint="eastAsia" w:eastAsia="黑体" w:cs="Times New Roman"/>
                <w:color w:val="auto"/>
                <w:sz w:val="24"/>
                <w:highlight w:val="none"/>
                <w:lang w:val="en-US" w:eastAsia="zh-CN"/>
              </w:rPr>
              <w:t xml:space="preserve">9  </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落叶乔木类种植穴规格</w:t>
            </w:r>
          </w:p>
          <w:tbl>
            <w:tblPr>
              <w:tblStyle w:val="24"/>
              <w:tblW w:w="496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2665"/>
              <w:gridCol w:w="26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eastAsia="zh-CN"/>
                    </w:rPr>
                  </w:pPr>
                  <w:r>
                    <w:rPr>
                      <w:rFonts w:hint="eastAsia" w:ascii="Times New Roman" w:hAnsi="Times New Roman" w:eastAsia="宋体"/>
                      <w:b/>
                      <w:snapToGrid w:val="0"/>
                      <w:color w:val="auto"/>
                      <w:kern w:val="0"/>
                      <w:sz w:val="21"/>
                      <w:szCs w:val="21"/>
                      <w:highlight w:val="none"/>
                      <w:lang w:eastAsia="zh-CN"/>
                    </w:rPr>
                    <w:t>胸径</w:t>
                  </w:r>
                </w:p>
              </w:tc>
              <w:tc>
                <w:tcPr>
                  <w:tcW w:w="1681"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val="en-US" w:eastAsia="zh-CN" w:bidi="ar-SA"/>
                    </w:rPr>
                  </w:pPr>
                  <w:r>
                    <w:rPr>
                      <w:rFonts w:hint="eastAsia" w:ascii="Times New Roman" w:hAnsi="Times New Roman" w:eastAsia="宋体"/>
                      <w:b/>
                      <w:snapToGrid w:val="0"/>
                      <w:color w:val="auto"/>
                      <w:kern w:val="0"/>
                      <w:sz w:val="21"/>
                      <w:szCs w:val="21"/>
                      <w:highlight w:val="none"/>
                      <w:lang w:val="en-US" w:eastAsia="zh-CN" w:bidi="ar-SA"/>
                    </w:rPr>
                    <w:t>种植穴深度</w:t>
                  </w:r>
                  <w:r>
                    <w:rPr>
                      <w:rFonts w:hint="eastAsia" w:ascii="Times New Roman" w:hAnsi="Times New Roman"/>
                      <w:b/>
                      <w:snapToGrid w:val="0"/>
                      <w:color w:val="auto"/>
                      <w:kern w:val="0"/>
                      <w:sz w:val="21"/>
                      <w:szCs w:val="21"/>
                      <w:highlight w:val="none"/>
                      <w:lang w:eastAsia="zh-CN"/>
                    </w:rPr>
                    <w:t>（</w:t>
                  </w:r>
                  <w:r>
                    <w:rPr>
                      <w:rFonts w:hint="eastAsia" w:ascii="Times New Roman" w:hAnsi="Times New Roman"/>
                      <w:b/>
                      <w:snapToGrid w:val="0"/>
                      <w:color w:val="auto"/>
                      <w:kern w:val="0"/>
                      <w:sz w:val="21"/>
                      <w:szCs w:val="21"/>
                      <w:highlight w:val="none"/>
                      <w:lang w:val="en-US" w:eastAsia="zh-CN"/>
                    </w:rPr>
                    <w:t>cm</w:t>
                  </w:r>
                  <w:r>
                    <w:rPr>
                      <w:rFonts w:hint="eastAsia" w:ascii="Times New Roman" w:hAnsi="Times New Roman"/>
                      <w:b/>
                      <w:snapToGrid w:val="0"/>
                      <w:color w:val="auto"/>
                      <w:kern w:val="0"/>
                      <w:sz w:val="21"/>
                      <w:szCs w:val="21"/>
                      <w:highlight w:val="none"/>
                      <w:lang w:eastAsia="zh-CN"/>
                    </w:rPr>
                    <w:t>）</w:t>
                  </w:r>
                </w:p>
              </w:tc>
              <w:tc>
                <w:tcPr>
                  <w:tcW w:w="1681"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eastAsia="zh-CN"/>
                    </w:rPr>
                  </w:pPr>
                  <w:r>
                    <w:rPr>
                      <w:rFonts w:hint="eastAsia" w:ascii="Times New Roman" w:hAnsi="Times New Roman"/>
                      <w:b/>
                      <w:snapToGrid w:val="0"/>
                      <w:color w:val="auto"/>
                      <w:kern w:val="0"/>
                      <w:sz w:val="21"/>
                      <w:szCs w:val="21"/>
                      <w:highlight w:val="none"/>
                      <w:lang w:eastAsia="zh-CN"/>
                    </w:rPr>
                    <w:t>种植穴直径（</w:t>
                  </w:r>
                  <w:r>
                    <w:rPr>
                      <w:rFonts w:hint="eastAsia" w:ascii="Times New Roman" w:hAnsi="Times New Roman"/>
                      <w:b/>
                      <w:snapToGrid w:val="0"/>
                      <w:color w:val="auto"/>
                      <w:kern w:val="0"/>
                      <w:sz w:val="21"/>
                      <w:szCs w:val="21"/>
                      <w:highlight w:val="none"/>
                      <w:lang w:val="en-US" w:eastAsia="zh-CN"/>
                    </w:rPr>
                    <w:t>cm</w:t>
                  </w:r>
                  <w:r>
                    <w:rPr>
                      <w:rFonts w:hint="eastAsia" w:ascii="Times New Roman" w:hAnsi="Times New Roman"/>
                      <w:b/>
                      <w:snapToGrid w:val="0"/>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noWrap w:val="0"/>
                  <w:vAlign w:val="center"/>
                </w:tcPr>
                <w:p>
                  <w:pPr>
                    <w:adjustRightInd w:val="0"/>
                    <w:snapToGrid w:val="0"/>
                    <w:jc w:val="center"/>
                    <w:rPr>
                      <w:rFonts w:hint="default" w:ascii="Times New Roman" w:hAnsi="Times New Roman" w:eastAsia="宋体"/>
                      <w:bCs/>
                      <w:snapToGrid w:val="0"/>
                      <w:color w:val="auto"/>
                      <w:kern w:val="0"/>
                      <w:sz w:val="21"/>
                      <w:szCs w:val="21"/>
                      <w:highlight w:val="none"/>
                      <w:lang w:val="en-US" w:eastAsia="zh-CN"/>
                    </w:rPr>
                  </w:pPr>
                  <w:r>
                    <w:rPr>
                      <w:rFonts w:hint="eastAsia" w:ascii="Times New Roman" w:hAnsi="Times New Roman" w:eastAsia="宋体"/>
                      <w:bCs/>
                      <w:snapToGrid w:val="0"/>
                      <w:color w:val="auto"/>
                      <w:kern w:val="0"/>
                      <w:sz w:val="21"/>
                      <w:szCs w:val="21"/>
                      <w:highlight w:val="none"/>
                      <w:lang w:val="en-US" w:eastAsia="zh-CN"/>
                    </w:rPr>
                    <w:t>4~5</w:t>
                  </w:r>
                </w:p>
              </w:tc>
              <w:tc>
                <w:tcPr>
                  <w:tcW w:w="1681" w:type="pct"/>
                  <w:noWrap w:val="0"/>
                  <w:vAlign w:val="center"/>
                </w:tcPr>
                <w:p>
                  <w:pPr>
                    <w:widowControl/>
                    <w:spacing w:line="240" w:lineRule="auto"/>
                    <w:jc w:val="center"/>
                    <w:textAlignment w:val="center"/>
                    <w:rPr>
                      <w:rFonts w:hint="default" w:ascii="Times New Roman" w:hAnsi="Times New Roman"/>
                      <w:bCs/>
                      <w:snapToGrid w:val="0"/>
                      <w:color w:val="auto"/>
                      <w:kern w:val="0"/>
                      <w:sz w:val="21"/>
                      <w:szCs w:val="21"/>
                      <w:highlight w:val="none"/>
                      <w:lang w:val="en-US" w:eastAsia="zh-CN" w:bidi="ar-SA"/>
                    </w:rPr>
                  </w:pPr>
                  <w:r>
                    <w:rPr>
                      <w:rFonts w:hint="eastAsia" w:ascii="Times New Roman" w:hAnsi="Times New Roman"/>
                      <w:bCs/>
                      <w:snapToGrid w:val="0"/>
                      <w:color w:val="auto"/>
                      <w:kern w:val="0"/>
                      <w:sz w:val="21"/>
                      <w:szCs w:val="21"/>
                      <w:highlight w:val="none"/>
                      <w:lang w:val="en-US" w:eastAsia="zh-CN" w:bidi="ar-SA"/>
                    </w:rPr>
                    <w:t>50~60</w:t>
                  </w:r>
                </w:p>
              </w:tc>
              <w:tc>
                <w:tcPr>
                  <w:tcW w:w="1681" w:type="pct"/>
                  <w:noWrap w:val="0"/>
                  <w:vAlign w:val="center"/>
                </w:tcPr>
                <w:p>
                  <w:pPr>
                    <w:adjustRightInd w:val="0"/>
                    <w:snapToGrid w:val="0"/>
                    <w:jc w:val="center"/>
                    <w:rPr>
                      <w:rFonts w:hint="default" w:ascii="Times New Roman" w:hAnsi="Times New Roman" w:eastAsia="宋体"/>
                      <w:bCs/>
                      <w:snapToGrid w:val="0"/>
                      <w:color w:val="auto"/>
                      <w:kern w:val="0"/>
                      <w:sz w:val="21"/>
                      <w:szCs w:val="21"/>
                      <w:highlight w:val="none"/>
                      <w:lang w:val="en-US" w:eastAsia="zh-CN"/>
                    </w:rPr>
                  </w:pPr>
                  <w:r>
                    <w:rPr>
                      <w:rFonts w:hint="eastAsia" w:ascii="Times New Roman" w:hAnsi="Times New Roman" w:eastAsia="宋体"/>
                      <w:bCs/>
                      <w:snapToGrid w:val="0"/>
                      <w:color w:val="auto"/>
                      <w:kern w:val="0"/>
                      <w:sz w:val="21"/>
                      <w:szCs w:val="21"/>
                      <w:highlight w:val="none"/>
                      <w:lang w:val="en-US" w:eastAsia="zh-CN"/>
                    </w:rPr>
                    <w:t>70~80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noWrap w:val="0"/>
                  <w:vAlign w:val="center"/>
                </w:tcPr>
                <w:p>
                  <w:pPr>
                    <w:adjustRightInd w:val="0"/>
                    <w:snapToGrid w:val="0"/>
                    <w:jc w:val="center"/>
                    <w:rPr>
                      <w:rFonts w:hint="default" w:ascii="Times New Roman" w:hAnsi="Times New Roman" w:eastAsia="宋体"/>
                      <w:bCs/>
                      <w:snapToGrid w:val="0"/>
                      <w:color w:val="auto"/>
                      <w:kern w:val="0"/>
                      <w:sz w:val="21"/>
                      <w:szCs w:val="21"/>
                      <w:highlight w:val="none"/>
                      <w:lang w:val="en-US" w:eastAsia="zh-CN"/>
                    </w:rPr>
                  </w:pPr>
                  <w:r>
                    <w:rPr>
                      <w:rFonts w:hint="eastAsia" w:ascii="Times New Roman" w:hAnsi="Times New Roman" w:eastAsia="宋体"/>
                      <w:bCs/>
                      <w:snapToGrid w:val="0"/>
                      <w:color w:val="auto"/>
                      <w:kern w:val="0"/>
                      <w:sz w:val="21"/>
                      <w:szCs w:val="21"/>
                      <w:highlight w:val="none"/>
                      <w:lang w:val="en-US" w:eastAsia="zh-CN"/>
                    </w:rPr>
                    <w:t>5~6</w:t>
                  </w:r>
                </w:p>
              </w:tc>
              <w:tc>
                <w:tcPr>
                  <w:tcW w:w="1681" w:type="pct"/>
                  <w:noWrap w:val="0"/>
                  <w:vAlign w:val="center"/>
                </w:tcPr>
                <w:p>
                  <w:pPr>
                    <w:widowControl/>
                    <w:spacing w:line="240" w:lineRule="auto"/>
                    <w:jc w:val="center"/>
                    <w:textAlignment w:val="center"/>
                    <w:rPr>
                      <w:rFonts w:hint="default" w:ascii="Times New Roman" w:hAnsi="Times New Roman"/>
                      <w:bCs/>
                      <w:snapToGrid w:val="0"/>
                      <w:color w:val="auto"/>
                      <w:kern w:val="0"/>
                      <w:sz w:val="21"/>
                      <w:szCs w:val="21"/>
                      <w:highlight w:val="none"/>
                      <w:lang w:val="en-US" w:eastAsia="zh-CN" w:bidi="ar-SA"/>
                    </w:rPr>
                  </w:pPr>
                  <w:r>
                    <w:rPr>
                      <w:rFonts w:hint="eastAsia" w:ascii="Times New Roman" w:hAnsi="Times New Roman"/>
                      <w:bCs/>
                      <w:snapToGrid w:val="0"/>
                      <w:color w:val="auto"/>
                      <w:kern w:val="0"/>
                      <w:sz w:val="21"/>
                      <w:szCs w:val="21"/>
                      <w:highlight w:val="none"/>
                      <w:lang w:val="en-US" w:eastAsia="zh-CN" w:bidi="ar-SA"/>
                    </w:rPr>
                    <w:t>60~70</w:t>
                  </w:r>
                </w:p>
              </w:tc>
              <w:tc>
                <w:tcPr>
                  <w:tcW w:w="1681" w:type="pct"/>
                  <w:noWrap w:val="0"/>
                  <w:vAlign w:val="center"/>
                </w:tcPr>
                <w:p>
                  <w:pPr>
                    <w:adjustRightInd w:val="0"/>
                    <w:snapToGrid w:val="0"/>
                    <w:jc w:val="center"/>
                    <w:rPr>
                      <w:rFonts w:hint="default" w:ascii="Times New Roman" w:hAnsi="Times New Roman" w:eastAsia="宋体"/>
                      <w:bCs/>
                      <w:snapToGrid w:val="0"/>
                      <w:color w:val="auto"/>
                      <w:kern w:val="0"/>
                      <w:sz w:val="21"/>
                      <w:szCs w:val="21"/>
                      <w:highlight w:val="none"/>
                      <w:lang w:val="en-US" w:eastAsia="zh-CN"/>
                    </w:rPr>
                  </w:pPr>
                  <w:r>
                    <w:rPr>
                      <w:rFonts w:hint="eastAsia" w:ascii="Times New Roman" w:hAnsi="Times New Roman" w:eastAsia="宋体"/>
                      <w:bCs/>
                      <w:snapToGrid w:val="0"/>
                      <w:color w:val="auto"/>
                      <w:kern w:val="0"/>
                      <w:sz w:val="21"/>
                      <w:szCs w:val="21"/>
                      <w:highlight w:val="none"/>
                      <w:lang w:val="en-US" w:eastAsia="zh-CN"/>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noWrap w:val="0"/>
                  <w:vAlign w:val="center"/>
                </w:tcPr>
                <w:p>
                  <w:pPr>
                    <w:adjustRightInd w:val="0"/>
                    <w:snapToGrid w:val="0"/>
                    <w:jc w:val="center"/>
                    <w:rPr>
                      <w:rFonts w:hint="default" w:ascii="Times New Roman" w:hAnsi="Times New Roman" w:eastAsia="宋体"/>
                      <w:bCs/>
                      <w:snapToGrid w:val="0"/>
                      <w:color w:val="auto"/>
                      <w:kern w:val="0"/>
                      <w:sz w:val="21"/>
                      <w:szCs w:val="21"/>
                      <w:highlight w:val="none"/>
                      <w:lang w:val="en-US" w:eastAsia="zh-CN"/>
                    </w:rPr>
                  </w:pPr>
                  <w:r>
                    <w:rPr>
                      <w:rFonts w:hint="eastAsia" w:ascii="Times New Roman" w:hAnsi="Times New Roman" w:eastAsia="宋体"/>
                      <w:bCs/>
                      <w:snapToGrid w:val="0"/>
                      <w:color w:val="auto"/>
                      <w:kern w:val="0"/>
                      <w:sz w:val="21"/>
                      <w:szCs w:val="21"/>
                      <w:highlight w:val="none"/>
                      <w:lang w:val="en-US" w:eastAsia="zh-CN"/>
                    </w:rPr>
                    <w:t>6~8</w:t>
                  </w:r>
                </w:p>
              </w:tc>
              <w:tc>
                <w:tcPr>
                  <w:tcW w:w="1681" w:type="pct"/>
                  <w:noWrap w:val="0"/>
                  <w:vAlign w:val="center"/>
                </w:tcPr>
                <w:p>
                  <w:pPr>
                    <w:widowControl/>
                    <w:spacing w:line="240" w:lineRule="auto"/>
                    <w:jc w:val="center"/>
                    <w:textAlignment w:val="center"/>
                    <w:rPr>
                      <w:rFonts w:hint="default" w:ascii="Times New Roman" w:hAnsi="Times New Roman"/>
                      <w:bCs/>
                      <w:snapToGrid w:val="0"/>
                      <w:color w:val="auto"/>
                      <w:kern w:val="0"/>
                      <w:sz w:val="21"/>
                      <w:szCs w:val="21"/>
                      <w:highlight w:val="none"/>
                      <w:lang w:val="en-US" w:eastAsia="zh-CN" w:bidi="ar-SA"/>
                    </w:rPr>
                  </w:pPr>
                  <w:r>
                    <w:rPr>
                      <w:rFonts w:hint="eastAsia" w:ascii="Times New Roman" w:hAnsi="Times New Roman"/>
                      <w:bCs/>
                      <w:snapToGrid w:val="0"/>
                      <w:color w:val="auto"/>
                      <w:kern w:val="0"/>
                      <w:sz w:val="21"/>
                      <w:szCs w:val="21"/>
                      <w:highlight w:val="none"/>
                      <w:lang w:val="en-US" w:eastAsia="zh-CN" w:bidi="ar-SA"/>
                    </w:rPr>
                    <w:t>70~80</w:t>
                  </w:r>
                </w:p>
              </w:tc>
              <w:tc>
                <w:tcPr>
                  <w:tcW w:w="1681" w:type="pct"/>
                  <w:noWrap w:val="0"/>
                  <w:vAlign w:val="center"/>
                </w:tcPr>
                <w:p>
                  <w:pPr>
                    <w:adjustRightInd w:val="0"/>
                    <w:snapToGrid w:val="0"/>
                    <w:jc w:val="center"/>
                    <w:rPr>
                      <w:rFonts w:hint="default" w:ascii="Times New Roman" w:hAnsi="Times New Roman" w:eastAsia="宋体"/>
                      <w:bCs/>
                      <w:snapToGrid w:val="0"/>
                      <w:color w:val="auto"/>
                      <w:kern w:val="0"/>
                      <w:sz w:val="21"/>
                      <w:szCs w:val="21"/>
                      <w:highlight w:val="none"/>
                      <w:lang w:val="en-US" w:eastAsia="zh-CN"/>
                    </w:rPr>
                  </w:pPr>
                  <w:r>
                    <w:rPr>
                      <w:rFonts w:hint="eastAsia" w:ascii="Times New Roman" w:hAnsi="Times New Roman" w:eastAsia="宋体"/>
                      <w:bCs/>
                      <w:snapToGrid w:val="0"/>
                      <w:color w:val="auto"/>
                      <w:kern w:val="0"/>
                      <w:sz w:val="21"/>
                      <w:szCs w:val="21"/>
                      <w:highlight w:val="none"/>
                      <w:lang w:val="en-US" w:eastAsia="zh-CN"/>
                    </w:rPr>
                    <w:t>90~100</w:t>
                  </w:r>
                </w:p>
              </w:tc>
            </w:tr>
          </w:tbl>
          <w:p>
            <w:pPr>
              <w:adjustRightInd w:val="0"/>
              <w:spacing w:line="360" w:lineRule="auto"/>
              <w:ind w:firstLine="480" w:firstLineChars="200"/>
              <w:rPr>
                <w:rFonts w:hint="eastAsia" w:eastAsia="仿宋_GB2312"/>
                <w:color w:val="auto"/>
                <w:sz w:val="24"/>
                <w:highlight w:val="none"/>
                <w:lang w:eastAsia="zh-CN"/>
              </w:rPr>
            </w:pPr>
            <w:r>
              <w:rPr>
                <w:rFonts w:hint="default" w:ascii="Times New Roman" w:hAnsi="Times New Roman" w:eastAsia="仿宋_GB2312" w:cs="Times New Roman"/>
                <w:b w:val="0"/>
                <w:bCs/>
                <w:color w:val="auto"/>
                <w:sz w:val="24"/>
                <w:highlight w:val="none"/>
                <w:lang w:val="en-US" w:eastAsia="zh-CN"/>
              </w:rPr>
              <w:t>③栽植</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栽植时要保证苗木位正干直，根系舒展，先回填培底湿土，且符合苗木栽植</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三埋两踩一提苗</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的规范要求，使根系与土壤密切接触，覆土深度在根系土际线以上5公分处。植后要立即浇透水，待水渗干后要扶正苗木，培土封穴，覆地膜保墒提温</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eastAsia" w:eastAsia="仿宋_GB2312"/>
                <w:color w:val="auto"/>
                <w:sz w:val="24"/>
                <w:highlight w:val="none"/>
                <w:lang w:eastAsia="zh-CN"/>
              </w:rPr>
            </w:pPr>
            <w:r>
              <w:rPr>
                <w:rFonts w:hint="default" w:ascii="Times New Roman" w:hAnsi="Times New Roman" w:eastAsia="仿宋_GB2312" w:cs="Times New Roman"/>
                <w:b w:val="0"/>
                <w:bCs/>
                <w:color w:val="auto"/>
                <w:sz w:val="24"/>
                <w:highlight w:val="none"/>
                <w:lang w:val="en-US" w:eastAsia="zh-CN"/>
              </w:rPr>
              <w:t>④支撑及遮阳</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大树栽植后应设支撑架支撑，使不动摇，提高成活率；对常青树应搭建遮阳网，每天早、中、晚进行树冠喷水，以减少蒸腾量，保持冠内湿度，保证其成活</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eastAsia" w:eastAsia="仿宋_GB2312"/>
                <w:color w:val="auto"/>
                <w:sz w:val="24"/>
                <w:highlight w:val="none"/>
                <w:lang w:eastAsia="zh-CN"/>
              </w:rPr>
            </w:pPr>
            <w:r>
              <w:rPr>
                <w:rFonts w:hint="default" w:ascii="Times New Roman" w:hAnsi="Times New Roman" w:eastAsia="仿宋_GB2312" w:cs="Times New Roman"/>
                <w:b w:val="0"/>
                <w:bCs/>
                <w:color w:val="auto"/>
                <w:sz w:val="24"/>
                <w:highlight w:val="none"/>
                <w:lang w:val="en-US" w:eastAsia="zh-CN"/>
              </w:rPr>
              <w:t>⑤修剪</w:t>
            </w:r>
            <w:r>
              <w:rPr>
                <w:rFonts w:hint="eastAsia" w:ascii="Times New Roman" w:hAnsi="Times New Roman" w:eastAsia="仿宋_GB2312" w:cs="Times New Roman"/>
                <w:b w:val="0"/>
                <w:bCs/>
                <w:color w:val="auto"/>
                <w:sz w:val="24"/>
                <w:highlight w:val="none"/>
                <w:lang w:val="en-US" w:eastAsia="zh-CN"/>
              </w:rPr>
              <w:t>：</w:t>
            </w:r>
            <w:r>
              <w:rPr>
                <w:rFonts w:hint="default" w:ascii="Times New Roman" w:hAnsi="Times New Roman" w:eastAsia="仿宋_GB2312" w:cs="Times New Roman"/>
                <w:b w:val="0"/>
                <w:bCs/>
                <w:color w:val="auto"/>
                <w:sz w:val="24"/>
                <w:highlight w:val="none"/>
                <w:lang w:val="en-US" w:eastAsia="zh-CN"/>
              </w:rPr>
              <w:t>大苗、大树栽植后，应适当修剪，剪去断枝、枯枝、部分树叶，保证树形优美</w:t>
            </w:r>
            <w:r>
              <w:rPr>
                <w:rFonts w:hint="eastAsia" w:ascii="Times New Roman" w:hAnsi="Times New Roman" w:eastAsia="仿宋_GB2312" w:cs="Times New Roman"/>
                <w:b w:val="0"/>
                <w:bCs/>
                <w:color w:val="auto"/>
                <w:sz w:val="24"/>
                <w:highlight w:val="none"/>
                <w:lang w:val="en-US" w:eastAsia="zh-CN"/>
              </w:rPr>
              <w:t>。</w:t>
            </w:r>
          </w:p>
          <w:p>
            <w:pPr>
              <w:adjustRightIn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2</w:t>
            </w:r>
            <w:r>
              <w:rPr>
                <w:rFonts w:hint="eastAsia" w:eastAsia="仿宋_GB2312"/>
                <w:color w:val="auto"/>
                <w:sz w:val="24"/>
                <w:highlight w:val="none"/>
                <w:lang w:eastAsia="zh-CN"/>
              </w:rPr>
              <w:t>）建筑物工程</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①土方开挖</w:t>
            </w:r>
          </w:p>
          <w:p>
            <w:pPr>
              <w:adjustRightInd w:val="0"/>
              <w:spacing w:line="360" w:lineRule="auto"/>
              <w:ind w:firstLine="480" w:firstLineChars="200"/>
              <w:rPr>
                <w:rFonts w:hint="eastAsia" w:eastAsia="仿宋_GB2312"/>
                <w:color w:val="auto"/>
                <w:sz w:val="24"/>
                <w:highlight w:val="none"/>
                <w:lang w:eastAsia="zh-CN"/>
              </w:rPr>
            </w:pPr>
            <w:r>
              <w:rPr>
                <w:rFonts w:hint="default" w:ascii="Times New Roman" w:hAnsi="Times New Roman" w:eastAsia="仿宋_GB2312" w:cs="Times New Roman"/>
                <w:b w:val="0"/>
                <w:bCs/>
                <w:color w:val="auto"/>
                <w:sz w:val="24"/>
                <w:highlight w:val="none"/>
                <w:lang w:val="en-US" w:eastAsia="zh-CN"/>
              </w:rPr>
              <w:t>土方开挖以机械为主，人工为辅的施工方法。开挖以建筑物基础底面周边向外扩大50cm作为基底开挖面，严禁超挖</w:t>
            </w:r>
            <w:r>
              <w:rPr>
                <w:rFonts w:hint="eastAsia" w:eastAsia="仿宋_GB2312" w:cs="Times New Roman"/>
                <w:b w:val="0"/>
                <w:bCs/>
                <w:color w:val="auto"/>
                <w:sz w:val="24"/>
                <w:highlight w:val="none"/>
                <w:lang w:val="en-US" w:eastAsia="zh-CN"/>
              </w:rPr>
              <w:t>。</w:t>
            </w:r>
          </w:p>
          <w:p>
            <w:pPr>
              <w:adjustRightInd w:val="0"/>
              <w:spacing w:line="360" w:lineRule="auto"/>
              <w:ind w:firstLine="480" w:firstLineChars="200"/>
              <w:rPr>
                <w:rFonts w:hint="default"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②土方填筑</w:t>
            </w:r>
          </w:p>
          <w:p>
            <w:pPr>
              <w:adjustRightInd w:val="0"/>
              <w:spacing w:line="360" w:lineRule="auto"/>
              <w:ind w:firstLine="480" w:firstLineChars="200"/>
              <w:rPr>
                <w:rFonts w:hint="eastAsia" w:eastAsia="仿宋_GB2312"/>
                <w:color w:val="auto"/>
                <w:sz w:val="24"/>
                <w:highlight w:val="none"/>
                <w:lang w:eastAsia="zh-CN"/>
              </w:rPr>
            </w:pPr>
            <w:r>
              <w:rPr>
                <w:rFonts w:hint="default" w:ascii="Times New Roman" w:hAnsi="Times New Roman" w:eastAsia="仿宋_GB2312" w:cs="Times New Roman"/>
                <w:b w:val="0"/>
                <w:bCs/>
                <w:color w:val="auto"/>
                <w:sz w:val="24"/>
                <w:highlight w:val="none"/>
                <w:lang w:val="en-US" w:eastAsia="zh-CN"/>
              </w:rPr>
              <w:t>建筑物基础等回填土均要求分层填筑，碾压或夯实，其压实指标要求同防洪堤填筑土方工程施工</w:t>
            </w:r>
            <w:r>
              <w:rPr>
                <w:rFonts w:hint="eastAsia" w:eastAsia="仿宋_GB2312" w:cs="Times New Roman"/>
                <w:b w:val="0"/>
                <w:bCs/>
                <w:color w:val="auto"/>
                <w:sz w:val="24"/>
                <w:highlight w:val="none"/>
                <w:lang w:val="en-US" w:eastAsia="zh-CN"/>
              </w:rPr>
              <w:t>。</w:t>
            </w:r>
          </w:p>
          <w:p>
            <w:pPr>
              <w:adjustRightInd w:val="0"/>
              <w:spacing w:line="360" w:lineRule="auto"/>
              <w:ind w:firstLine="482" w:firstLineChars="200"/>
              <w:rPr>
                <w:rFonts w:hint="eastAsia" w:eastAsia="仿宋_GB2312"/>
                <w:b/>
                <w:color w:val="auto"/>
                <w:sz w:val="24"/>
                <w:highlight w:val="none"/>
                <w:lang w:eastAsia="zh-CN"/>
              </w:rPr>
            </w:pPr>
            <w:r>
              <w:rPr>
                <w:rFonts w:hint="eastAsia" w:eastAsia="仿宋_GB2312"/>
                <w:b/>
                <w:color w:val="auto"/>
                <w:sz w:val="24"/>
                <w:highlight w:val="none"/>
                <w:lang w:val="en-US" w:eastAsia="zh-CN"/>
              </w:rPr>
              <w:t>2</w:t>
            </w:r>
            <w:r>
              <w:rPr>
                <w:rFonts w:hint="eastAsia" w:eastAsia="仿宋_GB2312"/>
                <w:b/>
                <w:color w:val="auto"/>
                <w:sz w:val="24"/>
                <w:highlight w:val="none"/>
              </w:rPr>
              <w:t>、</w:t>
            </w:r>
            <w:r>
              <w:rPr>
                <w:rFonts w:hint="eastAsia" w:eastAsia="仿宋_GB2312"/>
                <w:b/>
                <w:color w:val="auto"/>
                <w:sz w:val="24"/>
                <w:highlight w:val="none"/>
                <w:lang w:eastAsia="zh-CN"/>
              </w:rPr>
              <w:t>施工时序</w:t>
            </w:r>
          </w:p>
          <w:p>
            <w:pPr>
              <w:adjustRightInd w:val="0"/>
              <w:spacing w:line="360" w:lineRule="auto"/>
              <w:ind w:firstLine="480" w:firstLineChars="200"/>
              <w:rPr>
                <w:rFonts w:hint="eastAsia" w:eastAsia="仿宋_GB2312"/>
                <w:color w:val="auto"/>
                <w:sz w:val="24"/>
                <w:highlight w:val="none"/>
              </w:rPr>
            </w:pPr>
            <w:r>
              <w:rPr>
                <w:rFonts w:hint="eastAsia" w:eastAsia="仿宋_GB2312"/>
                <w:color w:val="auto"/>
                <w:sz w:val="24"/>
                <w:highlight w:val="none"/>
              </w:rPr>
              <w:t>根据各单项工程的施工特点，以及各分项工程量、相互干扰因素和施工难度，建议各分施工项目按以下程序进行：</w:t>
            </w:r>
          </w:p>
          <w:p>
            <w:pPr>
              <w:adjustRightIn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lang w:eastAsia="zh-CN"/>
              </w:rPr>
              <w:t>本项目分为三个阶段进行，高坡坡脚防护工程施工——防汛道路工程施工——高边坡生态修复工程施工。</w:t>
            </w:r>
          </w:p>
          <w:p>
            <w:pPr>
              <w:adjustRightInd w:val="0"/>
              <w:snapToGri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rPr>
              <w:t>上述项目施工中，各工序应妥善安排，减少相互干扰，部分工作视施工情况可交叉进行</w:t>
            </w:r>
            <w:r>
              <w:rPr>
                <w:rFonts w:hint="eastAsia" w:eastAsia="仿宋_GB2312"/>
                <w:color w:val="auto"/>
                <w:sz w:val="24"/>
                <w:highlight w:val="none"/>
                <w:lang w:eastAsia="zh-CN"/>
              </w:rPr>
              <w:t>。</w:t>
            </w:r>
          </w:p>
          <w:p>
            <w:pPr>
              <w:adjustRightInd w:val="0"/>
              <w:snapToGrid w:val="0"/>
              <w:spacing w:line="360" w:lineRule="auto"/>
              <w:ind w:firstLine="482" w:firstLineChars="200"/>
              <w:rPr>
                <w:rFonts w:hint="eastAsia" w:eastAsia="仿宋_GB2312"/>
                <w:b/>
                <w:bCs/>
                <w:color w:val="auto"/>
                <w:sz w:val="24"/>
                <w:highlight w:val="none"/>
                <w:lang w:val="en-US" w:eastAsia="zh-CN"/>
              </w:rPr>
            </w:pPr>
            <w:r>
              <w:rPr>
                <w:rFonts w:hint="eastAsia" w:eastAsia="仿宋_GB2312"/>
                <w:b/>
                <w:bCs/>
                <w:color w:val="auto"/>
                <w:sz w:val="24"/>
                <w:highlight w:val="none"/>
                <w:lang w:val="en-US" w:eastAsia="zh-CN"/>
              </w:rPr>
              <w:t>3、建设周期</w:t>
            </w:r>
          </w:p>
          <w:p>
            <w:pPr>
              <w:adjustRightInd w:val="0"/>
              <w:snapToGrid w:val="0"/>
              <w:spacing w:line="360" w:lineRule="auto"/>
              <w:ind w:firstLine="480" w:firstLineChars="200"/>
              <w:rPr>
                <w:rFonts w:hint="eastAsia" w:eastAsia="仿宋_GB2312"/>
                <w:color w:val="auto"/>
                <w:sz w:val="24"/>
                <w:highlight w:val="none"/>
                <w:lang w:val="en-US" w:eastAsia="zh-CN"/>
              </w:rPr>
            </w:pPr>
            <w:r>
              <w:rPr>
                <w:rFonts w:hint="eastAsia" w:eastAsia="仿宋_GB2312"/>
                <w:color w:val="auto"/>
                <w:sz w:val="24"/>
                <w:highlight w:val="none"/>
                <w:lang w:eastAsia="zh-CN"/>
              </w:rPr>
              <w:t>本项目规划建设周期为</w:t>
            </w:r>
            <w:r>
              <w:rPr>
                <w:rFonts w:hint="eastAsia" w:eastAsia="仿宋_GB2312"/>
                <w:color w:val="auto"/>
                <w:sz w:val="24"/>
                <w:highlight w:val="none"/>
                <w:lang w:val="en-US" w:eastAsia="zh-CN"/>
              </w:rPr>
              <w:t>4个月，分为三个阶段实施，具体工程时间安排见表10。</w:t>
            </w:r>
          </w:p>
          <w:p>
            <w:pPr>
              <w:adjustRightInd w:val="0"/>
              <w:snapToGrid w:val="0"/>
              <w:spacing w:line="240" w:lineRule="auto"/>
              <w:ind w:firstLine="480" w:firstLineChars="200"/>
              <w:rPr>
                <w:rFonts w:hint="eastAsia" w:eastAsia="仿宋_GB2312"/>
                <w:color w:val="auto"/>
                <w:sz w:val="24"/>
                <w:highlight w:val="none"/>
                <w:lang w:val="en-US" w:eastAsia="zh-CN"/>
              </w:rPr>
            </w:pPr>
            <w:r>
              <w:rPr>
                <w:rFonts w:hint="default" w:ascii="Times New Roman" w:hAnsi="Times New Roman" w:eastAsia="黑体" w:cs="Times New Roman"/>
                <w:color w:val="auto"/>
                <w:sz w:val="24"/>
                <w:highlight w:val="none"/>
                <w:lang w:val="en-US" w:eastAsia="zh-CN"/>
              </w:rPr>
              <w:t>表</w:t>
            </w:r>
            <w:r>
              <w:rPr>
                <w:rFonts w:hint="eastAsia" w:eastAsia="黑体" w:cs="Times New Roman"/>
                <w:color w:val="auto"/>
                <w:sz w:val="24"/>
                <w:highlight w:val="none"/>
                <w:lang w:val="en-US" w:eastAsia="zh-CN"/>
              </w:rPr>
              <w:t>10</w:t>
            </w:r>
            <w:r>
              <w:rPr>
                <w:rFonts w:hint="default" w:ascii="Times New Roman" w:hAnsi="Times New Roman" w:eastAsia="黑体" w:cs="Times New Roman"/>
                <w:color w:val="auto"/>
                <w:sz w:val="24"/>
                <w:highlight w:val="none"/>
                <w:lang w:val="en-US" w:eastAsia="zh-CN"/>
              </w:rPr>
              <w:t xml:space="preserve">           建设工期计划与进度安排一览表</w:t>
            </w:r>
          </w:p>
          <w:tbl>
            <w:tblPr>
              <w:tblStyle w:val="25"/>
              <w:tblW w:w="79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1950"/>
              <w:gridCol w:w="2010"/>
              <w:gridCol w:w="1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工程名称</w:t>
                  </w:r>
                </w:p>
              </w:tc>
              <w:tc>
                <w:tcPr>
                  <w:tcW w:w="19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第一阶段</w:t>
                  </w:r>
                </w:p>
              </w:tc>
              <w:tc>
                <w:tcPr>
                  <w:tcW w:w="20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第二阶段</w:t>
                  </w:r>
                </w:p>
              </w:tc>
              <w:tc>
                <w:tcPr>
                  <w:tcW w:w="193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第三阶段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p>
              </w:tc>
              <w:tc>
                <w:tcPr>
                  <w:tcW w:w="19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202</w:t>
                  </w:r>
                  <w:r>
                    <w:rPr>
                      <w:rFonts w:hint="eastAsia" w:cs="Times New Roman"/>
                      <w:b/>
                      <w:bCs w:val="0"/>
                      <w:color w:val="auto"/>
                      <w:sz w:val="21"/>
                      <w:szCs w:val="21"/>
                      <w:highlight w:val="none"/>
                      <w:vertAlign w:val="baseline"/>
                      <w:lang w:val="en-US" w:eastAsia="zh-CN"/>
                    </w:rPr>
                    <w:t>2.8</w:t>
                  </w:r>
                  <w:r>
                    <w:rPr>
                      <w:rFonts w:hint="eastAsia" w:ascii="Times New Roman" w:hAnsi="Times New Roman" w:eastAsia="宋体" w:cs="Times New Roman"/>
                      <w:b/>
                      <w:bCs w:val="0"/>
                      <w:color w:val="auto"/>
                      <w:sz w:val="21"/>
                      <w:szCs w:val="21"/>
                      <w:highlight w:val="none"/>
                      <w:vertAlign w:val="baseline"/>
                      <w:lang w:val="en-US" w:eastAsia="zh-CN"/>
                    </w:rPr>
                    <w:t>-202</w:t>
                  </w:r>
                  <w:r>
                    <w:rPr>
                      <w:rFonts w:hint="eastAsia" w:cs="Times New Roman"/>
                      <w:b/>
                      <w:bCs w:val="0"/>
                      <w:color w:val="auto"/>
                      <w:sz w:val="21"/>
                      <w:szCs w:val="21"/>
                      <w:highlight w:val="none"/>
                      <w:vertAlign w:val="baseline"/>
                      <w:lang w:val="en-US" w:eastAsia="zh-CN"/>
                    </w:rPr>
                    <w:t>2.9</w:t>
                  </w:r>
                </w:p>
              </w:tc>
              <w:tc>
                <w:tcPr>
                  <w:tcW w:w="20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202</w:t>
                  </w:r>
                  <w:r>
                    <w:rPr>
                      <w:rFonts w:hint="eastAsia" w:cs="Times New Roman"/>
                      <w:b/>
                      <w:bCs w:val="0"/>
                      <w:color w:val="auto"/>
                      <w:sz w:val="21"/>
                      <w:szCs w:val="21"/>
                      <w:highlight w:val="none"/>
                      <w:vertAlign w:val="baseline"/>
                      <w:lang w:val="en-US" w:eastAsia="zh-CN"/>
                    </w:rPr>
                    <w:t>2.8</w:t>
                  </w:r>
                  <w:r>
                    <w:rPr>
                      <w:rFonts w:hint="eastAsia" w:ascii="Times New Roman" w:hAnsi="Times New Roman" w:eastAsia="宋体" w:cs="Times New Roman"/>
                      <w:b/>
                      <w:bCs w:val="0"/>
                      <w:color w:val="auto"/>
                      <w:sz w:val="21"/>
                      <w:szCs w:val="21"/>
                      <w:highlight w:val="none"/>
                      <w:vertAlign w:val="baseline"/>
                      <w:lang w:val="en-US" w:eastAsia="zh-CN"/>
                    </w:rPr>
                    <w:t>-202</w:t>
                  </w:r>
                  <w:r>
                    <w:rPr>
                      <w:rFonts w:hint="eastAsia" w:cs="Times New Roman"/>
                      <w:b/>
                      <w:bCs w:val="0"/>
                      <w:color w:val="auto"/>
                      <w:sz w:val="21"/>
                      <w:szCs w:val="21"/>
                      <w:highlight w:val="none"/>
                      <w:vertAlign w:val="baseline"/>
                      <w:lang w:val="en-US" w:eastAsia="zh-CN"/>
                    </w:rPr>
                    <w:t>2.11</w:t>
                  </w:r>
                </w:p>
              </w:tc>
              <w:tc>
                <w:tcPr>
                  <w:tcW w:w="193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202</w:t>
                  </w:r>
                  <w:r>
                    <w:rPr>
                      <w:rFonts w:hint="eastAsia" w:cs="Times New Roman"/>
                      <w:b/>
                      <w:bCs w:val="0"/>
                      <w:color w:val="auto"/>
                      <w:sz w:val="21"/>
                      <w:szCs w:val="21"/>
                      <w:highlight w:val="none"/>
                      <w:vertAlign w:val="baseline"/>
                      <w:lang w:val="en-US" w:eastAsia="zh-CN"/>
                    </w:rPr>
                    <w:t>2.10</w:t>
                  </w:r>
                  <w:r>
                    <w:rPr>
                      <w:rFonts w:hint="eastAsia" w:ascii="Times New Roman" w:hAnsi="Times New Roman" w:eastAsia="宋体" w:cs="Times New Roman"/>
                      <w:b/>
                      <w:bCs w:val="0"/>
                      <w:color w:val="auto"/>
                      <w:sz w:val="21"/>
                      <w:szCs w:val="21"/>
                      <w:highlight w:val="none"/>
                      <w:vertAlign w:val="baseline"/>
                      <w:lang w:val="en-US" w:eastAsia="zh-CN"/>
                    </w:rPr>
                    <w:t>-202</w:t>
                  </w:r>
                  <w:r>
                    <w:rPr>
                      <w:rFonts w:hint="eastAsia" w:cs="Times New Roman"/>
                      <w:b/>
                      <w:bCs w:val="0"/>
                      <w:color w:val="auto"/>
                      <w:sz w:val="21"/>
                      <w:szCs w:val="21"/>
                      <w:highlight w:val="none"/>
                      <w:vertAlign w:val="baseline"/>
                      <w:lang w:val="en-US" w:eastAsia="zh-CN"/>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高坡坡脚防护工程</w:t>
                  </w:r>
                </w:p>
              </w:tc>
              <w:tc>
                <w:tcPr>
                  <w:tcW w:w="19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20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193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防汛道路工程</w:t>
                  </w:r>
                </w:p>
              </w:tc>
              <w:tc>
                <w:tcPr>
                  <w:tcW w:w="19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20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193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高边坡生态修复工程</w:t>
                  </w:r>
                </w:p>
              </w:tc>
              <w:tc>
                <w:tcPr>
                  <w:tcW w:w="19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20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193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r>
          </w:tbl>
          <w:p>
            <w:pPr>
              <w:adjustRightInd w:val="0"/>
              <w:snapToGrid w:val="0"/>
              <w:spacing w:line="360" w:lineRule="auto"/>
              <w:rPr>
                <w:rFonts w:hint="default" w:eastAsia="仿宋_GB2312"/>
                <w:bCs/>
                <w:color w:val="auto"/>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52" w:hRule="atLeast"/>
          <w:jc w:val="center"/>
        </w:trPr>
        <w:tc>
          <w:tcPr>
            <w:tcW w:w="823" w:type="dxa"/>
            <w:tcBorders>
              <w:tl2br w:val="nil"/>
              <w:tr2bl w:val="nil"/>
            </w:tcBorders>
            <w:vAlign w:val="center"/>
          </w:tcPr>
          <w:p>
            <w:pPr>
              <w:pStyle w:val="21"/>
              <w:adjustRightInd w:val="0"/>
              <w:snapToGrid w:val="0"/>
              <w:spacing w:before="0" w:beforeAutospacing="0" w:after="0" w:afterAutospacing="0"/>
              <w:jc w:val="center"/>
              <w:rPr>
                <w:rFonts w:hint="eastAsia" w:ascii="Times New Roman" w:hAnsi="Times New Roman" w:eastAsiaTheme="minorEastAsia"/>
                <w:b/>
                <w:bCs/>
                <w:color w:val="auto"/>
                <w:szCs w:val="24"/>
                <w:highlight w:val="none"/>
                <w:lang w:eastAsia="zh-CN"/>
              </w:rPr>
            </w:pPr>
            <w:r>
              <w:rPr>
                <w:rFonts w:hint="eastAsia" w:ascii="Times New Roman" w:hAnsi="Times New Roman" w:eastAsiaTheme="minorEastAsia"/>
                <w:b/>
                <w:bCs/>
                <w:color w:val="auto"/>
                <w:szCs w:val="24"/>
                <w:highlight w:val="none"/>
                <w:lang w:eastAsia="zh-CN"/>
              </w:rPr>
              <w:t>其他</w:t>
            </w:r>
          </w:p>
        </w:tc>
        <w:tc>
          <w:tcPr>
            <w:tcW w:w="8220" w:type="dxa"/>
            <w:tcBorders>
              <w:tl2br w:val="nil"/>
              <w:tr2bl w:val="nil"/>
            </w:tcBorders>
            <w:vAlign w:val="center"/>
          </w:tcPr>
          <w:p>
            <w:pPr>
              <w:numPr>
                <w:ilvl w:val="0"/>
                <w:numId w:val="0"/>
              </w:numPr>
              <w:adjustRightInd w:val="0"/>
              <w:snapToGrid w:val="0"/>
              <w:spacing w:line="360" w:lineRule="auto"/>
              <w:jc w:val="both"/>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1、高边坡坡脚防护工程方案比选</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本工程结合清水河的现状情况，制定了多种类型的岸坡防护和护脚方案，并 进行工程技术和投资的比较，从而得出合理的方案</w:t>
            </w:r>
            <w:r>
              <w:rPr>
                <w:rFonts w:hint="eastAsia" w:eastAsia="仿宋_GB2312" w:cs="Times New Roman"/>
                <w:color w:val="auto"/>
                <w:sz w:val="24"/>
                <w:szCs w:val="24"/>
                <w:highlight w:val="none"/>
                <w:lang w:val="en-US" w:eastAsia="zh-CN"/>
              </w:rPr>
              <w:t>。</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清水河以防冲、治理塌岸为主，治理以强化河岸边界条件为目的，护坡材料要求具有一定的强度。由于清水河洪水流速较大，干砌石整体性及防冲稳定性差，本设计主要考虑采用格宾、浆砌石和普通铅丝石笼防护对护坡进行比较；由于护脚部分用量较大，对护脚分别采用格宾和格宾+格栅石笼材料进行比较</w:t>
            </w:r>
            <w:r>
              <w:rPr>
                <w:rFonts w:hint="eastAsia" w:eastAsia="仿宋_GB2312" w:cs="Times New Roman"/>
                <w:color w:val="auto"/>
                <w:sz w:val="24"/>
                <w:szCs w:val="24"/>
                <w:highlight w:val="none"/>
                <w:lang w:val="en-US" w:eastAsia="zh-CN"/>
              </w:rPr>
              <w:t>。</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（1）挡墙材料比选</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①</w:t>
            </w:r>
            <w:r>
              <w:rPr>
                <w:rFonts w:hint="eastAsia" w:ascii="Times New Roman" w:hAnsi="Times New Roman" w:eastAsia="仿宋_GB2312" w:cs="Times New Roman"/>
                <w:b w:val="0"/>
                <w:bCs/>
                <w:color w:val="auto"/>
                <w:sz w:val="24"/>
                <w:highlight w:val="none"/>
                <w:lang w:val="en-US" w:eastAsia="zh-CN"/>
              </w:rPr>
              <w:t>方案一：格宾护坡</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格宾挡墙采用墙式结构。护坡材料比选是为说明各种材料综合性能的优劣，本段护坡高度按3.0m计算进行分析比选，每10m格宾网箱体积60m</w:t>
            </w:r>
            <w:r>
              <w:rPr>
                <w:rFonts w:hint="eastAsia"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。根据以上结构，考虑人工、机械以及其它费用，计算格宾护坡单价405.32/m</w:t>
            </w:r>
            <w:r>
              <w:rPr>
                <w:rFonts w:hint="eastAsia"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，综合填土、土工布等单价，护坡每10m综合单价24848元</w:t>
            </w:r>
            <w:r>
              <w:rPr>
                <w:rFonts w:hint="eastAsia" w:eastAsia="仿宋_GB2312" w:cs="Times New Roman"/>
                <w:color w:val="auto"/>
                <w:sz w:val="24"/>
                <w:szCs w:val="24"/>
                <w:highlight w:val="none"/>
                <w:lang w:val="en-US" w:eastAsia="zh-CN"/>
              </w:rPr>
              <w:t>。</w:t>
            </w: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方案优点：整体性好，抗腐蚀性能好，抗冲性能好，护坡耐久。</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方案缺点：造价偏高。</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②</w:t>
            </w:r>
            <w:r>
              <w:rPr>
                <w:rFonts w:hint="eastAsia" w:ascii="Times New Roman" w:hAnsi="Times New Roman" w:eastAsia="仿宋_GB2312" w:cs="Times New Roman"/>
                <w:b w:val="0"/>
                <w:bCs/>
                <w:color w:val="auto"/>
                <w:sz w:val="24"/>
                <w:highlight w:val="none"/>
                <w:lang w:val="en-US" w:eastAsia="zh-CN"/>
              </w:rPr>
              <w:t>方案二：浆砌石方案</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浆砌石护坡稳定根据堤防工程设计规范（GB50286-2013）计算，为保持方案间的可比性，护坡高度同样按3.0m计算。其厚度顶宽0.8m，底宽2.4m，每10m砌石体积60m</w:t>
            </w:r>
            <w:r>
              <w:rPr>
                <w:rFonts w:hint="eastAsia"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。根据以上结构，考虑人工、机械以及其它费用，计算干砌石护坡单价289.39元/m</w:t>
            </w:r>
            <w:r>
              <w:rPr>
                <w:rFonts w:hint="eastAsia"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，每10m综合单价17363.4元</w:t>
            </w:r>
            <w:r>
              <w:rPr>
                <w:rFonts w:hint="eastAsia" w:eastAsia="仿宋_GB2312" w:cs="Times New Roman"/>
                <w:color w:val="auto"/>
                <w:sz w:val="24"/>
                <w:szCs w:val="24"/>
                <w:highlight w:val="none"/>
                <w:lang w:val="en-US" w:eastAsia="zh-CN"/>
              </w:rPr>
              <w:t>。</w:t>
            </w: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方案优点：施工简单、费用低。</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方案缺点：刚性结构，受冲点破坏对上下游砌护影响较大，适应抗冲性能差。</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③</w:t>
            </w:r>
            <w:r>
              <w:rPr>
                <w:rFonts w:hint="eastAsia" w:ascii="Times New Roman" w:hAnsi="Times New Roman" w:eastAsia="仿宋_GB2312" w:cs="Times New Roman"/>
                <w:b w:val="0"/>
                <w:bCs/>
                <w:color w:val="auto"/>
                <w:sz w:val="24"/>
                <w:highlight w:val="none"/>
                <w:lang w:val="en-US" w:eastAsia="zh-CN"/>
              </w:rPr>
              <w:t>方案三：铅丝石笼方案</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铅丝石笼尺寸同格宾网箱，只是格宾丝采用低碳钢丝+铝10％+锌和稀土层90％(高尔凡)，铅丝为普通8号铅丝，母材为低碳钢丝+锌（热度）。挡墙高度同样按3.0m计算。计算铅丝笼护坡单价262.03元/m</w:t>
            </w:r>
            <w:r>
              <w:rPr>
                <w:rFonts w:hint="eastAsia"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，综合填土、土工布等单价，护坡每10m综合单价16338元</w:t>
            </w:r>
            <w:r>
              <w:rPr>
                <w:rFonts w:hint="eastAsia" w:eastAsia="仿宋_GB2312" w:cs="Times New Roman"/>
                <w:color w:val="auto"/>
                <w:sz w:val="24"/>
                <w:szCs w:val="24"/>
                <w:highlight w:val="none"/>
                <w:lang w:val="en-US" w:eastAsia="zh-CN"/>
              </w:rPr>
              <w:t>。</w:t>
            </w: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方案优点：与格宾比较费用低。</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方案缺点：抗腐蚀性差、寿命短。</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方案选择：</w:t>
            </w:r>
            <w:r>
              <w:rPr>
                <w:rFonts w:hint="eastAsia" w:ascii="Times New Roman" w:hAnsi="Times New Roman" w:eastAsia="仿宋_GB2312" w:cs="Times New Roman"/>
                <w:color w:val="auto"/>
                <w:sz w:val="24"/>
                <w:szCs w:val="24"/>
                <w:highlight w:val="none"/>
                <w:lang w:val="en-US" w:eastAsia="zh-CN"/>
              </w:rPr>
              <w:t>综合比较，格宾护坡较浆砌石费用增加不多，而且格宾护坡较浆砌石对抗冲水流的适应性方面有着明显的优势，考虑到铅丝笼抗腐性差，从安全性考虑，该段护坡仍采用格宾护垫</w:t>
            </w:r>
            <w:r>
              <w:rPr>
                <w:rFonts w:hint="eastAsia" w:eastAsia="仿宋_GB2312" w:cs="Times New Roman"/>
                <w:color w:val="auto"/>
                <w:sz w:val="24"/>
                <w:szCs w:val="24"/>
                <w:highlight w:val="none"/>
                <w:lang w:val="en-US" w:eastAsia="zh-CN"/>
              </w:rPr>
              <w:t>。</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（2）护脚材料比选</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为适应河床冲刷，两种防护方案的护脚均采用柔性基础。护脚部分按冲刷坑影响体积概算，由于深挖较为困难，以水平宽度代替冲深，设计宽度按1.5~2.0倍冲深，设计按2倍冲深考虑。该河段设计采用冲深为2.0m，拟定护脚宽度为2.0m。考虑到冲刷一般造成护脚向河道方向倾斜，护脚按两层放置，即，每层高</w:t>
            </w:r>
            <w:r>
              <w:rPr>
                <w:rFonts w:hint="default" w:ascii="Times New Roman" w:hAnsi="Times New Roman" w:eastAsia="仿宋_GB2312" w:cs="Times New Roman"/>
                <w:color w:val="auto"/>
                <w:sz w:val="24"/>
                <w:szCs w:val="24"/>
                <w:highlight w:val="none"/>
                <w:lang w:val="en-US" w:eastAsia="zh-CN"/>
              </w:rPr>
              <w:t>×宽=0.5m×2</w:t>
            </w:r>
            <w:r>
              <w:rPr>
                <w:rFonts w:hint="eastAsia" w:ascii="Times New Roman" w:hAnsi="Times New Roman" w:eastAsia="仿宋_GB2312" w:cs="Times New Roman"/>
                <w:color w:val="auto"/>
                <w:sz w:val="24"/>
                <w:szCs w:val="24"/>
                <w:highlight w:val="none"/>
                <w:lang w:val="en-US" w:eastAsia="zh-CN"/>
              </w:rPr>
              <w:t>m，上层石笼倾斜下滑后，护脚体最大宽度仍可达到3.5m</w:t>
            </w:r>
            <w:r>
              <w:rPr>
                <w:rFonts w:hint="eastAsia" w:eastAsia="仿宋_GB2312" w:cs="Times New Roman"/>
                <w:color w:val="auto"/>
                <w:sz w:val="24"/>
                <w:szCs w:val="24"/>
                <w:highlight w:val="none"/>
                <w:lang w:val="en-US" w:eastAsia="zh-CN"/>
              </w:rPr>
              <w:t>。</w:t>
            </w:r>
          </w:p>
          <w:p>
            <w:pPr>
              <w:pStyle w:val="9"/>
              <w:adjustRightInd w:val="0"/>
              <w:spacing w:before="0" w:after="0" w:line="360" w:lineRule="auto"/>
              <w:ind w:right="0" w:firstLine="480" w:firstLineChars="200"/>
              <w:rPr>
                <w:rFonts w:hint="eastAsia" w:ascii="Times New Roman" w:hAnsi="Times New Roman" w:eastAsia="仿宋_GB2312" w:cs="Times New Roman"/>
                <w:b w:val="0"/>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①</w:t>
            </w:r>
            <w:r>
              <w:rPr>
                <w:rFonts w:hint="eastAsia" w:ascii="Times New Roman" w:hAnsi="Times New Roman" w:eastAsia="仿宋_GB2312" w:cs="Times New Roman"/>
                <w:b w:val="0"/>
                <w:bCs/>
                <w:color w:val="auto"/>
                <w:sz w:val="24"/>
                <w:highlight w:val="none"/>
                <w:lang w:val="en-US" w:eastAsia="zh-CN"/>
              </w:rPr>
              <w:t>方案一：格宾护脚方案</w:t>
            </w:r>
          </w:p>
          <w:p>
            <w:pPr>
              <w:pStyle w:val="9"/>
              <w:adjustRightInd w:val="0"/>
              <w:spacing w:before="0" w:after="0" w:line="360" w:lineRule="auto"/>
              <w:ind w:right="0"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根据以上结构尺寸，格宾护脚总厚度为1.0m，宽度2.0m，每10m护脚量20m</w:t>
            </w:r>
            <w:r>
              <w:rPr>
                <w:rFonts w:hint="eastAsia"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，护岸每10m格宾石用量20m</w:t>
            </w:r>
            <w:r>
              <w:rPr>
                <w:rFonts w:hint="eastAsia"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。根据以上结构，考虑人工、机械以及其它费用，计算格宾护脚单价294.87元/m</w:t>
            </w:r>
            <w:r>
              <w:rPr>
                <w:rFonts w:hint="eastAsia"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，每10m综合单价5897元</w:t>
            </w:r>
            <w:r>
              <w:rPr>
                <w:rFonts w:hint="eastAsia" w:eastAsia="仿宋_GB2312" w:cs="Times New Roman"/>
                <w:color w:val="auto"/>
                <w:sz w:val="24"/>
                <w:szCs w:val="24"/>
                <w:highlight w:val="none"/>
                <w:lang w:val="en-US" w:eastAsia="zh-CN"/>
              </w:rPr>
              <w:t>。</w:t>
            </w: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方案优点：强度高、抗腐蚀性强。</w:t>
            </w:r>
          </w:p>
          <w:p>
            <w:pPr>
              <w:pStyle w:val="9"/>
              <w:adjustRightInd w:val="0"/>
              <w:spacing w:before="0" w:after="0" w:line="360" w:lineRule="auto"/>
              <w:ind w:right="0" w:firstLine="480" w:firstLineChars="200"/>
              <w:rPr>
                <w:rFonts w:hint="eastAsia" w:eastAsia="仿宋_GB2312"/>
                <w:bCs/>
                <w:color w:val="auto"/>
                <w:sz w:val="24"/>
                <w:highlight w:val="none"/>
                <w:lang w:eastAsia="zh-CN"/>
              </w:rPr>
            </w:pPr>
            <w:r>
              <w:rPr>
                <w:rFonts w:hint="eastAsia" w:eastAsia="仿宋_GB2312" w:cs="Times New Roman"/>
                <w:color w:val="auto"/>
                <w:sz w:val="24"/>
                <w:szCs w:val="24"/>
                <w:highlight w:val="none"/>
                <w:lang w:val="en-US" w:eastAsia="zh-CN"/>
              </w:rPr>
              <w:t>方案缺点：工程费用较高。</w:t>
            </w:r>
          </w:p>
          <w:p>
            <w:pPr>
              <w:pStyle w:val="9"/>
              <w:adjustRightInd w:val="0"/>
              <w:spacing w:before="0" w:after="0" w:line="360" w:lineRule="auto"/>
              <w:ind w:right="0" w:firstLine="480" w:firstLineChars="200"/>
              <w:rPr>
                <w:rFonts w:hint="default" w:eastAsia="仿宋_GB2312"/>
                <w:bCs/>
                <w:color w:val="auto"/>
                <w:sz w:val="24"/>
                <w:highlight w:val="none"/>
                <w:lang w:val="en-US" w:eastAsia="zh-CN"/>
              </w:rPr>
            </w:pPr>
            <w:r>
              <w:rPr>
                <w:rFonts w:hint="default" w:ascii="Times New Roman" w:hAnsi="Times New Roman" w:eastAsia="仿宋_GB2312" w:cs="Times New Roman"/>
                <w:b w:val="0"/>
                <w:bCs/>
                <w:color w:val="auto"/>
                <w:sz w:val="24"/>
                <w:highlight w:val="none"/>
                <w:lang w:val="en-US" w:eastAsia="zh-CN"/>
              </w:rPr>
              <w:t>②</w:t>
            </w:r>
            <w:r>
              <w:rPr>
                <w:rFonts w:hint="eastAsia" w:ascii="Times New Roman" w:hAnsi="Times New Roman" w:eastAsia="仿宋_GB2312" w:cs="Times New Roman"/>
                <w:b w:val="0"/>
                <w:bCs/>
                <w:color w:val="auto"/>
                <w:sz w:val="24"/>
                <w:highlight w:val="none"/>
                <w:lang w:val="en-US" w:eastAsia="zh-CN"/>
              </w:rPr>
              <w:t>方案二：格宾+格栅护脚方案</w:t>
            </w:r>
          </w:p>
          <w:p>
            <w:pPr>
              <w:pStyle w:val="9"/>
              <w:adjustRightInd w:val="0"/>
              <w:spacing w:before="0" w:after="0" w:line="360" w:lineRule="auto"/>
              <w:ind w:right="0" w:firstLine="480" w:firstLineChars="200"/>
              <w:rPr>
                <w:rFonts w:hint="eastAsia" w:eastAsia="仿宋_GB2312"/>
                <w:bCs/>
                <w:color w:val="auto"/>
                <w:sz w:val="24"/>
                <w:highlight w:val="none"/>
                <w:lang w:eastAsia="zh-CN"/>
              </w:rPr>
            </w:pPr>
            <w:r>
              <w:rPr>
                <w:rFonts w:hint="eastAsia" w:eastAsia="仿宋_GB2312"/>
                <w:bCs/>
                <w:color w:val="auto"/>
                <w:sz w:val="24"/>
                <w:highlight w:val="none"/>
                <w:lang w:eastAsia="zh-CN"/>
              </w:rPr>
              <w:t>格宾分两层码放，由于河床起伏变化不一，下层石笼多数埋于地下或水下，但也有部分直接置于河床的，设计考虑下层石笼采用格栅石笼，经分析，格栅护脚石笼单价266.54元/</w:t>
            </w:r>
            <w:r>
              <w:rPr>
                <w:rFonts w:hint="eastAsia" w:ascii="Times New Roman" w:hAnsi="Times New Roman" w:eastAsia="仿宋_GB2312" w:cs="Times New Roman"/>
                <w:color w:val="auto"/>
                <w:sz w:val="24"/>
                <w:szCs w:val="24"/>
                <w:highlight w:val="none"/>
                <w:lang w:val="en-US" w:eastAsia="zh-CN"/>
              </w:rPr>
              <w:t>m</w:t>
            </w:r>
            <w:r>
              <w:rPr>
                <w:rFonts w:hint="eastAsia" w:eastAsia="仿宋_GB2312" w:cs="Times New Roman"/>
                <w:color w:val="auto"/>
                <w:sz w:val="24"/>
                <w:szCs w:val="24"/>
                <w:highlight w:val="none"/>
                <w:vertAlign w:val="superscript"/>
                <w:lang w:val="en-US" w:eastAsia="zh-CN"/>
              </w:rPr>
              <w:t>3</w:t>
            </w:r>
            <w:r>
              <w:rPr>
                <w:rFonts w:hint="eastAsia" w:eastAsia="仿宋_GB2312"/>
                <w:bCs/>
                <w:color w:val="auto"/>
                <w:sz w:val="24"/>
                <w:highlight w:val="none"/>
                <w:lang w:eastAsia="zh-CN"/>
              </w:rPr>
              <w:t>，格栅石笼+格宾护脚每10m综合单价5614元。</w:t>
            </w: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方案优点：费用较低，抗腐蚀性强。</w:t>
            </w:r>
          </w:p>
          <w:p>
            <w:pPr>
              <w:pStyle w:val="9"/>
              <w:adjustRightInd w:val="0"/>
              <w:spacing w:before="0" w:after="0" w:line="360" w:lineRule="auto"/>
              <w:ind w:right="0" w:firstLine="480" w:firstLineChars="200"/>
              <w:rPr>
                <w:rFonts w:hint="eastAsia" w:eastAsia="仿宋_GB2312"/>
                <w:bCs/>
                <w:color w:val="auto"/>
                <w:sz w:val="24"/>
                <w:highlight w:val="none"/>
                <w:lang w:eastAsia="zh-CN"/>
              </w:rPr>
            </w:pPr>
            <w:r>
              <w:rPr>
                <w:rFonts w:hint="eastAsia" w:eastAsia="仿宋_GB2312" w:cs="Times New Roman"/>
                <w:color w:val="auto"/>
                <w:sz w:val="24"/>
                <w:szCs w:val="24"/>
                <w:highlight w:val="none"/>
                <w:lang w:val="en-US" w:eastAsia="zh-CN"/>
              </w:rPr>
              <w:t>方案缺点：一旦外露寿命大大缩短。</w:t>
            </w: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方案选择：该段工程下层石笼均埋于地下或置于水下，避免了阻燃方面的不足，且造价相对格宾较低，本工程护脚采用上层格宾，下层格栅的结构形式。</w:t>
            </w: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p>
          <w:p>
            <w:pPr>
              <w:pStyle w:val="9"/>
              <w:adjustRightInd w:val="0"/>
              <w:spacing w:before="0" w:after="0" w:line="360" w:lineRule="auto"/>
              <w:ind w:right="0" w:firstLine="480" w:firstLineChars="200"/>
              <w:rPr>
                <w:rFonts w:hint="eastAsia" w:eastAsia="仿宋_GB2312" w:cs="Times New Roman"/>
                <w:color w:val="auto"/>
                <w:sz w:val="24"/>
                <w:szCs w:val="24"/>
                <w:highlight w:val="none"/>
                <w:lang w:val="en-US" w:eastAsia="zh-CN"/>
              </w:rPr>
            </w:pPr>
          </w:p>
          <w:p>
            <w:pPr>
              <w:pStyle w:val="9"/>
              <w:adjustRightInd w:val="0"/>
              <w:spacing w:before="0" w:after="0" w:line="360" w:lineRule="auto"/>
              <w:ind w:right="0" w:firstLine="480" w:firstLineChars="200"/>
              <w:rPr>
                <w:rFonts w:hint="eastAsia" w:eastAsia="仿宋_GB2312"/>
                <w:bCs/>
                <w:color w:val="auto"/>
                <w:sz w:val="24"/>
                <w:highlight w:val="none"/>
                <w:lang w:eastAsia="zh-CN"/>
              </w:rPr>
            </w:pPr>
          </w:p>
          <w:p>
            <w:pPr>
              <w:pStyle w:val="9"/>
              <w:adjustRightInd w:val="0"/>
              <w:spacing w:before="0" w:after="0" w:line="360" w:lineRule="auto"/>
              <w:ind w:right="0" w:firstLine="480" w:firstLineChars="200"/>
              <w:rPr>
                <w:rFonts w:hint="eastAsia" w:eastAsia="仿宋_GB2312"/>
                <w:bCs/>
                <w:color w:val="auto"/>
                <w:sz w:val="24"/>
                <w:highlight w:val="none"/>
                <w:lang w:eastAsia="zh-CN"/>
              </w:rPr>
            </w:pPr>
          </w:p>
          <w:p>
            <w:pPr>
              <w:pStyle w:val="9"/>
              <w:adjustRightInd w:val="0"/>
              <w:spacing w:before="0" w:after="0" w:line="360" w:lineRule="auto"/>
              <w:ind w:right="0" w:firstLine="480" w:firstLineChars="200"/>
              <w:rPr>
                <w:rFonts w:hint="eastAsia" w:eastAsia="仿宋_GB2312"/>
                <w:bCs/>
                <w:color w:val="auto"/>
                <w:sz w:val="24"/>
                <w:highlight w:val="none"/>
                <w:lang w:eastAsia="zh-CN"/>
              </w:rPr>
            </w:pPr>
          </w:p>
          <w:p>
            <w:pPr>
              <w:pStyle w:val="9"/>
              <w:adjustRightInd w:val="0"/>
              <w:spacing w:before="0" w:after="0" w:line="360" w:lineRule="auto"/>
              <w:ind w:right="0" w:firstLine="480" w:firstLineChars="200"/>
              <w:rPr>
                <w:rFonts w:hint="eastAsia" w:eastAsia="仿宋_GB2312"/>
                <w:bCs/>
                <w:color w:val="auto"/>
                <w:sz w:val="24"/>
                <w:highlight w:val="none"/>
                <w:lang w:eastAsia="zh-CN"/>
              </w:rPr>
            </w:pPr>
          </w:p>
          <w:p>
            <w:pPr>
              <w:pStyle w:val="9"/>
              <w:adjustRightInd w:val="0"/>
              <w:spacing w:before="0" w:after="0" w:line="360" w:lineRule="auto"/>
              <w:ind w:right="0" w:firstLine="480" w:firstLineChars="200"/>
              <w:rPr>
                <w:rFonts w:hint="eastAsia" w:eastAsia="仿宋_GB2312"/>
                <w:bCs/>
                <w:color w:val="auto"/>
                <w:sz w:val="24"/>
                <w:highlight w:val="none"/>
                <w:lang w:eastAsia="zh-CN"/>
              </w:rPr>
            </w:pPr>
          </w:p>
          <w:p>
            <w:pPr>
              <w:pStyle w:val="9"/>
              <w:adjustRightInd w:val="0"/>
              <w:spacing w:before="0" w:after="0" w:line="360" w:lineRule="auto"/>
              <w:ind w:right="0"/>
              <w:rPr>
                <w:rFonts w:hint="eastAsia" w:eastAsia="仿宋_GB2312"/>
                <w:bCs/>
                <w:color w:val="auto"/>
                <w:sz w:val="24"/>
                <w:highlight w:val="none"/>
                <w:lang w:eastAsia="zh-CN"/>
              </w:rPr>
            </w:pPr>
          </w:p>
        </w:tc>
      </w:tr>
    </w:tbl>
    <w:p>
      <w:pPr>
        <w:pStyle w:val="21"/>
        <w:jc w:val="center"/>
        <w:rPr>
          <w:rFonts w:ascii="黑体" w:hAnsi="黑体" w:eastAsia="黑体"/>
          <w:snapToGrid w:val="0"/>
          <w:color w:val="auto"/>
          <w:sz w:val="36"/>
          <w:szCs w:val="36"/>
          <w:highlight w:val="none"/>
        </w:rPr>
        <w:sectPr>
          <w:pgSz w:w="11906" w:h="16838"/>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21"/>
        <w:adjustRightInd w:val="0"/>
        <w:snapToGrid w:val="0"/>
        <w:spacing w:before="0" w:beforeAutospacing="0" w:after="0" w:afterAutospacing="0" w:line="14" w:lineRule="auto"/>
        <w:jc w:val="center"/>
        <w:outlineLvl w:val="0"/>
        <w:rPr>
          <w:rFonts w:ascii="黑体" w:hAnsi="黑体" w:eastAsia="黑体"/>
          <w:snapToGrid w:val="0"/>
          <w:color w:val="auto"/>
          <w:sz w:val="30"/>
          <w:szCs w:val="30"/>
          <w:highlight w:val="none"/>
        </w:rPr>
      </w:pP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w:t>
      </w:r>
      <w:r>
        <w:rPr>
          <w:rFonts w:hint="eastAsia" w:ascii="黑体" w:hAnsi="黑体" w:eastAsia="黑体"/>
          <w:snapToGrid w:val="0"/>
          <w:color w:val="auto"/>
          <w:sz w:val="30"/>
          <w:szCs w:val="30"/>
          <w:highlight w:val="none"/>
          <w:lang w:eastAsia="zh-CN"/>
        </w:rPr>
        <w:t>生态</w:t>
      </w:r>
      <w:r>
        <w:rPr>
          <w:rFonts w:hint="eastAsia" w:ascii="黑体" w:hAnsi="黑体" w:eastAsia="黑体"/>
          <w:snapToGrid w:val="0"/>
          <w:color w:val="auto"/>
          <w:sz w:val="30"/>
          <w:szCs w:val="30"/>
          <w:highlight w:val="none"/>
        </w:rPr>
        <w:t>环境质量现状、保护目标及评价标准</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83"/>
        <w:gridCol w:w="820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783" w:type="dxa"/>
            <w:tcBorders>
              <w:tl2br w:val="nil"/>
              <w:tr2bl w:val="nil"/>
            </w:tcBorders>
            <w:vAlign w:val="center"/>
          </w:tcPr>
          <w:p>
            <w:pPr>
              <w:adjustRightInd w:val="0"/>
              <w:snapToGrid w:val="0"/>
              <w:jc w:val="center"/>
              <w:rPr>
                <w:rFonts w:hint="eastAsia" w:eastAsia="仿宋_GB2312"/>
                <w:color w:val="auto"/>
                <w:kern w:val="0"/>
                <w:sz w:val="24"/>
                <w:highlight w:val="none"/>
                <w:lang w:eastAsia="zh-CN"/>
              </w:rPr>
            </w:pPr>
            <w:r>
              <w:rPr>
                <w:rFonts w:hint="eastAsia" w:ascii="宋体" w:hAnsi="宋体" w:eastAsia="宋体" w:cs="宋体"/>
                <w:b/>
                <w:bCs/>
                <w:color w:val="auto"/>
                <w:kern w:val="0"/>
                <w:sz w:val="24"/>
                <w:highlight w:val="none"/>
                <w:lang w:eastAsia="zh-CN"/>
              </w:rPr>
              <w:t>生态环境现状</w:t>
            </w:r>
          </w:p>
        </w:tc>
        <w:tc>
          <w:tcPr>
            <w:tcW w:w="8207" w:type="dxa"/>
            <w:tcBorders>
              <w:tl2br w:val="nil"/>
              <w:tr2bl w:val="nil"/>
            </w:tcBorders>
          </w:tcPr>
          <w:p>
            <w:pPr>
              <w:adjustRightInd w:val="0"/>
              <w:snapToGrid w:val="0"/>
              <w:spacing w:line="360" w:lineRule="auto"/>
              <w:ind w:firstLine="482" w:firstLineChars="200"/>
              <w:rPr>
                <w:rFonts w:ascii="Times New Roman" w:hAnsi="Times New Roman" w:eastAsia="仿宋_GB2312" w:cs="Times New Roman"/>
                <w:b/>
                <w:bCs/>
                <w:color w:val="auto"/>
                <w:sz w:val="24"/>
                <w:szCs w:val="24"/>
                <w:highlight w:val="none"/>
              </w:rPr>
            </w:pPr>
            <w:r>
              <w:rPr>
                <w:rFonts w:ascii="Times New Roman" w:hAnsi="Times New Roman" w:eastAsia="仿宋_GB2312"/>
                <w:b/>
                <w:bCs/>
                <w:color w:val="auto"/>
                <w:sz w:val="24"/>
                <w:highlight w:val="none"/>
              </w:rPr>
              <w:t>1、</w:t>
            </w:r>
            <w:r>
              <w:rPr>
                <w:rFonts w:ascii="Times New Roman" w:hAnsi="Times New Roman" w:eastAsia="仿宋_GB2312" w:cs="Times New Roman"/>
                <w:b/>
                <w:bCs/>
                <w:color w:val="auto"/>
                <w:sz w:val="24"/>
                <w:szCs w:val="24"/>
                <w:highlight w:val="none"/>
              </w:rPr>
              <w:t>生态环境状况</w:t>
            </w:r>
          </w:p>
          <w:p>
            <w:pPr>
              <w:adjustRightInd w:val="0"/>
              <w:snapToGrid w:val="0"/>
              <w:spacing w:line="360" w:lineRule="auto"/>
              <w:ind w:firstLine="482" w:firstLineChars="200"/>
              <w:rPr>
                <w:rFonts w:ascii="Times New Roman" w:hAnsi="Times New Roman" w:eastAsia="仿宋_GB2312" w:cs="Times New Roman"/>
                <w:b/>
                <w:bCs/>
                <w:color w:val="auto"/>
                <w:sz w:val="24"/>
                <w:szCs w:val="24"/>
                <w:highlight w:val="none"/>
              </w:rPr>
            </w:pPr>
            <w:r>
              <w:rPr>
                <w:rFonts w:hint="eastAsia" w:ascii="Times New Roman" w:hAnsi="Times New Roman" w:eastAsia="仿宋_GB2312" w:cs="Times New Roman"/>
                <w:b/>
                <w:bCs/>
                <w:color w:val="auto"/>
                <w:sz w:val="24"/>
                <w:szCs w:val="24"/>
                <w:highlight w:val="none"/>
              </w:rPr>
              <w:t>1.</w:t>
            </w:r>
            <w:r>
              <w:rPr>
                <w:rFonts w:hint="eastAsia" w:ascii="Times New Roman" w:hAnsi="Times New Roman" w:eastAsia="仿宋_GB2312" w:cs="Times New Roman"/>
                <w:b/>
                <w:bCs/>
                <w:color w:val="auto"/>
                <w:sz w:val="24"/>
                <w:szCs w:val="24"/>
                <w:highlight w:val="none"/>
                <w:lang w:val="en-US" w:eastAsia="zh-CN"/>
              </w:rPr>
              <w:t xml:space="preserve">1 </w:t>
            </w:r>
            <w:r>
              <w:rPr>
                <w:rFonts w:ascii="Times New Roman" w:hAnsi="Times New Roman" w:eastAsia="仿宋_GB2312" w:cs="Times New Roman"/>
                <w:b/>
                <w:bCs/>
                <w:color w:val="auto"/>
                <w:sz w:val="24"/>
                <w:szCs w:val="24"/>
                <w:highlight w:val="none"/>
              </w:rPr>
              <w:t>与《</w:t>
            </w:r>
            <w:r>
              <w:rPr>
                <w:rFonts w:hint="eastAsia" w:ascii="Times New Roman" w:hAnsi="Times New Roman" w:eastAsia="仿宋_GB2312" w:cs="Times New Roman"/>
                <w:b/>
                <w:bCs/>
                <w:color w:val="auto"/>
                <w:sz w:val="24"/>
                <w:szCs w:val="24"/>
                <w:highlight w:val="none"/>
              </w:rPr>
              <w:t>宁夏回族</w:t>
            </w:r>
            <w:r>
              <w:rPr>
                <w:rFonts w:ascii="Times New Roman" w:hAnsi="Times New Roman" w:eastAsia="仿宋_GB2312" w:cs="Times New Roman"/>
                <w:b/>
                <w:bCs/>
                <w:color w:val="auto"/>
                <w:sz w:val="24"/>
                <w:szCs w:val="24"/>
                <w:highlight w:val="none"/>
              </w:rPr>
              <w:t>自治区主体功能区规划》的</w:t>
            </w:r>
            <w:r>
              <w:rPr>
                <w:rFonts w:hint="eastAsia" w:eastAsia="仿宋_GB2312" w:cs="Times New Roman"/>
                <w:b/>
                <w:bCs/>
                <w:color w:val="auto"/>
                <w:sz w:val="24"/>
                <w:szCs w:val="24"/>
                <w:highlight w:val="none"/>
                <w:lang w:eastAsia="zh-CN"/>
              </w:rPr>
              <w:t>情况</w:t>
            </w:r>
            <w:r>
              <w:rPr>
                <w:rFonts w:ascii="Times New Roman" w:hAnsi="Times New Roman" w:eastAsia="仿宋_GB2312" w:cs="Times New Roman"/>
                <w:b/>
                <w:bCs/>
                <w:color w:val="auto"/>
                <w:sz w:val="24"/>
                <w:szCs w:val="24"/>
                <w:highlight w:val="none"/>
              </w:rPr>
              <w:t>分析</w:t>
            </w:r>
          </w:p>
          <w:p>
            <w:pPr>
              <w:pStyle w:val="59"/>
              <w:ind w:firstLine="480"/>
              <w:rPr>
                <w:color w:val="auto"/>
                <w:kern w:val="2"/>
                <w:highlight w:val="none"/>
              </w:rPr>
            </w:pPr>
            <w:r>
              <w:rPr>
                <w:color w:val="auto"/>
                <w:kern w:val="2"/>
                <w:highlight w:val="none"/>
              </w:rPr>
              <w:t>根据《</w:t>
            </w:r>
            <w:r>
              <w:rPr>
                <w:rFonts w:hint="eastAsia"/>
                <w:color w:val="auto"/>
                <w:highlight w:val="none"/>
              </w:rPr>
              <w:t>宁夏回族</w:t>
            </w:r>
            <w:r>
              <w:rPr>
                <w:color w:val="auto"/>
                <w:kern w:val="2"/>
                <w:highlight w:val="none"/>
              </w:rPr>
              <w:t>自治区主体功能区规划》将全区国土空间划分为以下主体功能区：按开发方式，划分为重点开发区域、限制开发区域和禁止开发区域；按开发内容，划分为城市化地区、农产品主产区和重点生态功能区；按层次，划分为国家级和自治区级两个层面。</w:t>
            </w:r>
          </w:p>
          <w:p>
            <w:pPr>
              <w:pStyle w:val="59"/>
              <w:ind w:firstLine="480"/>
              <w:rPr>
                <w:rFonts w:hint="eastAsia" w:ascii="Times New Roman" w:hAnsi="Times New Roman" w:cs="Times New Roman"/>
                <w:color w:val="auto"/>
                <w:kern w:val="2"/>
                <w:highlight w:val="none"/>
              </w:rPr>
            </w:pPr>
            <w:r>
              <w:rPr>
                <w:rFonts w:hint="eastAsia"/>
                <w:color w:val="auto"/>
                <w:kern w:val="2"/>
                <w:highlight w:val="none"/>
              </w:rPr>
              <w:t>本</w:t>
            </w:r>
            <w:r>
              <w:rPr>
                <w:color w:val="auto"/>
                <w:kern w:val="2"/>
                <w:highlight w:val="none"/>
              </w:rPr>
              <w:t>项目位于</w:t>
            </w:r>
            <w:r>
              <w:rPr>
                <w:rFonts w:hint="eastAsia"/>
                <w:color w:val="auto"/>
                <w:kern w:val="2"/>
                <w:highlight w:val="none"/>
                <w:lang w:eastAsia="zh-CN"/>
              </w:rPr>
              <w:t>宁夏回族自治区中卫市沙坡头区宣和镇，</w:t>
            </w:r>
            <w:r>
              <w:rPr>
                <w:color w:val="auto"/>
                <w:kern w:val="2"/>
                <w:highlight w:val="none"/>
              </w:rPr>
              <w:t>属于《</w:t>
            </w:r>
            <w:r>
              <w:rPr>
                <w:rFonts w:hint="eastAsia"/>
                <w:color w:val="auto"/>
                <w:highlight w:val="none"/>
              </w:rPr>
              <w:t>宁夏回族</w:t>
            </w:r>
            <w:r>
              <w:rPr>
                <w:color w:val="auto"/>
                <w:kern w:val="2"/>
                <w:highlight w:val="none"/>
              </w:rPr>
              <w:t>自治区主体功能区规划》中的</w:t>
            </w:r>
            <w:r>
              <w:rPr>
                <w:rFonts w:hint="eastAsia"/>
                <w:color w:val="auto"/>
                <w:kern w:val="2"/>
                <w:highlight w:val="none"/>
                <w:lang w:eastAsia="zh-CN"/>
              </w:rPr>
              <w:t>限制开发区域（国家农产品主产区）</w:t>
            </w:r>
            <w:r>
              <w:rPr>
                <w:rFonts w:hint="eastAsia"/>
                <w:color w:val="auto"/>
                <w:kern w:val="2"/>
                <w:highlight w:val="none"/>
              </w:rPr>
              <w:t>。</w:t>
            </w:r>
            <w:r>
              <w:rPr>
                <w:rFonts w:hint="eastAsia" w:ascii="Times New Roman" w:hAnsi="Times New Roman" w:cs="Times New Roman"/>
                <w:color w:val="auto"/>
                <w:kern w:val="2"/>
                <w:highlight w:val="none"/>
              </w:rPr>
              <w:t>该规划中</w:t>
            </w:r>
            <w:r>
              <w:rPr>
                <w:rFonts w:hint="eastAsia" w:cs="Times New Roman"/>
                <w:color w:val="auto"/>
                <w:kern w:val="2"/>
                <w:highlight w:val="none"/>
                <w:lang w:eastAsia="zh-CN"/>
              </w:rPr>
              <w:t>对</w:t>
            </w:r>
            <w:r>
              <w:rPr>
                <w:rFonts w:hint="eastAsia"/>
                <w:color w:val="auto"/>
                <w:kern w:val="2"/>
                <w:highlight w:val="none"/>
                <w:lang w:eastAsia="zh-CN"/>
              </w:rPr>
              <w:t>国家农产品主产区的发展方向和开发原则</w:t>
            </w:r>
            <w:r>
              <w:rPr>
                <w:rFonts w:hint="eastAsia" w:ascii="Times New Roman" w:hAnsi="Times New Roman" w:cs="Times New Roman"/>
                <w:color w:val="auto"/>
                <w:kern w:val="2"/>
                <w:highlight w:val="none"/>
                <w:lang w:eastAsia="zh-CN"/>
              </w:rPr>
              <w:t>：加强水利设施建设，加快灌区续建配套与节水改造以及南部山区水源工程建设。鼓励和支持农民开展小型农田水利设施建设、小流域综合治理。建设节水型社会，加强节水农业建设，大力推广节水灌溉，搞好旱作农业示范工程</w:t>
            </w:r>
            <w:r>
              <w:rPr>
                <w:rFonts w:hint="eastAsia" w:ascii="Times New Roman" w:hAnsi="Times New Roman" w:cs="Times New Roman"/>
                <w:color w:val="auto"/>
                <w:kern w:val="2"/>
                <w:highlight w:val="none"/>
              </w:rPr>
              <w:t>。</w:t>
            </w:r>
          </w:p>
          <w:p>
            <w:pPr>
              <w:pStyle w:val="59"/>
              <w:ind w:firstLine="480"/>
              <w:rPr>
                <w:color w:val="auto"/>
                <w:kern w:val="2"/>
                <w:highlight w:val="none"/>
              </w:rPr>
            </w:pPr>
            <w:r>
              <w:rPr>
                <w:rFonts w:hint="eastAsia" w:ascii="Times New Roman" w:hAnsi="Times New Roman" w:eastAsia="仿宋_GB2312" w:cs="Times New Roman"/>
                <w:color w:val="auto"/>
                <w:kern w:val="0"/>
                <w:sz w:val="24"/>
                <w:szCs w:val="24"/>
                <w:highlight w:val="none"/>
                <w:lang w:val="en-US" w:eastAsia="zh-CN" w:bidi="ar-SA"/>
              </w:rPr>
              <w:t>本项目</w:t>
            </w:r>
            <w:r>
              <w:rPr>
                <w:rFonts w:hint="eastAsia" w:eastAsia="仿宋_GB2312" w:cs="Times New Roman"/>
                <w:color w:val="auto"/>
                <w:kern w:val="0"/>
                <w:sz w:val="24"/>
                <w:szCs w:val="24"/>
                <w:highlight w:val="none"/>
                <w:lang w:val="en-US" w:eastAsia="zh-CN" w:bidi="ar-SA"/>
              </w:rPr>
              <w:t>对清水河左岸从山河桥到入黄口处进行防洪治理工程，对清水河岸线进行修复和保护</w:t>
            </w:r>
            <w:r>
              <w:rPr>
                <w:rFonts w:hint="eastAsia"/>
                <w:color w:val="auto"/>
                <w:kern w:val="2"/>
                <w:highlight w:val="none"/>
              </w:rPr>
              <w:t>。项目与</w:t>
            </w:r>
            <w:r>
              <w:rPr>
                <w:rFonts w:hint="eastAsia"/>
                <w:color w:val="auto"/>
                <w:highlight w:val="none"/>
              </w:rPr>
              <w:t>宁夏回族</w:t>
            </w:r>
            <w:r>
              <w:rPr>
                <w:color w:val="auto"/>
                <w:kern w:val="2"/>
                <w:highlight w:val="none"/>
              </w:rPr>
              <w:t>自治区主体功能区规划</w:t>
            </w:r>
            <w:r>
              <w:rPr>
                <w:rFonts w:hint="eastAsia"/>
                <w:color w:val="auto"/>
                <w:kern w:val="2"/>
                <w:highlight w:val="none"/>
              </w:rPr>
              <w:t>关系</w:t>
            </w:r>
            <w:r>
              <w:rPr>
                <w:color w:val="auto"/>
                <w:kern w:val="2"/>
                <w:highlight w:val="none"/>
              </w:rPr>
              <w:t>详见图</w:t>
            </w:r>
            <w:r>
              <w:rPr>
                <w:rFonts w:hint="eastAsia"/>
                <w:color w:val="auto"/>
                <w:kern w:val="2"/>
                <w:highlight w:val="none"/>
                <w:lang w:val="en-US" w:eastAsia="zh-CN"/>
              </w:rPr>
              <w:t>19</w:t>
            </w:r>
            <w:r>
              <w:rPr>
                <w:color w:val="auto"/>
                <w:kern w:val="2"/>
                <w:highlight w:val="none"/>
              </w:rPr>
              <w:t>。</w:t>
            </w:r>
          </w:p>
          <w:p>
            <w:pPr>
              <w:adjustRightInd w:val="0"/>
              <w:snapToGrid w:val="0"/>
              <w:spacing w:line="360" w:lineRule="auto"/>
              <w:ind w:firstLine="482" w:firstLineChars="200"/>
              <w:rPr>
                <w:rFonts w:hint="eastAsia" w:ascii="Times New Roman" w:hAnsi="Times New Roman" w:eastAsia="仿宋_GB2312" w:cs="Times New Roman"/>
                <w:b/>
                <w:bCs/>
                <w:color w:val="auto"/>
                <w:sz w:val="24"/>
                <w:szCs w:val="24"/>
                <w:highlight w:val="none"/>
              </w:rPr>
            </w:pPr>
            <w:r>
              <w:rPr>
                <w:rFonts w:hint="eastAsia" w:ascii="Times New Roman" w:hAnsi="Times New Roman" w:eastAsia="仿宋_GB2312" w:cs="Times New Roman"/>
                <w:b/>
                <w:bCs/>
                <w:color w:val="auto"/>
                <w:sz w:val="24"/>
                <w:szCs w:val="24"/>
                <w:highlight w:val="none"/>
              </w:rPr>
              <w:t>1.2</w:t>
            </w:r>
            <w:r>
              <w:rPr>
                <w:rFonts w:hint="eastAsia" w:ascii="Times New Roman" w:hAnsi="Times New Roman" w:eastAsia="仿宋_GB2312" w:cs="Times New Roman"/>
                <w:b/>
                <w:bCs/>
                <w:color w:val="auto"/>
                <w:sz w:val="24"/>
                <w:szCs w:val="24"/>
                <w:highlight w:val="none"/>
                <w:lang w:val="en-US" w:eastAsia="zh-CN"/>
              </w:rPr>
              <w:t xml:space="preserve"> </w:t>
            </w:r>
            <w:r>
              <w:rPr>
                <w:rFonts w:hint="eastAsia" w:ascii="Times New Roman" w:hAnsi="Times New Roman" w:eastAsia="仿宋_GB2312" w:cs="Times New Roman"/>
                <w:b/>
                <w:bCs/>
                <w:color w:val="auto"/>
                <w:sz w:val="24"/>
                <w:szCs w:val="24"/>
                <w:highlight w:val="none"/>
              </w:rPr>
              <w:t>本项目与宁夏生态功能区划的</w:t>
            </w:r>
            <w:r>
              <w:rPr>
                <w:rFonts w:hint="eastAsia" w:eastAsia="仿宋_GB2312" w:cs="Times New Roman"/>
                <w:b/>
                <w:bCs/>
                <w:color w:val="auto"/>
                <w:sz w:val="24"/>
                <w:szCs w:val="24"/>
                <w:highlight w:val="none"/>
                <w:lang w:eastAsia="zh-CN"/>
              </w:rPr>
              <w:t>情况</w:t>
            </w:r>
            <w:r>
              <w:rPr>
                <w:rFonts w:hint="eastAsia" w:ascii="Times New Roman" w:hAnsi="Times New Roman" w:eastAsia="仿宋_GB2312" w:cs="Times New Roman"/>
                <w:b/>
                <w:bCs/>
                <w:color w:val="auto"/>
                <w:sz w:val="24"/>
                <w:szCs w:val="24"/>
                <w:highlight w:val="none"/>
              </w:rPr>
              <w:t>分析</w:t>
            </w:r>
          </w:p>
          <w:p>
            <w:pPr>
              <w:adjustRightInd w:val="0"/>
              <w:snapToGrid w:val="0"/>
              <w:spacing w:line="360" w:lineRule="auto"/>
              <w:ind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根据《</w:t>
            </w:r>
            <w:r>
              <w:rPr>
                <w:rFonts w:hint="eastAsia" w:ascii="Times New Roman" w:hAnsi="Times New Roman" w:eastAsia="仿宋_GB2312" w:cs="Times New Roman"/>
                <w:color w:val="auto"/>
                <w:sz w:val="24"/>
                <w:szCs w:val="24"/>
                <w:highlight w:val="none"/>
              </w:rPr>
              <w:t>宁夏生态功能区划</w:t>
            </w:r>
            <w:r>
              <w:rPr>
                <w:rFonts w:hint="eastAsia" w:ascii="Times New Roman" w:hAnsi="Times New Roman" w:eastAsia="仿宋_GB2312" w:cs="Times New Roman"/>
                <w:color w:val="auto"/>
                <w:kern w:val="2"/>
                <w:sz w:val="24"/>
                <w:szCs w:val="24"/>
                <w:highlight w:val="none"/>
                <w:lang w:val="en-US" w:eastAsia="zh-CN" w:bidi="ar-SA"/>
              </w:rPr>
              <w:t>》，本项目属于</w:t>
            </w:r>
            <w:r>
              <w:rPr>
                <w:rFonts w:hint="eastAsia" w:eastAsia="仿宋_GB2312" w:cs="Times New Roman"/>
                <w:color w:val="auto"/>
                <w:kern w:val="2"/>
                <w:sz w:val="24"/>
                <w:szCs w:val="24"/>
                <w:highlight w:val="none"/>
                <w:lang w:val="en-US" w:eastAsia="zh-CN" w:bidi="ar-SA"/>
              </w:rPr>
              <w:t>卫宁灌区节水改造生态功能区</w:t>
            </w:r>
            <w:r>
              <w:rPr>
                <w:rFonts w:hint="eastAsia" w:ascii="Times New Roman" w:hAnsi="Times New Roman" w:eastAsia="仿宋_GB2312" w:cs="Times New Roman"/>
                <w:color w:val="auto"/>
                <w:kern w:val="2"/>
                <w:sz w:val="24"/>
                <w:szCs w:val="24"/>
                <w:highlight w:val="none"/>
                <w:lang w:val="en-US" w:eastAsia="zh-CN" w:bidi="ar-SA"/>
              </w:rPr>
              <w:t>。该区域的主要</w:t>
            </w:r>
            <w:r>
              <w:rPr>
                <w:rFonts w:hint="eastAsia" w:eastAsia="仿宋_GB2312" w:cs="Times New Roman"/>
                <w:color w:val="auto"/>
                <w:kern w:val="2"/>
                <w:sz w:val="24"/>
                <w:szCs w:val="24"/>
                <w:highlight w:val="none"/>
                <w:lang w:val="en-US" w:eastAsia="zh-CN" w:bidi="ar-SA"/>
              </w:rPr>
              <w:t>问题</w:t>
            </w:r>
            <w:r>
              <w:rPr>
                <w:rFonts w:hint="eastAsia" w:ascii="Times New Roman" w:hAnsi="Times New Roman" w:eastAsia="仿宋_GB2312" w:cs="Times New Roman"/>
                <w:color w:val="auto"/>
                <w:kern w:val="2"/>
                <w:sz w:val="24"/>
                <w:szCs w:val="24"/>
                <w:highlight w:val="none"/>
                <w:lang w:val="en-US" w:eastAsia="zh-CN" w:bidi="ar-SA"/>
              </w:rPr>
              <w:t>为：“</w:t>
            </w:r>
            <w:r>
              <w:rPr>
                <w:rFonts w:hint="eastAsia" w:eastAsia="仿宋_GB2312" w:cs="Times New Roman"/>
                <w:color w:val="auto"/>
                <w:kern w:val="2"/>
                <w:sz w:val="24"/>
                <w:szCs w:val="24"/>
                <w:highlight w:val="none"/>
                <w:lang w:val="en-US" w:eastAsia="zh-CN" w:bidi="ar-SA"/>
              </w:rPr>
              <w:t>本区传统的大水漫灌，加上渠道渗漏，部分渠水补给地下水，造成亩灌溉水量过大</w:t>
            </w:r>
            <w:r>
              <w:rPr>
                <w:rFonts w:hint="eastAsia" w:ascii="Times New Roman" w:hAnsi="Times New Roman" w:eastAsia="仿宋_GB2312" w:cs="Times New Roman"/>
                <w:color w:val="auto"/>
                <w:kern w:val="2"/>
                <w:sz w:val="24"/>
                <w:szCs w:val="24"/>
                <w:highlight w:val="none"/>
                <w:lang w:val="en-US" w:eastAsia="zh-CN" w:bidi="ar-SA"/>
              </w:rPr>
              <w:t>”</w:t>
            </w:r>
            <w:r>
              <w:rPr>
                <w:rFonts w:hint="eastAsia" w:eastAsia="仿宋_GB2312" w:cs="Times New Roman"/>
                <w:color w:val="auto"/>
                <w:kern w:val="2"/>
                <w:sz w:val="24"/>
                <w:szCs w:val="24"/>
                <w:highlight w:val="none"/>
                <w:lang w:val="en-US" w:eastAsia="zh-CN" w:bidi="ar-SA"/>
              </w:rPr>
              <w:t>。主要环境问题的治理措施：“对灌区渠系和灌溉技术进行节水改造。平田整地，缩小灌面，改大水漫灌、串灌为畦灌，推行节水新技术，降低灌水定额，提高节水改造的生态服务”。</w:t>
            </w:r>
          </w:p>
          <w:p>
            <w:pPr>
              <w:adjustRightInd w:val="0"/>
              <w:snapToGrid w:val="0"/>
              <w:spacing w:line="360" w:lineRule="auto"/>
              <w:ind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本项目位于宁夏回族自治区中卫市沙坡头区宣和镇，属于</w:t>
            </w:r>
            <w:r>
              <w:rPr>
                <w:rFonts w:hint="eastAsia" w:eastAsia="仿宋_GB2312" w:cs="Times New Roman"/>
                <w:color w:val="auto"/>
                <w:kern w:val="2"/>
                <w:sz w:val="24"/>
                <w:szCs w:val="24"/>
                <w:highlight w:val="none"/>
                <w:lang w:val="en-US" w:eastAsia="zh-CN" w:bidi="ar-SA"/>
              </w:rPr>
              <w:t>卫宁灌区节水改造生态功能区</w:t>
            </w:r>
            <w:r>
              <w:rPr>
                <w:rFonts w:hint="eastAsia" w:ascii="Times New Roman" w:hAnsi="Times New Roman" w:eastAsia="仿宋_GB2312" w:cs="Times New Roman"/>
                <w:color w:val="auto"/>
                <w:kern w:val="2"/>
                <w:sz w:val="24"/>
                <w:szCs w:val="24"/>
                <w:highlight w:val="none"/>
                <w:lang w:val="en-US" w:eastAsia="zh-CN" w:bidi="ar-SA"/>
              </w:rPr>
              <w:t>。</w:t>
            </w:r>
          </w:p>
          <w:p>
            <w:pPr>
              <w:adjustRightInd w:val="0"/>
              <w:snapToGrid w:val="0"/>
              <w:spacing w:line="360" w:lineRule="auto"/>
              <w:ind w:firstLine="482" w:firstLineChars="200"/>
              <w:rPr>
                <w:rFonts w:hint="default" w:ascii="Times New Roman" w:hAnsi="Times New Roman" w:eastAsia="仿宋_GB2312" w:cs="Times New Roman"/>
                <w:b w:val="0"/>
                <w:bCs w:val="0"/>
                <w:color w:val="auto"/>
                <w:sz w:val="24"/>
                <w:highlight w:val="none"/>
                <w:lang w:val="en-US" w:eastAsia="zh-CN"/>
              </w:rPr>
            </w:pPr>
            <w:r>
              <w:rPr>
                <w:rFonts w:hint="eastAsia" w:eastAsia="仿宋_GB2312" w:cs="Times New Roman"/>
                <w:b/>
                <w:bCs/>
                <w:color w:val="auto"/>
                <w:sz w:val="24"/>
                <w:szCs w:val="24"/>
                <w:highlight w:val="none"/>
                <w:lang w:val="en-US" w:eastAsia="zh-CN"/>
              </w:rPr>
              <w:t>2、</w:t>
            </w:r>
            <w:r>
              <w:rPr>
                <w:rFonts w:hint="eastAsia" w:eastAsia="仿宋_GB2312" w:cs="Times New Roman"/>
                <w:b/>
                <w:bCs/>
                <w:color w:val="auto"/>
                <w:sz w:val="24"/>
                <w:szCs w:val="24"/>
                <w:highlight w:val="none"/>
                <w:lang w:eastAsia="zh-CN"/>
              </w:rPr>
              <w:t>流域现状</w:t>
            </w:r>
          </w:p>
          <w:p>
            <w:pPr>
              <w:adjustRightInd w:val="0"/>
              <w:snapToGrid w:val="0"/>
              <w:spacing w:line="360" w:lineRule="auto"/>
              <w:ind w:firstLine="482" w:firstLineChars="200"/>
              <w:rPr>
                <w:rFonts w:hint="default" w:ascii="Times New Roman" w:hAnsi="Times New Roman" w:eastAsia="仿宋_GB2312"/>
                <w:b/>
                <w:bCs/>
                <w:color w:val="auto"/>
                <w:sz w:val="24"/>
                <w:highlight w:val="none"/>
                <w:lang w:val="en-US" w:eastAsia="zh-CN"/>
              </w:rPr>
            </w:pPr>
            <w:r>
              <w:rPr>
                <w:rFonts w:hint="eastAsia" w:eastAsia="仿宋_GB2312"/>
                <w:b/>
                <w:bCs/>
                <w:color w:val="auto"/>
                <w:sz w:val="24"/>
                <w:highlight w:val="none"/>
                <w:lang w:val="en-US" w:eastAsia="zh-CN"/>
              </w:rPr>
              <w:t>2.1 流域概况</w:t>
            </w:r>
          </w:p>
          <w:p>
            <w:pPr>
              <w:adjustRightInd w:val="0"/>
              <w:snapToGrid w:val="0"/>
              <w:spacing w:line="360" w:lineRule="auto"/>
              <w:ind w:firstLine="480" w:firstLineChars="200"/>
              <w:rPr>
                <w:rFonts w:hint="eastAsia" w:ascii="Times New Roman" w:hAnsi="Times New Roman" w:eastAsia="仿宋_GB2312"/>
                <w:b w:val="0"/>
                <w:bCs w:val="0"/>
                <w:color w:val="auto"/>
                <w:sz w:val="24"/>
                <w:highlight w:val="none"/>
                <w:lang w:val="en-US" w:eastAsia="zh-CN"/>
              </w:rPr>
            </w:pPr>
            <w:r>
              <w:rPr>
                <w:rFonts w:hint="eastAsia" w:ascii="Times New Roman" w:hAnsi="Times New Roman" w:eastAsia="仿宋_GB2312"/>
                <w:b w:val="0"/>
                <w:bCs w:val="0"/>
                <w:color w:val="auto"/>
                <w:sz w:val="24"/>
                <w:highlight w:val="none"/>
                <w:lang w:val="en-US" w:eastAsia="zh-CN"/>
              </w:rPr>
              <w:t>清水河流域地处西北内陆干旱区，受大陆西风气流的控制，呈现大陆性气候特征。基本气候特点是：干旱少雨、风大沙多、日照充足、蒸发强烈，冬寒长、春暖快、夏热短、秋凉早，气温的年较差、日较差大，无霜期短而多变，干旱</w:t>
            </w:r>
            <w:r>
              <w:rPr>
                <w:rFonts w:hint="default" w:ascii="Times New Roman" w:hAnsi="Times New Roman" w:eastAsia="仿宋_GB2312" w:cs="Times New Roman"/>
                <w:b w:val="0"/>
                <w:bCs w:val="0"/>
                <w:color w:val="auto"/>
                <w:sz w:val="24"/>
                <w:highlight w:val="none"/>
                <w:lang w:val="en-US" w:eastAsia="zh-CN"/>
              </w:rPr>
              <w:t>、冰雹、大风、沙尘暴、霜冻、局地暴雨洪涝等灾害性天气比较频繁。多年平均气温8.1℃~8.4℃，最热七月份平均气温22.5~23.7℃，极端最高气温38℃，最冷一月份平均气温-7.3~-10.1℃，极端最低气温约-27℃。一般11月下旬开始结冻，第二年3月下旬开始解冻，结解冻时间105~124天。最大冻土80cm。根据长系列实测资料分析，流域年最大降水量为605mm，最小降水量为200mm，年际变化相差3倍，降水量年际变化大，年内</w:t>
            </w:r>
            <w:r>
              <w:rPr>
                <w:rFonts w:hint="eastAsia" w:ascii="Times New Roman" w:hAnsi="Times New Roman" w:eastAsia="仿宋_GB2312"/>
                <w:b w:val="0"/>
                <w:bCs w:val="0"/>
                <w:color w:val="auto"/>
                <w:sz w:val="24"/>
                <w:highlight w:val="none"/>
                <w:lang w:val="en-US" w:eastAsia="zh-CN"/>
              </w:rPr>
              <w:t>分配不均，具有明显的季节性，降水量主要集中在6～9月份，占全年降水量的70%以上，多年平均降雨量202.1mm。泉眼山站多年平均降水量195mm</w:t>
            </w:r>
            <w:r>
              <w:rPr>
                <w:rFonts w:hint="eastAsia" w:eastAsia="仿宋_GB2312"/>
                <w:b w:val="0"/>
                <w:bCs w:val="0"/>
                <w:color w:val="auto"/>
                <w:sz w:val="24"/>
                <w:highlight w:val="none"/>
                <w:lang w:val="en-US" w:eastAsia="zh-CN"/>
              </w:rPr>
              <w:t>。</w:t>
            </w:r>
          </w:p>
          <w:p>
            <w:pPr>
              <w:adjustRightInd w:val="0"/>
              <w:snapToGrid w:val="0"/>
              <w:spacing w:line="360" w:lineRule="auto"/>
              <w:ind w:firstLine="482" w:firstLineChars="200"/>
              <w:rPr>
                <w:rFonts w:hint="eastAsia" w:eastAsia="仿宋_GB2312"/>
                <w:b/>
                <w:bCs/>
                <w:color w:val="auto"/>
                <w:sz w:val="24"/>
                <w:highlight w:val="none"/>
                <w:lang w:val="en-US" w:eastAsia="zh-CN"/>
              </w:rPr>
            </w:pPr>
            <w:r>
              <w:rPr>
                <w:rFonts w:hint="eastAsia" w:eastAsia="仿宋_GB2312"/>
                <w:b/>
                <w:bCs/>
                <w:color w:val="auto"/>
                <w:sz w:val="24"/>
                <w:highlight w:val="none"/>
                <w:lang w:val="en-US" w:eastAsia="zh-CN"/>
              </w:rPr>
              <w:t>2.2 清水河流域现状</w:t>
            </w:r>
          </w:p>
          <w:p>
            <w:pPr>
              <w:adjustRightInd w:val="0"/>
              <w:snapToGrid w:val="0"/>
              <w:spacing w:line="360" w:lineRule="auto"/>
              <w:ind w:firstLine="480" w:firstLineChars="200"/>
              <w:rPr>
                <w:rFonts w:hint="eastAsia" w:eastAsia="仿宋_GB2312"/>
                <w:b w:val="0"/>
                <w:bCs w:val="0"/>
                <w:color w:val="auto"/>
                <w:sz w:val="24"/>
                <w:highlight w:val="none"/>
                <w:lang w:val="en-US" w:eastAsia="zh-CN"/>
              </w:rPr>
            </w:pPr>
            <w:r>
              <w:rPr>
                <w:rFonts w:hint="eastAsia" w:ascii="Times New Roman" w:hAnsi="Times New Roman" w:eastAsia="仿宋_GB2312" w:cs="Times New Roman"/>
                <w:color w:val="auto"/>
                <w:kern w:val="2"/>
                <w:sz w:val="24"/>
                <w:szCs w:val="24"/>
                <w:highlight w:val="none"/>
                <w:lang w:val="en-US" w:eastAsia="zh-CN" w:bidi="ar-SA"/>
              </w:rPr>
              <w:t>清水河属黄河流域的一级支流，发源于六盘山东北麓的宁夏固原市原州区开城镇黑刺沟，流经固原市（西吉和原州区）、中卫市（海原县、中宁县和沙坡头区）和吴忠市（同心县和红寺堡区），于中宁县泉眼山入黄河，干流总长320km。清水河沿线平面形态及纵向变化较大，其中沈家河以上相对顺直，沈家河至中宁县石喇叭村陡槽段进口河道蛇曲盘行，以下河段较为顺直，两岸为灌区，河道窄深。按其河道特性，清水河干流可分为上、中、下游三个河段。分别为上游黑刺沟至沈家河水库河段（9+000～30+100）、中游沈家河水库至长山头水库河段（30+100～281+500）、下游长山头水库至泉眼山（281+500～310+869）。本次工程段落位于下游段。该河段长1.99km，河床主要由卵石、粉土、粉细砂构成，河宽60～200m，河道纵比降约0.8‰，两岸地势较为平坦，河道弯曲率1.18，两岸河坎高度约16m，河岸顺直，水流集中，河岸较为稳定。</w:t>
            </w:r>
          </w:p>
          <w:p>
            <w:pPr>
              <w:adjustRightInd w:val="0"/>
              <w:snapToGrid w:val="0"/>
              <w:spacing w:line="360" w:lineRule="auto"/>
              <w:ind w:firstLine="482" w:firstLineChars="200"/>
              <w:rPr>
                <w:rFonts w:hint="default" w:ascii="Times New Roman" w:hAnsi="Times New Roman" w:eastAsia="仿宋_GB2312"/>
                <w:b/>
                <w:bCs/>
                <w:color w:val="auto"/>
                <w:sz w:val="24"/>
                <w:highlight w:val="none"/>
                <w:lang w:val="en-US" w:eastAsia="zh-CN"/>
              </w:rPr>
            </w:pPr>
            <w:r>
              <w:rPr>
                <w:rFonts w:hint="eastAsia" w:eastAsia="仿宋_GB2312"/>
                <w:b/>
                <w:bCs/>
                <w:color w:val="auto"/>
                <w:sz w:val="24"/>
                <w:highlight w:val="none"/>
                <w:lang w:val="en-US" w:eastAsia="zh-CN"/>
              </w:rPr>
              <w:t>2.3 堤防工程</w:t>
            </w:r>
          </w:p>
          <w:p>
            <w:pPr>
              <w:adjustRightInd w:val="0"/>
              <w:snapToGrid w:val="0"/>
              <w:spacing w:line="360" w:lineRule="auto"/>
              <w:ind w:firstLine="480" w:firstLineChars="200"/>
              <w:rPr>
                <w:rFonts w:hint="default" w:ascii="Times New Roman" w:hAnsi="Times New Roman" w:eastAsia="仿宋_GB2312"/>
                <w:b w:val="0"/>
                <w:bCs w:val="0"/>
                <w:color w:val="auto"/>
                <w:sz w:val="24"/>
                <w:highlight w:val="none"/>
                <w:lang w:val="en-US" w:eastAsia="zh-CN"/>
              </w:rPr>
            </w:pPr>
            <w:r>
              <w:rPr>
                <w:rFonts w:hint="eastAsia" w:ascii="Times New Roman" w:hAnsi="Times New Roman" w:eastAsia="仿宋_GB2312"/>
                <w:b w:val="0"/>
                <w:bCs w:val="0"/>
                <w:color w:val="auto"/>
                <w:sz w:val="24"/>
                <w:highlight w:val="none"/>
                <w:lang w:val="en-US" w:eastAsia="zh-CN"/>
              </w:rPr>
              <w:t>清水河干流入黄河口堤防均位于沙坡头区和中宁县境内，第九排水沟、常桥七队～滨河大道以上现有堤防2.08km，其中左岸堤防1.39km，右岸堤防0.69km</w:t>
            </w:r>
            <w:r>
              <w:rPr>
                <w:rFonts w:hint="eastAsia" w:eastAsia="仿宋_GB2312"/>
                <w:b w:val="0"/>
                <w:bCs w:val="0"/>
                <w:color w:val="auto"/>
                <w:sz w:val="24"/>
                <w:highlight w:val="none"/>
                <w:lang w:val="en-US" w:eastAsia="zh-CN"/>
              </w:rPr>
              <w:t>。干流堤防建设情况见表11，沿线堤防工程现状见图20。</w:t>
            </w:r>
          </w:p>
          <w:p>
            <w:pPr>
              <w:adjustRightInd w:val="0"/>
              <w:snapToGrid w:val="0"/>
              <w:spacing w:line="240" w:lineRule="auto"/>
              <w:ind w:firstLine="480" w:firstLineChars="200"/>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color w:val="auto"/>
                <w:sz w:val="24"/>
                <w:highlight w:val="none"/>
                <w:lang w:val="en-US" w:eastAsia="zh-CN"/>
              </w:rPr>
              <w:t>表</w:t>
            </w:r>
            <w:r>
              <w:rPr>
                <w:rFonts w:hint="eastAsia" w:eastAsia="黑体" w:cs="Times New Roman"/>
                <w:color w:val="auto"/>
                <w:sz w:val="24"/>
                <w:highlight w:val="none"/>
                <w:lang w:val="en-US" w:eastAsia="zh-CN"/>
              </w:rPr>
              <w:t xml:space="preserve">11 </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清水河干流下游段堤防现状一览表</w:t>
            </w:r>
          </w:p>
          <w:tbl>
            <w:tblPr>
              <w:tblStyle w:val="24"/>
              <w:tblW w:w="79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587"/>
              <w:gridCol w:w="1587"/>
              <w:gridCol w:w="1587"/>
              <w:gridCol w:w="15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pct"/>
                  <w:gridSpan w:val="2"/>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eastAsia="zh-CN"/>
                    </w:rPr>
                  </w:pPr>
                  <w:r>
                    <w:rPr>
                      <w:rFonts w:hint="eastAsia"/>
                      <w:b/>
                      <w:snapToGrid w:val="0"/>
                      <w:color w:val="auto"/>
                      <w:kern w:val="0"/>
                      <w:sz w:val="21"/>
                      <w:szCs w:val="21"/>
                      <w:highlight w:val="none"/>
                      <w:lang w:eastAsia="zh-CN"/>
                    </w:rPr>
                    <w:t>位置</w:t>
                  </w:r>
                </w:p>
              </w:tc>
              <w:tc>
                <w:tcPr>
                  <w:tcW w:w="992"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val="en-US" w:eastAsia="zh-CN" w:bidi="ar-SA"/>
                    </w:rPr>
                  </w:pPr>
                  <w:r>
                    <w:rPr>
                      <w:rFonts w:hint="eastAsia"/>
                      <w:b/>
                      <w:snapToGrid w:val="0"/>
                      <w:color w:val="auto"/>
                      <w:kern w:val="0"/>
                      <w:sz w:val="21"/>
                      <w:szCs w:val="21"/>
                      <w:highlight w:val="none"/>
                      <w:lang w:val="en-US" w:eastAsia="zh-CN" w:bidi="ar-SA"/>
                    </w:rPr>
                    <w:t>岸别</w:t>
                  </w:r>
                </w:p>
              </w:tc>
              <w:tc>
                <w:tcPr>
                  <w:tcW w:w="992"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val="en-US" w:eastAsia="zh-CN" w:bidi="ar-SA"/>
                    </w:rPr>
                  </w:pPr>
                  <w:r>
                    <w:rPr>
                      <w:rFonts w:hint="eastAsia"/>
                      <w:b/>
                      <w:snapToGrid w:val="0"/>
                      <w:color w:val="auto"/>
                      <w:kern w:val="0"/>
                      <w:sz w:val="21"/>
                      <w:szCs w:val="21"/>
                      <w:highlight w:val="none"/>
                      <w:lang w:val="en-US" w:eastAsia="zh-CN" w:bidi="ar-SA"/>
                    </w:rPr>
                    <w:t>河段长度（km）</w:t>
                  </w:r>
                </w:p>
              </w:tc>
              <w:tc>
                <w:tcPr>
                  <w:tcW w:w="992" w:type="pct"/>
                  <w:noWrap w:val="0"/>
                  <w:vAlign w:val="center"/>
                </w:tcPr>
                <w:p>
                  <w:pPr>
                    <w:adjustRightInd w:val="0"/>
                    <w:snapToGrid w:val="0"/>
                    <w:jc w:val="center"/>
                    <w:rPr>
                      <w:rFonts w:hint="eastAsia" w:ascii="Times New Roman" w:hAnsi="Times New Roman" w:eastAsia="宋体"/>
                      <w:b/>
                      <w:snapToGrid w:val="0"/>
                      <w:color w:val="auto"/>
                      <w:kern w:val="0"/>
                      <w:sz w:val="21"/>
                      <w:szCs w:val="21"/>
                      <w:highlight w:val="none"/>
                      <w:lang w:eastAsia="zh-CN"/>
                    </w:rPr>
                  </w:pPr>
                  <w:r>
                    <w:rPr>
                      <w:rFonts w:hint="eastAsia"/>
                      <w:b/>
                      <w:snapToGrid w:val="0"/>
                      <w:color w:val="auto"/>
                      <w:kern w:val="0"/>
                      <w:sz w:val="21"/>
                      <w:szCs w:val="21"/>
                      <w:highlight w:val="none"/>
                      <w:lang w:eastAsia="zh-CN"/>
                    </w:rPr>
                    <w:t>堤防长度（</w:t>
                  </w:r>
                  <w:r>
                    <w:rPr>
                      <w:rFonts w:hint="eastAsia"/>
                      <w:b/>
                      <w:snapToGrid w:val="0"/>
                      <w:color w:val="auto"/>
                      <w:kern w:val="0"/>
                      <w:sz w:val="21"/>
                      <w:szCs w:val="21"/>
                      <w:highlight w:val="none"/>
                      <w:lang w:val="en-US" w:eastAsia="zh-CN"/>
                    </w:rPr>
                    <w:t>km</w:t>
                  </w:r>
                  <w:r>
                    <w:rPr>
                      <w:rFonts w:hint="eastAsia"/>
                      <w:b/>
                      <w:snapToGrid w:val="0"/>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92" w:type="pct"/>
                  <w:noWrap w:val="0"/>
                  <w:vAlign w:val="center"/>
                </w:tcPr>
                <w:p>
                  <w:pPr>
                    <w:adjustRightInd w:val="0"/>
                    <w:snapToGrid w:val="0"/>
                    <w:jc w:val="center"/>
                    <w:rPr>
                      <w:rFonts w:hint="eastAsia" w:ascii="Times New Roman" w:hAnsi="Times New Roman" w:eastAsia="宋体"/>
                      <w:b w:val="0"/>
                      <w:bCs/>
                      <w:snapToGrid w:val="0"/>
                      <w:color w:val="auto"/>
                      <w:kern w:val="0"/>
                      <w:sz w:val="21"/>
                      <w:szCs w:val="21"/>
                      <w:highlight w:val="none"/>
                      <w:lang w:eastAsia="zh-CN"/>
                    </w:rPr>
                  </w:pPr>
                  <w:r>
                    <w:rPr>
                      <w:rFonts w:hint="eastAsia"/>
                      <w:b w:val="0"/>
                      <w:bCs/>
                      <w:snapToGrid w:val="0"/>
                      <w:color w:val="auto"/>
                      <w:kern w:val="0"/>
                      <w:sz w:val="21"/>
                      <w:szCs w:val="21"/>
                      <w:highlight w:val="none"/>
                      <w:lang w:eastAsia="zh-CN"/>
                    </w:rPr>
                    <w:t>沙坡头区</w:t>
                  </w:r>
                </w:p>
              </w:tc>
              <w:tc>
                <w:tcPr>
                  <w:tcW w:w="992" w:type="pct"/>
                  <w:noWrap w:val="0"/>
                  <w:vAlign w:val="center"/>
                </w:tcPr>
                <w:p>
                  <w:pPr>
                    <w:adjustRightInd w:val="0"/>
                    <w:snapToGrid w:val="0"/>
                    <w:jc w:val="center"/>
                    <w:rPr>
                      <w:rFonts w:hint="eastAsia" w:ascii="Times New Roman" w:hAnsi="Times New Roman" w:eastAsia="宋体"/>
                      <w:b w:val="0"/>
                      <w:bCs/>
                      <w:snapToGrid w:val="0"/>
                      <w:color w:val="auto"/>
                      <w:kern w:val="0"/>
                      <w:sz w:val="21"/>
                      <w:szCs w:val="21"/>
                      <w:highlight w:val="none"/>
                      <w:lang w:eastAsia="zh-CN"/>
                    </w:rPr>
                  </w:pPr>
                  <w:r>
                    <w:rPr>
                      <w:rFonts w:hint="eastAsia"/>
                      <w:b w:val="0"/>
                      <w:bCs/>
                      <w:snapToGrid w:val="0"/>
                      <w:color w:val="auto"/>
                      <w:kern w:val="0"/>
                      <w:sz w:val="21"/>
                      <w:szCs w:val="21"/>
                      <w:highlight w:val="none"/>
                      <w:lang w:eastAsia="zh-CN"/>
                    </w:rPr>
                    <w:t>第九排水沟</w:t>
                  </w:r>
                </w:p>
              </w:tc>
              <w:tc>
                <w:tcPr>
                  <w:tcW w:w="992" w:type="pct"/>
                  <w:noWrap w:val="0"/>
                  <w:vAlign w:val="center"/>
                </w:tcPr>
                <w:p>
                  <w:pPr>
                    <w:adjustRightInd w:val="0"/>
                    <w:snapToGrid w:val="0"/>
                    <w:jc w:val="center"/>
                    <w:rPr>
                      <w:rFonts w:hint="eastAsia" w:ascii="Times New Roman" w:hAnsi="Times New Roman" w:eastAsia="宋体"/>
                      <w:b w:val="0"/>
                      <w:bCs/>
                      <w:snapToGrid w:val="0"/>
                      <w:color w:val="auto"/>
                      <w:kern w:val="0"/>
                      <w:sz w:val="21"/>
                      <w:szCs w:val="21"/>
                      <w:highlight w:val="none"/>
                      <w:lang w:val="en-US" w:eastAsia="zh-CN" w:bidi="ar-SA"/>
                    </w:rPr>
                  </w:pPr>
                  <w:r>
                    <w:rPr>
                      <w:rFonts w:hint="eastAsia"/>
                      <w:b w:val="0"/>
                      <w:bCs/>
                      <w:snapToGrid w:val="0"/>
                      <w:color w:val="auto"/>
                      <w:kern w:val="0"/>
                      <w:sz w:val="21"/>
                      <w:szCs w:val="21"/>
                      <w:highlight w:val="none"/>
                      <w:lang w:val="en-US" w:eastAsia="zh-CN" w:bidi="ar-SA"/>
                    </w:rPr>
                    <w:t>左</w:t>
                  </w:r>
                </w:p>
              </w:tc>
              <w:tc>
                <w:tcPr>
                  <w:tcW w:w="992" w:type="pct"/>
                  <w:noWrap w:val="0"/>
                  <w:vAlign w:val="center"/>
                </w:tcPr>
                <w:p>
                  <w:pPr>
                    <w:adjustRightInd w:val="0"/>
                    <w:snapToGrid w:val="0"/>
                    <w:jc w:val="center"/>
                    <w:rPr>
                      <w:rFonts w:hint="default" w:ascii="Times New Roman" w:hAnsi="Times New Roman" w:eastAsia="宋体"/>
                      <w:b w:val="0"/>
                      <w:bCs/>
                      <w:snapToGrid w:val="0"/>
                      <w:color w:val="auto"/>
                      <w:kern w:val="0"/>
                      <w:sz w:val="21"/>
                      <w:szCs w:val="21"/>
                      <w:highlight w:val="none"/>
                      <w:lang w:val="en-US" w:eastAsia="zh-CN" w:bidi="ar-SA"/>
                    </w:rPr>
                  </w:pPr>
                  <w:r>
                    <w:rPr>
                      <w:rFonts w:hint="eastAsia"/>
                      <w:b w:val="0"/>
                      <w:bCs/>
                      <w:snapToGrid w:val="0"/>
                      <w:color w:val="auto"/>
                      <w:kern w:val="0"/>
                      <w:sz w:val="21"/>
                      <w:szCs w:val="21"/>
                      <w:highlight w:val="none"/>
                      <w:lang w:val="en-US" w:eastAsia="zh-CN" w:bidi="ar-SA"/>
                    </w:rPr>
                    <w:t>3.28</w:t>
                  </w:r>
                </w:p>
              </w:tc>
              <w:tc>
                <w:tcPr>
                  <w:tcW w:w="992" w:type="pct"/>
                  <w:noWrap w:val="0"/>
                  <w:vAlign w:val="center"/>
                </w:tcPr>
                <w:p>
                  <w:pPr>
                    <w:adjustRightInd w:val="0"/>
                    <w:snapToGrid w:val="0"/>
                    <w:jc w:val="center"/>
                    <w:rPr>
                      <w:rFonts w:hint="default" w:ascii="Times New Roman" w:hAnsi="Times New Roman" w:eastAsia="宋体"/>
                      <w:b w:val="0"/>
                      <w:bCs/>
                      <w:snapToGrid w:val="0"/>
                      <w:color w:val="auto"/>
                      <w:kern w:val="0"/>
                      <w:sz w:val="21"/>
                      <w:szCs w:val="21"/>
                      <w:highlight w:val="none"/>
                      <w:lang w:val="en-US" w:eastAsia="zh-CN"/>
                    </w:rPr>
                  </w:pPr>
                  <w:r>
                    <w:rPr>
                      <w:rFonts w:hint="eastAsia"/>
                      <w:b w:val="0"/>
                      <w:bCs/>
                      <w:snapToGrid w:val="0"/>
                      <w:color w:val="auto"/>
                      <w:kern w:val="0"/>
                      <w:sz w:val="21"/>
                      <w:szCs w:val="21"/>
                      <w:highlight w:val="none"/>
                      <w:lang w:val="en-US" w:eastAsia="zh-CN"/>
                    </w:rPr>
                    <w:t>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noWrap w:val="0"/>
                  <w:vAlign w:val="center"/>
                </w:tcPr>
                <w:p>
                  <w:pPr>
                    <w:adjustRightInd w:val="0"/>
                    <w:snapToGrid w:val="0"/>
                    <w:jc w:val="center"/>
                    <w:rPr>
                      <w:rFonts w:hint="eastAsia" w:ascii="Times New Roman" w:hAnsi="Times New Roman" w:eastAsia="宋体"/>
                      <w:b w:val="0"/>
                      <w:bCs/>
                      <w:snapToGrid w:val="0"/>
                      <w:color w:val="auto"/>
                      <w:kern w:val="0"/>
                      <w:sz w:val="21"/>
                      <w:szCs w:val="21"/>
                      <w:highlight w:val="none"/>
                      <w:lang w:eastAsia="zh-CN"/>
                    </w:rPr>
                  </w:pPr>
                  <w:r>
                    <w:rPr>
                      <w:rFonts w:hint="eastAsia"/>
                      <w:b w:val="0"/>
                      <w:bCs/>
                      <w:snapToGrid w:val="0"/>
                      <w:color w:val="auto"/>
                      <w:kern w:val="0"/>
                      <w:sz w:val="21"/>
                      <w:szCs w:val="21"/>
                      <w:highlight w:val="none"/>
                      <w:lang w:eastAsia="zh-CN"/>
                    </w:rPr>
                    <w:t>中宁县</w:t>
                  </w:r>
                </w:p>
              </w:tc>
              <w:tc>
                <w:tcPr>
                  <w:tcW w:w="992" w:type="pct"/>
                  <w:noWrap w:val="0"/>
                  <w:vAlign w:val="center"/>
                </w:tcPr>
                <w:p>
                  <w:pPr>
                    <w:adjustRightInd w:val="0"/>
                    <w:snapToGrid w:val="0"/>
                    <w:jc w:val="center"/>
                    <w:rPr>
                      <w:rFonts w:hint="eastAsia" w:ascii="Times New Roman" w:hAnsi="Times New Roman" w:eastAsia="宋体"/>
                      <w:b w:val="0"/>
                      <w:bCs/>
                      <w:snapToGrid w:val="0"/>
                      <w:color w:val="auto"/>
                      <w:kern w:val="0"/>
                      <w:sz w:val="21"/>
                      <w:szCs w:val="21"/>
                      <w:highlight w:val="none"/>
                      <w:lang w:eastAsia="zh-CN"/>
                    </w:rPr>
                  </w:pPr>
                  <w:r>
                    <w:rPr>
                      <w:rFonts w:hint="eastAsia"/>
                      <w:b w:val="0"/>
                      <w:bCs/>
                      <w:snapToGrid w:val="0"/>
                      <w:color w:val="auto"/>
                      <w:kern w:val="0"/>
                      <w:sz w:val="21"/>
                      <w:szCs w:val="21"/>
                      <w:highlight w:val="none"/>
                      <w:lang w:eastAsia="zh-CN"/>
                    </w:rPr>
                    <w:t>常桥七队</w:t>
                  </w:r>
                </w:p>
              </w:tc>
              <w:tc>
                <w:tcPr>
                  <w:tcW w:w="992" w:type="pct"/>
                  <w:noWrap w:val="0"/>
                  <w:vAlign w:val="center"/>
                </w:tcPr>
                <w:p>
                  <w:pPr>
                    <w:adjustRightInd w:val="0"/>
                    <w:snapToGrid w:val="0"/>
                    <w:jc w:val="center"/>
                    <w:rPr>
                      <w:rFonts w:hint="eastAsia" w:ascii="Times New Roman" w:hAnsi="Times New Roman" w:eastAsia="宋体"/>
                      <w:b w:val="0"/>
                      <w:bCs/>
                      <w:snapToGrid w:val="0"/>
                      <w:color w:val="auto"/>
                      <w:kern w:val="0"/>
                      <w:sz w:val="21"/>
                      <w:szCs w:val="21"/>
                      <w:highlight w:val="none"/>
                      <w:lang w:val="en-US" w:eastAsia="zh-CN" w:bidi="ar-SA"/>
                    </w:rPr>
                  </w:pPr>
                  <w:r>
                    <w:rPr>
                      <w:rFonts w:hint="eastAsia"/>
                      <w:b w:val="0"/>
                      <w:bCs/>
                      <w:snapToGrid w:val="0"/>
                      <w:color w:val="auto"/>
                      <w:kern w:val="0"/>
                      <w:sz w:val="21"/>
                      <w:szCs w:val="21"/>
                      <w:highlight w:val="none"/>
                      <w:lang w:val="en-US" w:eastAsia="zh-CN" w:bidi="ar-SA"/>
                    </w:rPr>
                    <w:t>右</w:t>
                  </w:r>
                </w:p>
              </w:tc>
              <w:tc>
                <w:tcPr>
                  <w:tcW w:w="992" w:type="pct"/>
                  <w:noWrap w:val="0"/>
                  <w:vAlign w:val="center"/>
                </w:tcPr>
                <w:p>
                  <w:pPr>
                    <w:adjustRightInd w:val="0"/>
                    <w:snapToGrid w:val="0"/>
                    <w:jc w:val="center"/>
                    <w:rPr>
                      <w:rFonts w:hint="eastAsia" w:ascii="Times New Roman" w:hAnsi="Times New Roman" w:eastAsia="宋体"/>
                      <w:b w:val="0"/>
                      <w:bCs/>
                      <w:snapToGrid w:val="0"/>
                      <w:color w:val="auto"/>
                      <w:kern w:val="0"/>
                      <w:sz w:val="21"/>
                      <w:szCs w:val="21"/>
                      <w:highlight w:val="none"/>
                      <w:lang w:val="en-US" w:eastAsia="zh-CN" w:bidi="ar-SA"/>
                    </w:rPr>
                  </w:pPr>
                </w:p>
              </w:tc>
              <w:tc>
                <w:tcPr>
                  <w:tcW w:w="992" w:type="pct"/>
                  <w:noWrap w:val="0"/>
                  <w:vAlign w:val="center"/>
                </w:tcPr>
                <w:p>
                  <w:pPr>
                    <w:adjustRightInd w:val="0"/>
                    <w:snapToGrid w:val="0"/>
                    <w:jc w:val="center"/>
                    <w:rPr>
                      <w:rFonts w:hint="default" w:ascii="Times New Roman" w:hAnsi="Times New Roman" w:eastAsia="宋体"/>
                      <w:b w:val="0"/>
                      <w:bCs/>
                      <w:snapToGrid w:val="0"/>
                      <w:color w:val="auto"/>
                      <w:kern w:val="0"/>
                      <w:sz w:val="21"/>
                      <w:szCs w:val="21"/>
                      <w:highlight w:val="none"/>
                      <w:lang w:val="en-US" w:eastAsia="zh-CN"/>
                    </w:rPr>
                  </w:pPr>
                  <w:r>
                    <w:rPr>
                      <w:rFonts w:hint="eastAsia"/>
                      <w:b w:val="0"/>
                      <w:bCs/>
                      <w:snapToGrid w:val="0"/>
                      <w:color w:val="auto"/>
                      <w:kern w:val="0"/>
                      <w:sz w:val="21"/>
                      <w:szCs w:val="21"/>
                      <w:highlight w:val="none"/>
                      <w:lang w:val="en-US" w:eastAsia="zh-CN"/>
                    </w:rPr>
                    <w:t>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978" w:type="pct"/>
                  <w:gridSpan w:val="3"/>
                  <w:noWrap w:val="0"/>
                  <w:vAlign w:val="center"/>
                </w:tcPr>
                <w:p>
                  <w:pPr>
                    <w:adjustRightInd w:val="0"/>
                    <w:snapToGrid w:val="0"/>
                    <w:jc w:val="center"/>
                    <w:rPr>
                      <w:rFonts w:hint="eastAsia" w:ascii="Times New Roman" w:hAnsi="Times New Roman" w:eastAsia="宋体"/>
                      <w:b w:val="0"/>
                      <w:bCs/>
                      <w:snapToGrid w:val="0"/>
                      <w:color w:val="auto"/>
                      <w:kern w:val="0"/>
                      <w:sz w:val="21"/>
                      <w:szCs w:val="21"/>
                      <w:highlight w:val="none"/>
                      <w:lang w:val="en-US" w:eastAsia="zh-CN" w:bidi="ar-SA"/>
                    </w:rPr>
                  </w:pPr>
                  <w:r>
                    <w:rPr>
                      <w:rFonts w:hint="eastAsia"/>
                      <w:b w:val="0"/>
                      <w:bCs/>
                      <w:snapToGrid w:val="0"/>
                      <w:color w:val="auto"/>
                      <w:kern w:val="0"/>
                      <w:sz w:val="21"/>
                      <w:szCs w:val="21"/>
                      <w:highlight w:val="none"/>
                      <w:lang w:val="en-US" w:eastAsia="zh-CN" w:bidi="ar-SA"/>
                    </w:rPr>
                    <w:t>合计</w:t>
                  </w:r>
                </w:p>
              </w:tc>
              <w:tc>
                <w:tcPr>
                  <w:tcW w:w="992" w:type="pct"/>
                  <w:noWrap w:val="0"/>
                  <w:vAlign w:val="center"/>
                </w:tcPr>
                <w:p>
                  <w:pPr>
                    <w:adjustRightInd w:val="0"/>
                    <w:snapToGrid w:val="0"/>
                    <w:jc w:val="center"/>
                    <w:rPr>
                      <w:rFonts w:hint="default" w:ascii="Times New Roman" w:hAnsi="Times New Roman" w:eastAsia="宋体"/>
                      <w:b w:val="0"/>
                      <w:bCs/>
                      <w:snapToGrid w:val="0"/>
                      <w:color w:val="auto"/>
                      <w:kern w:val="0"/>
                      <w:sz w:val="21"/>
                      <w:szCs w:val="21"/>
                      <w:highlight w:val="none"/>
                      <w:lang w:val="en-US" w:eastAsia="zh-CN" w:bidi="ar-SA"/>
                    </w:rPr>
                  </w:pPr>
                  <w:r>
                    <w:rPr>
                      <w:rFonts w:hint="eastAsia"/>
                      <w:b w:val="0"/>
                      <w:bCs/>
                      <w:snapToGrid w:val="0"/>
                      <w:color w:val="auto"/>
                      <w:kern w:val="0"/>
                      <w:sz w:val="21"/>
                      <w:szCs w:val="21"/>
                      <w:highlight w:val="none"/>
                      <w:lang w:val="en-US" w:eastAsia="zh-CN" w:bidi="ar-SA"/>
                    </w:rPr>
                    <w:t>3.28</w:t>
                  </w:r>
                </w:p>
              </w:tc>
              <w:tc>
                <w:tcPr>
                  <w:tcW w:w="992" w:type="pct"/>
                  <w:noWrap w:val="0"/>
                  <w:vAlign w:val="center"/>
                </w:tcPr>
                <w:p>
                  <w:pPr>
                    <w:adjustRightInd w:val="0"/>
                    <w:snapToGrid w:val="0"/>
                    <w:jc w:val="center"/>
                    <w:rPr>
                      <w:rFonts w:hint="default" w:ascii="Times New Roman" w:hAnsi="Times New Roman" w:eastAsia="宋体"/>
                      <w:b w:val="0"/>
                      <w:bCs/>
                      <w:snapToGrid w:val="0"/>
                      <w:color w:val="auto"/>
                      <w:kern w:val="0"/>
                      <w:sz w:val="21"/>
                      <w:szCs w:val="21"/>
                      <w:highlight w:val="none"/>
                      <w:lang w:val="en-US" w:eastAsia="zh-CN"/>
                    </w:rPr>
                  </w:pPr>
                  <w:r>
                    <w:rPr>
                      <w:rFonts w:hint="eastAsia"/>
                      <w:b w:val="0"/>
                      <w:bCs/>
                      <w:snapToGrid w:val="0"/>
                      <w:color w:val="auto"/>
                      <w:kern w:val="0"/>
                      <w:sz w:val="21"/>
                      <w:szCs w:val="21"/>
                      <w:highlight w:val="none"/>
                      <w:lang w:val="en-US" w:eastAsia="zh-CN"/>
                    </w:rPr>
                    <w:t>2.08</w:t>
                  </w:r>
                </w:p>
              </w:tc>
            </w:tr>
          </w:tbl>
          <w:tbl>
            <w:tblPr>
              <w:tblStyle w:val="25"/>
              <w:tblW w:w="79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8"/>
              <w:gridCol w:w="3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1"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仿宋_GB2312"/>
                      <w:b w:val="0"/>
                      <w:bCs w:val="0"/>
                      <w:color w:val="auto"/>
                      <w:sz w:val="24"/>
                      <w:highlight w:val="none"/>
                      <w:vertAlign w:val="baseline"/>
                      <w:lang w:val="en-US" w:eastAsia="zh-CN"/>
                    </w:rPr>
                  </w:pPr>
                  <w:r>
                    <w:rPr>
                      <w:color w:val="auto"/>
                      <w:highlight w:val="none"/>
                    </w:rPr>
                    <w:drawing>
                      <wp:inline distT="0" distB="0" distL="114300" distR="114300">
                        <wp:extent cx="2475230" cy="1405890"/>
                        <wp:effectExtent l="0" t="0" r="1270" b="38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tretch>
                                  <a:fillRect/>
                                </a:stretch>
                              </pic:blipFill>
                              <pic:spPr>
                                <a:xfrm>
                                  <a:off x="0" y="0"/>
                                  <a:ext cx="2475230" cy="1405890"/>
                                </a:xfrm>
                                <a:prstGeom prst="rect">
                                  <a:avLst/>
                                </a:prstGeom>
                                <a:noFill/>
                                <a:ln>
                                  <a:noFill/>
                                </a:ln>
                              </pic:spPr>
                            </pic:pic>
                          </a:graphicData>
                        </a:graphic>
                      </wp:inline>
                    </w:drawing>
                  </w:r>
                </w:p>
              </w:tc>
              <w:tc>
                <w:tcPr>
                  <w:tcW w:w="2518"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仿宋_GB2312"/>
                      <w:b w:val="0"/>
                      <w:bCs w:val="0"/>
                      <w:color w:val="auto"/>
                      <w:sz w:val="24"/>
                      <w:highlight w:val="none"/>
                      <w:vertAlign w:val="baseline"/>
                      <w:lang w:val="en-US" w:eastAsia="zh-CN"/>
                    </w:rPr>
                  </w:pPr>
                  <w:r>
                    <w:rPr>
                      <w:color w:val="auto"/>
                      <w:highlight w:val="none"/>
                    </w:rPr>
                    <w:drawing>
                      <wp:inline distT="0" distB="0" distL="114300" distR="114300">
                        <wp:extent cx="2475865" cy="1398270"/>
                        <wp:effectExtent l="0" t="0" r="63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2475865" cy="1398270"/>
                                </a:xfrm>
                                <a:prstGeom prst="rect">
                                  <a:avLst/>
                                </a:prstGeom>
                                <a:noFill/>
                                <a:ln>
                                  <a:noFill/>
                                </a:ln>
                              </pic:spPr>
                            </pic:pic>
                          </a:graphicData>
                        </a:graphic>
                      </wp:inline>
                    </w:drawing>
                  </w:r>
                </w:p>
              </w:tc>
            </w:tr>
          </w:tbl>
          <w:p>
            <w:pPr>
              <w:adjustRightInd w:val="0"/>
              <w:snapToGrid w:val="0"/>
              <w:spacing w:line="360" w:lineRule="auto"/>
              <w:jc w:val="center"/>
              <w:rPr>
                <w:rFonts w:hint="eastAsia" w:ascii="Times New Roman" w:hAnsi="Times New Roman" w:eastAsia="仿宋_GB2312"/>
                <w:b w:val="0"/>
                <w:bCs w:val="0"/>
                <w:color w:val="auto"/>
                <w:sz w:val="24"/>
                <w:highlight w:val="none"/>
                <w:lang w:val="en-US" w:eastAsia="zh-CN"/>
              </w:rPr>
            </w:pPr>
            <w:r>
              <w:rPr>
                <w:rFonts w:hint="default" w:ascii="Times New Roman" w:hAnsi="Times New Roman" w:eastAsia="黑体" w:cs="Times New Roman"/>
                <w:color w:val="auto"/>
                <w:sz w:val="24"/>
                <w:highlight w:val="none"/>
                <w:lang w:val="en-US" w:eastAsia="zh-CN"/>
              </w:rPr>
              <w:t>图</w:t>
            </w:r>
            <w:r>
              <w:rPr>
                <w:rFonts w:hint="eastAsia" w:eastAsia="黑体" w:cs="Times New Roman"/>
                <w:color w:val="auto"/>
                <w:sz w:val="24"/>
                <w:highlight w:val="none"/>
                <w:lang w:val="en-US" w:eastAsia="zh-CN"/>
              </w:rPr>
              <w:t>20</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清水河沿线堤防工程现状</w:t>
            </w:r>
            <w:r>
              <w:rPr>
                <w:rFonts w:hint="eastAsia" w:ascii="Times New Roman" w:hAnsi="Times New Roman" w:eastAsia="黑体" w:cs="Times New Roman"/>
                <w:color w:val="auto"/>
                <w:sz w:val="24"/>
                <w:highlight w:val="none"/>
                <w:lang w:val="en-US" w:eastAsia="zh-CN"/>
              </w:rPr>
              <w:t>图</w:t>
            </w:r>
          </w:p>
          <w:p>
            <w:pPr>
              <w:adjustRightInd w:val="0"/>
              <w:snapToGrid w:val="0"/>
              <w:spacing w:line="360" w:lineRule="auto"/>
              <w:ind w:firstLine="482" w:firstLineChars="200"/>
              <w:rPr>
                <w:rFonts w:hint="default" w:ascii="Times New Roman" w:hAnsi="Times New Roman" w:eastAsia="仿宋_GB2312"/>
                <w:b/>
                <w:bCs/>
                <w:color w:val="auto"/>
                <w:sz w:val="24"/>
                <w:highlight w:val="none"/>
                <w:lang w:val="en-US" w:eastAsia="zh-CN"/>
              </w:rPr>
            </w:pPr>
            <w:r>
              <w:rPr>
                <w:rFonts w:hint="eastAsia" w:eastAsia="仿宋_GB2312"/>
                <w:b/>
                <w:bCs/>
                <w:color w:val="auto"/>
                <w:sz w:val="24"/>
                <w:highlight w:val="none"/>
                <w:lang w:val="en-US" w:eastAsia="zh-CN"/>
              </w:rPr>
              <w:t>2.4 护岸工程</w:t>
            </w:r>
          </w:p>
          <w:p>
            <w:pPr>
              <w:adjustRightInd w:val="0"/>
              <w:snapToGrid w:val="0"/>
              <w:spacing w:line="360" w:lineRule="auto"/>
              <w:ind w:firstLine="480" w:firstLineChars="200"/>
              <w:rPr>
                <w:rFonts w:hint="default" w:ascii="Times New Roman" w:hAnsi="Times New Roman" w:eastAsia="仿宋_GB2312"/>
                <w:b w:val="0"/>
                <w:bCs w:val="0"/>
                <w:color w:val="auto"/>
                <w:sz w:val="24"/>
                <w:highlight w:val="none"/>
                <w:lang w:val="en-US" w:eastAsia="zh-CN"/>
              </w:rPr>
            </w:pPr>
            <w:r>
              <w:rPr>
                <w:rFonts w:hint="eastAsia" w:ascii="Times New Roman" w:hAnsi="Times New Roman" w:eastAsia="仿宋_GB2312"/>
                <w:b w:val="0"/>
                <w:bCs w:val="0"/>
                <w:color w:val="auto"/>
                <w:sz w:val="24"/>
                <w:highlight w:val="none"/>
                <w:lang w:val="en-US" w:eastAsia="zh-CN"/>
              </w:rPr>
              <w:t>2020 年沙坡头区水务局实施了《宁夏清水河沙坡头区段治理工程》，对清水河马莲渠2#～杨营段左岸防洪堤采用壤土进行填筑加高，并采用格宾进行砌护，以保证沿线农田及村庄不被洪水淹没，对清水河及马滩段左岸河滩采用格宾进行护滩砌护，并对现有左岸防洪堤采用格宾进行砌护，以加固此段防洪堤的稳定，工程布置护岸工程4处，长度共3.385km，其中：马莲渠2#～杨营段护岸0.99km，第九排水沟段护岸0.8km，马滩段护岸0.395km，原防洪堤段护岸1.2km。结合护岸布设巡护道路4处，总长3.385km，布设进场道路4处，总长0.102km</w:t>
            </w:r>
            <w:r>
              <w:rPr>
                <w:rFonts w:hint="eastAsia" w:eastAsia="仿宋_GB2312"/>
                <w:b w:val="0"/>
                <w:bCs w:val="0"/>
                <w:color w:val="auto"/>
                <w:sz w:val="24"/>
                <w:highlight w:val="none"/>
                <w:lang w:val="en-US" w:eastAsia="zh-CN"/>
              </w:rPr>
              <w:t>。护岸工程现状见图21。</w:t>
            </w:r>
          </w:p>
          <w:tbl>
            <w:tblPr>
              <w:tblStyle w:val="25"/>
              <w:tblW w:w="79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8"/>
              <w:gridCol w:w="3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1"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仿宋_GB2312"/>
                      <w:b w:val="0"/>
                      <w:bCs w:val="0"/>
                      <w:color w:val="auto"/>
                      <w:sz w:val="24"/>
                      <w:highlight w:val="none"/>
                      <w:vertAlign w:val="baseline"/>
                      <w:lang w:val="en-US" w:eastAsia="zh-CN"/>
                    </w:rPr>
                  </w:pPr>
                  <w:r>
                    <w:rPr>
                      <w:color w:val="auto"/>
                      <w:highlight w:val="none"/>
                    </w:rPr>
                    <w:drawing>
                      <wp:inline distT="0" distB="0" distL="114300" distR="114300">
                        <wp:extent cx="2427605" cy="1506220"/>
                        <wp:effectExtent l="0" t="0" r="10795" b="177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2427605" cy="1506220"/>
                                </a:xfrm>
                                <a:prstGeom prst="rect">
                                  <a:avLst/>
                                </a:prstGeom>
                                <a:noFill/>
                                <a:ln>
                                  <a:noFill/>
                                </a:ln>
                              </pic:spPr>
                            </pic:pic>
                          </a:graphicData>
                        </a:graphic>
                      </wp:inline>
                    </w:drawing>
                  </w:r>
                </w:p>
              </w:tc>
              <w:tc>
                <w:tcPr>
                  <w:tcW w:w="2518"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仿宋_GB2312"/>
                      <w:b w:val="0"/>
                      <w:bCs w:val="0"/>
                      <w:color w:val="auto"/>
                      <w:sz w:val="24"/>
                      <w:highlight w:val="none"/>
                      <w:vertAlign w:val="baseline"/>
                      <w:lang w:val="en-US" w:eastAsia="zh-CN"/>
                    </w:rPr>
                  </w:pPr>
                  <w:r>
                    <w:rPr>
                      <w:color w:val="auto"/>
                      <w:highlight w:val="none"/>
                    </w:rPr>
                    <w:drawing>
                      <wp:inline distT="0" distB="0" distL="114300" distR="114300">
                        <wp:extent cx="2451100" cy="1500505"/>
                        <wp:effectExtent l="0" t="0" r="6350" b="44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2451100" cy="1500505"/>
                                </a:xfrm>
                                <a:prstGeom prst="rect">
                                  <a:avLst/>
                                </a:prstGeom>
                                <a:noFill/>
                                <a:ln>
                                  <a:noFill/>
                                </a:ln>
                              </pic:spPr>
                            </pic:pic>
                          </a:graphicData>
                        </a:graphic>
                      </wp:inline>
                    </w:drawing>
                  </w:r>
                </w:p>
              </w:tc>
            </w:tr>
          </w:tbl>
          <w:p>
            <w:pPr>
              <w:adjustRightInd w:val="0"/>
              <w:snapToGrid w:val="0"/>
              <w:spacing w:line="360" w:lineRule="auto"/>
              <w:jc w:val="center"/>
              <w:rPr>
                <w:rFonts w:hint="eastAsia" w:ascii="Times New Roman" w:hAnsi="Times New Roman" w:eastAsia="仿宋_GB2312"/>
                <w:b w:val="0"/>
                <w:bCs w:val="0"/>
                <w:color w:val="auto"/>
                <w:sz w:val="24"/>
                <w:highlight w:val="none"/>
                <w:lang w:val="en-US" w:eastAsia="zh-CN"/>
              </w:rPr>
            </w:pPr>
            <w:r>
              <w:rPr>
                <w:rFonts w:hint="default" w:ascii="Times New Roman" w:hAnsi="Times New Roman" w:eastAsia="黑体" w:cs="Times New Roman"/>
                <w:color w:val="auto"/>
                <w:sz w:val="24"/>
                <w:highlight w:val="none"/>
                <w:lang w:val="en-US" w:eastAsia="zh-CN"/>
              </w:rPr>
              <w:t>图</w:t>
            </w:r>
            <w:r>
              <w:rPr>
                <w:rFonts w:hint="eastAsia" w:eastAsia="黑体" w:cs="Times New Roman"/>
                <w:color w:val="auto"/>
                <w:sz w:val="24"/>
                <w:highlight w:val="none"/>
                <w:lang w:val="en-US" w:eastAsia="zh-CN"/>
              </w:rPr>
              <w:t>21</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清水河沿线护岸工程现状</w:t>
            </w:r>
            <w:r>
              <w:rPr>
                <w:rFonts w:hint="eastAsia" w:ascii="Times New Roman" w:hAnsi="Times New Roman" w:eastAsia="黑体" w:cs="Times New Roman"/>
                <w:color w:val="auto"/>
                <w:sz w:val="24"/>
                <w:highlight w:val="none"/>
                <w:lang w:val="en-US" w:eastAsia="zh-CN"/>
              </w:rPr>
              <w:t>图</w:t>
            </w:r>
          </w:p>
          <w:p>
            <w:pPr>
              <w:adjustRightInd w:val="0"/>
              <w:snapToGrid w:val="0"/>
              <w:spacing w:line="360" w:lineRule="auto"/>
              <w:ind w:firstLine="482" w:firstLineChars="200"/>
              <w:rPr>
                <w:rFonts w:hint="default" w:ascii="Times New Roman" w:hAnsi="Times New Roman" w:eastAsia="仿宋_GB2312"/>
                <w:b/>
                <w:bCs/>
                <w:color w:val="auto"/>
                <w:sz w:val="24"/>
                <w:highlight w:val="none"/>
                <w:lang w:val="en-US" w:eastAsia="zh-CN"/>
              </w:rPr>
            </w:pPr>
            <w:r>
              <w:rPr>
                <w:rFonts w:hint="eastAsia" w:eastAsia="仿宋_GB2312"/>
                <w:b/>
                <w:bCs/>
                <w:color w:val="auto"/>
                <w:sz w:val="24"/>
                <w:highlight w:val="none"/>
                <w:lang w:val="en-US" w:eastAsia="zh-CN"/>
              </w:rPr>
              <w:t>2.5 巡护道路现状</w:t>
            </w:r>
          </w:p>
          <w:p>
            <w:pPr>
              <w:adjustRightInd w:val="0"/>
              <w:snapToGrid w:val="0"/>
              <w:spacing w:line="360" w:lineRule="auto"/>
              <w:ind w:firstLine="480" w:firstLineChars="200"/>
              <w:rPr>
                <w:rFonts w:hint="default" w:ascii="Times New Roman" w:hAnsi="Times New Roman" w:eastAsia="仿宋_GB2312"/>
                <w:b w:val="0"/>
                <w:bCs w:val="0"/>
                <w:color w:val="auto"/>
                <w:sz w:val="24"/>
                <w:highlight w:val="none"/>
                <w:lang w:val="en-US" w:eastAsia="zh-CN"/>
              </w:rPr>
            </w:pPr>
            <w:r>
              <w:rPr>
                <w:rFonts w:hint="eastAsia" w:ascii="Times New Roman" w:hAnsi="Times New Roman" w:eastAsia="仿宋_GB2312"/>
                <w:b w:val="0"/>
                <w:bCs w:val="0"/>
                <w:color w:val="auto"/>
                <w:sz w:val="24"/>
                <w:highlight w:val="none"/>
                <w:lang w:val="en-US" w:eastAsia="zh-CN"/>
              </w:rPr>
              <w:t>项目区内存在大量已治理但是目前没有完全硬化的堤顶路，现状以碎石路面为主，部分路面长有杂草，路侧植被稀疏，土壤裸露严重，给河道运行管理及防洪抢险工作的进行带来影响</w:t>
            </w:r>
            <w:r>
              <w:rPr>
                <w:rFonts w:hint="eastAsia" w:eastAsia="仿宋_GB2312"/>
                <w:b w:val="0"/>
                <w:bCs w:val="0"/>
                <w:color w:val="auto"/>
                <w:sz w:val="24"/>
                <w:highlight w:val="none"/>
                <w:lang w:val="en-US" w:eastAsia="zh-CN"/>
              </w:rPr>
              <w:t>。巡护道路工程现状见图22。</w:t>
            </w:r>
          </w:p>
          <w:tbl>
            <w:tblPr>
              <w:tblStyle w:val="25"/>
              <w:tblW w:w="79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8"/>
              <w:gridCol w:w="3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1"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仿宋_GB2312"/>
                      <w:b w:val="0"/>
                      <w:bCs w:val="0"/>
                      <w:color w:val="auto"/>
                      <w:sz w:val="24"/>
                      <w:highlight w:val="none"/>
                      <w:vertAlign w:val="baseline"/>
                      <w:lang w:val="en-US" w:eastAsia="zh-CN"/>
                    </w:rPr>
                  </w:pPr>
                  <w:r>
                    <w:rPr>
                      <w:color w:val="auto"/>
                      <w:highlight w:val="none"/>
                    </w:rPr>
                    <w:drawing>
                      <wp:inline distT="0" distB="0" distL="114300" distR="114300">
                        <wp:extent cx="2435860" cy="1771015"/>
                        <wp:effectExtent l="0" t="0" r="2540" b="6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2"/>
                                <a:stretch>
                                  <a:fillRect/>
                                </a:stretch>
                              </pic:blipFill>
                              <pic:spPr>
                                <a:xfrm>
                                  <a:off x="0" y="0"/>
                                  <a:ext cx="2435860" cy="1771015"/>
                                </a:xfrm>
                                <a:prstGeom prst="rect">
                                  <a:avLst/>
                                </a:prstGeom>
                                <a:noFill/>
                                <a:ln>
                                  <a:noFill/>
                                </a:ln>
                              </pic:spPr>
                            </pic:pic>
                          </a:graphicData>
                        </a:graphic>
                      </wp:inline>
                    </w:drawing>
                  </w:r>
                </w:p>
              </w:tc>
              <w:tc>
                <w:tcPr>
                  <w:tcW w:w="2518"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仿宋_GB2312"/>
                      <w:b w:val="0"/>
                      <w:bCs w:val="0"/>
                      <w:color w:val="auto"/>
                      <w:sz w:val="24"/>
                      <w:highlight w:val="none"/>
                      <w:vertAlign w:val="baseline"/>
                      <w:lang w:val="en-US" w:eastAsia="zh-CN"/>
                    </w:rPr>
                  </w:pPr>
                  <w:r>
                    <w:rPr>
                      <w:color w:val="auto"/>
                      <w:highlight w:val="none"/>
                    </w:rPr>
                    <w:drawing>
                      <wp:inline distT="0" distB="0" distL="114300" distR="114300">
                        <wp:extent cx="2462530" cy="1766570"/>
                        <wp:effectExtent l="0" t="0" r="13970" b="508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3"/>
                                <a:stretch>
                                  <a:fillRect/>
                                </a:stretch>
                              </pic:blipFill>
                              <pic:spPr>
                                <a:xfrm>
                                  <a:off x="0" y="0"/>
                                  <a:ext cx="2462530" cy="176657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1"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仿宋_GB2312"/>
                      <w:b w:val="0"/>
                      <w:bCs w:val="0"/>
                      <w:color w:val="auto"/>
                      <w:sz w:val="24"/>
                      <w:highlight w:val="none"/>
                      <w:vertAlign w:val="baseline"/>
                      <w:lang w:val="en-US" w:eastAsia="zh-CN"/>
                    </w:rPr>
                  </w:pPr>
                  <w:r>
                    <w:rPr>
                      <w:color w:val="auto"/>
                      <w:highlight w:val="none"/>
                    </w:rPr>
                    <w:drawing>
                      <wp:inline distT="0" distB="0" distL="114300" distR="114300">
                        <wp:extent cx="2444115" cy="1769110"/>
                        <wp:effectExtent l="0" t="0" r="13335" b="254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4"/>
                                <a:stretch>
                                  <a:fillRect/>
                                </a:stretch>
                              </pic:blipFill>
                              <pic:spPr>
                                <a:xfrm>
                                  <a:off x="0" y="0"/>
                                  <a:ext cx="2444115" cy="1769110"/>
                                </a:xfrm>
                                <a:prstGeom prst="rect">
                                  <a:avLst/>
                                </a:prstGeom>
                                <a:noFill/>
                                <a:ln>
                                  <a:noFill/>
                                </a:ln>
                              </pic:spPr>
                            </pic:pic>
                          </a:graphicData>
                        </a:graphic>
                      </wp:inline>
                    </w:drawing>
                  </w:r>
                </w:p>
              </w:tc>
              <w:tc>
                <w:tcPr>
                  <w:tcW w:w="2518"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仿宋_GB2312"/>
                      <w:b w:val="0"/>
                      <w:bCs w:val="0"/>
                      <w:color w:val="auto"/>
                      <w:sz w:val="24"/>
                      <w:highlight w:val="none"/>
                      <w:vertAlign w:val="baseline"/>
                      <w:lang w:val="en-US" w:eastAsia="zh-CN"/>
                    </w:rPr>
                  </w:pPr>
                  <w:r>
                    <w:rPr>
                      <w:color w:val="auto"/>
                      <w:highlight w:val="none"/>
                    </w:rPr>
                    <w:drawing>
                      <wp:inline distT="0" distB="0" distL="114300" distR="114300">
                        <wp:extent cx="2472055" cy="1767205"/>
                        <wp:effectExtent l="0" t="0" r="4445" b="44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5"/>
                                <a:stretch>
                                  <a:fillRect/>
                                </a:stretch>
                              </pic:blipFill>
                              <pic:spPr>
                                <a:xfrm>
                                  <a:off x="0" y="0"/>
                                  <a:ext cx="2472055" cy="1767205"/>
                                </a:xfrm>
                                <a:prstGeom prst="rect">
                                  <a:avLst/>
                                </a:prstGeom>
                                <a:noFill/>
                                <a:ln>
                                  <a:noFill/>
                                </a:ln>
                              </pic:spPr>
                            </pic:pic>
                          </a:graphicData>
                        </a:graphic>
                      </wp:inline>
                    </w:drawing>
                  </w:r>
                </w:p>
              </w:tc>
            </w:tr>
          </w:tbl>
          <w:p>
            <w:pPr>
              <w:adjustRightInd w:val="0"/>
              <w:snapToGrid w:val="0"/>
              <w:spacing w:line="360" w:lineRule="auto"/>
              <w:jc w:val="center"/>
              <w:rPr>
                <w:rFonts w:hint="eastAsia" w:ascii="Times New Roman" w:hAnsi="Times New Roman" w:eastAsia="仿宋_GB2312"/>
                <w:b w:val="0"/>
                <w:bCs w:val="0"/>
                <w:color w:val="auto"/>
                <w:sz w:val="24"/>
                <w:highlight w:val="none"/>
                <w:lang w:val="en-US" w:eastAsia="zh-CN"/>
              </w:rPr>
            </w:pPr>
            <w:r>
              <w:rPr>
                <w:rFonts w:hint="default" w:ascii="Times New Roman" w:hAnsi="Times New Roman" w:eastAsia="黑体" w:cs="Times New Roman"/>
                <w:color w:val="auto"/>
                <w:sz w:val="24"/>
                <w:highlight w:val="none"/>
                <w:lang w:val="en-US" w:eastAsia="zh-CN"/>
              </w:rPr>
              <w:t>图</w:t>
            </w:r>
            <w:r>
              <w:rPr>
                <w:rFonts w:hint="eastAsia" w:eastAsia="黑体" w:cs="Times New Roman"/>
                <w:color w:val="auto"/>
                <w:sz w:val="24"/>
                <w:highlight w:val="none"/>
                <w:lang w:val="en-US" w:eastAsia="zh-CN"/>
              </w:rPr>
              <w:t>22</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清水河沿线巡护道路工程现状</w:t>
            </w:r>
            <w:r>
              <w:rPr>
                <w:rFonts w:hint="eastAsia" w:ascii="Times New Roman" w:hAnsi="Times New Roman" w:eastAsia="黑体" w:cs="Times New Roman"/>
                <w:color w:val="auto"/>
                <w:sz w:val="24"/>
                <w:highlight w:val="none"/>
                <w:lang w:val="en-US" w:eastAsia="zh-CN"/>
              </w:rPr>
              <w:t>图</w:t>
            </w:r>
          </w:p>
          <w:p>
            <w:pPr>
              <w:adjustRightInd w:val="0"/>
              <w:snapToGrid w:val="0"/>
              <w:spacing w:line="360" w:lineRule="auto"/>
              <w:ind w:firstLine="482" w:firstLineChars="200"/>
              <w:rPr>
                <w:rFonts w:hint="default" w:ascii="Times New Roman" w:hAnsi="Times New Roman" w:eastAsia="仿宋_GB2312"/>
                <w:b/>
                <w:bCs/>
                <w:color w:val="auto"/>
                <w:sz w:val="24"/>
                <w:highlight w:val="none"/>
                <w:lang w:val="en-US" w:eastAsia="zh-CN"/>
              </w:rPr>
            </w:pPr>
            <w:r>
              <w:rPr>
                <w:rFonts w:hint="eastAsia" w:eastAsia="仿宋_GB2312"/>
                <w:b/>
                <w:bCs/>
                <w:color w:val="auto"/>
                <w:sz w:val="24"/>
                <w:highlight w:val="none"/>
                <w:lang w:val="en-US" w:eastAsia="zh-CN"/>
              </w:rPr>
              <w:t>2.6 植被</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eastAsia="zh-CN"/>
              </w:rPr>
              <w:t>项目区以矮小的灌木和半灌木为主要代表植物，固定沙丘以白刺、柠条及沙蒿为主，其次有寸草、无芒隐子草、刺蓬、茵陈蒿等，覆盖度</w:t>
            </w:r>
            <w:r>
              <w:rPr>
                <w:rFonts w:hint="eastAsia" w:ascii="Times New Roman" w:hAnsi="Times New Roman" w:eastAsia="仿宋_GB2312" w:cs="Times New Roman"/>
                <w:color w:val="auto"/>
                <w:sz w:val="24"/>
                <w:szCs w:val="24"/>
                <w:highlight w:val="none"/>
                <w:lang w:val="en-US" w:eastAsia="zh-CN"/>
              </w:rPr>
              <w:t>30%~50%。根据现场勘查，项目区没有珍稀野生植物种类。</w:t>
            </w:r>
          </w:p>
          <w:p>
            <w:pPr>
              <w:adjustRightInd w:val="0"/>
              <w:snapToGrid w:val="0"/>
              <w:spacing w:line="360" w:lineRule="auto"/>
              <w:ind w:firstLine="480" w:firstLineChars="200"/>
              <w:rPr>
                <w:rFonts w:hint="eastAsia" w:eastAsia="仿宋_GB2312"/>
                <w:color w:val="auto"/>
                <w:sz w:val="24"/>
                <w:highlight w:val="none"/>
                <w:lang w:eastAsia="zh-CN"/>
              </w:rPr>
            </w:pPr>
            <w:r>
              <w:rPr>
                <w:rFonts w:hint="eastAsia" w:ascii="Times New Roman" w:hAnsi="Times New Roman" w:eastAsia="仿宋_GB2312" w:cs="Times New Roman"/>
                <w:color w:val="auto"/>
                <w:sz w:val="24"/>
                <w:szCs w:val="24"/>
                <w:highlight w:val="none"/>
                <w:lang w:val="en-US" w:eastAsia="zh-CN"/>
              </w:rPr>
              <w:t>项目区人工植被以杨树、柳树、臭椿为主的农田防护林，以沙枣、杨树花棒、黄柳为主的防风固沙。项目区内农业开发历史悠久、植被主要是农作物和枣、苹果、梨等。</w:t>
            </w:r>
          </w:p>
          <w:p>
            <w:pPr>
              <w:adjustRightInd w:val="0"/>
              <w:snapToGrid w:val="0"/>
              <w:spacing w:line="360" w:lineRule="auto"/>
              <w:ind w:firstLine="482" w:firstLineChars="200"/>
              <w:rPr>
                <w:rFonts w:hint="default" w:ascii="Times New Roman" w:hAnsi="Times New Roman" w:eastAsia="仿宋_GB2312"/>
                <w:b/>
                <w:bCs/>
                <w:color w:val="auto"/>
                <w:sz w:val="24"/>
                <w:highlight w:val="none"/>
                <w:lang w:val="en-US" w:eastAsia="zh-CN"/>
              </w:rPr>
            </w:pPr>
            <w:r>
              <w:rPr>
                <w:rFonts w:hint="eastAsia" w:eastAsia="仿宋_GB2312"/>
                <w:b/>
                <w:bCs/>
                <w:color w:val="auto"/>
                <w:sz w:val="24"/>
                <w:highlight w:val="none"/>
                <w:lang w:val="en-US" w:eastAsia="zh-CN"/>
              </w:rPr>
              <w:t>2.7 动物</w:t>
            </w:r>
          </w:p>
          <w:p>
            <w:pPr>
              <w:adjustRightInd w:val="0"/>
              <w:snapToGrid w:val="0"/>
              <w:spacing w:line="360" w:lineRule="auto"/>
              <w:ind w:firstLine="480" w:firstLineChars="200"/>
              <w:rPr>
                <w:rFonts w:hint="eastAsia" w:ascii="Times New Roman" w:hAnsi="Times New Roman" w:eastAsia="仿宋_GB2312"/>
                <w:b w:val="0"/>
                <w:bCs w:val="0"/>
                <w:color w:val="auto"/>
                <w:sz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区域内动物主要有杂食性的鸟类麻雀、喜鹊、家燕和野兔、鼠类、黄鼬等小型啮齿类，无珍稀动物种类。村庄内主要畜禽资源有羊、牛、驴、骡、猪、鸡、兔等。</w:t>
            </w:r>
          </w:p>
          <w:p>
            <w:pPr>
              <w:adjustRightInd w:val="0"/>
              <w:snapToGrid w:val="0"/>
              <w:spacing w:line="360" w:lineRule="auto"/>
              <w:ind w:firstLine="482" w:firstLineChars="200"/>
              <w:rPr>
                <w:rFonts w:hint="default" w:ascii="Times New Roman" w:hAnsi="Times New Roman" w:eastAsia="仿宋_GB2312"/>
                <w:b/>
                <w:bCs/>
                <w:color w:val="auto"/>
                <w:sz w:val="24"/>
                <w:highlight w:val="none"/>
                <w:lang w:val="en-US" w:eastAsia="zh-CN"/>
              </w:rPr>
            </w:pPr>
            <w:r>
              <w:rPr>
                <w:rFonts w:hint="eastAsia" w:eastAsia="仿宋_GB2312"/>
                <w:b/>
                <w:bCs/>
                <w:color w:val="auto"/>
                <w:sz w:val="24"/>
                <w:highlight w:val="none"/>
                <w:lang w:val="en-US" w:eastAsia="zh-CN"/>
              </w:rPr>
              <w:t>2.8 水土流失</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根据《中华人民共和国水利部公告（2006年第2号）（关于划分国家级水土流失重点防治区的公告）以及《宁夏回族自治区水土保持规划（2016~2030年）》（宁夏回族自治区水利厅，2016年6月），项目区不属国家级和省级水土流失重点防治区。根据《宁夏回族自治区土壤侵蚀图》和《土壤侵蚀分类分级标准》(SL190-2007)，项目区土壤侵蚀为风力侵蚀兼有水力侵蚀，原地貌土壤侵蚀模数为2000t/km</w:t>
            </w:r>
            <w:r>
              <w:rPr>
                <w:rFonts w:hint="eastAsia"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w:t>
            </w:r>
            <w:r>
              <w:rPr>
                <w:rFonts w:hint="eastAsia" w:ascii="Times New Roman" w:hAnsi="Times New Roman" w:eastAsia="仿宋_GB2312" w:cs="Times New Roman"/>
                <w:color w:val="auto"/>
                <w:sz w:val="24"/>
                <w:szCs w:val="24"/>
                <w:highlight w:val="none"/>
                <w:lang w:val="en-US" w:eastAsia="zh-CN"/>
              </w:rPr>
              <w:t>a，土壤容许流失量为1000t/km</w:t>
            </w:r>
            <w:r>
              <w:rPr>
                <w:rFonts w:hint="eastAsia"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w:t>
            </w:r>
            <w:r>
              <w:rPr>
                <w:rFonts w:hint="eastAsia" w:ascii="Times New Roman" w:hAnsi="Times New Roman" w:eastAsia="仿宋_GB2312"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仿宋_GB2312"/>
                <w:b w:val="0"/>
                <w:bCs w:val="0"/>
                <w:color w:val="auto"/>
                <w:sz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项目区目前已投入大量的水土保持生态建设项目，为防治水土流失起到了较好作用，主要有灌区四周及道路、铁路、渠系和农田防护林体系为主的生态建设以及对天然草场实施了退牧还草，草场封育等生态治理工程等。</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9"/>
              <w:rPr>
                <w:rFonts w:hint="eastAsia" w:ascii="Times New Roman" w:hAnsi="Times New Roman" w:eastAsia="仿宋_GB2312" w:cs="Times New Roman"/>
                <w:b/>
                <w:bCs/>
                <w:color w:val="auto"/>
                <w:sz w:val="24"/>
                <w:szCs w:val="24"/>
                <w:highlight w:val="none"/>
                <w:lang w:val="en-US" w:eastAsia="zh-CN"/>
              </w:rPr>
            </w:pPr>
            <w:r>
              <w:rPr>
                <w:rFonts w:hint="eastAsia" w:eastAsia="仿宋_GB2312"/>
                <w:b/>
                <w:bCs/>
                <w:color w:val="auto"/>
                <w:sz w:val="24"/>
                <w:highlight w:val="none"/>
                <w:lang w:val="en-US" w:eastAsia="zh-CN"/>
              </w:rPr>
              <w:t xml:space="preserve">2.9 </w:t>
            </w:r>
            <w:r>
              <w:rPr>
                <w:rFonts w:hint="eastAsia" w:ascii="Times New Roman" w:hAnsi="Times New Roman" w:eastAsia="仿宋_GB2312" w:cs="Times New Roman"/>
                <w:b/>
                <w:bCs/>
                <w:color w:val="auto"/>
                <w:sz w:val="24"/>
                <w:szCs w:val="24"/>
                <w:highlight w:val="none"/>
                <w:lang w:val="en-US" w:eastAsia="zh-CN"/>
              </w:rPr>
              <w:t>黄河卫宁段兰州鲶国家级水产种质资源保护区</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黄河卫宁段兰州鲶国家级水产种质资源保护区面积15400hm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，范围在东经104°36′45″~105°59′25″，北纬37°53′5″之间，其北岸是青铜峡108塔（105°58′45″E，37°52′47″N）</w:t>
            </w:r>
            <w:r>
              <w:rPr>
                <w:rFonts w:hint="eastAsia"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石空~余丁~镇罗~柔远~文昌~滨河~迎水桥~沙坡头（105°00′21″E，37°27′47″N）~南长滩北岸侧：其南岸是青铜峡~白马~鸣沙~恩和~新堡~宁安~宣和~永康~常乐~南长滩南岸侧</w:t>
            </w:r>
            <w:r>
              <w:rPr>
                <w:rFonts w:hint="eastAsia"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根据保护区功能区划分原则，结合黄河中上游实际情况，兰州鲶保护区划分为核心区、实验区。核心区：位于青铜峡水库大坝至中宁石空之间的黄河河段，地理坐标在东经105°42′36″~105°59′25″，北纬37°41′6″~37°53′5″之间，核心区总面积5400公顷。重点突出，面积适宜，区界明确，人为干扰极少，满足兰州鲶保护区管理和建设工作的需要。核心区是兰州鲶主要的产卵、索饵、育肥、越冬栖息繁衍场所。</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实验区：位于中宁石空至中卫黑山峡宁甘两省交界处的黄河河段，地理坐标在东经104°36'45"~105°55'15"，北纬37°31'48"~37°41'6"之间，实验区总面积10000公顷。实验区是保护区内人为活动相对频繁的地区，自然生态系统已不很完整，次生生态系统占较大比例。其主要功能是对核心区起到缓冲作用和周边地区联系纽带作用</w:t>
            </w:r>
            <w:r>
              <w:rPr>
                <w:rFonts w:hint="eastAsia"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主要保护对象为兰州鲶、大鼻吻、北方铜鱼、黄河鲤。兰州鲶、大鼻吻、北方铜鱼为黄河水系特有鱼类，保护区内还栖息着鲤、鲫、鲶、赤眼鳟，黄河高原鳅、似鲶条鳅、中华鳖等物种。</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①兰州鲶（Siluruslanzhouensis)</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又名黄河鯰，隶属于鲶形目（Siluriformes）鲶科（Siluridea）鯰属（silurns），是黄河中上游特有的大型经济鱼类。主要分布在黄河水系的兰州、宁夏及内蒙巴彦淖尔盟的四分滩。兰州鲶为底栖肉食性鱼类，多栖息于水草丛生的底层，尤喜生活于水流较缓的环境里，亦能适应于流水中。喜在夜间浅水处觅食，主要食小型鱼类，其次为虾及水生昆虫，食物组成随个体大小而异，成鱼以鱼为食，幼鱼以虾及水生昆虫为主。产卵期在5~7月初，产粘性卵，产出后卵粘着在水草上。孵出的仔鱼恋巢倾向明显，离巢的仔鱼，有阶段性的集群行为。</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 xml:space="preserve">②大鼻吻鮈(Rhinogobionasutus)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隶属于鲤形目（Cypriniformes）鲤科（Cyprinidae）吻鮈属（Rhinogobio），主要产于甘肃靖远至宁夏石嘴山黄河段水体中，黄河宁夏北段是其典型的地理分布区。大鼻吻鮊属底栖杂食性鱼类，喜流水，以底栖动物、水生昆虫、摇蚊幼虫、小鱼、有机物碎屑为食。大鼻吻絢的生态习性与北方铜鱼基本相同，每年4月下旬至6月上旬为繁殖季节，产卵的时间早而集中，产卵所需的水温较低。</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③北方铜鱼（Coreiusseptentrionalis）</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隶属于鲤形目（Cypriniformes）鲤科（Cyprinidae）铜鱼属（Coreius），是黄河水系特有的一种鱼类，属于国家二级保护水生动物，主要产于甘肃靖远至宁夏石嘴山黄河段流域中，黄河宁夏北段是典型护的地理分布区，见于青铜峡、银川、平罗、陶乐和石嘴山等河段。北方铜鱼属底栖性鱼类，常栖息于水底水流缓慢多砂砾处，幼鱼食性较广，以浮游动、植物，摇蚊幼虫和水生昆虫为食，有时亦吃其它鱼类的卵和鱼苗。成鱼主要食软体动物、兼食植物性饵料。</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微软雅黑" w:cs="Times New Roman"/>
                <w:color w:val="auto"/>
                <w:sz w:val="24"/>
                <w:szCs w:val="24"/>
                <w:highlight w:val="none"/>
                <w:lang w:val="en-US" w:eastAsia="zh-CN"/>
              </w:rPr>
              <w:t>④</w:t>
            </w:r>
            <w:r>
              <w:rPr>
                <w:rFonts w:hint="default" w:ascii="Times New Roman" w:hAnsi="Times New Roman" w:eastAsia="仿宋_GB2312" w:cs="Times New Roman"/>
                <w:color w:val="auto"/>
                <w:sz w:val="24"/>
                <w:szCs w:val="24"/>
                <w:highlight w:val="none"/>
                <w:lang w:val="en-US" w:eastAsia="zh-CN"/>
              </w:rPr>
              <w:t>黄河鲤(Cyprinuscarpio)</w:t>
            </w:r>
          </w:p>
          <w:p>
            <w:pPr>
              <w:adjustRightInd w:val="0"/>
              <w:snapToGrid w:val="0"/>
              <w:spacing w:line="360" w:lineRule="auto"/>
              <w:ind w:firstLine="480" w:firstLineChars="200"/>
              <w:rPr>
                <w:rFonts w:hint="default" w:ascii="Times New Roman" w:hAnsi="Times New Roman" w:eastAsia="仿宋_GB2312"/>
                <w:b w:val="0"/>
                <w:bCs w:val="0"/>
                <w:color w:val="auto"/>
                <w:sz w:val="24"/>
                <w:highlight w:val="none"/>
                <w:lang w:val="en-US" w:eastAsia="zh-CN"/>
              </w:rPr>
            </w:pPr>
            <w:r>
              <w:rPr>
                <w:rFonts w:hint="default" w:ascii="Times New Roman" w:hAnsi="Times New Roman" w:eastAsia="仿宋_GB2312" w:cs="Times New Roman"/>
                <w:color w:val="auto"/>
                <w:sz w:val="24"/>
                <w:szCs w:val="24"/>
                <w:highlight w:val="none"/>
                <w:lang w:val="en-US" w:eastAsia="zh-CN"/>
              </w:rPr>
              <w:t>隶属于鲤形目（Cypriniformes）鲤科（Cyprinidae）鲤属（Cyprinus），以其肉质细嫩鲜美，金鳞赤尾、体型梭长的优美形态，驰名中外，是我国“四大名淡水鱼”之一，是黄河宝贵的鱼类资源，其主要产于宁夏境内的黄河干流及其重要支流河段，青铜峡坝下保护区内以黄河干流河湾地带的利通区段、永宁县段、通贵乡段、月牙湖至惠农区段分布最丰。对生活环境适应性强，食性粗广，以虾、虫、螺、蚌及水草、藻类为饵，喜于水草丛中，流速缓慢的松软河底游动，常栖息水底，很少上浮。有生殖洄游习性，4~8月游于河滩浅水处产卵，受精卵粘附于水草上，3~5日孵化，生长较快，且雌鲤速于雄鲤</w:t>
            </w:r>
            <w:r>
              <w:rPr>
                <w:rFonts w:hint="eastAsia" w:ascii="Times New Roman" w:hAnsi="Times New Roman" w:eastAsia="仿宋_GB2312" w:cs="Times New Roman"/>
                <w:color w:val="auto"/>
                <w:sz w:val="24"/>
                <w:szCs w:val="24"/>
                <w:highlight w:val="none"/>
                <w:lang w:val="en-US" w:eastAsia="zh-CN"/>
              </w:rPr>
              <w:t>。</w:t>
            </w:r>
          </w:p>
          <w:p>
            <w:pPr>
              <w:pStyle w:val="12"/>
              <w:adjustRightInd w:val="0"/>
              <w:spacing w:line="360" w:lineRule="auto"/>
              <w:ind w:firstLine="482" w:firstLineChars="200"/>
              <w:rPr>
                <w:rFonts w:hint="eastAsia" w:ascii="Times New Roman" w:hAnsi="Times New Roman" w:eastAsia="仿宋_GB2312"/>
                <w:b/>
                <w:bCs/>
                <w:color w:val="auto"/>
                <w:sz w:val="24"/>
                <w:highlight w:val="none"/>
                <w:lang w:eastAsia="zh-CN"/>
              </w:rPr>
            </w:pPr>
            <w:r>
              <w:rPr>
                <w:rFonts w:hint="eastAsia" w:ascii="Times New Roman" w:hAnsi="Times New Roman" w:eastAsia="仿宋_GB2312"/>
                <w:b/>
                <w:bCs/>
                <w:color w:val="auto"/>
                <w:sz w:val="24"/>
                <w:highlight w:val="none"/>
                <w:lang w:val="en-US" w:eastAsia="zh-CN"/>
              </w:rPr>
              <w:t>3</w:t>
            </w:r>
            <w:r>
              <w:rPr>
                <w:rFonts w:ascii="Times New Roman" w:hAnsi="Times New Roman" w:eastAsia="仿宋_GB2312"/>
                <w:b/>
                <w:bCs/>
                <w:color w:val="auto"/>
                <w:sz w:val="24"/>
                <w:highlight w:val="none"/>
              </w:rPr>
              <w:t>、</w:t>
            </w:r>
            <w:r>
              <w:rPr>
                <w:rFonts w:hint="eastAsia" w:ascii="Times New Roman" w:hAnsi="Times New Roman" w:eastAsia="仿宋_GB2312"/>
                <w:b/>
                <w:bCs/>
                <w:color w:val="auto"/>
                <w:sz w:val="24"/>
                <w:highlight w:val="none"/>
                <w:lang w:eastAsia="zh-CN"/>
              </w:rPr>
              <w:t>大气环境</w:t>
            </w:r>
            <w:r>
              <w:rPr>
                <w:rFonts w:hint="eastAsia" w:ascii="Times New Roman" w:hAnsi="Times New Roman" w:eastAsia="仿宋_GB2312"/>
                <w:b/>
                <w:bCs/>
                <w:color w:val="auto"/>
                <w:sz w:val="24"/>
                <w:highlight w:val="none"/>
                <w:lang w:val="en-US" w:eastAsia="zh-CN"/>
              </w:rPr>
              <w:t>质量</w:t>
            </w:r>
            <w:r>
              <w:rPr>
                <w:rFonts w:hint="eastAsia" w:ascii="Times New Roman" w:hAnsi="Times New Roman" w:eastAsia="仿宋_GB2312"/>
                <w:b/>
                <w:bCs/>
                <w:color w:val="auto"/>
                <w:sz w:val="24"/>
                <w:highlight w:val="none"/>
                <w:lang w:eastAsia="zh-CN"/>
              </w:rPr>
              <w:t>现状</w:t>
            </w:r>
          </w:p>
          <w:p>
            <w:pPr>
              <w:pStyle w:val="12"/>
              <w:adjustRightInd w:val="0"/>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本项目位于</w:t>
            </w:r>
            <w:r>
              <w:rPr>
                <w:rFonts w:hint="eastAsia" w:ascii="Times New Roman" w:hAnsi="Times New Roman" w:eastAsia="仿宋_GB2312"/>
                <w:color w:val="auto"/>
                <w:sz w:val="24"/>
                <w:highlight w:val="none"/>
                <w:lang w:eastAsia="zh-CN"/>
              </w:rPr>
              <w:t>宁夏回族自治区中卫市沙坡头区宣和镇</w:t>
            </w:r>
            <w:r>
              <w:rPr>
                <w:rFonts w:ascii="Times New Roman" w:hAnsi="Times New Roman" w:eastAsia="仿宋_GB2312"/>
                <w:color w:val="auto"/>
                <w:sz w:val="24"/>
                <w:highlight w:val="none"/>
              </w:rPr>
              <w:t>，本项目区域环境空气质量现状评价引用</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val="en-US" w:eastAsia="zh-CN"/>
              </w:rPr>
              <w:t>2016-2020</w:t>
            </w:r>
            <w:r>
              <w:rPr>
                <w:rFonts w:hint="eastAsia" w:ascii="Times New Roman" w:hAnsi="Times New Roman" w:eastAsia="仿宋_GB2312"/>
                <w:color w:val="auto"/>
                <w:sz w:val="24"/>
                <w:highlight w:val="none"/>
              </w:rPr>
              <w:t>年</w:t>
            </w:r>
            <w:r>
              <w:rPr>
                <w:rFonts w:hint="eastAsia" w:ascii="Times New Roman" w:hAnsi="Times New Roman" w:eastAsia="仿宋_GB2312"/>
                <w:color w:val="auto"/>
                <w:sz w:val="24"/>
                <w:highlight w:val="none"/>
                <w:lang w:eastAsia="zh-CN"/>
              </w:rPr>
              <w:t>宁夏</w:t>
            </w:r>
            <w:r>
              <w:rPr>
                <w:rFonts w:hint="eastAsia" w:ascii="Times New Roman" w:hAnsi="Times New Roman" w:eastAsia="仿宋_GB2312"/>
                <w:color w:val="auto"/>
                <w:sz w:val="24"/>
                <w:highlight w:val="none"/>
              </w:rPr>
              <w:t>生态环境质量</w:t>
            </w:r>
            <w:r>
              <w:rPr>
                <w:rFonts w:hint="eastAsia" w:ascii="Times New Roman" w:hAnsi="Times New Roman" w:eastAsia="仿宋_GB2312"/>
                <w:color w:val="auto"/>
                <w:sz w:val="24"/>
                <w:highlight w:val="none"/>
                <w:lang w:eastAsia="zh-CN"/>
              </w:rPr>
              <w:t>报告书</w:t>
            </w:r>
            <w:r>
              <w:rPr>
                <w:rFonts w:hint="eastAsia" w:ascii="Times New Roman" w:hAnsi="Times New Roman" w:eastAsia="仿宋_GB2312"/>
                <w:color w:val="auto"/>
                <w:sz w:val="24"/>
                <w:highlight w:val="none"/>
              </w:rPr>
              <w:t>》中</w:t>
            </w:r>
            <w:r>
              <w:rPr>
                <w:rFonts w:hint="eastAsia" w:ascii="Times New Roman" w:hAnsi="Times New Roman" w:eastAsia="仿宋_GB2312"/>
                <w:color w:val="auto"/>
                <w:sz w:val="24"/>
                <w:highlight w:val="none"/>
                <w:lang w:val="en-US" w:eastAsia="zh-CN"/>
              </w:rPr>
              <w:t>2020年</w:t>
            </w:r>
            <w:r>
              <w:rPr>
                <w:rFonts w:hint="eastAsia" w:ascii="Times New Roman" w:hAnsi="Times New Roman" w:eastAsia="仿宋_GB2312"/>
                <w:color w:val="auto"/>
                <w:sz w:val="24"/>
                <w:highlight w:val="none"/>
              </w:rPr>
              <w:t>中卫市的现状监测数据</w:t>
            </w:r>
            <w:r>
              <w:rPr>
                <w:rFonts w:ascii="Times New Roman" w:hAnsi="Times New Roman" w:eastAsia="仿宋_GB2312"/>
                <w:color w:val="auto"/>
                <w:sz w:val="24"/>
                <w:highlight w:val="none"/>
              </w:rPr>
              <w:t>，评价基准年为20</w:t>
            </w:r>
            <w:r>
              <w:rPr>
                <w:rFonts w:hint="eastAsia" w:ascii="Times New Roman" w:hAnsi="Times New Roman" w:eastAsia="仿宋_GB2312"/>
                <w:color w:val="auto"/>
                <w:sz w:val="24"/>
                <w:highlight w:val="none"/>
                <w:lang w:val="en-US" w:eastAsia="zh-CN"/>
              </w:rPr>
              <w:t>20</w:t>
            </w:r>
            <w:r>
              <w:rPr>
                <w:rFonts w:ascii="Times New Roman" w:hAnsi="Times New Roman" w:eastAsia="仿宋_GB2312"/>
                <w:color w:val="auto"/>
                <w:sz w:val="24"/>
                <w:highlight w:val="none"/>
              </w:rPr>
              <w:t>年。具体监测结果统计见表</w:t>
            </w:r>
            <w:r>
              <w:rPr>
                <w:rFonts w:hint="eastAsia" w:ascii="Times New Roman" w:hAnsi="Times New Roman" w:eastAsia="仿宋_GB2312"/>
                <w:color w:val="auto"/>
                <w:sz w:val="24"/>
                <w:highlight w:val="none"/>
                <w:lang w:val="en-US" w:eastAsia="zh-CN"/>
              </w:rPr>
              <w:t>17</w:t>
            </w:r>
            <w:r>
              <w:rPr>
                <w:rFonts w:ascii="Times New Roman" w:hAnsi="Times New Roman" w:eastAsia="仿宋_GB2312"/>
                <w:color w:val="auto"/>
                <w:sz w:val="24"/>
                <w:highlight w:val="none"/>
              </w:rPr>
              <w:t>。</w:t>
            </w:r>
          </w:p>
          <w:p>
            <w:pPr>
              <w:pStyle w:val="15"/>
              <w:ind w:firstLine="480" w:firstLineChars="200"/>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val="en-US" w:eastAsia="zh-CN"/>
              </w:rPr>
              <w:t>12</w:t>
            </w:r>
            <w:r>
              <w:rPr>
                <w:rFonts w:eastAsia="黑体"/>
                <w:color w:val="auto"/>
                <w:sz w:val="24"/>
                <w:szCs w:val="24"/>
                <w:highlight w:val="none"/>
              </w:rPr>
              <w:t xml:space="preserve">              20</w:t>
            </w:r>
            <w:r>
              <w:rPr>
                <w:rFonts w:hint="eastAsia" w:eastAsia="黑体"/>
                <w:color w:val="auto"/>
                <w:sz w:val="24"/>
                <w:szCs w:val="24"/>
                <w:highlight w:val="none"/>
                <w:lang w:val="en-US" w:eastAsia="zh-CN"/>
              </w:rPr>
              <w:t>20</w:t>
            </w:r>
            <w:r>
              <w:rPr>
                <w:rFonts w:eastAsia="黑体"/>
                <w:color w:val="auto"/>
                <w:sz w:val="24"/>
                <w:szCs w:val="24"/>
                <w:highlight w:val="none"/>
              </w:rPr>
              <w:t>年环境空气质量现状</w:t>
            </w:r>
          </w:p>
          <w:tbl>
            <w:tblPr>
              <w:tblStyle w:val="24"/>
              <w:tblW w:w="79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2355"/>
              <w:gridCol w:w="1200"/>
              <w:gridCol w:w="1155"/>
              <w:gridCol w:w="1155"/>
              <w:gridCol w:w="10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2" w:type="dxa"/>
                  <w:vAlign w:val="center"/>
                </w:tcPr>
                <w:p>
                  <w:pPr>
                    <w:adjustRightInd w:val="0"/>
                    <w:snapToGrid w:val="0"/>
                    <w:jc w:val="center"/>
                    <w:rPr>
                      <w:b/>
                      <w:bCs/>
                      <w:color w:val="auto"/>
                      <w:szCs w:val="21"/>
                      <w:highlight w:val="none"/>
                    </w:rPr>
                  </w:pPr>
                  <w:r>
                    <w:rPr>
                      <w:b/>
                      <w:bCs/>
                      <w:color w:val="auto"/>
                      <w:szCs w:val="21"/>
                      <w:highlight w:val="none"/>
                    </w:rPr>
                    <w:t>污染物</w:t>
                  </w:r>
                </w:p>
              </w:tc>
              <w:tc>
                <w:tcPr>
                  <w:tcW w:w="2355" w:type="dxa"/>
                  <w:vAlign w:val="center"/>
                </w:tcPr>
                <w:p>
                  <w:pPr>
                    <w:adjustRightInd w:val="0"/>
                    <w:snapToGrid w:val="0"/>
                    <w:jc w:val="center"/>
                    <w:rPr>
                      <w:b/>
                      <w:bCs/>
                      <w:color w:val="auto"/>
                      <w:szCs w:val="21"/>
                      <w:highlight w:val="none"/>
                      <w:vertAlign w:val="subscript"/>
                    </w:rPr>
                  </w:pPr>
                  <w:r>
                    <w:rPr>
                      <w:b/>
                      <w:bCs/>
                      <w:color w:val="auto"/>
                      <w:szCs w:val="21"/>
                      <w:highlight w:val="none"/>
                    </w:rPr>
                    <w:t>年评价指标</w:t>
                  </w:r>
                </w:p>
              </w:tc>
              <w:tc>
                <w:tcPr>
                  <w:tcW w:w="1200" w:type="dxa"/>
                  <w:vAlign w:val="center"/>
                </w:tcPr>
                <w:p>
                  <w:pPr>
                    <w:adjustRightInd w:val="0"/>
                    <w:snapToGrid w:val="0"/>
                    <w:jc w:val="center"/>
                    <w:rPr>
                      <w:b/>
                      <w:bCs/>
                      <w:color w:val="auto"/>
                      <w:szCs w:val="21"/>
                      <w:highlight w:val="none"/>
                      <w:vertAlign w:val="subscript"/>
                    </w:rPr>
                  </w:pPr>
                  <w:r>
                    <w:rPr>
                      <w:b/>
                      <w:bCs/>
                      <w:color w:val="auto"/>
                      <w:szCs w:val="21"/>
                      <w:highlight w:val="none"/>
                    </w:rPr>
                    <w:t>现状浓度/(μg/m</w:t>
                  </w:r>
                  <w:r>
                    <w:rPr>
                      <w:b/>
                      <w:bCs/>
                      <w:color w:val="auto"/>
                      <w:szCs w:val="21"/>
                      <w:highlight w:val="none"/>
                      <w:vertAlign w:val="superscript"/>
                    </w:rPr>
                    <w:t>3</w:t>
                  </w:r>
                  <w:r>
                    <w:rPr>
                      <w:b/>
                      <w:bCs/>
                      <w:color w:val="auto"/>
                      <w:szCs w:val="21"/>
                      <w:highlight w:val="none"/>
                    </w:rPr>
                    <w:t>)</w:t>
                  </w:r>
                </w:p>
              </w:tc>
              <w:tc>
                <w:tcPr>
                  <w:tcW w:w="1155" w:type="dxa"/>
                  <w:vAlign w:val="center"/>
                </w:tcPr>
                <w:p>
                  <w:pPr>
                    <w:adjustRightInd w:val="0"/>
                    <w:snapToGrid w:val="0"/>
                    <w:jc w:val="center"/>
                    <w:rPr>
                      <w:b/>
                      <w:bCs/>
                      <w:color w:val="auto"/>
                      <w:szCs w:val="21"/>
                      <w:highlight w:val="none"/>
                    </w:rPr>
                  </w:pPr>
                  <w:r>
                    <w:rPr>
                      <w:b/>
                      <w:bCs/>
                      <w:color w:val="auto"/>
                      <w:szCs w:val="21"/>
                      <w:highlight w:val="none"/>
                    </w:rPr>
                    <w:t>标准值/(μg/m</w:t>
                  </w:r>
                  <w:r>
                    <w:rPr>
                      <w:b/>
                      <w:bCs/>
                      <w:color w:val="auto"/>
                      <w:szCs w:val="21"/>
                      <w:highlight w:val="none"/>
                      <w:vertAlign w:val="superscript"/>
                    </w:rPr>
                    <w:t>3</w:t>
                  </w:r>
                  <w:r>
                    <w:rPr>
                      <w:b/>
                      <w:bCs/>
                      <w:color w:val="auto"/>
                      <w:szCs w:val="21"/>
                      <w:highlight w:val="none"/>
                    </w:rPr>
                    <w:t>)</w:t>
                  </w:r>
                </w:p>
              </w:tc>
              <w:tc>
                <w:tcPr>
                  <w:tcW w:w="1155" w:type="dxa"/>
                  <w:vAlign w:val="center"/>
                </w:tcPr>
                <w:p>
                  <w:pPr>
                    <w:adjustRightInd w:val="0"/>
                    <w:snapToGrid w:val="0"/>
                    <w:jc w:val="center"/>
                    <w:rPr>
                      <w:b/>
                      <w:bCs/>
                      <w:color w:val="auto"/>
                      <w:szCs w:val="21"/>
                      <w:highlight w:val="none"/>
                    </w:rPr>
                  </w:pPr>
                  <w:r>
                    <w:rPr>
                      <w:b/>
                      <w:bCs/>
                      <w:color w:val="auto"/>
                      <w:szCs w:val="21"/>
                      <w:highlight w:val="none"/>
                    </w:rPr>
                    <w:t>占标率/%</w:t>
                  </w:r>
                </w:p>
              </w:tc>
              <w:tc>
                <w:tcPr>
                  <w:tcW w:w="1094" w:type="dxa"/>
                  <w:vAlign w:val="center"/>
                </w:tcPr>
                <w:p>
                  <w:pPr>
                    <w:adjustRightInd w:val="0"/>
                    <w:snapToGrid w:val="0"/>
                    <w:jc w:val="center"/>
                    <w:rPr>
                      <w:b/>
                      <w:bCs/>
                      <w:color w:val="auto"/>
                      <w:szCs w:val="21"/>
                      <w:highlight w:val="none"/>
                    </w:rPr>
                  </w:pPr>
                  <w:r>
                    <w:rPr>
                      <w:b/>
                      <w:bCs/>
                      <w:color w:val="auto"/>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2" w:type="dxa"/>
                  <w:vAlign w:val="center"/>
                </w:tcPr>
                <w:p>
                  <w:pPr>
                    <w:adjustRightInd w:val="0"/>
                    <w:snapToGrid w:val="0"/>
                    <w:jc w:val="center"/>
                    <w:rPr>
                      <w:b/>
                      <w:color w:val="auto"/>
                      <w:szCs w:val="21"/>
                      <w:highlight w:val="none"/>
                    </w:rPr>
                  </w:pPr>
                  <w:r>
                    <w:rPr>
                      <w:b/>
                      <w:color w:val="auto"/>
                      <w:szCs w:val="21"/>
                      <w:highlight w:val="none"/>
                    </w:rPr>
                    <w:t>PM</w:t>
                  </w:r>
                  <w:r>
                    <w:rPr>
                      <w:b/>
                      <w:color w:val="auto"/>
                      <w:szCs w:val="21"/>
                      <w:highlight w:val="none"/>
                      <w:vertAlign w:val="subscript"/>
                    </w:rPr>
                    <w:t>10</w:t>
                  </w:r>
                </w:p>
              </w:tc>
              <w:tc>
                <w:tcPr>
                  <w:tcW w:w="2355" w:type="dxa"/>
                  <w:vAlign w:val="center"/>
                </w:tcPr>
                <w:p>
                  <w:pPr>
                    <w:adjustRightInd w:val="0"/>
                    <w:snapToGrid w:val="0"/>
                    <w:jc w:val="center"/>
                    <w:rPr>
                      <w:color w:val="auto"/>
                      <w:szCs w:val="21"/>
                      <w:highlight w:val="none"/>
                    </w:rPr>
                  </w:pPr>
                  <w:r>
                    <w:rPr>
                      <w:color w:val="auto"/>
                      <w:szCs w:val="21"/>
                      <w:highlight w:val="none"/>
                    </w:rPr>
                    <w:t>年平均质量浓度</w:t>
                  </w:r>
                </w:p>
              </w:tc>
              <w:tc>
                <w:tcPr>
                  <w:tcW w:w="120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Cs w:val="21"/>
                      <w:highlight w:val="none"/>
                      <w:lang w:val="en-US" w:eastAsia="zh-CN"/>
                    </w:rPr>
                  </w:pPr>
                  <w:r>
                    <w:rPr>
                      <w:rFonts w:hint="eastAsia" w:ascii="Times New Roman" w:hAnsi="Times New Roman" w:cs="Times New Roman"/>
                      <w:color w:val="auto"/>
                      <w:szCs w:val="21"/>
                      <w:highlight w:val="none"/>
                      <w:lang w:val="en-US" w:eastAsia="zh-CN"/>
                    </w:rPr>
                    <w:t>65</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70</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92.8</w:t>
                  </w:r>
                </w:p>
              </w:tc>
              <w:tc>
                <w:tcPr>
                  <w:tcW w:w="1094"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2" w:type="dxa"/>
                  <w:vAlign w:val="center"/>
                </w:tcPr>
                <w:p>
                  <w:pPr>
                    <w:adjustRightInd w:val="0"/>
                    <w:snapToGrid w:val="0"/>
                    <w:jc w:val="center"/>
                    <w:rPr>
                      <w:b/>
                      <w:color w:val="auto"/>
                      <w:szCs w:val="21"/>
                      <w:highlight w:val="none"/>
                    </w:rPr>
                  </w:pPr>
                  <w:r>
                    <w:rPr>
                      <w:b/>
                      <w:color w:val="auto"/>
                      <w:szCs w:val="21"/>
                      <w:highlight w:val="none"/>
                    </w:rPr>
                    <w:t>PM</w:t>
                  </w:r>
                  <w:r>
                    <w:rPr>
                      <w:b/>
                      <w:color w:val="auto"/>
                      <w:szCs w:val="21"/>
                      <w:highlight w:val="none"/>
                      <w:vertAlign w:val="subscript"/>
                    </w:rPr>
                    <w:t>2.5</w:t>
                  </w:r>
                </w:p>
              </w:tc>
              <w:tc>
                <w:tcPr>
                  <w:tcW w:w="2355" w:type="dxa"/>
                  <w:vAlign w:val="center"/>
                </w:tcPr>
                <w:p>
                  <w:pPr>
                    <w:adjustRightInd w:val="0"/>
                    <w:snapToGrid w:val="0"/>
                    <w:jc w:val="center"/>
                    <w:rPr>
                      <w:color w:val="auto"/>
                      <w:szCs w:val="21"/>
                      <w:highlight w:val="none"/>
                    </w:rPr>
                  </w:pPr>
                  <w:r>
                    <w:rPr>
                      <w:color w:val="auto"/>
                      <w:szCs w:val="21"/>
                      <w:highlight w:val="none"/>
                    </w:rPr>
                    <w:t>年平均质量浓度</w:t>
                  </w:r>
                </w:p>
              </w:tc>
              <w:tc>
                <w:tcPr>
                  <w:tcW w:w="120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33</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35</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hint="eastAsia" w:ascii="Times New Roman" w:hAnsi="Times New Roman" w:cs="Times New Roman" w:eastAsiaTheme="minorEastAsia"/>
                      <w:color w:val="auto"/>
                      <w:szCs w:val="21"/>
                      <w:highlight w:val="none"/>
                      <w:lang w:val="en-US" w:eastAsia="zh-CN"/>
                    </w:rPr>
                    <w:t>94.3</w:t>
                  </w:r>
                </w:p>
              </w:tc>
              <w:tc>
                <w:tcPr>
                  <w:tcW w:w="1094"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2" w:type="dxa"/>
                  <w:vMerge w:val="restart"/>
                  <w:vAlign w:val="center"/>
                </w:tcPr>
                <w:p>
                  <w:pPr>
                    <w:adjustRightInd w:val="0"/>
                    <w:snapToGrid w:val="0"/>
                    <w:jc w:val="center"/>
                    <w:rPr>
                      <w:b/>
                      <w:color w:val="auto"/>
                      <w:szCs w:val="21"/>
                      <w:highlight w:val="none"/>
                    </w:rPr>
                  </w:pPr>
                  <w:r>
                    <w:rPr>
                      <w:b/>
                      <w:color w:val="auto"/>
                      <w:szCs w:val="21"/>
                      <w:highlight w:val="none"/>
                    </w:rPr>
                    <w:t>SO</w:t>
                  </w:r>
                  <w:r>
                    <w:rPr>
                      <w:b/>
                      <w:color w:val="auto"/>
                      <w:szCs w:val="21"/>
                      <w:highlight w:val="none"/>
                      <w:vertAlign w:val="subscript"/>
                    </w:rPr>
                    <w:t>2</w:t>
                  </w:r>
                </w:p>
              </w:tc>
              <w:tc>
                <w:tcPr>
                  <w:tcW w:w="2355" w:type="dxa"/>
                  <w:vAlign w:val="center"/>
                </w:tcPr>
                <w:p>
                  <w:pPr>
                    <w:adjustRightInd w:val="0"/>
                    <w:snapToGrid w:val="0"/>
                    <w:jc w:val="center"/>
                    <w:rPr>
                      <w:color w:val="auto"/>
                      <w:szCs w:val="21"/>
                      <w:highlight w:val="none"/>
                    </w:rPr>
                  </w:pPr>
                  <w:r>
                    <w:rPr>
                      <w:color w:val="auto"/>
                      <w:szCs w:val="21"/>
                      <w:highlight w:val="none"/>
                    </w:rPr>
                    <w:t>年平均质量浓度</w:t>
                  </w:r>
                </w:p>
              </w:tc>
              <w:tc>
                <w:tcPr>
                  <w:tcW w:w="120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13</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60</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hint="eastAsia" w:ascii="Times New Roman" w:hAnsi="Times New Roman" w:cs="Times New Roman" w:eastAsiaTheme="minorEastAsia"/>
                      <w:color w:val="auto"/>
                      <w:szCs w:val="21"/>
                      <w:highlight w:val="none"/>
                      <w:lang w:val="en-US" w:eastAsia="zh-CN"/>
                    </w:rPr>
                    <w:t>21.7</w:t>
                  </w:r>
                </w:p>
              </w:tc>
              <w:tc>
                <w:tcPr>
                  <w:tcW w:w="1094"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2" w:type="dxa"/>
                  <w:vMerge w:val="continue"/>
                  <w:vAlign w:val="center"/>
                </w:tcPr>
                <w:p>
                  <w:pPr>
                    <w:adjustRightInd w:val="0"/>
                    <w:snapToGrid w:val="0"/>
                    <w:jc w:val="center"/>
                    <w:rPr>
                      <w:b/>
                      <w:color w:val="auto"/>
                      <w:szCs w:val="21"/>
                      <w:highlight w:val="none"/>
                    </w:rPr>
                  </w:pPr>
                </w:p>
              </w:tc>
              <w:tc>
                <w:tcPr>
                  <w:tcW w:w="2355" w:type="dxa"/>
                  <w:vAlign w:val="center"/>
                </w:tcPr>
                <w:p>
                  <w:pPr>
                    <w:adjustRightInd w:val="0"/>
                    <w:snapToGrid w:val="0"/>
                    <w:jc w:val="center"/>
                    <w:rPr>
                      <w:color w:val="auto"/>
                      <w:szCs w:val="21"/>
                      <w:highlight w:val="none"/>
                    </w:rPr>
                  </w:pPr>
                  <w:r>
                    <w:rPr>
                      <w:rFonts w:ascii="Times New Roman" w:hAnsi="Times New Roman"/>
                      <w:color w:val="auto"/>
                      <w:szCs w:val="21"/>
                      <w:highlight w:val="none"/>
                    </w:rPr>
                    <w:t>24h</w:t>
                  </w:r>
                  <w:r>
                    <w:rPr>
                      <w:rFonts w:ascii="Times New Roman"/>
                      <w:color w:val="auto"/>
                      <w:szCs w:val="21"/>
                      <w:highlight w:val="none"/>
                    </w:rPr>
                    <w:t>平均第</w:t>
                  </w:r>
                  <w:r>
                    <w:rPr>
                      <w:rFonts w:ascii="Times New Roman" w:hAnsi="Times New Roman"/>
                      <w:color w:val="auto"/>
                      <w:szCs w:val="21"/>
                      <w:highlight w:val="none"/>
                    </w:rPr>
                    <w:t>98%</w:t>
                  </w:r>
                  <w:r>
                    <w:rPr>
                      <w:rFonts w:ascii="Times New Roman"/>
                      <w:color w:val="auto"/>
                      <w:szCs w:val="21"/>
                      <w:highlight w:val="none"/>
                    </w:rPr>
                    <w:t>百分数</w:t>
                  </w:r>
                </w:p>
              </w:tc>
              <w:tc>
                <w:tcPr>
                  <w:tcW w:w="120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lang w:val="en-US" w:eastAsia="zh-CN"/>
                    </w:rPr>
                  </w:pPr>
                  <w:r>
                    <w:rPr>
                      <w:rFonts w:hint="eastAsia" w:ascii="Times New Roman" w:hAnsi="Times New Roman" w:cs="Times New Roman"/>
                      <w:color w:val="auto"/>
                      <w:szCs w:val="21"/>
                      <w:highlight w:val="none"/>
                      <w:lang w:val="en-US" w:eastAsia="zh-CN"/>
                    </w:rPr>
                    <w:t>27</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hint="eastAsia" w:ascii="Times New Roman" w:hAnsi="Times New Roman" w:cs="Times New Roman"/>
                      <w:color w:val="auto"/>
                      <w:szCs w:val="21"/>
                      <w:highlight w:val="none"/>
                      <w:lang w:val="en-US" w:eastAsia="zh-CN"/>
                    </w:rPr>
                    <w:t>150</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hint="eastAsia" w:ascii="Times New Roman" w:hAnsi="Times New Roman" w:cs="Times New Roman"/>
                      <w:color w:val="auto"/>
                      <w:szCs w:val="21"/>
                      <w:highlight w:val="none"/>
                      <w:lang w:val="en-US" w:eastAsia="zh-CN"/>
                    </w:rPr>
                    <w:t>18.0</w:t>
                  </w:r>
                </w:p>
              </w:tc>
              <w:tc>
                <w:tcPr>
                  <w:tcW w:w="1094"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2" w:type="dxa"/>
                  <w:vMerge w:val="restart"/>
                  <w:vAlign w:val="center"/>
                </w:tcPr>
                <w:p>
                  <w:pPr>
                    <w:adjustRightInd w:val="0"/>
                    <w:snapToGrid w:val="0"/>
                    <w:jc w:val="center"/>
                    <w:rPr>
                      <w:b/>
                      <w:color w:val="auto"/>
                      <w:szCs w:val="21"/>
                      <w:highlight w:val="none"/>
                    </w:rPr>
                  </w:pPr>
                  <w:r>
                    <w:rPr>
                      <w:b/>
                      <w:color w:val="auto"/>
                      <w:szCs w:val="21"/>
                      <w:highlight w:val="none"/>
                    </w:rPr>
                    <w:t>NO</w:t>
                  </w:r>
                  <w:r>
                    <w:rPr>
                      <w:b/>
                      <w:color w:val="auto"/>
                      <w:szCs w:val="21"/>
                      <w:highlight w:val="none"/>
                      <w:vertAlign w:val="subscript"/>
                    </w:rPr>
                    <w:t>2</w:t>
                  </w:r>
                </w:p>
              </w:tc>
              <w:tc>
                <w:tcPr>
                  <w:tcW w:w="2355" w:type="dxa"/>
                  <w:vAlign w:val="center"/>
                </w:tcPr>
                <w:p>
                  <w:pPr>
                    <w:adjustRightInd w:val="0"/>
                    <w:snapToGrid w:val="0"/>
                    <w:jc w:val="center"/>
                    <w:rPr>
                      <w:color w:val="auto"/>
                      <w:szCs w:val="21"/>
                      <w:highlight w:val="none"/>
                    </w:rPr>
                  </w:pPr>
                  <w:r>
                    <w:rPr>
                      <w:color w:val="auto"/>
                      <w:szCs w:val="21"/>
                      <w:highlight w:val="none"/>
                    </w:rPr>
                    <w:t>年平均质量浓度</w:t>
                  </w:r>
                </w:p>
              </w:tc>
              <w:tc>
                <w:tcPr>
                  <w:tcW w:w="120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25</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40</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hint="eastAsia" w:ascii="Times New Roman" w:hAnsi="Times New Roman" w:cs="Times New Roman"/>
                      <w:color w:val="auto"/>
                      <w:szCs w:val="21"/>
                      <w:highlight w:val="none"/>
                      <w:lang w:val="en-US" w:eastAsia="zh-CN"/>
                    </w:rPr>
                    <w:t>62.5</w:t>
                  </w:r>
                </w:p>
              </w:tc>
              <w:tc>
                <w:tcPr>
                  <w:tcW w:w="1094"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2" w:type="dxa"/>
                  <w:vMerge w:val="continue"/>
                  <w:vAlign w:val="center"/>
                </w:tcPr>
                <w:p>
                  <w:pPr>
                    <w:adjustRightInd w:val="0"/>
                    <w:snapToGrid w:val="0"/>
                    <w:jc w:val="center"/>
                    <w:rPr>
                      <w:b/>
                      <w:color w:val="auto"/>
                      <w:szCs w:val="21"/>
                      <w:highlight w:val="none"/>
                    </w:rPr>
                  </w:pPr>
                </w:p>
              </w:tc>
              <w:tc>
                <w:tcPr>
                  <w:tcW w:w="2355" w:type="dxa"/>
                  <w:vAlign w:val="center"/>
                </w:tcPr>
                <w:p>
                  <w:pPr>
                    <w:adjustRightInd w:val="0"/>
                    <w:snapToGrid w:val="0"/>
                    <w:jc w:val="center"/>
                    <w:rPr>
                      <w:color w:val="auto"/>
                      <w:szCs w:val="21"/>
                      <w:highlight w:val="none"/>
                    </w:rPr>
                  </w:pPr>
                  <w:r>
                    <w:rPr>
                      <w:rFonts w:ascii="Times New Roman" w:hAnsi="Times New Roman"/>
                      <w:color w:val="auto"/>
                      <w:szCs w:val="21"/>
                      <w:highlight w:val="none"/>
                    </w:rPr>
                    <w:t>24h</w:t>
                  </w:r>
                  <w:r>
                    <w:rPr>
                      <w:rFonts w:ascii="Times New Roman"/>
                      <w:color w:val="auto"/>
                      <w:szCs w:val="21"/>
                      <w:highlight w:val="none"/>
                    </w:rPr>
                    <w:t>平均第</w:t>
                  </w:r>
                  <w:r>
                    <w:rPr>
                      <w:rFonts w:ascii="Times New Roman" w:hAnsi="Times New Roman"/>
                      <w:color w:val="auto"/>
                      <w:szCs w:val="21"/>
                      <w:highlight w:val="none"/>
                    </w:rPr>
                    <w:t>98%</w:t>
                  </w:r>
                  <w:r>
                    <w:rPr>
                      <w:rFonts w:ascii="Times New Roman"/>
                      <w:color w:val="auto"/>
                      <w:szCs w:val="21"/>
                      <w:highlight w:val="none"/>
                    </w:rPr>
                    <w:t>百分数</w:t>
                  </w:r>
                </w:p>
              </w:tc>
              <w:tc>
                <w:tcPr>
                  <w:tcW w:w="120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lang w:val="en-US" w:eastAsia="zh-CN"/>
                    </w:rPr>
                  </w:pPr>
                  <w:r>
                    <w:rPr>
                      <w:rFonts w:hint="eastAsia" w:ascii="Times New Roman" w:hAnsi="Times New Roman" w:cs="Times New Roman"/>
                      <w:color w:val="auto"/>
                      <w:szCs w:val="21"/>
                      <w:highlight w:val="none"/>
                      <w:lang w:val="en-US" w:eastAsia="zh-CN"/>
                    </w:rPr>
                    <w:t>53</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hint="eastAsia" w:ascii="Times New Roman" w:hAnsi="Times New Roman" w:cs="Times New Roman"/>
                      <w:color w:val="auto"/>
                      <w:szCs w:val="21"/>
                      <w:highlight w:val="none"/>
                      <w:lang w:val="en-US" w:eastAsia="zh-CN"/>
                    </w:rPr>
                    <w:t>80</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hint="eastAsia" w:ascii="Times New Roman" w:hAnsi="Times New Roman" w:cs="Times New Roman"/>
                      <w:color w:val="auto"/>
                      <w:szCs w:val="21"/>
                      <w:highlight w:val="none"/>
                      <w:lang w:val="en-US" w:eastAsia="zh-CN"/>
                    </w:rPr>
                    <w:t>66.3</w:t>
                  </w:r>
                </w:p>
              </w:tc>
              <w:tc>
                <w:tcPr>
                  <w:tcW w:w="1094"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2" w:type="dxa"/>
                  <w:vAlign w:val="center"/>
                </w:tcPr>
                <w:p>
                  <w:pPr>
                    <w:adjustRightInd w:val="0"/>
                    <w:snapToGrid w:val="0"/>
                    <w:jc w:val="center"/>
                    <w:rPr>
                      <w:b/>
                      <w:color w:val="auto"/>
                      <w:szCs w:val="21"/>
                      <w:highlight w:val="none"/>
                    </w:rPr>
                  </w:pPr>
                  <w:r>
                    <w:rPr>
                      <w:b/>
                      <w:color w:val="auto"/>
                      <w:szCs w:val="21"/>
                      <w:highlight w:val="none"/>
                    </w:rPr>
                    <w:t>CO</w:t>
                  </w:r>
                </w:p>
              </w:tc>
              <w:tc>
                <w:tcPr>
                  <w:tcW w:w="2355" w:type="dxa"/>
                  <w:vAlign w:val="center"/>
                </w:tcPr>
                <w:p>
                  <w:pPr>
                    <w:adjustRightInd w:val="0"/>
                    <w:snapToGrid w:val="0"/>
                    <w:jc w:val="center"/>
                    <w:rPr>
                      <w:color w:val="auto"/>
                      <w:szCs w:val="21"/>
                      <w:highlight w:val="none"/>
                    </w:rPr>
                  </w:pPr>
                  <w:r>
                    <w:rPr>
                      <w:color w:val="auto"/>
                      <w:szCs w:val="21"/>
                      <w:highlight w:val="none"/>
                    </w:rPr>
                    <w:t>24h平均第95%百分数（mg /m</w:t>
                  </w:r>
                  <w:r>
                    <w:rPr>
                      <w:color w:val="auto"/>
                      <w:szCs w:val="21"/>
                      <w:highlight w:val="none"/>
                      <w:vertAlign w:val="superscript"/>
                    </w:rPr>
                    <w:t>3</w:t>
                  </w:r>
                  <w:r>
                    <w:rPr>
                      <w:color w:val="auto"/>
                      <w:szCs w:val="21"/>
                      <w:highlight w:val="none"/>
                    </w:rPr>
                    <w:t>）</w:t>
                  </w:r>
                </w:p>
              </w:tc>
              <w:tc>
                <w:tcPr>
                  <w:tcW w:w="120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1.0</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4</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hint="eastAsia" w:ascii="Times New Roman" w:hAnsi="Times New Roman" w:cs="Times New Roman"/>
                      <w:color w:val="auto"/>
                      <w:szCs w:val="21"/>
                      <w:highlight w:val="none"/>
                      <w:lang w:val="en-US" w:eastAsia="zh-CN"/>
                    </w:rPr>
                    <w:t>25.0</w:t>
                  </w:r>
                </w:p>
              </w:tc>
              <w:tc>
                <w:tcPr>
                  <w:tcW w:w="1094"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2" w:type="dxa"/>
                  <w:vAlign w:val="center"/>
                </w:tcPr>
                <w:p>
                  <w:pPr>
                    <w:adjustRightInd w:val="0"/>
                    <w:snapToGrid w:val="0"/>
                    <w:jc w:val="center"/>
                    <w:rPr>
                      <w:b/>
                      <w:color w:val="auto"/>
                      <w:szCs w:val="21"/>
                      <w:highlight w:val="none"/>
                    </w:rPr>
                  </w:pPr>
                  <w:r>
                    <w:rPr>
                      <w:b/>
                      <w:color w:val="auto"/>
                      <w:szCs w:val="21"/>
                      <w:highlight w:val="none"/>
                    </w:rPr>
                    <w:t>O</w:t>
                  </w:r>
                  <w:r>
                    <w:rPr>
                      <w:b/>
                      <w:color w:val="auto"/>
                      <w:szCs w:val="21"/>
                      <w:highlight w:val="none"/>
                      <w:vertAlign w:val="subscript"/>
                    </w:rPr>
                    <w:t>3</w:t>
                  </w:r>
                </w:p>
              </w:tc>
              <w:tc>
                <w:tcPr>
                  <w:tcW w:w="2355" w:type="dxa"/>
                  <w:vAlign w:val="center"/>
                </w:tcPr>
                <w:p>
                  <w:pPr>
                    <w:adjustRightInd w:val="0"/>
                    <w:snapToGrid w:val="0"/>
                    <w:jc w:val="center"/>
                    <w:rPr>
                      <w:color w:val="auto"/>
                      <w:szCs w:val="21"/>
                      <w:highlight w:val="none"/>
                    </w:rPr>
                  </w:pPr>
                  <w:r>
                    <w:rPr>
                      <w:color w:val="auto"/>
                      <w:szCs w:val="21"/>
                      <w:highlight w:val="none"/>
                    </w:rPr>
                    <w:t>日最大8h滑动平均值90%百分数</w:t>
                  </w:r>
                </w:p>
              </w:tc>
              <w:tc>
                <w:tcPr>
                  <w:tcW w:w="120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134</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160</w:t>
                  </w:r>
                </w:p>
              </w:tc>
              <w:tc>
                <w:tcPr>
                  <w:tcW w:w="1155"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hint="eastAsia" w:ascii="Times New Roman" w:hAnsi="Times New Roman" w:cs="Times New Roman" w:eastAsiaTheme="minorEastAsia"/>
                      <w:color w:val="auto"/>
                      <w:szCs w:val="21"/>
                      <w:highlight w:val="none"/>
                      <w:lang w:val="en-US" w:eastAsia="zh-CN"/>
                    </w:rPr>
                    <w:t>83.8</w:t>
                  </w:r>
                </w:p>
              </w:tc>
              <w:tc>
                <w:tcPr>
                  <w:tcW w:w="1094" w:type="dxa"/>
                  <w:vAlign w:val="center"/>
                </w:tcPr>
                <w:p>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rFonts w:ascii="Times New Roman" w:hAnsi="Times New Roman" w:cs="Times New Roman"/>
                      <w:color w:val="auto"/>
                      <w:szCs w:val="21"/>
                      <w:highlight w:val="none"/>
                    </w:rPr>
                    <w:t>达标</w:t>
                  </w:r>
                </w:p>
              </w:tc>
            </w:tr>
          </w:tbl>
          <w:p>
            <w:pPr>
              <w:adjustRightIn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rPr>
              <w:t>根据上表的监测数据，</w:t>
            </w:r>
            <w:r>
              <w:rPr>
                <w:rFonts w:hint="eastAsia" w:eastAsia="仿宋_GB2312"/>
                <w:color w:val="auto"/>
                <w:sz w:val="24"/>
                <w:highlight w:val="none"/>
                <w:lang w:val="en-US" w:eastAsia="zh-CN"/>
              </w:rPr>
              <w:t>2020年</w:t>
            </w:r>
            <w:r>
              <w:rPr>
                <w:rFonts w:hint="eastAsia" w:eastAsia="仿宋_GB2312"/>
                <w:color w:val="auto"/>
                <w:sz w:val="24"/>
                <w:highlight w:val="none"/>
                <w:lang w:eastAsia="zh-CN"/>
              </w:rPr>
              <w:t>中卫市</w:t>
            </w:r>
            <w:r>
              <w:rPr>
                <w:rFonts w:hint="eastAsia" w:eastAsia="仿宋_GB2312"/>
                <w:color w:val="auto"/>
                <w:sz w:val="24"/>
                <w:highlight w:val="none"/>
              </w:rPr>
              <w:t>在剔除沙尘天气</w:t>
            </w:r>
            <w:r>
              <w:rPr>
                <w:rFonts w:hint="eastAsia" w:eastAsia="仿宋_GB2312"/>
                <w:color w:val="auto"/>
                <w:sz w:val="24"/>
                <w:highlight w:val="none"/>
                <w:lang w:eastAsia="zh-CN"/>
              </w:rPr>
              <w:t>影响</w:t>
            </w:r>
            <w:r>
              <w:rPr>
                <w:rFonts w:hint="eastAsia" w:eastAsia="仿宋_GB2312"/>
                <w:color w:val="auto"/>
                <w:sz w:val="24"/>
                <w:highlight w:val="none"/>
              </w:rPr>
              <w:t>后</w:t>
            </w:r>
            <w:r>
              <w:rPr>
                <w:rFonts w:hint="eastAsia" w:eastAsia="仿宋_GB2312"/>
                <w:color w:val="auto"/>
                <w:sz w:val="24"/>
                <w:highlight w:val="none"/>
                <w:lang w:eastAsia="zh-CN"/>
              </w:rPr>
              <w:t>，</w:t>
            </w:r>
            <w:r>
              <w:rPr>
                <w:rFonts w:hint="eastAsia" w:eastAsia="仿宋_GB2312"/>
                <w:color w:val="auto"/>
                <w:sz w:val="24"/>
                <w:highlight w:val="none"/>
              </w:rPr>
              <w:t>PM</w:t>
            </w:r>
            <w:r>
              <w:rPr>
                <w:rFonts w:hint="eastAsia" w:eastAsia="仿宋_GB2312"/>
                <w:color w:val="auto"/>
                <w:sz w:val="24"/>
                <w:highlight w:val="none"/>
                <w:vertAlign w:val="subscript"/>
              </w:rPr>
              <w:t>10</w:t>
            </w:r>
            <w:r>
              <w:rPr>
                <w:rFonts w:hint="eastAsia" w:eastAsia="仿宋_GB2312"/>
                <w:color w:val="auto"/>
                <w:sz w:val="24"/>
                <w:highlight w:val="none"/>
              </w:rPr>
              <w:t>、PM</w:t>
            </w:r>
            <w:r>
              <w:rPr>
                <w:rFonts w:hint="eastAsia" w:eastAsia="仿宋_GB2312"/>
                <w:color w:val="auto"/>
                <w:sz w:val="24"/>
                <w:highlight w:val="none"/>
                <w:vertAlign w:val="subscript"/>
              </w:rPr>
              <w:t>2.5</w:t>
            </w:r>
            <w:r>
              <w:rPr>
                <w:rFonts w:hint="eastAsia" w:eastAsia="仿宋_GB2312"/>
                <w:color w:val="auto"/>
                <w:sz w:val="24"/>
                <w:highlight w:val="none"/>
              </w:rPr>
              <w:t>、SO</w:t>
            </w:r>
            <w:r>
              <w:rPr>
                <w:rFonts w:hint="eastAsia" w:eastAsia="仿宋_GB2312"/>
                <w:color w:val="auto"/>
                <w:sz w:val="24"/>
                <w:highlight w:val="none"/>
                <w:vertAlign w:val="subscript"/>
              </w:rPr>
              <w:t>2</w:t>
            </w:r>
            <w:r>
              <w:rPr>
                <w:rFonts w:hint="eastAsia" w:eastAsia="仿宋_GB2312"/>
                <w:color w:val="auto"/>
                <w:sz w:val="24"/>
                <w:highlight w:val="none"/>
                <w:lang w:eastAsia="zh-CN"/>
              </w:rPr>
              <w:t>、</w:t>
            </w:r>
            <w:r>
              <w:rPr>
                <w:rFonts w:hint="eastAsia" w:eastAsia="仿宋_GB2312"/>
                <w:color w:val="auto"/>
                <w:sz w:val="24"/>
                <w:highlight w:val="none"/>
              </w:rPr>
              <w:t>NO</w:t>
            </w:r>
            <w:r>
              <w:rPr>
                <w:rFonts w:hint="eastAsia" w:eastAsia="仿宋_GB2312"/>
                <w:color w:val="auto"/>
                <w:sz w:val="24"/>
                <w:highlight w:val="none"/>
                <w:vertAlign w:val="subscript"/>
              </w:rPr>
              <w:t>2</w:t>
            </w:r>
            <w:r>
              <w:rPr>
                <w:rFonts w:hint="eastAsia" w:eastAsia="仿宋_GB2312"/>
                <w:color w:val="auto"/>
                <w:sz w:val="24"/>
                <w:highlight w:val="none"/>
                <w:lang w:eastAsia="zh-CN"/>
              </w:rPr>
              <w:t>、</w:t>
            </w:r>
            <w:r>
              <w:rPr>
                <w:rFonts w:hint="eastAsia" w:eastAsia="仿宋_GB2312"/>
                <w:color w:val="auto"/>
                <w:sz w:val="24"/>
                <w:highlight w:val="none"/>
              </w:rPr>
              <w:t>CO</w:t>
            </w:r>
            <w:r>
              <w:rPr>
                <w:rFonts w:hint="eastAsia" w:eastAsia="仿宋_GB2312"/>
                <w:color w:val="auto"/>
                <w:sz w:val="24"/>
                <w:highlight w:val="none"/>
                <w:lang w:eastAsia="zh-CN"/>
              </w:rPr>
              <w:t>、</w:t>
            </w:r>
            <w:r>
              <w:rPr>
                <w:rFonts w:hint="eastAsia" w:eastAsia="仿宋_GB2312"/>
                <w:color w:val="auto"/>
                <w:sz w:val="24"/>
                <w:highlight w:val="none"/>
              </w:rPr>
              <w:t>O</w:t>
            </w:r>
            <w:r>
              <w:rPr>
                <w:rFonts w:hint="eastAsia" w:eastAsia="仿宋_GB2312"/>
                <w:color w:val="auto"/>
                <w:sz w:val="24"/>
                <w:highlight w:val="none"/>
                <w:vertAlign w:val="subscript"/>
              </w:rPr>
              <w:t>3</w:t>
            </w:r>
            <w:r>
              <w:rPr>
                <w:rFonts w:hint="eastAsia" w:eastAsia="仿宋_GB2312"/>
                <w:color w:val="auto"/>
                <w:sz w:val="24"/>
                <w:highlight w:val="none"/>
                <w:lang w:eastAsia="zh-CN"/>
              </w:rPr>
              <w:t>六</w:t>
            </w:r>
            <w:r>
              <w:rPr>
                <w:rFonts w:hint="eastAsia" w:eastAsia="仿宋_GB2312"/>
                <w:color w:val="auto"/>
                <w:sz w:val="24"/>
                <w:highlight w:val="none"/>
              </w:rPr>
              <w:t>项污染物年平均质量浓度均满足</w:t>
            </w:r>
            <w:r>
              <w:rPr>
                <w:rFonts w:eastAsia="仿宋_GB2312"/>
                <w:color w:val="auto"/>
                <w:sz w:val="24"/>
                <w:highlight w:val="none"/>
              </w:rPr>
              <w:t>《环境空气质量标准》（GB3095-2012）及2018修改单二级标准要求</w:t>
            </w:r>
            <w:r>
              <w:rPr>
                <w:rFonts w:hint="eastAsia" w:eastAsia="仿宋_GB2312"/>
                <w:color w:val="auto"/>
                <w:sz w:val="24"/>
                <w:highlight w:val="none"/>
              </w:rPr>
              <w:t>。因此根据HJ663-2013判定，</w:t>
            </w:r>
            <w:r>
              <w:rPr>
                <w:rFonts w:hint="eastAsia" w:eastAsia="仿宋_GB2312"/>
                <w:color w:val="auto"/>
                <w:sz w:val="24"/>
                <w:highlight w:val="none"/>
                <w:lang w:eastAsia="zh-CN"/>
              </w:rPr>
              <w:t>中卫市</w:t>
            </w:r>
            <w:r>
              <w:rPr>
                <w:rFonts w:hint="eastAsia" w:eastAsia="仿宋_GB2312"/>
                <w:color w:val="auto"/>
                <w:sz w:val="24"/>
                <w:highlight w:val="none"/>
              </w:rPr>
              <w:t>20</w:t>
            </w:r>
            <w:r>
              <w:rPr>
                <w:rFonts w:hint="eastAsia" w:eastAsia="仿宋_GB2312"/>
                <w:color w:val="auto"/>
                <w:sz w:val="24"/>
                <w:highlight w:val="none"/>
                <w:lang w:val="en-US" w:eastAsia="zh-CN"/>
              </w:rPr>
              <w:t>20</w:t>
            </w:r>
            <w:r>
              <w:rPr>
                <w:rFonts w:hint="eastAsia" w:eastAsia="仿宋_GB2312"/>
                <w:color w:val="auto"/>
                <w:sz w:val="24"/>
                <w:highlight w:val="none"/>
              </w:rPr>
              <w:t>年</w:t>
            </w:r>
            <w:r>
              <w:rPr>
                <w:rFonts w:hint="eastAsia" w:eastAsia="仿宋_GB2312"/>
                <w:color w:val="auto"/>
                <w:sz w:val="24"/>
                <w:highlight w:val="none"/>
                <w:lang w:val="en-US" w:eastAsia="zh-CN"/>
              </w:rPr>
              <w:t>为</w:t>
            </w:r>
            <w:r>
              <w:rPr>
                <w:rFonts w:hint="eastAsia" w:eastAsia="仿宋_GB2312"/>
                <w:color w:val="auto"/>
                <w:sz w:val="24"/>
                <w:highlight w:val="none"/>
              </w:rPr>
              <w:t>环境空气质量</w:t>
            </w:r>
            <w:r>
              <w:rPr>
                <w:rFonts w:hint="eastAsia" w:eastAsia="仿宋_GB2312"/>
                <w:color w:val="auto"/>
                <w:sz w:val="24"/>
                <w:highlight w:val="none"/>
                <w:lang w:val="en-US" w:eastAsia="zh-CN"/>
              </w:rPr>
              <w:t>为</w:t>
            </w:r>
            <w:r>
              <w:rPr>
                <w:rFonts w:hint="eastAsia" w:eastAsia="仿宋_GB2312"/>
                <w:color w:val="auto"/>
                <w:sz w:val="24"/>
                <w:highlight w:val="none"/>
              </w:rPr>
              <w:t>达标区</w:t>
            </w:r>
            <w:r>
              <w:rPr>
                <w:rFonts w:hint="eastAsia" w:eastAsia="仿宋_GB2312"/>
                <w:color w:val="auto"/>
                <w:sz w:val="24"/>
                <w:highlight w:val="none"/>
                <w:lang w:eastAsia="zh-CN"/>
              </w:rPr>
              <w:t>。</w:t>
            </w:r>
          </w:p>
          <w:p>
            <w:pPr>
              <w:adjustRightInd w:val="0"/>
              <w:snapToGrid w:val="0"/>
              <w:spacing w:line="360" w:lineRule="auto"/>
              <w:ind w:firstLine="482" w:firstLineChars="200"/>
              <w:rPr>
                <w:rFonts w:hint="default" w:ascii="Times New Roman" w:hAnsi="Times New Roman" w:eastAsia="仿宋_GB2312" w:cs="Times New Roman"/>
                <w:b/>
                <w:bCs/>
                <w:color w:val="auto"/>
                <w:sz w:val="24"/>
                <w:szCs w:val="24"/>
                <w:highlight w:val="none"/>
              </w:rPr>
            </w:pPr>
            <w:r>
              <w:rPr>
                <w:rFonts w:hint="eastAsia" w:eastAsia="仿宋_GB2312" w:cs="Times New Roman"/>
                <w:b/>
                <w:bCs/>
                <w:color w:val="auto"/>
                <w:sz w:val="24"/>
                <w:szCs w:val="24"/>
                <w:highlight w:val="none"/>
                <w:lang w:val="en-US" w:eastAsia="zh-CN"/>
              </w:rPr>
              <w:t>4</w:t>
            </w:r>
            <w:r>
              <w:rPr>
                <w:rFonts w:hint="eastAsia" w:ascii="Times New Roman" w:hAnsi="Times New Roman" w:eastAsia="仿宋_GB2312" w:cs="Times New Roman"/>
                <w:b/>
                <w:bCs/>
                <w:color w:val="auto"/>
                <w:sz w:val="24"/>
                <w:szCs w:val="24"/>
                <w:highlight w:val="none"/>
                <w:lang w:eastAsia="zh-CN"/>
              </w:rPr>
              <w:t>、</w:t>
            </w:r>
            <w:r>
              <w:rPr>
                <w:rFonts w:hint="default" w:ascii="Times New Roman" w:hAnsi="Times New Roman" w:eastAsia="仿宋_GB2312" w:cs="Times New Roman"/>
                <w:b/>
                <w:bCs/>
                <w:color w:val="auto"/>
                <w:sz w:val="24"/>
                <w:szCs w:val="24"/>
                <w:highlight w:val="none"/>
              </w:rPr>
              <w:t>地表水环境质量状况</w:t>
            </w:r>
          </w:p>
          <w:p>
            <w:pPr>
              <w:tabs>
                <w:tab w:val="left" w:pos="2700"/>
              </w:tabs>
              <w:autoSpaceDE w:val="0"/>
              <w:autoSpaceDN w:val="0"/>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本项目</w:t>
            </w:r>
            <w:r>
              <w:rPr>
                <w:rFonts w:ascii="Times New Roman" w:hAnsi="Times New Roman" w:eastAsia="仿宋_GB2312"/>
                <w:color w:val="auto"/>
                <w:sz w:val="24"/>
                <w:highlight w:val="none"/>
              </w:rPr>
              <w:t>位于</w:t>
            </w:r>
            <w:r>
              <w:rPr>
                <w:rFonts w:hint="eastAsia" w:ascii="Times New Roman" w:hAnsi="Times New Roman" w:eastAsia="仿宋_GB2312"/>
                <w:color w:val="auto"/>
                <w:sz w:val="24"/>
                <w:highlight w:val="none"/>
                <w:lang w:eastAsia="zh-CN"/>
              </w:rPr>
              <w:t>宁夏回族自治区中卫市沙坡头区宣和镇</w:t>
            </w:r>
            <w:r>
              <w:rPr>
                <w:rFonts w:hint="eastAsia" w:ascii="Times New Roman" w:hAnsi="Times New Roman" w:eastAsia="仿宋_GB2312" w:cs="Times New Roman"/>
                <w:color w:val="auto"/>
                <w:sz w:val="24"/>
                <w:szCs w:val="24"/>
                <w:highlight w:val="none"/>
                <w:lang w:val="en-US" w:eastAsia="zh-CN"/>
              </w:rPr>
              <w:t>，</w:t>
            </w:r>
            <w:r>
              <w:rPr>
                <w:rFonts w:hint="eastAsia" w:eastAsia="仿宋_GB2312" w:cs="Times New Roman"/>
                <w:color w:val="auto"/>
                <w:kern w:val="0"/>
                <w:sz w:val="24"/>
                <w:szCs w:val="24"/>
                <w:highlight w:val="none"/>
                <w:lang w:val="en-US" w:eastAsia="zh-CN" w:bidi="ar-SA"/>
              </w:rPr>
              <w:t>对清水河左岸从山河桥到入黄口处进行防洪治理工程，对清水河岸线进行修复和保护，涉及到的地表水体为</w:t>
            </w:r>
            <w:r>
              <w:rPr>
                <w:rFonts w:hint="eastAsia" w:ascii="Times New Roman" w:hAnsi="Times New Roman" w:eastAsia="仿宋_GB2312" w:cs="Times New Roman"/>
                <w:color w:val="auto"/>
                <w:sz w:val="24"/>
                <w:szCs w:val="24"/>
                <w:highlight w:val="none"/>
                <w:lang w:val="en-US" w:eastAsia="zh-CN"/>
              </w:rPr>
              <w:t>清水河、中卫市第九排水沟及黄河。</w:t>
            </w:r>
            <w:r>
              <w:rPr>
                <w:rFonts w:hint="eastAsia" w:eastAsia="仿宋_GB2312" w:cs="Times New Roman"/>
                <w:color w:val="auto"/>
                <w:sz w:val="24"/>
                <w:szCs w:val="24"/>
                <w:highlight w:val="none"/>
                <w:lang w:val="en-US" w:eastAsia="zh-CN"/>
              </w:rPr>
              <w:t>因此，</w:t>
            </w:r>
            <w:r>
              <w:rPr>
                <w:rFonts w:hint="eastAsia" w:ascii="Times New Roman" w:hAnsi="Times New Roman" w:eastAsia="仿宋_GB2312" w:cs="Times New Roman"/>
                <w:color w:val="auto"/>
                <w:sz w:val="24"/>
                <w:szCs w:val="24"/>
                <w:highlight w:val="none"/>
                <w:lang w:val="en-US" w:eastAsia="zh-CN"/>
              </w:rPr>
              <w:t>本次地表水环境质量状况对清水河、中卫市第九排水沟及黄河均进行评价</w:t>
            </w:r>
            <w:r>
              <w:rPr>
                <w:rFonts w:hint="eastAsia" w:eastAsia="仿宋_GB2312" w:cs="Times New Roman"/>
                <w:color w:val="auto"/>
                <w:sz w:val="24"/>
                <w:szCs w:val="24"/>
                <w:highlight w:val="none"/>
                <w:lang w:val="en-US" w:eastAsia="zh-CN"/>
              </w:rPr>
              <w:t>。</w:t>
            </w:r>
          </w:p>
          <w:p>
            <w:pPr>
              <w:tabs>
                <w:tab w:val="left" w:pos="2700"/>
              </w:tabs>
              <w:autoSpaceDE w:val="0"/>
              <w:autoSpaceDN w:val="0"/>
              <w:adjustRightInd w:val="0"/>
              <w:snapToGrid w:val="0"/>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4.1 清水河环境质量现状</w:t>
            </w:r>
          </w:p>
          <w:p>
            <w:pPr>
              <w:adjustRightInd w:val="0"/>
              <w:snapToGrid w:val="0"/>
              <w:spacing w:line="360" w:lineRule="auto"/>
              <w:ind w:firstLine="480" w:firstLineChars="200"/>
              <w:rPr>
                <w:rFonts w:hint="eastAsia" w:ascii="Times New Roman" w:hAnsi="Times New Roman" w:eastAsia="仿宋_GB2312"/>
                <w:color w:val="auto"/>
                <w:sz w:val="24"/>
                <w:highlight w:val="none"/>
                <w:lang w:eastAsia="zh-CN"/>
              </w:rPr>
            </w:pPr>
            <w:r>
              <w:rPr>
                <w:rFonts w:hint="eastAsia" w:eastAsia="仿宋_GB2312"/>
                <w:b w:val="0"/>
                <w:bCs w:val="0"/>
                <w:color w:val="auto"/>
                <w:sz w:val="24"/>
                <w:highlight w:val="none"/>
                <w:lang w:val="en-US" w:eastAsia="zh-CN"/>
              </w:rPr>
              <w:t>根据</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val="en-US" w:eastAsia="zh-CN"/>
              </w:rPr>
              <w:t>2016-2020</w:t>
            </w:r>
            <w:r>
              <w:rPr>
                <w:rFonts w:hint="eastAsia" w:ascii="Times New Roman" w:hAnsi="Times New Roman" w:eastAsia="仿宋_GB2312"/>
                <w:color w:val="auto"/>
                <w:sz w:val="24"/>
                <w:highlight w:val="none"/>
              </w:rPr>
              <w:t>年</w:t>
            </w:r>
            <w:r>
              <w:rPr>
                <w:rFonts w:hint="eastAsia" w:ascii="Times New Roman" w:hAnsi="Times New Roman" w:eastAsia="仿宋_GB2312"/>
                <w:color w:val="auto"/>
                <w:sz w:val="24"/>
                <w:highlight w:val="none"/>
                <w:lang w:eastAsia="zh-CN"/>
              </w:rPr>
              <w:t>宁夏</w:t>
            </w:r>
            <w:r>
              <w:rPr>
                <w:rFonts w:hint="eastAsia" w:ascii="Times New Roman" w:hAnsi="Times New Roman" w:eastAsia="仿宋_GB2312"/>
                <w:color w:val="auto"/>
                <w:sz w:val="24"/>
                <w:highlight w:val="none"/>
              </w:rPr>
              <w:t>生态环境质量</w:t>
            </w:r>
            <w:r>
              <w:rPr>
                <w:rFonts w:hint="eastAsia" w:ascii="Times New Roman" w:hAnsi="Times New Roman" w:eastAsia="仿宋_GB2312"/>
                <w:color w:val="auto"/>
                <w:sz w:val="24"/>
                <w:highlight w:val="none"/>
                <w:lang w:eastAsia="zh-CN"/>
              </w:rPr>
              <w:t>报告书</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eastAsia="zh-CN"/>
              </w:rPr>
              <w:t>，2016年、2017年、2019年、2020年清水河水质总体均为轻度污染，2018年水质总体为中度污染，主要污染指标为氟化物、氨氮、化学需氧量、总磷和硒。</w:t>
            </w:r>
          </w:p>
          <w:p>
            <w:pPr>
              <w:adjustRightInd w:val="0"/>
              <w:snapToGrid w:val="0"/>
              <w:spacing w:line="360" w:lineRule="auto"/>
              <w:ind w:firstLine="480" w:firstLineChars="200"/>
              <w:rPr>
                <w:rFonts w:hint="eastAsia" w:ascii="Times New Roman" w:hAnsi="Times New Roman" w:eastAsia="仿宋_GB2312"/>
                <w:color w:val="auto"/>
                <w:sz w:val="24"/>
                <w:highlight w:val="none"/>
                <w:lang w:eastAsia="zh-CN"/>
              </w:rPr>
            </w:pPr>
            <w:r>
              <w:rPr>
                <w:rFonts w:hint="eastAsia" w:ascii="Times New Roman" w:hAnsi="Times New Roman" w:eastAsia="仿宋_GB2312"/>
                <w:color w:val="auto"/>
                <w:sz w:val="24"/>
                <w:highlight w:val="none"/>
                <w:lang w:eastAsia="zh-CN"/>
              </w:rPr>
              <w:t>其中，上游二十里铺断面水质类别连续五年均保持Ⅱ类；冬至河入清水河断面自2018年起开展监测工作，水质类别连续三年均为Ⅳ类，水质基本保持稳定；三营断面2016年、2017年水质类别为劣Ⅴ类，主要污染指标为生化需氧量、化学需氧量和氨氮，2018年-2020年水质由劣Ⅴ类提高为Ⅳ类，水质明显好转；王团断面自2018年起开展监测工作，2018年水质类别为劣Ⅴ类，主要污染指标为氟化物和化学需氧量，2019年、2020年水质类别均为Ⅳ类，水质有所好转；石炭沟桥断面自2018年起开展监测工作，水质类别连续三年均为劣Ⅴ类，主要污染指标为氟化物，水质无明显变化；泉眼山入黄口断面2016年、2018年、2019年、2020年水质类别均达到Ⅱ类，2017年水质类别为Ⅲ类，水质总体保持稳定。</w:t>
            </w:r>
          </w:p>
          <w:p>
            <w:pPr>
              <w:tabs>
                <w:tab w:val="left" w:pos="2700"/>
              </w:tabs>
              <w:autoSpaceDE w:val="0"/>
              <w:autoSpaceDN w:val="0"/>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eastAsia="仿宋_GB2312"/>
                <w:b w:val="0"/>
                <w:bCs w:val="0"/>
                <w:color w:val="auto"/>
                <w:sz w:val="24"/>
                <w:highlight w:val="none"/>
                <w:lang w:val="en-US" w:eastAsia="zh-CN"/>
              </w:rPr>
              <w:t>2016~2020年，清水河布设的6个监测断面中，三营、泉眼山入黄口2个国控考核断面水质均达到“十三五”国家水污染防治目标考核要求；二十里铺、冬至河入清水河断面水质较稳定，均达到自治区水污染防治目标考核要求，王团、石炭沟桥2个断面受地质原因（氟化物本底值高）的影响，水质相对较差。</w:t>
            </w:r>
          </w:p>
          <w:p>
            <w:pPr>
              <w:tabs>
                <w:tab w:val="left" w:pos="2700"/>
              </w:tabs>
              <w:autoSpaceDE w:val="0"/>
              <w:autoSpaceDN w:val="0"/>
              <w:adjustRightInd w:val="0"/>
              <w:snapToGrid w:val="0"/>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4.2 黄河环境质量现状</w:t>
            </w:r>
          </w:p>
          <w:p>
            <w:pPr>
              <w:tabs>
                <w:tab w:val="left" w:pos="2700"/>
              </w:tabs>
              <w:autoSpaceDE w:val="0"/>
              <w:autoSpaceDN w:val="0"/>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eastAsia="仿宋_GB2312"/>
                <w:b w:val="0"/>
                <w:bCs w:val="0"/>
                <w:color w:val="auto"/>
                <w:sz w:val="24"/>
                <w:highlight w:val="none"/>
                <w:lang w:val="en-US" w:eastAsia="zh-CN"/>
              </w:rPr>
              <w:t>根据</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val="en-US" w:eastAsia="zh-CN"/>
              </w:rPr>
              <w:t>2016-2020</w:t>
            </w:r>
            <w:r>
              <w:rPr>
                <w:rFonts w:hint="eastAsia" w:ascii="Times New Roman" w:hAnsi="Times New Roman" w:eastAsia="仿宋_GB2312"/>
                <w:color w:val="auto"/>
                <w:sz w:val="24"/>
                <w:highlight w:val="none"/>
              </w:rPr>
              <w:t>年</w:t>
            </w:r>
            <w:r>
              <w:rPr>
                <w:rFonts w:hint="eastAsia" w:ascii="Times New Roman" w:hAnsi="Times New Roman" w:eastAsia="仿宋_GB2312"/>
                <w:color w:val="auto"/>
                <w:sz w:val="24"/>
                <w:highlight w:val="none"/>
                <w:lang w:eastAsia="zh-CN"/>
              </w:rPr>
              <w:t>宁夏</w:t>
            </w:r>
            <w:r>
              <w:rPr>
                <w:rFonts w:hint="eastAsia" w:ascii="Times New Roman" w:hAnsi="Times New Roman" w:eastAsia="仿宋_GB2312"/>
                <w:color w:val="auto"/>
                <w:sz w:val="24"/>
                <w:highlight w:val="none"/>
              </w:rPr>
              <w:t>生态环境质量</w:t>
            </w:r>
            <w:r>
              <w:rPr>
                <w:rFonts w:hint="eastAsia" w:ascii="Times New Roman" w:hAnsi="Times New Roman" w:eastAsia="仿宋_GB2312"/>
                <w:color w:val="auto"/>
                <w:sz w:val="24"/>
                <w:highlight w:val="none"/>
                <w:lang w:eastAsia="zh-CN"/>
              </w:rPr>
              <w:t>报告书</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eastAsia="zh-CN"/>
              </w:rPr>
              <w:t>，</w:t>
            </w:r>
            <w:r>
              <w:rPr>
                <w:rFonts w:hint="eastAsia" w:ascii="Times New Roman" w:hAnsi="Times New Roman" w:eastAsia="仿宋_GB2312" w:cs="Times New Roman"/>
                <w:color w:val="auto"/>
                <w:sz w:val="24"/>
                <w:szCs w:val="24"/>
                <w:highlight w:val="none"/>
                <w:lang w:val="en-US" w:eastAsia="zh-CN"/>
              </w:rPr>
              <w:t>2016~2020年，黄河干流宁夏段水质总体保持稳定，入境（中卫下河沿）至出境（麻黄沟）沿程水质连续四年达到Ⅱ类，水质优良率为100%，达到“十三五”国家水污染防治目标水质考核要求。其中，中卫下河沿、金沙湾、叶盛公路桥和银古公路桥断面水质连续五年均达到Ⅱ类，2020年与2015年相比，Ⅱ类水质断面比例提高50.0个百分点</w:t>
            </w:r>
            <w:r>
              <w:rPr>
                <w:rFonts w:hint="eastAsia" w:eastAsia="仿宋_GB2312" w:cs="Times New Roman"/>
                <w:color w:val="auto"/>
                <w:sz w:val="24"/>
                <w:szCs w:val="24"/>
                <w:highlight w:val="none"/>
                <w:lang w:val="en-US" w:eastAsia="zh-CN"/>
              </w:rPr>
              <w:t>。</w:t>
            </w:r>
          </w:p>
          <w:p>
            <w:pPr>
              <w:tabs>
                <w:tab w:val="left" w:pos="2700"/>
              </w:tabs>
              <w:autoSpaceDE w:val="0"/>
              <w:autoSpaceDN w:val="0"/>
              <w:adjustRightInd w:val="0"/>
              <w:snapToGrid w:val="0"/>
              <w:spacing w:line="360" w:lineRule="auto"/>
              <w:ind w:firstLine="482" w:firstLineChars="200"/>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4.3 中卫市第九排水沟环境质量现状</w:t>
            </w:r>
          </w:p>
          <w:p>
            <w:pPr>
              <w:tabs>
                <w:tab w:val="left" w:pos="2700"/>
              </w:tabs>
              <w:autoSpaceDE w:val="0"/>
              <w:autoSpaceDN w:val="0"/>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eastAsia="仿宋_GB2312"/>
                <w:b w:val="0"/>
                <w:bCs w:val="0"/>
                <w:color w:val="auto"/>
                <w:sz w:val="24"/>
                <w:highlight w:val="none"/>
                <w:lang w:val="en-US" w:eastAsia="zh-CN"/>
              </w:rPr>
              <w:t>根据</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val="en-US" w:eastAsia="zh-CN"/>
              </w:rPr>
              <w:t>2016-2020</w:t>
            </w:r>
            <w:r>
              <w:rPr>
                <w:rFonts w:hint="eastAsia" w:ascii="Times New Roman" w:hAnsi="Times New Roman" w:eastAsia="仿宋_GB2312"/>
                <w:color w:val="auto"/>
                <w:sz w:val="24"/>
                <w:highlight w:val="none"/>
              </w:rPr>
              <w:t>年</w:t>
            </w:r>
            <w:r>
              <w:rPr>
                <w:rFonts w:hint="eastAsia" w:ascii="Times New Roman" w:hAnsi="Times New Roman" w:eastAsia="仿宋_GB2312"/>
                <w:color w:val="auto"/>
                <w:sz w:val="24"/>
                <w:highlight w:val="none"/>
                <w:lang w:eastAsia="zh-CN"/>
              </w:rPr>
              <w:t>宁夏</w:t>
            </w:r>
            <w:r>
              <w:rPr>
                <w:rFonts w:hint="eastAsia" w:ascii="Times New Roman" w:hAnsi="Times New Roman" w:eastAsia="仿宋_GB2312"/>
                <w:color w:val="auto"/>
                <w:sz w:val="24"/>
                <w:highlight w:val="none"/>
              </w:rPr>
              <w:t>生态环境质量</w:t>
            </w:r>
            <w:r>
              <w:rPr>
                <w:rFonts w:hint="eastAsia" w:ascii="Times New Roman" w:hAnsi="Times New Roman" w:eastAsia="仿宋_GB2312"/>
                <w:color w:val="auto"/>
                <w:sz w:val="24"/>
                <w:highlight w:val="none"/>
                <w:lang w:eastAsia="zh-CN"/>
              </w:rPr>
              <w:t>报告书</w:t>
            </w:r>
            <w:r>
              <w:rPr>
                <w:rFonts w:hint="eastAsia" w:ascii="Times New Roman" w:hAnsi="Times New Roman" w:eastAsia="仿宋_GB2312"/>
                <w:color w:val="auto"/>
                <w:sz w:val="24"/>
                <w:highlight w:val="none"/>
              </w:rPr>
              <w:t>》</w:t>
            </w:r>
            <w:r>
              <w:rPr>
                <w:rFonts w:hint="eastAsia" w:ascii="Times New Roman" w:hAnsi="Times New Roman" w:eastAsia="仿宋_GB2312"/>
                <w:color w:val="auto"/>
                <w:sz w:val="24"/>
                <w:highlight w:val="none"/>
                <w:lang w:eastAsia="zh-CN"/>
              </w:rPr>
              <w:t>，中卫第九排水沟入清水河断面</w:t>
            </w:r>
            <w:r>
              <w:rPr>
                <w:rFonts w:hint="eastAsia" w:eastAsia="仿宋_GB2312"/>
                <w:color w:val="auto"/>
                <w:sz w:val="24"/>
                <w:highlight w:val="none"/>
                <w:lang w:eastAsia="zh-CN"/>
              </w:rPr>
              <w:t>达到自治区水污染防治目标考核要求</w:t>
            </w:r>
            <w:r>
              <w:rPr>
                <w:rFonts w:hint="eastAsia" w:ascii="Times New Roman" w:hAnsi="Times New Roman" w:eastAsia="仿宋_GB2312"/>
                <w:color w:val="auto"/>
                <w:sz w:val="24"/>
                <w:highlight w:val="none"/>
                <w:lang w:eastAsia="zh-CN"/>
              </w:rPr>
              <w:t>。</w:t>
            </w:r>
          </w:p>
          <w:p>
            <w:pPr>
              <w:pStyle w:val="12"/>
              <w:spacing w:line="360" w:lineRule="auto"/>
              <w:ind w:firstLine="482" w:firstLineChars="200"/>
              <w:rPr>
                <w:rFonts w:hint="default" w:ascii="Times New Roman" w:hAnsi="Times New Roman" w:eastAsia="仿宋_GB2312" w:cs="Times New Roman"/>
                <w:b/>
                <w:color w:val="auto"/>
                <w:sz w:val="24"/>
                <w:szCs w:val="24"/>
                <w:highlight w:val="none"/>
              </w:rPr>
            </w:pPr>
            <w:r>
              <w:rPr>
                <w:rFonts w:hint="eastAsia" w:ascii="Times New Roman" w:hAnsi="Times New Roman" w:eastAsia="仿宋_GB2312" w:cs="Times New Roman"/>
                <w:b/>
                <w:color w:val="auto"/>
                <w:sz w:val="24"/>
                <w:szCs w:val="24"/>
                <w:highlight w:val="none"/>
                <w:lang w:val="en-US" w:eastAsia="zh-CN"/>
              </w:rPr>
              <w:t>5</w:t>
            </w:r>
            <w:r>
              <w:rPr>
                <w:rFonts w:hint="eastAsia" w:ascii="Times New Roman" w:hAnsi="Times New Roman" w:eastAsia="仿宋_GB2312" w:cs="Times New Roman"/>
                <w:b/>
                <w:color w:val="auto"/>
                <w:sz w:val="24"/>
                <w:szCs w:val="24"/>
                <w:highlight w:val="none"/>
                <w:lang w:eastAsia="zh-CN"/>
              </w:rPr>
              <w:t>、</w:t>
            </w:r>
            <w:r>
              <w:rPr>
                <w:rFonts w:hint="default" w:ascii="Times New Roman" w:hAnsi="Times New Roman" w:eastAsia="仿宋_GB2312" w:cs="Times New Roman"/>
                <w:b/>
                <w:color w:val="auto"/>
                <w:sz w:val="24"/>
                <w:szCs w:val="24"/>
                <w:highlight w:val="none"/>
              </w:rPr>
              <w:t>噪声环境</w:t>
            </w:r>
          </w:p>
          <w:p>
            <w:pPr>
              <w:adjustRightInd w:val="0"/>
              <w:snapToGrid w:val="0"/>
              <w:spacing w:line="360" w:lineRule="auto"/>
              <w:ind w:firstLine="480" w:firstLineChars="200"/>
              <w:jc w:val="left"/>
              <w:rPr>
                <w:rFonts w:hint="default"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根据实地调查，</w:t>
            </w:r>
            <w:r>
              <w:rPr>
                <w:rFonts w:hint="eastAsia" w:eastAsia="仿宋_GB2312" w:cs="Times New Roman"/>
                <w:color w:val="auto"/>
                <w:sz w:val="24"/>
                <w:szCs w:val="24"/>
                <w:highlight w:val="none"/>
                <w:lang w:eastAsia="zh-CN"/>
              </w:rPr>
              <w:t>项目区</w:t>
            </w:r>
            <w:r>
              <w:rPr>
                <w:rFonts w:hint="eastAsia" w:ascii="Times New Roman" w:hAnsi="Times New Roman" w:eastAsia="仿宋_GB2312" w:cs="Times New Roman"/>
                <w:color w:val="auto"/>
                <w:sz w:val="24"/>
                <w:szCs w:val="24"/>
                <w:highlight w:val="none"/>
              </w:rPr>
              <w:t>周边50米范围内无</w:t>
            </w:r>
            <w:r>
              <w:rPr>
                <w:rFonts w:hint="eastAsia" w:eastAsia="仿宋_GB2312" w:cs="Times New Roman"/>
                <w:color w:val="auto"/>
                <w:sz w:val="24"/>
                <w:szCs w:val="24"/>
                <w:highlight w:val="none"/>
                <w:lang w:eastAsia="zh-CN"/>
              </w:rPr>
              <w:t>声</w:t>
            </w:r>
            <w:r>
              <w:rPr>
                <w:rFonts w:hint="eastAsia" w:ascii="Times New Roman" w:hAnsi="Times New Roman" w:eastAsia="仿宋_GB2312" w:cs="Times New Roman"/>
                <w:color w:val="auto"/>
                <w:sz w:val="24"/>
                <w:szCs w:val="24"/>
                <w:highlight w:val="none"/>
              </w:rPr>
              <w:t>环境敏感目标，</w:t>
            </w:r>
            <w:r>
              <w:rPr>
                <w:rFonts w:ascii="Times New Roman" w:hAnsi="Times New Roman" w:eastAsia="仿宋_GB2312" w:cs="Times New Roman"/>
                <w:color w:val="auto"/>
                <w:sz w:val="24"/>
                <w:szCs w:val="24"/>
                <w:highlight w:val="none"/>
              </w:rPr>
              <w:t>因此，不</w:t>
            </w:r>
            <w:r>
              <w:rPr>
                <w:rFonts w:hint="eastAsia" w:ascii="Times New Roman" w:hAnsi="Times New Roman" w:eastAsia="仿宋_GB2312" w:cs="Times New Roman"/>
                <w:color w:val="auto"/>
                <w:sz w:val="24"/>
                <w:szCs w:val="24"/>
                <w:highlight w:val="none"/>
              </w:rPr>
              <w:t>再</w:t>
            </w:r>
            <w:r>
              <w:rPr>
                <w:rFonts w:ascii="Times New Roman" w:hAnsi="Times New Roman" w:eastAsia="仿宋_GB2312" w:cs="Times New Roman"/>
                <w:color w:val="auto"/>
                <w:sz w:val="24"/>
                <w:szCs w:val="24"/>
                <w:highlight w:val="none"/>
              </w:rPr>
              <w:t>开展</w:t>
            </w:r>
            <w:r>
              <w:rPr>
                <w:rFonts w:hint="eastAsia" w:ascii="Times New Roman" w:hAnsi="Times New Roman" w:eastAsia="仿宋_GB2312" w:cs="Times New Roman"/>
                <w:color w:val="auto"/>
                <w:sz w:val="24"/>
                <w:szCs w:val="24"/>
                <w:highlight w:val="none"/>
              </w:rPr>
              <w:t>声</w:t>
            </w:r>
            <w:r>
              <w:rPr>
                <w:rFonts w:ascii="Times New Roman" w:hAnsi="Times New Roman" w:eastAsia="仿宋_GB2312" w:cs="Times New Roman"/>
                <w:color w:val="auto"/>
                <w:sz w:val="24"/>
                <w:szCs w:val="24"/>
                <w:highlight w:val="none"/>
              </w:rPr>
              <w:t>环境质量现状调查。</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eastAsia="zh-CN"/>
              </w:rPr>
            </w:pPr>
            <w:r>
              <w:rPr>
                <w:rFonts w:hint="eastAsia" w:eastAsia="仿宋_GB2312" w:cs="Times New Roman"/>
                <w:b/>
                <w:color w:val="auto"/>
                <w:sz w:val="24"/>
                <w:szCs w:val="24"/>
                <w:highlight w:val="none"/>
                <w:lang w:val="en-US" w:eastAsia="zh-CN"/>
              </w:rPr>
              <w:t>6</w:t>
            </w:r>
            <w:r>
              <w:rPr>
                <w:rFonts w:hint="default" w:ascii="Times New Roman" w:hAnsi="Times New Roman" w:eastAsia="仿宋_GB2312" w:cs="Times New Roman"/>
                <w:b/>
                <w:color w:val="auto"/>
                <w:sz w:val="24"/>
                <w:szCs w:val="24"/>
                <w:highlight w:val="none"/>
              </w:rPr>
              <w:t>、</w:t>
            </w:r>
            <w:r>
              <w:rPr>
                <w:rFonts w:hint="default" w:ascii="Times New Roman" w:hAnsi="Times New Roman" w:eastAsia="仿宋_GB2312" w:cs="Times New Roman"/>
                <w:b/>
                <w:bCs/>
                <w:color w:val="auto"/>
                <w:sz w:val="24"/>
                <w:szCs w:val="24"/>
                <w:highlight w:val="none"/>
              </w:rPr>
              <w:t>地下水</w:t>
            </w:r>
            <w:r>
              <w:rPr>
                <w:rFonts w:hint="default" w:ascii="Times New Roman" w:hAnsi="Times New Roman" w:eastAsia="仿宋_GB2312" w:cs="Times New Roman"/>
                <w:b/>
                <w:bCs/>
                <w:color w:val="auto"/>
                <w:kern w:val="0"/>
                <w:sz w:val="24"/>
                <w:szCs w:val="24"/>
                <w:highlight w:val="none"/>
              </w:rPr>
              <w:t>环境</w:t>
            </w:r>
            <w:r>
              <w:rPr>
                <w:rFonts w:hint="default" w:ascii="Times New Roman" w:hAnsi="Times New Roman" w:eastAsia="仿宋_GB2312" w:cs="Times New Roman"/>
                <w:b/>
                <w:color w:val="auto"/>
                <w:sz w:val="24"/>
                <w:szCs w:val="24"/>
                <w:highlight w:val="none"/>
                <w:lang w:eastAsia="zh-CN"/>
              </w:rPr>
              <w:t>现状</w:t>
            </w:r>
          </w:p>
          <w:p>
            <w:pPr>
              <w:tabs>
                <w:tab w:val="left" w:pos="6384"/>
              </w:tabs>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rPr>
            </w:pPr>
            <w:r>
              <w:rPr>
                <w:rFonts w:hint="eastAsia" w:eastAsia="仿宋_GB2312" w:cs="Times New Roman"/>
                <w:color w:val="auto"/>
                <w:sz w:val="24"/>
                <w:szCs w:val="24"/>
                <w:highlight w:val="none"/>
                <w:lang w:val="en-US" w:eastAsia="zh-CN"/>
              </w:rPr>
              <w:t>本项目为</w:t>
            </w:r>
            <w:r>
              <w:rPr>
                <w:rFonts w:hint="eastAsia" w:eastAsia="仿宋_GB2312" w:cs="Times New Roman"/>
                <w:color w:val="auto"/>
                <w:kern w:val="0"/>
                <w:sz w:val="24"/>
                <w:szCs w:val="24"/>
                <w:highlight w:val="none"/>
                <w:lang w:val="en-US" w:eastAsia="zh-CN" w:bidi="ar-SA"/>
              </w:rPr>
              <w:t>清水河岸线进行修复和保护，在运营期不存在地下水污染因子及污染途径，且项目区内不存在地下水环境敏感目标，因此本项目不开展地下水环境质量现状调查</w:t>
            </w:r>
            <w:r>
              <w:rPr>
                <w:rFonts w:hint="default" w:ascii="Times New Roman" w:hAnsi="Times New Roman" w:eastAsia="仿宋_GB2312" w:cs="Times New Roman"/>
                <w:color w:val="auto"/>
                <w:sz w:val="24"/>
                <w:szCs w:val="24"/>
                <w:highlight w:val="none"/>
                <w:lang w:val="en-US" w:eastAsia="zh-CN"/>
              </w:rPr>
              <w:t>。</w:t>
            </w:r>
          </w:p>
          <w:p>
            <w:pPr>
              <w:autoSpaceDE w:val="0"/>
              <w:autoSpaceDN w:val="0"/>
              <w:adjustRightInd w:val="0"/>
              <w:snapToGrid w:val="0"/>
              <w:spacing w:line="360" w:lineRule="auto"/>
              <w:ind w:firstLine="482" w:firstLineChars="200"/>
              <w:rPr>
                <w:rFonts w:hint="default" w:ascii="Times New Roman" w:hAnsi="Times New Roman" w:eastAsia="仿宋_GB2312" w:cs="Times New Roman"/>
                <w:b/>
                <w:color w:val="auto"/>
                <w:sz w:val="24"/>
                <w:szCs w:val="24"/>
                <w:highlight w:val="none"/>
                <w:lang w:eastAsia="zh-CN"/>
              </w:rPr>
            </w:pPr>
            <w:r>
              <w:rPr>
                <w:rFonts w:hint="eastAsia" w:eastAsia="仿宋_GB2312" w:cs="Times New Roman"/>
                <w:b/>
                <w:color w:val="auto"/>
                <w:sz w:val="24"/>
                <w:szCs w:val="24"/>
                <w:highlight w:val="none"/>
                <w:lang w:val="en-US" w:eastAsia="zh-CN"/>
              </w:rPr>
              <w:t>7</w:t>
            </w:r>
            <w:r>
              <w:rPr>
                <w:rFonts w:hint="default" w:ascii="Times New Roman" w:hAnsi="Times New Roman" w:eastAsia="仿宋_GB2312" w:cs="Times New Roman"/>
                <w:b/>
                <w:color w:val="auto"/>
                <w:sz w:val="24"/>
                <w:szCs w:val="24"/>
                <w:highlight w:val="none"/>
              </w:rPr>
              <w:t>、土壤环境</w:t>
            </w:r>
            <w:r>
              <w:rPr>
                <w:rFonts w:hint="default" w:ascii="Times New Roman" w:hAnsi="Times New Roman" w:eastAsia="仿宋_GB2312" w:cs="Times New Roman"/>
                <w:b/>
                <w:color w:val="auto"/>
                <w:sz w:val="24"/>
                <w:szCs w:val="24"/>
                <w:highlight w:val="none"/>
                <w:lang w:eastAsia="zh-CN"/>
              </w:rPr>
              <w:t>现状</w:t>
            </w:r>
          </w:p>
          <w:p>
            <w:pPr>
              <w:adjustRightInd w:val="0"/>
              <w:spacing w:line="360" w:lineRule="auto"/>
              <w:ind w:firstLine="480" w:firstLineChars="200"/>
              <w:rPr>
                <w:rFonts w:hint="eastAsia" w:eastAsia="仿宋_GB2312" w:cs="Times New Roman"/>
                <w:color w:val="auto"/>
                <w:kern w:val="0"/>
                <w:sz w:val="24"/>
                <w:szCs w:val="24"/>
                <w:highlight w:val="none"/>
                <w:lang w:val="en-US" w:eastAsia="zh-CN" w:bidi="ar-SA"/>
              </w:rPr>
            </w:pPr>
            <w:r>
              <w:rPr>
                <w:rFonts w:hint="eastAsia" w:eastAsia="仿宋_GB2312" w:cs="Times New Roman"/>
                <w:color w:val="auto"/>
                <w:sz w:val="24"/>
                <w:szCs w:val="24"/>
                <w:highlight w:val="none"/>
                <w:lang w:val="en-US" w:eastAsia="zh-CN"/>
              </w:rPr>
              <w:t>本项目为</w:t>
            </w:r>
            <w:r>
              <w:rPr>
                <w:rFonts w:hint="eastAsia" w:eastAsia="仿宋_GB2312" w:cs="Times New Roman"/>
                <w:color w:val="auto"/>
                <w:kern w:val="0"/>
                <w:sz w:val="24"/>
                <w:szCs w:val="24"/>
                <w:highlight w:val="none"/>
                <w:lang w:val="en-US" w:eastAsia="zh-CN" w:bidi="ar-SA"/>
              </w:rPr>
              <w:t>清水河岸线进行修复和保护，在运营期不存在土壤污染因子及污染途径，因此本项目不开展土壤环境质量现状调查。</w:t>
            </w:r>
          </w:p>
          <w:p>
            <w:pPr>
              <w:adjustRightInd w:val="0"/>
              <w:spacing w:line="360" w:lineRule="auto"/>
              <w:rPr>
                <w:rFonts w:eastAsia="仿宋_GB2312"/>
                <w:color w:val="auto"/>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369" w:hRule="atLeast"/>
          <w:jc w:val="center"/>
        </w:trPr>
        <w:tc>
          <w:tcPr>
            <w:tcW w:w="783" w:type="dxa"/>
            <w:tcBorders>
              <w:tl2br w:val="nil"/>
              <w:tr2bl w:val="nil"/>
            </w:tcBorders>
            <w:vAlign w:val="center"/>
          </w:tcPr>
          <w:p>
            <w:pPr>
              <w:adjustRightInd w:val="0"/>
              <w:snapToGrid w:val="0"/>
              <w:jc w:val="center"/>
              <w:rPr>
                <w:rFonts w:hint="eastAsia" w:ascii="宋体" w:hAnsi="宋体" w:eastAsia="宋体" w:cs="宋体"/>
                <w:b/>
                <w:bCs/>
                <w:color w:val="auto"/>
                <w:kern w:val="0"/>
                <w:sz w:val="24"/>
                <w:highlight w:val="none"/>
                <w:lang w:eastAsia="zh-CN"/>
              </w:rPr>
            </w:pPr>
            <w:r>
              <w:rPr>
                <w:rFonts w:hint="eastAsia" w:ascii="宋体" w:hAnsi="宋体" w:cs="宋体"/>
                <w:b/>
                <w:bCs/>
                <w:color w:val="auto"/>
                <w:kern w:val="0"/>
                <w:sz w:val="24"/>
                <w:highlight w:val="none"/>
                <w:lang w:eastAsia="zh-CN"/>
              </w:rPr>
              <w:t>与项目有关的原有环境污染和生态破坏问题</w:t>
            </w:r>
          </w:p>
        </w:tc>
        <w:tc>
          <w:tcPr>
            <w:tcW w:w="82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kern w:val="0"/>
                <w:sz w:val="24"/>
                <w:szCs w:val="24"/>
                <w:highlight w:val="none"/>
                <w:lang w:val="en-US" w:eastAsia="zh-CN" w:bidi="ar-SA"/>
              </w:rPr>
            </w:pPr>
            <w:r>
              <w:rPr>
                <w:rFonts w:hint="eastAsia" w:ascii="Times New Roman" w:hAnsi="Times New Roman" w:eastAsia="仿宋_GB2312" w:cs="Times New Roman"/>
                <w:color w:val="auto"/>
                <w:kern w:val="0"/>
                <w:sz w:val="24"/>
                <w:szCs w:val="24"/>
                <w:highlight w:val="none"/>
                <w:lang w:val="en-US" w:eastAsia="zh-CN" w:bidi="ar-SA"/>
              </w:rPr>
              <w:t>1、</w:t>
            </w:r>
            <w:r>
              <w:rPr>
                <w:rFonts w:hint="default" w:ascii="Times New Roman" w:hAnsi="Times New Roman" w:eastAsia="仿宋_GB2312" w:cs="Times New Roman"/>
                <w:color w:val="auto"/>
                <w:kern w:val="0"/>
                <w:sz w:val="24"/>
                <w:szCs w:val="24"/>
                <w:highlight w:val="none"/>
                <w:lang w:val="en-US" w:eastAsia="zh-CN" w:bidi="ar-SA"/>
              </w:rPr>
              <w:t>项目现有情况</w:t>
            </w:r>
            <w:r>
              <w:rPr>
                <w:rFonts w:hint="eastAsia" w:eastAsia="仿宋_GB2312" w:cs="Times New Roman"/>
                <w:color w:val="auto"/>
                <w:kern w:val="0"/>
                <w:sz w:val="24"/>
                <w:szCs w:val="24"/>
                <w:highlight w:val="none"/>
                <w:lang w:val="en-US" w:eastAsia="zh-CN" w:bidi="ar-SA"/>
              </w:rPr>
              <w:t>及存在问题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仿宋_GB2312"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szCs w:val="24"/>
                <w:highlight w:val="none"/>
                <w:lang w:val="en-US" w:eastAsia="zh-CN" w:bidi="ar-SA"/>
              </w:rPr>
              <w:t>（1）清水河沙坡头区段滨岸带生态现状总体植被稀疏，河道Ⅰ、Ⅱ级阶地及滩涂植被覆盖率低，未形成有效的滨岸生态区</w:t>
            </w:r>
            <w:r>
              <w:rPr>
                <w:rFonts w:hint="eastAsia" w:eastAsia="仿宋_GB2312" w:cs="Times New Roman"/>
                <w:color w:val="auto"/>
                <w:kern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szCs w:val="24"/>
                <w:highlight w:val="none"/>
                <w:lang w:val="en-US" w:eastAsia="zh-CN" w:bidi="ar-SA"/>
              </w:rPr>
              <w:t>（2）山河桥至七星渠渡槽段河道边坡陡立，存在高边坡滑塌等地质灾害隐患。</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_GB2312" w:cs="Times New Roman"/>
                <w:color w:val="auto"/>
                <w:kern w:val="0"/>
                <w:sz w:val="24"/>
                <w:szCs w:val="24"/>
                <w:highlight w:val="none"/>
                <w:lang w:val="en-US" w:eastAsia="zh-CN" w:bidi="ar-SA"/>
              </w:rPr>
            </w:pPr>
            <w:r>
              <w:rPr>
                <w:color w:val="auto"/>
                <w:highlight w:val="none"/>
              </w:rPr>
              <w:drawing>
                <wp:inline distT="0" distB="0" distL="114300" distR="114300">
                  <wp:extent cx="5066665" cy="2790190"/>
                  <wp:effectExtent l="19050" t="19050" r="19685" b="2921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6"/>
                          <a:stretch>
                            <a:fillRect/>
                          </a:stretch>
                        </pic:blipFill>
                        <pic:spPr>
                          <a:xfrm>
                            <a:off x="0" y="0"/>
                            <a:ext cx="5066665" cy="2790190"/>
                          </a:xfrm>
                          <a:prstGeom prst="rect">
                            <a:avLst/>
                          </a:prstGeom>
                          <a:noFill/>
                          <a:ln w="190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auto"/>
                <w:kern w:val="0"/>
                <w:sz w:val="24"/>
                <w:szCs w:val="24"/>
                <w:highlight w:val="none"/>
                <w:lang w:val="en-US" w:eastAsia="zh-CN" w:bidi="ar-SA"/>
              </w:rPr>
            </w:pPr>
            <w:r>
              <w:rPr>
                <w:color w:val="auto"/>
                <w:highlight w:val="none"/>
              </w:rPr>
              <w:drawing>
                <wp:inline distT="0" distB="0" distL="114300" distR="114300">
                  <wp:extent cx="5072380" cy="2696845"/>
                  <wp:effectExtent l="19050" t="19050" r="33020" b="2730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7"/>
                          <a:stretch>
                            <a:fillRect/>
                          </a:stretch>
                        </pic:blipFill>
                        <pic:spPr>
                          <a:xfrm>
                            <a:off x="0" y="0"/>
                            <a:ext cx="5072380" cy="2696845"/>
                          </a:xfrm>
                          <a:prstGeom prst="rect">
                            <a:avLst/>
                          </a:prstGeom>
                          <a:noFill/>
                          <a:ln w="190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黑体" w:cs="Times New Roman"/>
                <w:color w:val="auto"/>
                <w:sz w:val="24"/>
                <w:highlight w:val="none"/>
                <w:lang w:val="en-US" w:eastAsia="zh-CN"/>
              </w:rPr>
              <w:t>图</w:t>
            </w:r>
            <w:r>
              <w:rPr>
                <w:rFonts w:hint="eastAsia" w:eastAsia="黑体" w:cs="Times New Roman"/>
                <w:color w:val="auto"/>
                <w:sz w:val="24"/>
                <w:highlight w:val="none"/>
                <w:lang w:val="en-US" w:eastAsia="zh-CN"/>
              </w:rPr>
              <w:t>25</w:t>
            </w:r>
            <w:r>
              <w:rPr>
                <w:rFonts w:hint="default" w:ascii="Times New Roman" w:hAnsi="Times New Roman" w:eastAsia="黑体" w:cs="Times New Roman"/>
                <w:color w:val="auto"/>
                <w:sz w:val="24"/>
                <w:highlight w:val="none"/>
                <w:lang w:val="en-US" w:eastAsia="zh-CN"/>
              </w:rPr>
              <w:t xml:space="preserve"> </w:t>
            </w:r>
            <w:r>
              <w:rPr>
                <w:rFonts w:hint="eastAsia" w:ascii="Times New Roman" w:hAnsi="Times New Roman" w:eastAsia="黑体" w:cs="Times New Roman"/>
                <w:color w:val="auto"/>
                <w:sz w:val="24"/>
                <w:highlight w:val="none"/>
                <w:lang w:val="en-US" w:eastAsia="zh-CN"/>
              </w:rPr>
              <w:t xml:space="preserve"> </w:t>
            </w:r>
            <w:r>
              <w:rPr>
                <w:rFonts w:hint="eastAsia" w:eastAsia="黑体" w:cs="Times New Roman"/>
                <w:color w:val="auto"/>
                <w:sz w:val="24"/>
                <w:highlight w:val="none"/>
                <w:lang w:val="en-US" w:eastAsia="zh-CN"/>
              </w:rPr>
              <w:t>本项目现场照片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szCs w:val="24"/>
                <w:highlight w:val="none"/>
                <w:lang w:val="en-US" w:eastAsia="zh-CN" w:bidi="ar-SA"/>
              </w:rPr>
              <w:t>2、整改措施</w:t>
            </w:r>
          </w:p>
          <w:p>
            <w:pPr>
              <w:adjustRightInd w:val="0"/>
              <w:spacing w:line="360" w:lineRule="auto"/>
              <w:ind w:firstLine="480" w:firstLineChars="200"/>
              <w:rPr>
                <w:rFonts w:hint="eastAsia" w:eastAsia="仿宋_GB2312"/>
                <w:color w:val="auto"/>
                <w:sz w:val="24"/>
                <w:highlight w:val="none"/>
                <w:lang w:eastAsia="zh-CN"/>
              </w:rPr>
            </w:pPr>
            <w:r>
              <w:rPr>
                <w:rFonts w:hint="default" w:ascii="Times New Roman" w:hAnsi="Times New Roman" w:eastAsia="仿宋_GB2312" w:cs="Times New Roman"/>
                <w:color w:val="auto"/>
                <w:kern w:val="0"/>
                <w:sz w:val="24"/>
                <w:szCs w:val="24"/>
                <w:highlight w:val="none"/>
                <w:lang w:val="en-US" w:eastAsia="zh-CN" w:bidi="ar-SA"/>
              </w:rPr>
              <w:t>本次</w:t>
            </w:r>
            <w:r>
              <w:rPr>
                <w:rFonts w:hint="eastAsia" w:eastAsia="仿宋_GB2312" w:cs="Times New Roman"/>
                <w:color w:val="auto"/>
                <w:kern w:val="0"/>
                <w:sz w:val="24"/>
                <w:szCs w:val="24"/>
                <w:highlight w:val="none"/>
                <w:lang w:val="en-US" w:eastAsia="zh-CN" w:bidi="ar-SA"/>
              </w:rPr>
              <w:t>项目现对清水河岸线进行修复和保护，其中</w:t>
            </w:r>
            <w:r>
              <w:rPr>
                <w:rFonts w:hint="eastAsia" w:eastAsia="仿宋_GB2312"/>
                <w:color w:val="auto"/>
                <w:sz w:val="24"/>
                <w:highlight w:val="none"/>
                <w:lang w:eastAsia="zh-CN"/>
              </w:rPr>
              <w:t>对清水河山河桥段沟道高边坡坡脚进行防护0.25km；对清水河沙坡头区山河桥段裸露地块及边坡进行生态修复，治理总长0.85km，生态修复面积31.7亩；新建防道路2.85km，安装双波护栏3.15km，改线D40渠道0.13km，新建巡河步道350m，采用彩色混凝土，路宽1.5m。</w:t>
            </w:r>
          </w:p>
          <w:p>
            <w:pPr>
              <w:adjustRightInd w:val="0"/>
              <w:spacing w:line="360" w:lineRule="auto"/>
              <w:ind w:firstLine="480" w:firstLineChars="200"/>
              <w:rPr>
                <w:rFonts w:hint="eastAsia" w:eastAsia="仿宋_GB2312"/>
                <w:b w:val="0"/>
                <w:bCs/>
                <w:color w:val="auto"/>
                <w:sz w:val="24"/>
                <w:highlight w:val="none"/>
                <w:lang w:val="en-US" w:eastAsia="zh-CN"/>
              </w:rPr>
            </w:pPr>
            <w:r>
              <w:rPr>
                <w:rFonts w:hint="eastAsia" w:eastAsia="仿宋_GB2312"/>
                <w:b w:val="0"/>
                <w:bCs/>
                <w:color w:val="auto"/>
                <w:sz w:val="24"/>
                <w:highlight w:val="none"/>
                <w:lang w:val="en-US" w:eastAsia="zh-CN"/>
              </w:rPr>
              <w:t>通过清水河下段（沙坡头区）综合治理工程的实施，在现有河道防洪工程的基础上，贯通防汛道路、改善河道生态环境、消除高边坡滑塌等地质灾害，有效减少洪水对灌区带来的损失，减轻河道险情。</w:t>
            </w:r>
          </w:p>
          <w:p>
            <w:pPr>
              <w:adjustRightInd w:val="0"/>
              <w:spacing w:line="360" w:lineRule="auto"/>
              <w:ind w:firstLine="480" w:firstLineChars="200"/>
              <w:rPr>
                <w:rFonts w:hint="eastAsia" w:eastAsia="仿宋_GB2312"/>
                <w:b w:val="0"/>
                <w:bCs/>
                <w:color w:val="auto"/>
                <w:sz w:val="24"/>
                <w:highlight w:val="none"/>
                <w:lang w:val="en-US" w:eastAsia="zh-CN"/>
              </w:rPr>
            </w:pPr>
          </w:p>
          <w:p>
            <w:pPr>
              <w:adjustRightInd w:val="0"/>
              <w:spacing w:line="360" w:lineRule="auto"/>
              <w:ind w:firstLine="480" w:firstLineChars="200"/>
              <w:rPr>
                <w:rFonts w:hint="eastAsia" w:eastAsia="仿宋_GB2312"/>
                <w:b w:val="0"/>
                <w:bCs/>
                <w:color w:val="auto"/>
                <w:sz w:val="24"/>
                <w:highlight w:val="none"/>
                <w:lang w:val="en-US" w:eastAsia="zh-CN"/>
              </w:rPr>
            </w:pPr>
          </w:p>
          <w:p>
            <w:pPr>
              <w:adjustRightInd w:val="0"/>
              <w:spacing w:line="360" w:lineRule="auto"/>
              <w:ind w:firstLine="480" w:firstLineChars="200"/>
              <w:rPr>
                <w:rFonts w:hint="eastAsia" w:eastAsia="仿宋_GB2312"/>
                <w:b w:val="0"/>
                <w:bCs/>
                <w:color w:val="auto"/>
                <w:sz w:val="24"/>
                <w:highlight w:val="none"/>
                <w:lang w:val="en-US" w:eastAsia="zh-CN"/>
              </w:rPr>
            </w:pPr>
          </w:p>
          <w:p>
            <w:pPr>
              <w:adjustRightInd w:val="0"/>
              <w:spacing w:line="360" w:lineRule="auto"/>
              <w:ind w:firstLine="480" w:firstLineChars="200"/>
              <w:rPr>
                <w:rFonts w:hint="eastAsia" w:eastAsia="仿宋_GB2312"/>
                <w:b w:val="0"/>
                <w:bCs/>
                <w:color w:val="auto"/>
                <w:sz w:val="24"/>
                <w:highlight w:val="none"/>
                <w:lang w:val="en-US" w:eastAsia="zh-CN"/>
              </w:rPr>
            </w:pPr>
          </w:p>
          <w:p>
            <w:pPr>
              <w:adjustRightInd w:val="0"/>
              <w:spacing w:line="360" w:lineRule="auto"/>
              <w:ind w:firstLine="480" w:firstLineChars="200"/>
              <w:rPr>
                <w:rFonts w:hint="eastAsia" w:eastAsia="仿宋_GB2312"/>
                <w:b w:val="0"/>
                <w:bCs/>
                <w:color w:val="auto"/>
                <w:sz w:val="24"/>
                <w:highlight w:val="none"/>
                <w:lang w:val="en-US" w:eastAsia="zh-CN"/>
              </w:rPr>
            </w:pPr>
          </w:p>
          <w:p>
            <w:pPr>
              <w:adjustRightInd w:val="0"/>
              <w:spacing w:line="360" w:lineRule="auto"/>
              <w:ind w:firstLine="480" w:firstLineChars="200"/>
              <w:rPr>
                <w:rFonts w:hint="eastAsia" w:eastAsia="仿宋_GB2312"/>
                <w:b w:val="0"/>
                <w:bCs/>
                <w:color w:val="auto"/>
                <w:sz w:val="24"/>
                <w:highlight w:val="none"/>
                <w:lang w:val="en-US" w:eastAsia="zh-CN"/>
              </w:rPr>
            </w:pPr>
          </w:p>
          <w:p>
            <w:pPr>
              <w:adjustRightInd w:val="0"/>
              <w:spacing w:line="360" w:lineRule="auto"/>
              <w:ind w:firstLine="480" w:firstLineChars="200"/>
              <w:rPr>
                <w:rFonts w:hint="eastAsia" w:eastAsia="仿宋_GB2312"/>
                <w:b w:val="0"/>
                <w:bCs/>
                <w:color w:val="auto"/>
                <w:sz w:val="24"/>
                <w:highlight w:val="none"/>
                <w:lang w:val="en-US" w:eastAsia="zh-CN"/>
              </w:rPr>
            </w:pPr>
          </w:p>
          <w:p>
            <w:pPr>
              <w:adjustRightInd w:val="0"/>
              <w:spacing w:line="360" w:lineRule="auto"/>
              <w:ind w:firstLine="480" w:firstLineChars="200"/>
              <w:rPr>
                <w:rFonts w:hint="eastAsia" w:eastAsia="仿宋_GB2312"/>
                <w:b w:val="0"/>
                <w:bCs/>
                <w:color w:val="auto"/>
                <w:sz w:val="24"/>
                <w:highlight w:val="none"/>
                <w:lang w:val="en-US" w:eastAsia="zh-CN"/>
              </w:rPr>
            </w:pPr>
          </w:p>
          <w:p>
            <w:pPr>
              <w:adjustRightInd w:val="0"/>
              <w:spacing w:line="360" w:lineRule="auto"/>
              <w:ind w:firstLine="480" w:firstLineChars="200"/>
              <w:rPr>
                <w:rFonts w:hint="eastAsia" w:eastAsia="仿宋_GB2312"/>
                <w:b w:val="0"/>
                <w:bCs/>
                <w:color w:val="auto"/>
                <w:sz w:val="24"/>
                <w:highlight w:val="none"/>
                <w:lang w:val="en-US" w:eastAsia="zh-CN"/>
              </w:rPr>
            </w:pPr>
          </w:p>
          <w:p>
            <w:pPr>
              <w:adjustRightInd w:val="0"/>
              <w:spacing w:line="360" w:lineRule="auto"/>
              <w:ind w:firstLine="480" w:firstLineChars="200"/>
              <w:rPr>
                <w:rFonts w:hint="eastAsia" w:eastAsia="仿宋_GB2312"/>
                <w:color w:val="auto"/>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24" w:hRule="atLeast"/>
          <w:jc w:val="center"/>
        </w:trPr>
        <w:tc>
          <w:tcPr>
            <w:tcW w:w="783" w:type="dxa"/>
            <w:tcBorders>
              <w:tl2br w:val="nil"/>
              <w:tr2bl w:val="nil"/>
            </w:tcBorders>
            <w:vAlign w:val="center"/>
          </w:tcPr>
          <w:p>
            <w:pPr>
              <w:adjustRightInd w:val="0"/>
              <w:snapToGrid w:val="0"/>
              <w:jc w:val="center"/>
              <w:rPr>
                <w:rFonts w:ascii="宋体" w:hAnsi="宋体" w:cs="宋体"/>
                <w:b/>
                <w:bCs/>
                <w:color w:val="auto"/>
                <w:kern w:val="0"/>
                <w:sz w:val="24"/>
                <w:highlight w:val="none"/>
              </w:rPr>
            </w:pPr>
            <w:r>
              <w:rPr>
                <w:rFonts w:hint="eastAsia" w:ascii="宋体" w:hAnsi="宋体" w:cs="宋体"/>
                <w:b/>
                <w:bCs/>
                <w:color w:val="auto"/>
                <w:kern w:val="0"/>
                <w:sz w:val="24"/>
                <w:highlight w:val="none"/>
                <w:lang w:eastAsia="zh-CN"/>
              </w:rPr>
              <w:t>生态</w:t>
            </w:r>
            <w:r>
              <w:rPr>
                <w:rFonts w:hint="eastAsia" w:ascii="宋体" w:hAnsi="宋体" w:cs="宋体"/>
                <w:b/>
                <w:bCs/>
                <w:color w:val="auto"/>
                <w:kern w:val="0"/>
                <w:sz w:val="24"/>
                <w:highlight w:val="none"/>
              </w:rPr>
              <w:t>环境</w:t>
            </w:r>
          </w:p>
          <w:p>
            <w:pPr>
              <w:adjustRightInd w:val="0"/>
              <w:snapToGrid w:val="0"/>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保护</w:t>
            </w:r>
          </w:p>
          <w:p>
            <w:pPr>
              <w:adjustRightInd w:val="0"/>
              <w:snapToGrid w:val="0"/>
              <w:jc w:val="center"/>
              <w:rPr>
                <w:rFonts w:eastAsia="仿宋_GB2312"/>
                <w:b/>
                <w:bCs/>
                <w:color w:val="auto"/>
                <w:kern w:val="0"/>
                <w:sz w:val="24"/>
                <w:highlight w:val="none"/>
              </w:rPr>
            </w:pPr>
            <w:r>
              <w:rPr>
                <w:rFonts w:hint="eastAsia" w:ascii="宋体" w:hAnsi="宋体" w:cs="宋体"/>
                <w:b/>
                <w:bCs/>
                <w:color w:val="auto"/>
                <w:kern w:val="0"/>
                <w:sz w:val="24"/>
                <w:highlight w:val="none"/>
              </w:rPr>
              <w:t>目标</w:t>
            </w:r>
          </w:p>
        </w:tc>
        <w:tc>
          <w:tcPr>
            <w:tcW w:w="8207" w:type="dxa"/>
            <w:tcBorders>
              <w:tl2br w:val="nil"/>
              <w:tr2bl w:val="nil"/>
            </w:tcBorders>
            <w:vAlign w:val="center"/>
          </w:tcPr>
          <w:p>
            <w:pPr>
              <w:adjustRightInd w:val="0"/>
              <w:spacing w:line="360" w:lineRule="auto"/>
              <w:ind w:firstLine="480" w:firstLineChars="200"/>
              <w:rPr>
                <w:rFonts w:hint="eastAsia" w:eastAsia="仿宋_GB2312"/>
                <w:color w:val="auto"/>
                <w:kern w:val="0"/>
                <w:sz w:val="24"/>
                <w:highlight w:val="none"/>
                <w:lang w:val="en-US" w:eastAsia="zh-CN"/>
              </w:rPr>
            </w:pPr>
            <w:r>
              <w:rPr>
                <w:rFonts w:hint="eastAsia" w:eastAsia="仿宋_GB2312"/>
                <w:color w:val="auto"/>
                <w:kern w:val="0"/>
                <w:sz w:val="24"/>
                <w:highlight w:val="none"/>
              </w:rPr>
              <w:t>本</w:t>
            </w:r>
            <w:r>
              <w:rPr>
                <w:rFonts w:eastAsia="仿宋_GB2312"/>
                <w:color w:val="auto"/>
                <w:kern w:val="0"/>
                <w:sz w:val="24"/>
                <w:highlight w:val="none"/>
              </w:rPr>
              <w:t>项目建设地点位于</w:t>
            </w:r>
            <w:r>
              <w:rPr>
                <w:rFonts w:hint="eastAsia" w:ascii="Times New Roman" w:hAnsi="Times New Roman" w:eastAsia="仿宋_GB2312"/>
                <w:color w:val="auto"/>
                <w:sz w:val="24"/>
                <w:highlight w:val="none"/>
                <w:lang w:eastAsia="zh-CN"/>
              </w:rPr>
              <w:t>宁夏回族自治区中卫市沙坡头区宣和镇</w:t>
            </w:r>
            <w:r>
              <w:rPr>
                <w:rFonts w:hint="eastAsia" w:ascii="Times New Roman" w:hAnsi="Times New Roman" w:eastAsia="仿宋_GB2312" w:cs="Times New Roman"/>
                <w:color w:val="auto"/>
                <w:sz w:val="24"/>
                <w:szCs w:val="24"/>
                <w:highlight w:val="none"/>
                <w:lang w:val="en-US" w:eastAsia="zh-CN"/>
              </w:rPr>
              <w:t>，</w:t>
            </w:r>
            <w:r>
              <w:rPr>
                <w:rFonts w:eastAsia="仿宋_GB2312"/>
                <w:color w:val="auto"/>
                <w:kern w:val="0"/>
                <w:sz w:val="24"/>
                <w:highlight w:val="none"/>
              </w:rPr>
              <w:t>根据现场调查，本项目</w:t>
            </w:r>
            <w:r>
              <w:rPr>
                <w:rFonts w:hint="eastAsia" w:eastAsia="仿宋_GB2312"/>
                <w:color w:val="auto"/>
                <w:kern w:val="0"/>
                <w:sz w:val="24"/>
                <w:highlight w:val="none"/>
                <w:lang w:eastAsia="zh-CN"/>
              </w:rPr>
              <w:t>区</w:t>
            </w:r>
            <w:r>
              <w:rPr>
                <w:rFonts w:eastAsia="仿宋_GB2312"/>
                <w:color w:val="auto"/>
                <w:kern w:val="0"/>
                <w:sz w:val="24"/>
                <w:highlight w:val="none"/>
              </w:rPr>
              <w:t>外500米范围内</w:t>
            </w:r>
            <w:r>
              <w:rPr>
                <w:rFonts w:hint="eastAsia" w:eastAsia="仿宋_GB2312"/>
                <w:color w:val="auto"/>
                <w:kern w:val="0"/>
                <w:sz w:val="24"/>
                <w:highlight w:val="none"/>
                <w:lang w:eastAsia="zh-CN"/>
              </w:rPr>
              <w:t>存在</w:t>
            </w:r>
            <w:r>
              <w:rPr>
                <w:rFonts w:eastAsia="仿宋_GB2312"/>
                <w:color w:val="auto"/>
                <w:kern w:val="0"/>
                <w:sz w:val="24"/>
                <w:highlight w:val="none"/>
              </w:rPr>
              <w:t>农村地区中人群较集中的区域</w:t>
            </w:r>
            <w:r>
              <w:rPr>
                <w:rFonts w:hint="eastAsia" w:eastAsia="仿宋_GB2312"/>
                <w:color w:val="auto"/>
                <w:kern w:val="0"/>
                <w:sz w:val="24"/>
                <w:highlight w:val="none"/>
                <w:lang w:eastAsia="zh-CN"/>
              </w:rPr>
              <w:t>及黄河卫宁段兰州鲶国家级水产种质资源保护区</w:t>
            </w:r>
            <w:r>
              <w:rPr>
                <w:rFonts w:eastAsia="仿宋_GB2312"/>
                <w:color w:val="auto"/>
                <w:kern w:val="0"/>
                <w:sz w:val="24"/>
                <w:highlight w:val="none"/>
              </w:rPr>
              <w:t>；厂界外50米范围内无声环境保护目标；厂界外500米范围内无地下水集中式饮用水水源和热水、矿泉水、温泉等特殊地下水资源。本项目环境保护目标</w:t>
            </w:r>
            <w:r>
              <w:rPr>
                <w:rFonts w:hint="eastAsia" w:eastAsia="仿宋_GB2312"/>
                <w:color w:val="auto"/>
                <w:kern w:val="0"/>
                <w:sz w:val="24"/>
                <w:highlight w:val="none"/>
                <w:lang w:val="en-US" w:eastAsia="zh-CN"/>
              </w:rPr>
              <w:t>见表13。</w:t>
            </w:r>
          </w:p>
          <w:p>
            <w:pPr>
              <w:keepNext w:val="0"/>
              <w:keepLines w:val="0"/>
              <w:pageBreakBefore w:val="0"/>
              <w:widowControl w:val="0"/>
              <w:tabs>
                <w:tab w:val="left" w:pos="8280"/>
              </w:tabs>
              <w:kinsoku/>
              <w:wordWrap/>
              <w:overflowPunct/>
              <w:topLinePunct w:val="0"/>
              <w:bidi w:val="0"/>
              <w:spacing w:line="240" w:lineRule="auto"/>
              <w:ind w:firstLine="480" w:firstLineChars="200"/>
              <w:textAlignment w:val="auto"/>
              <w:outlineLvl w:val="9"/>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表</w:t>
            </w:r>
            <w:r>
              <w:rPr>
                <w:rFonts w:hint="eastAsia" w:ascii="Times New Roman" w:hAnsi="Times New Roman" w:eastAsia="黑体" w:cs="Times New Roman"/>
                <w:b w:val="0"/>
                <w:bCs w:val="0"/>
                <w:color w:val="auto"/>
                <w:sz w:val="24"/>
                <w:szCs w:val="24"/>
                <w:highlight w:val="none"/>
                <w:lang w:val="en-US" w:eastAsia="zh-CN"/>
              </w:rPr>
              <w:t>1</w:t>
            </w:r>
            <w:r>
              <w:rPr>
                <w:rFonts w:hint="eastAsia" w:eastAsia="黑体" w:cs="Times New Roman"/>
                <w:b w:val="0"/>
                <w:bCs w:val="0"/>
                <w:color w:val="auto"/>
                <w:sz w:val="24"/>
                <w:szCs w:val="24"/>
                <w:highlight w:val="none"/>
                <w:lang w:val="en-US" w:eastAsia="zh-CN"/>
              </w:rPr>
              <w:t>3</w:t>
            </w:r>
            <w:r>
              <w:rPr>
                <w:rFonts w:hint="default" w:ascii="Times New Roman" w:hAnsi="Times New Roman" w:eastAsia="黑体" w:cs="Times New Roman"/>
                <w:b w:val="0"/>
                <w:bCs w:val="0"/>
                <w:color w:val="auto"/>
                <w:sz w:val="24"/>
                <w:szCs w:val="24"/>
                <w:highlight w:val="none"/>
              </w:rPr>
              <w:t xml:space="preserve">         本项目所在区域环境保护目标一览表</w:t>
            </w:r>
          </w:p>
          <w:tbl>
            <w:tblPr>
              <w:tblStyle w:val="24"/>
              <w:tblW w:w="79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260"/>
              <w:gridCol w:w="1320"/>
              <w:gridCol w:w="1155"/>
              <w:gridCol w:w="1215"/>
              <w:gridCol w:w="855"/>
              <w:gridCol w:w="698"/>
              <w:gridCol w:w="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08" w:type="dxa"/>
                  <w:vMerge w:val="restart"/>
                  <w:noWrap w:val="0"/>
                  <w:vAlign w:val="center"/>
                </w:tcPr>
                <w:p>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环境要素</w:t>
                  </w:r>
                </w:p>
              </w:tc>
              <w:tc>
                <w:tcPr>
                  <w:tcW w:w="2580" w:type="dxa"/>
                  <w:gridSpan w:val="2"/>
                  <w:noWrap w:val="0"/>
                  <w:vAlign w:val="center"/>
                </w:tcPr>
                <w:p>
                  <w:pPr>
                    <w:adjustRightInd w:val="0"/>
                    <w:snapToGrid w:val="0"/>
                    <w:jc w:val="center"/>
                    <w:rPr>
                      <w:rFonts w:hint="default" w:ascii="Times New Roman" w:hAnsi="Times New Roman" w:cs="Times New Roman"/>
                      <w:b/>
                      <w:color w:val="auto"/>
                      <w:highlight w:val="none"/>
                      <w:lang w:eastAsia="zh-CN"/>
                    </w:rPr>
                  </w:pPr>
                  <w:r>
                    <w:rPr>
                      <w:rFonts w:hint="default" w:ascii="Times New Roman" w:hAnsi="Times New Roman" w:cs="Times New Roman"/>
                      <w:b/>
                      <w:color w:val="auto"/>
                      <w:highlight w:val="none"/>
                      <w:lang w:eastAsia="zh-CN"/>
                    </w:rPr>
                    <w:t>坐标</w:t>
                  </w:r>
                </w:p>
              </w:tc>
              <w:tc>
                <w:tcPr>
                  <w:tcW w:w="1155" w:type="dxa"/>
                  <w:vMerge w:val="restart"/>
                  <w:noWrap w:val="0"/>
                  <w:vAlign w:val="center"/>
                </w:tcPr>
                <w:p>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保护对象</w:t>
                  </w:r>
                </w:p>
              </w:tc>
              <w:tc>
                <w:tcPr>
                  <w:tcW w:w="1215" w:type="dxa"/>
                  <w:vMerge w:val="restart"/>
                  <w:noWrap w:val="0"/>
                  <w:vAlign w:val="center"/>
                </w:tcPr>
                <w:p>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保护内容</w:t>
                  </w:r>
                </w:p>
              </w:tc>
              <w:tc>
                <w:tcPr>
                  <w:tcW w:w="855" w:type="dxa"/>
                  <w:vMerge w:val="restart"/>
                  <w:noWrap w:val="0"/>
                  <w:vAlign w:val="center"/>
                </w:tcPr>
                <w:p>
                  <w:pPr>
                    <w:adjustRightInd w:val="0"/>
                    <w:snapToGrid w:val="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lang w:eastAsia="zh-CN"/>
                    </w:rPr>
                    <w:t>环境功能区</w:t>
                  </w:r>
                </w:p>
              </w:tc>
              <w:tc>
                <w:tcPr>
                  <w:tcW w:w="698" w:type="dxa"/>
                  <w:vMerge w:val="restart"/>
                  <w:noWrap w:val="0"/>
                  <w:vAlign w:val="center"/>
                </w:tcPr>
                <w:p>
                  <w:pPr>
                    <w:adjustRightInd w:val="0"/>
                    <w:snapToGrid w:val="0"/>
                    <w:jc w:val="center"/>
                    <w:rPr>
                      <w:rFonts w:hint="default" w:ascii="Times New Roman" w:hAnsi="Times New Roman" w:eastAsia="仿宋" w:cs="Times New Roman"/>
                      <w:b/>
                      <w:color w:val="auto"/>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方位</w:t>
                  </w:r>
                </w:p>
              </w:tc>
              <w:tc>
                <w:tcPr>
                  <w:tcW w:w="825" w:type="dxa"/>
                  <w:vMerge w:val="restart"/>
                  <w:noWrap w:val="0"/>
                  <w:vAlign w:val="center"/>
                </w:tcPr>
                <w:p>
                  <w:pPr>
                    <w:adjustRightInd w:val="0"/>
                    <w:snapToGrid w:val="0"/>
                    <w:jc w:val="center"/>
                    <w:rPr>
                      <w:rFonts w:hint="default" w:ascii="Times New Roman" w:hAnsi="Times New Roman" w:cs="Times New Roman"/>
                      <w:b/>
                      <w:color w:val="auto"/>
                      <w:szCs w:val="22"/>
                      <w:highlight w:val="none"/>
                      <w:lang w:eastAsia="zh-CN"/>
                    </w:rPr>
                  </w:pPr>
                  <w:r>
                    <w:rPr>
                      <w:rFonts w:hint="default" w:ascii="Times New Roman" w:hAnsi="Times New Roman" w:cs="Times New Roman"/>
                      <w:b/>
                      <w:color w:val="auto"/>
                      <w:szCs w:val="22"/>
                      <w:highlight w:val="none"/>
                      <w:lang w:eastAsia="zh-CN"/>
                    </w:rPr>
                    <w:t>相对</w:t>
                  </w:r>
                  <w:r>
                    <w:rPr>
                      <w:rFonts w:hint="eastAsia" w:ascii="Times New Roman" w:hAnsi="Times New Roman" w:cs="Times New Roman"/>
                      <w:b/>
                      <w:color w:val="auto"/>
                      <w:szCs w:val="22"/>
                      <w:highlight w:val="none"/>
                      <w:lang w:eastAsia="zh-CN"/>
                    </w:rPr>
                    <w:t>项目</w:t>
                  </w:r>
                  <w:r>
                    <w:rPr>
                      <w:rFonts w:hint="default" w:ascii="Times New Roman" w:hAnsi="Times New Roman" w:cs="Times New Roman"/>
                      <w:b/>
                      <w:color w:val="auto"/>
                      <w:szCs w:val="22"/>
                      <w:highlight w:val="none"/>
                      <w:lang w:eastAsia="zh-CN"/>
                    </w:rPr>
                    <w:t>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08" w:type="dxa"/>
                  <w:vMerge w:val="continue"/>
                  <w:noWrap w:val="0"/>
                  <w:vAlign w:val="center"/>
                </w:tcPr>
                <w:p>
                  <w:pPr>
                    <w:snapToGrid w:val="0"/>
                    <w:jc w:val="center"/>
                    <w:rPr>
                      <w:rFonts w:hint="default" w:ascii="Times New Roman" w:hAnsi="Times New Roman" w:eastAsia="宋体" w:cs="Times New Roman"/>
                      <w:color w:val="auto"/>
                      <w:highlight w:val="none"/>
                      <w:lang w:eastAsia="zh-CN"/>
                    </w:rPr>
                  </w:pPr>
                </w:p>
              </w:tc>
              <w:tc>
                <w:tcPr>
                  <w:tcW w:w="1260" w:type="dxa"/>
                  <w:noWrap w:val="0"/>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X</w:t>
                  </w:r>
                </w:p>
              </w:tc>
              <w:tc>
                <w:tcPr>
                  <w:tcW w:w="1320" w:type="dxa"/>
                  <w:noWrap w:val="0"/>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Y</w:t>
                  </w:r>
                </w:p>
              </w:tc>
              <w:tc>
                <w:tcPr>
                  <w:tcW w:w="1155" w:type="dxa"/>
                  <w:vMerge w:val="continue"/>
                  <w:noWrap w:val="0"/>
                  <w:vAlign w:val="center"/>
                </w:tcPr>
                <w:p>
                  <w:pPr>
                    <w:jc w:val="center"/>
                    <w:rPr>
                      <w:rFonts w:hint="default" w:ascii="Times New Roman" w:hAnsi="Times New Roman" w:cs="Times New Roman"/>
                      <w:color w:val="auto"/>
                      <w:highlight w:val="none"/>
                      <w:lang w:eastAsia="zh-CN"/>
                    </w:rPr>
                  </w:pPr>
                </w:p>
              </w:tc>
              <w:tc>
                <w:tcPr>
                  <w:tcW w:w="1215" w:type="dxa"/>
                  <w:vMerge w:val="continue"/>
                  <w:noWrap w:val="0"/>
                  <w:vAlign w:val="center"/>
                </w:tcPr>
                <w:p>
                  <w:pPr>
                    <w:jc w:val="center"/>
                    <w:rPr>
                      <w:rFonts w:hint="default" w:ascii="Times New Roman" w:hAnsi="Times New Roman" w:cs="Times New Roman"/>
                      <w:color w:val="auto"/>
                      <w:highlight w:val="none"/>
                      <w:lang w:val="en-US" w:eastAsia="zh-CN"/>
                    </w:rPr>
                  </w:pPr>
                </w:p>
              </w:tc>
              <w:tc>
                <w:tcPr>
                  <w:tcW w:w="855" w:type="dxa"/>
                  <w:vMerge w:val="continue"/>
                  <w:noWrap w:val="0"/>
                  <w:vAlign w:val="center"/>
                </w:tcPr>
                <w:p>
                  <w:pPr>
                    <w:jc w:val="center"/>
                    <w:rPr>
                      <w:rFonts w:hint="default" w:ascii="Times New Roman" w:hAnsi="Times New Roman" w:cs="Times New Roman"/>
                      <w:color w:val="auto"/>
                      <w:highlight w:val="none"/>
                      <w:lang w:val="en-US" w:eastAsia="zh-CN"/>
                    </w:rPr>
                  </w:pPr>
                </w:p>
              </w:tc>
              <w:tc>
                <w:tcPr>
                  <w:tcW w:w="698" w:type="dxa"/>
                  <w:vMerge w:val="continue"/>
                  <w:noWrap w:val="0"/>
                  <w:vAlign w:val="center"/>
                </w:tcPr>
                <w:p>
                  <w:pPr>
                    <w:snapToGrid w:val="0"/>
                    <w:jc w:val="center"/>
                    <w:rPr>
                      <w:rFonts w:hint="default" w:ascii="Times New Roman" w:hAnsi="Times New Roman" w:cs="Times New Roman"/>
                      <w:color w:val="auto"/>
                      <w:highlight w:val="none"/>
                      <w:lang w:val="en-US" w:eastAsia="zh-CN"/>
                    </w:rPr>
                  </w:pPr>
                </w:p>
              </w:tc>
              <w:tc>
                <w:tcPr>
                  <w:tcW w:w="825" w:type="dxa"/>
                  <w:vMerge w:val="continue"/>
                  <w:noWrap w:val="0"/>
                  <w:vAlign w:val="center"/>
                </w:tcPr>
                <w:p>
                  <w:pPr>
                    <w:snapToGrid w:val="0"/>
                    <w:jc w:val="center"/>
                    <w:rPr>
                      <w:rFonts w:hint="default" w:ascii="Times New Roman" w:hAnsi="Times New Roman" w:cs="Times New Roman"/>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08" w:type="dxa"/>
                  <w:vMerge w:val="restart"/>
                  <w:noWrap w:val="0"/>
                  <w:vAlign w:val="center"/>
                </w:tcPr>
                <w:p>
                  <w:pPr>
                    <w:snapToGrid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大气</w:t>
                  </w:r>
                </w:p>
              </w:tc>
              <w:tc>
                <w:tcPr>
                  <w:tcW w:w="126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546694.164</w:t>
                  </w:r>
                </w:p>
              </w:tc>
              <w:tc>
                <w:tcPr>
                  <w:tcW w:w="132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4148926.256</w:t>
                  </w:r>
                </w:p>
              </w:tc>
              <w:tc>
                <w:tcPr>
                  <w:tcW w:w="1155" w:type="dxa"/>
                  <w:noWrap w:val="0"/>
                  <w:vAlign w:val="center"/>
                </w:tcPr>
                <w:p>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马滩村</w:t>
                  </w:r>
                </w:p>
              </w:tc>
              <w:tc>
                <w:tcPr>
                  <w:tcW w:w="1215"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居民400户</w:t>
                  </w:r>
                </w:p>
              </w:tc>
              <w:tc>
                <w:tcPr>
                  <w:tcW w:w="855" w:type="dxa"/>
                  <w:noWrap w:val="0"/>
                  <w:vAlign w:val="center"/>
                </w:tcPr>
                <w:p>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98" w:type="dxa"/>
                  <w:noWrap w:val="0"/>
                  <w:vAlign w:val="center"/>
                </w:tcPr>
                <w:p>
                  <w:pPr>
                    <w:snapToGrid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w:t>
                  </w:r>
                </w:p>
              </w:tc>
              <w:tc>
                <w:tcPr>
                  <w:tcW w:w="825" w:type="dxa"/>
                  <w:noWrap w:val="0"/>
                  <w:vAlign w:val="center"/>
                </w:tcPr>
                <w:p>
                  <w:pPr>
                    <w:snapToGrid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08" w:type="dxa"/>
                  <w:vMerge w:val="continue"/>
                  <w:noWrap w:val="0"/>
                  <w:vAlign w:val="center"/>
                </w:tcPr>
                <w:p>
                  <w:pPr>
                    <w:snapToGrid w:val="0"/>
                    <w:jc w:val="center"/>
                    <w:rPr>
                      <w:rFonts w:hint="default" w:ascii="Times New Roman" w:hAnsi="Times New Roman" w:eastAsia="宋体" w:cs="Times New Roman"/>
                      <w:color w:val="auto"/>
                      <w:highlight w:val="none"/>
                      <w:lang w:eastAsia="zh-CN"/>
                    </w:rPr>
                  </w:pPr>
                </w:p>
              </w:tc>
              <w:tc>
                <w:tcPr>
                  <w:tcW w:w="126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546975.606</w:t>
                  </w:r>
                </w:p>
              </w:tc>
              <w:tc>
                <w:tcPr>
                  <w:tcW w:w="132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4147461.808</w:t>
                  </w:r>
                </w:p>
              </w:tc>
              <w:tc>
                <w:tcPr>
                  <w:tcW w:w="1155" w:type="dxa"/>
                  <w:noWrap w:val="0"/>
                  <w:vAlign w:val="center"/>
                </w:tcPr>
                <w:p>
                  <w:pPr>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宏爱村杨营</w:t>
                  </w:r>
                </w:p>
              </w:tc>
              <w:tc>
                <w:tcPr>
                  <w:tcW w:w="1215" w:type="dxa"/>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居民400户</w:t>
                  </w:r>
                </w:p>
              </w:tc>
              <w:tc>
                <w:tcPr>
                  <w:tcW w:w="855" w:type="dxa"/>
                  <w:noWrap w:val="0"/>
                  <w:vAlign w:val="center"/>
                </w:tcPr>
                <w:p>
                  <w:pPr>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98" w:type="dxa"/>
                  <w:noWrap w:val="0"/>
                  <w:vAlign w:val="center"/>
                </w:tcPr>
                <w:p>
                  <w:pPr>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w:t>
                  </w:r>
                </w:p>
              </w:tc>
              <w:tc>
                <w:tcPr>
                  <w:tcW w:w="825" w:type="dxa"/>
                  <w:noWrap w:val="0"/>
                  <w:vAlign w:val="center"/>
                </w:tcPr>
                <w:p>
                  <w:pPr>
                    <w:snapToGrid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08" w:type="dxa"/>
                  <w:vMerge w:val="continue"/>
                  <w:noWrap w:val="0"/>
                  <w:vAlign w:val="center"/>
                </w:tcPr>
                <w:p>
                  <w:pPr>
                    <w:snapToGrid w:val="0"/>
                    <w:jc w:val="center"/>
                    <w:rPr>
                      <w:rFonts w:hint="default" w:ascii="Times New Roman" w:hAnsi="Times New Roman" w:cs="Times New Roman"/>
                      <w:color w:val="auto"/>
                      <w:highlight w:val="none"/>
                    </w:rPr>
                  </w:pPr>
                </w:p>
              </w:tc>
              <w:tc>
                <w:tcPr>
                  <w:tcW w:w="1260" w:type="dxa"/>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547511.770</w:t>
                  </w:r>
                </w:p>
              </w:tc>
              <w:tc>
                <w:tcPr>
                  <w:tcW w:w="1320" w:type="dxa"/>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4146937.692</w:t>
                  </w:r>
                </w:p>
              </w:tc>
              <w:tc>
                <w:tcPr>
                  <w:tcW w:w="1155" w:type="dxa"/>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宏爱村山河桥</w:t>
                  </w:r>
                </w:p>
              </w:tc>
              <w:tc>
                <w:tcPr>
                  <w:tcW w:w="1215" w:type="dxa"/>
                  <w:noWrap w:val="0"/>
                  <w:vAlign w:val="center"/>
                </w:tcPr>
                <w:p>
                  <w:pPr>
                    <w:jc w:val="center"/>
                    <w:rPr>
                      <w:rFonts w:hint="default" w:ascii="Times New Roman" w:hAnsi="Times New Roman" w:eastAsia="宋体" w:cs="Times New Roman"/>
                      <w:color w:val="auto"/>
                      <w:kern w:val="2"/>
                      <w:sz w:val="21"/>
                      <w:highlight w:val="none"/>
                      <w:lang w:val="en-US" w:eastAsia="zh-CN" w:bidi="ar-SA"/>
                    </w:rPr>
                  </w:pPr>
                  <w:r>
                    <w:rPr>
                      <w:rFonts w:hint="eastAsia" w:ascii="Times New Roman" w:hAnsi="Times New Roman" w:cs="Times New Roman"/>
                      <w:color w:val="auto"/>
                      <w:kern w:val="2"/>
                      <w:sz w:val="21"/>
                      <w:highlight w:val="none"/>
                      <w:lang w:val="en-US" w:eastAsia="zh-CN" w:bidi="ar-SA"/>
                    </w:rPr>
                    <w:t>居民150户</w:t>
                  </w:r>
                </w:p>
              </w:tc>
              <w:tc>
                <w:tcPr>
                  <w:tcW w:w="855" w:type="dxa"/>
                  <w:noWrap w:val="0"/>
                  <w:vAlign w:val="center"/>
                </w:tcPr>
                <w:p>
                  <w:pPr>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98" w:type="dxa"/>
                  <w:noWrap w:val="0"/>
                  <w:vAlign w:val="center"/>
                </w:tcPr>
                <w:p>
                  <w:pPr>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SW</w:t>
                  </w:r>
                </w:p>
              </w:tc>
              <w:tc>
                <w:tcPr>
                  <w:tcW w:w="825" w:type="dxa"/>
                  <w:noWrap w:val="0"/>
                  <w:vAlign w:val="center"/>
                </w:tcPr>
                <w:p>
                  <w:pPr>
                    <w:snapToGrid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08" w:type="dxa"/>
                  <w:vMerge w:val="continue"/>
                  <w:noWrap w:val="0"/>
                  <w:vAlign w:val="center"/>
                </w:tcPr>
                <w:p>
                  <w:pPr>
                    <w:snapToGrid w:val="0"/>
                    <w:jc w:val="center"/>
                    <w:rPr>
                      <w:rFonts w:hint="default" w:ascii="Times New Roman" w:hAnsi="Times New Roman" w:eastAsia="宋体" w:cs="Times New Roman"/>
                      <w:color w:val="auto"/>
                      <w:highlight w:val="none"/>
                      <w:lang w:val="en-US" w:eastAsia="zh-CN"/>
                    </w:rPr>
                  </w:pPr>
                </w:p>
              </w:tc>
              <w:tc>
                <w:tcPr>
                  <w:tcW w:w="1260" w:type="dxa"/>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547962.608</w:t>
                  </w:r>
                </w:p>
              </w:tc>
              <w:tc>
                <w:tcPr>
                  <w:tcW w:w="1320" w:type="dxa"/>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4148966.065</w:t>
                  </w:r>
                </w:p>
              </w:tc>
              <w:tc>
                <w:tcPr>
                  <w:tcW w:w="1155" w:type="dxa"/>
                  <w:noWrap w:val="0"/>
                  <w:vAlign w:val="center"/>
                </w:tcPr>
                <w:p>
                  <w:pPr>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舟塔乡渠口村</w:t>
                  </w:r>
                </w:p>
              </w:tc>
              <w:tc>
                <w:tcPr>
                  <w:tcW w:w="1215" w:type="dxa"/>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eastAsia="zh-CN"/>
                    </w:rPr>
                    <w:t>居民</w:t>
                  </w:r>
                  <w:r>
                    <w:rPr>
                      <w:rFonts w:hint="eastAsia" w:ascii="Times New Roman" w:hAnsi="Times New Roman" w:cs="Times New Roman"/>
                      <w:color w:val="auto"/>
                      <w:highlight w:val="none"/>
                      <w:lang w:val="en-US" w:eastAsia="zh-CN"/>
                    </w:rPr>
                    <w:t>200户</w:t>
                  </w:r>
                </w:p>
              </w:tc>
              <w:tc>
                <w:tcPr>
                  <w:tcW w:w="855" w:type="dxa"/>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类</w:t>
                  </w:r>
                </w:p>
              </w:tc>
              <w:tc>
                <w:tcPr>
                  <w:tcW w:w="698" w:type="dxa"/>
                  <w:noWrap w:val="0"/>
                  <w:vAlign w:val="center"/>
                </w:tcPr>
                <w:p>
                  <w:pPr>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E</w:t>
                  </w:r>
                </w:p>
              </w:tc>
              <w:tc>
                <w:tcPr>
                  <w:tcW w:w="825" w:type="dxa"/>
                  <w:noWrap w:val="0"/>
                  <w:vAlign w:val="center"/>
                </w:tcPr>
                <w:p>
                  <w:pPr>
                    <w:snapToGrid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08" w:type="dxa"/>
                  <w:vMerge w:val="restart"/>
                  <w:noWrap w:val="0"/>
                  <w:vAlign w:val="center"/>
                </w:tcPr>
                <w:p>
                  <w:pPr>
                    <w:snapToGrid w:val="0"/>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地表水</w:t>
                  </w:r>
                </w:p>
              </w:tc>
              <w:tc>
                <w:tcPr>
                  <w:tcW w:w="126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32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5" w:type="dxa"/>
                  <w:noWrap w:val="0"/>
                  <w:vAlign w:val="center"/>
                </w:tcPr>
                <w:p>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清水河</w:t>
                  </w:r>
                </w:p>
              </w:tc>
              <w:tc>
                <w:tcPr>
                  <w:tcW w:w="1215" w:type="dxa"/>
                  <w:noWrap w:val="0"/>
                  <w:vAlign w:val="center"/>
                </w:tcPr>
                <w:p>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855" w:type="dxa"/>
                  <w:noWrap w:val="0"/>
                  <w:vAlign w:val="center"/>
                </w:tcPr>
                <w:p>
                  <w:pPr>
                    <w:jc w:val="center"/>
                    <w:rPr>
                      <w:rFonts w:hint="eastAsia" w:ascii="Times New Roman" w:hAnsi="Times New Roman"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Ⅲ</w:t>
                  </w:r>
                  <w:r>
                    <w:rPr>
                      <w:rFonts w:hint="default" w:ascii="Times New Roman" w:hAnsi="Times New Roman" w:eastAsia="宋体" w:cs="Times New Roman"/>
                      <w:color w:val="auto"/>
                      <w:sz w:val="21"/>
                      <w:szCs w:val="21"/>
                      <w:highlight w:val="none"/>
                    </w:rPr>
                    <w:t>类</w:t>
                  </w:r>
                </w:p>
              </w:tc>
              <w:tc>
                <w:tcPr>
                  <w:tcW w:w="698" w:type="dxa"/>
                  <w:noWrap w:val="0"/>
                  <w:vAlign w:val="center"/>
                </w:tcPr>
                <w:p>
                  <w:pPr>
                    <w:snapToGrid w:val="0"/>
                    <w:jc w:val="center"/>
                    <w:rPr>
                      <w:rFonts w:hint="default" w:ascii="Times New Roman" w:hAnsi="Times New Roman" w:eastAsia="宋体" w:cs="Times New Roman"/>
                      <w:color w:val="auto"/>
                      <w:kern w:val="2"/>
                      <w:sz w:val="21"/>
                      <w:highlight w:val="none"/>
                      <w:lang w:val="en-US" w:eastAsia="zh-CN" w:bidi="ar-SA"/>
                    </w:rPr>
                  </w:pPr>
                  <w:r>
                    <w:rPr>
                      <w:rFonts w:hint="eastAsia" w:ascii="Times New Roman" w:hAnsi="Times New Roman" w:cs="Times New Roman"/>
                      <w:color w:val="auto"/>
                      <w:kern w:val="2"/>
                      <w:sz w:val="21"/>
                      <w:highlight w:val="none"/>
                      <w:lang w:val="en-US" w:eastAsia="zh-CN" w:bidi="ar-SA"/>
                    </w:rPr>
                    <w:t>E</w:t>
                  </w:r>
                </w:p>
              </w:tc>
              <w:tc>
                <w:tcPr>
                  <w:tcW w:w="825" w:type="dxa"/>
                  <w:noWrap w:val="0"/>
                  <w:vAlign w:val="center"/>
                </w:tcPr>
                <w:p>
                  <w:pPr>
                    <w:snapToGrid w:val="0"/>
                    <w:jc w:val="center"/>
                    <w:rPr>
                      <w:rFonts w:hint="eastAsia" w:ascii="Times New Roman" w:hAnsi="Times New Roman" w:cs="Times New Roman"/>
                      <w:color w:val="auto"/>
                      <w:kern w:val="2"/>
                      <w:sz w:val="21"/>
                      <w:highlight w:val="none"/>
                      <w:lang w:val="en-US" w:eastAsia="zh-CN" w:bidi="ar-SA"/>
                    </w:rPr>
                  </w:pPr>
                  <w:r>
                    <w:rPr>
                      <w:rFonts w:hint="eastAsia" w:ascii="Times New Roman" w:hAnsi="Times New Roman" w:cs="Times New Roman"/>
                      <w:color w:val="auto"/>
                      <w:kern w:val="2"/>
                      <w:sz w:val="21"/>
                      <w:highlight w:val="none"/>
                      <w:lang w:val="en-US" w:eastAsia="zh-CN" w:bidi="ar-SA"/>
                    </w:rPr>
                    <w:t>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08" w:type="dxa"/>
                  <w:vMerge w:val="continue"/>
                  <w:noWrap w:val="0"/>
                  <w:vAlign w:val="center"/>
                </w:tcPr>
                <w:p>
                  <w:pPr>
                    <w:snapToGrid w:val="0"/>
                    <w:jc w:val="center"/>
                    <w:rPr>
                      <w:rFonts w:hint="eastAsia" w:ascii="Times New Roman" w:hAnsi="Times New Roman" w:cs="Times New Roman"/>
                      <w:color w:val="auto"/>
                      <w:highlight w:val="none"/>
                      <w:lang w:eastAsia="zh-CN"/>
                    </w:rPr>
                  </w:pPr>
                </w:p>
              </w:tc>
              <w:tc>
                <w:tcPr>
                  <w:tcW w:w="126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32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5" w:type="dxa"/>
                  <w:noWrap w:val="0"/>
                  <w:vAlign w:val="center"/>
                </w:tcPr>
                <w:p>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中卫市第九排水沟</w:t>
                  </w:r>
                </w:p>
              </w:tc>
              <w:tc>
                <w:tcPr>
                  <w:tcW w:w="1215" w:type="dxa"/>
                  <w:noWrap w:val="0"/>
                  <w:vAlign w:val="center"/>
                </w:tcPr>
                <w:p>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855" w:type="dxa"/>
                  <w:noWrap w:val="0"/>
                  <w:vAlign w:val="center"/>
                </w:tcPr>
                <w:p>
                  <w:pPr>
                    <w:jc w:val="center"/>
                    <w:rPr>
                      <w:rFonts w:hint="default" w:ascii="Times New Roman" w:hAnsi="Times New Roman" w:eastAsia="微软雅黑" w:cs="Times New Roman"/>
                      <w:b w:val="0"/>
                      <w:bCs/>
                      <w:snapToGrid w:val="0"/>
                      <w:color w:val="auto"/>
                      <w:kern w:val="0"/>
                      <w:sz w:val="21"/>
                      <w:szCs w:val="21"/>
                      <w:highlight w:val="none"/>
                    </w:rPr>
                  </w:pPr>
                  <w:r>
                    <w:rPr>
                      <w:rFonts w:hint="default" w:ascii="Times New Roman" w:hAnsi="Times New Roman" w:eastAsia="微软雅黑" w:cs="Times New Roman"/>
                      <w:b w:val="0"/>
                      <w:bCs/>
                      <w:snapToGrid w:val="0"/>
                      <w:color w:val="auto"/>
                      <w:kern w:val="0"/>
                      <w:sz w:val="21"/>
                      <w:szCs w:val="21"/>
                      <w:highlight w:val="none"/>
                    </w:rPr>
                    <w:t>Ⅳ</w:t>
                  </w:r>
                  <w:r>
                    <w:rPr>
                      <w:rFonts w:hint="default" w:ascii="Times New Roman" w:hAnsi="Times New Roman" w:eastAsia="宋体" w:cs="Times New Roman"/>
                      <w:color w:val="auto"/>
                      <w:sz w:val="21"/>
                      <w:szCs w:val="21"/>
                      <w:highlight w:val="none"/>
                    </w:rPr>
                    <w:t>类</w:t>
                  </w:r>
                </w:p>
              </w:tc>
              <w:tc>
                <w:tcPr>
                  <w:tcW w:w="698" w:type="dxa"/>
                  <w:noWrap w:val="0"/>
                  <w:vAlign w:val="center"/>
                </w:tcPr>
                <w:p>
                  <w:pPr>
                    <w:snapToGrid w:val="0"/>
                    <w:jc w:val="center"/>
                    <w:rPr>
                      <w:rFonts w:hint="default" w:ascii="Times New Roman" w:hAnsi="Times New Roman" w:cs="Times New Roman"/>
                      <w:color w:val="auto"/>
                      <w:kern w:val="2"/>
                      <w:sz w:val="21"/>
                      <w:highlight w:val="none"/>
                      <w:lang w:val="en-US" w:eastAsia="zh-CN" w:bidi="ar-SA"/>
                    </w:rPr>
                  </w:pPr>
                  <w:r>
                    <w:rPr>
                      <w:rFonts w:hint="eastAsia" w:ascii="Times New Roman" w:hAnsi="Times New Roman" w:cs="Times New Roman"/>
                      <w:color w:val="auto"/>
                      <w:kern w:val="2"/>
                      <w:sz w:val="21"/>
                      <w:highlight w:val="none"/>
                      <w:lang w:val="en-US" w:eastAsia="zh-CN" w:bidi="ar-SA"/>
                    </w:rPr>
                    <w:t>E</w:t>
                  </w:r>
                </w:p>
              </w:tc>
              <w:tc>
                <w:tcPr>
                  <w:tcW w:w="825" w:type="dxa"/>
                  <w:noWrap w:val="0"/>
                  <w:vAlign w:val="center"/>
                </w:tcPr>
                <w:p>
                  <w:pPr>
                    <w:snapToGrid w:val="0"/>
                    <w:jc w:val="center"/>
                    <w:rPr>
                      <w:rFonts w:hint="default" w:ascii="Times New Roman" w:hAnsi="Times New Roman" w:cs="Times New Roman"/>
                      <w:color w:val="auto"/>
                      <w:kern w:val="2"/>
                      <w:sz w:val="21"/>
                      <w:highlight w:val="none"/>
                      <w:lang w:val="en-US" w:eastAsia="zh-CN" w:bidi="ar-SA"/>
                    </w:rPr>
                  </w:pPr>
                  <w:r>
                    <w:rPr>
                      <w:rFonts w:hint="eastAsia" w:ascii="Times New Roman" w:hAnsi="Times New Roman" w:cs="Times New Roman"/>
                      <w:color w:val="auto"/>
                      <w:kern w:val="2"/>
                      <w:sz w:val="21"/>
                      <w:highlight w:val="none"/>
                      <w:lang w:val="en-US" w:eastAsia="zh-CN" w:bidi="ar-SA"/>
                    </w:rPr>
                    <w:t>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08" w:type="dxa"/>
                  <w:vMerge w:val="continue"/>
                  <w:noWrap w:val="0"/>
                  <w:vAlign w:val="center"/>
                </w:tcPr>
                <w:p>
                  <w:pPr>
                    <w:snapToGrid w:val="0"/>
                    <w:jc w:val="center"/>
                    <w:rPr>
                      <w:rFonts w:hint="eastAsia" w:ascii="Times New Roman" w:hAnsi="Times New Roman" w:cs="Times New Roman"/>
                      <w:color w:val="auto"/>
                      <w:highlight w:val="none"/>
                      <w:lang w:eastAsia="zh-CN"/>
                    </w:rPr>
                  </w:pPr>
                </w:p>
              </w:tc>
              <w:tc>
                <w:tcPr>
                  <w:tcW w:w="126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32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5" w:type="dxa"/>
                  <w:noWrap w:val="0"/>
                  <w:vAlign w:val="center"/>
                </w:tcPr>
                <w:p>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黄河</w:t>
                  </w:r>
                </w:p>
              </w:tc>
              <w:tc>
                <w:tcPr>
                  <w:tcW w:w="1215" w:type="dxa"/>
                  <w:noWrap w:val="0"/>
                  <w:vAlign w:val="center"/>
                </w:tcPr>
                <w:p>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855" w:type="dxa"/>
                  <w:noWrap w:val="0"/>
                  <w:vAlign w:val="center"/>
                </w:tcPr>
                <w:p>
                  <w:pPr>
                    <w:jc w:val="center"/>
                    <w:rPr>
                      <w:rFonts w:hint="default" w:ascii="Times New Roman" w:hAnsi="Times New Roman" w:eastAsia="微软雅黑" w:cs="Times New Roman"/>
                      <w:b w:val="0"/>
                      <w:bCs/>
                      <w:snapToGrid w:val="0"/>
                      <w:color w:val="auto"/>
                      <w:kern w:val="0"/>
                      <w:sz w:val="21"/>
                      <w:szCs w:val="21"/>
                      <w:highlight w:val="none"/>
                    </w:rPr>
                  </w:pPr>
                  <w:r>
                    <w:rPr>
                      <w:rFonts w:hint="default" w:ascii="Times New Roman" w:hAnsi="Times New Roman" w:eastAsia="宋体" w:cs="Times New Roman"/>
                      <w:color w:val="auto"/>
                      <w:sz w:val="21"/>
                      <w:szCs w:val="21"/>
                      <w:highlight w:val="none"/>
                      <w:lang w:eastAsia="zh-CN"/>
                    </w:rPr>
                    <w:t>Ⅱ</w:t>
                  </w:r>
                  <w:r>
                    <w:rPr>
                      <w:rFonts w:hint="default" w:ascii="Times New Roman" w:hAnsi="Times New Roman" w:eastAsia="宋体" w:cs="Times New Roman"/>
                      <w:color w:val="auto"/>
                      <w:sz w:val="21"/>
                      <w:szCs w:val="21"/>
                      <w:highlight w:val="none"/>
                    </w:rPr>
                    <w:t>类</w:t>
                  </w:r>
                </w:p>
              </w:tc>
              <w:tc>
                <w:tcPr>
                  <w:tcW w:w="698" w:type="dxa"/>
                  <w:noWrap w:val="0"/>
                  <w:vAlign w:val="center"/>
                </w:tcPr>
                <w:p>
                  <w:pPr>
                    <w:snapToGrid w:val="0"/>
                    <w:jc w:val="center"/>
                    <w:rPr>
                      <w:rFonts w:hint="default" w:ascii="Times New Roman" w:hAnsi="Times New Roman" w:cs="Times New Roman"/>
                      <w:color w:val="auto"/>
                      <w:kern w:val="2"/>
                      <w:sz w:val="21"/>
                      <w:highlight w:val="none"/>
                      <w:lang w:val="en-US" w:eastAsia="zh-CN" w:bidi="ar-SA"/>
                    </w:rPr>
                  </w:pPr>
                  <w:r>
                    <w:rPr>
                      <w:rFonts w:hint="eastAsia" w:ascii="Times New Roman" w:hAnsi="Times New Roman" w:cs="Times New Roman"/>
                      <w:color w:val="auto"/>
                      <w:kern w:val="2"/>
                      <w:sz w:val="21"/>
                      <w:highlight w:val="none"/>
                      <w:lang w:val="en-US" w:eastAsia="zh-CN" w:bidi="ar-SA"/>
                    </w:rPr>
                    <w:t>N</w:t>
                  </w:r>
                </w:p>
              </w:tc>
              <w:tc>
                <w:tcPr>
                  <w:tcW w:w="825" w:type="dxa"/>
                  <w:noWrap w:val="0"/>
                  <w:vAlign w:val="center"/>
                </w:tcPr>
                <w:p>
                  <w:pPr>
                    <w:snapToGrid w:val="0"/>
                    <w:jc w:val="center"/>
                    <w:rPr>
                      <w:rFonts w:hint="default" w:ascii="Times New Roman" w:hAnsi="Times New Roman" w:cs="Times New Roman"/>
                      <w:color w:val="auto"/>
                      <w:kern w:val="2"/>
                      <w:sz w:val="21"/>
                      <w:highlight w:val="none"/>
                      <w:lang w:val="en-US" w:eastAsia="zh-CN" w:bidi="ar-SA"/>
                    </w:rPr>
                  </w:pPr>
                  <w:r>
                    <w:rPr>
                      <w:rFonts w:hint="eastAsia" w:ascii="Times New Roman" w:hAnsi="Times New Roman" w:cs="Times New Roman"/>
                      <w:color w:val="auto"/>
                      <w:kern w:val="2"/>
                      <w:sz w:val="21"/>
                      <w:highlight w:val="none"/>
                      <w:lang w:val="en-US" w:eastAsia="zh-CN" w:bidi="ar-SA"/>
                    </w:rPr>
                    <w:t>60m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08" w:type="dxa"/>
                  <w:noWrap w:val="0"/>
                  <w:vAlign w:val="center"/>
                </w:tcPr>
                <w:p>
                  <w:pPr>
                    <w:snapToGrid w:val="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生态</w:t>
                  </w:r>
                </w:p>
              </w:tc>
              <w:tc>
                <w:tcPr>
                  <w:tcW w:w="126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320" w:type="dxa"/>
                  <w:noWrap w:val="0"/>
                  <w:vAlign w:val="center"/>
                </w:tcPr>
                <w:p>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5" w:type="dxa"/>
                  <w:noWrap w:val="0"/>
                  <w:vAlign w:val="center"/>
                </w:tcPr>
                <w:p>
                  <w:pPr>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黄河卫宁段兰州鲶国家级水产种质资源保护区</w:t>
                  </w:r>
                </w:p>
              </w:tc>
              <w:tc>
                <w:tcPr>
                  <w:tcW w:w="1215" w:type="dxa"/>
                  <w:noWrap w:val="0"/>
                  <w:vAlign w:val="center"/>
                </w:tcPr>
                <w:p>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水生生物</w:t>
                  </w:r>
                </w:p>
              </w:tc>
              <w:tc>
                <w:tcPr>
                  <w:tcW w:w="855"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试验区</w:t>
                  </w:r>
                </w:p>
              </w:tc>
              <w:tc>
                <w:tcPr>
                  <w:tcW w:w="698" w:type="dxa"/>
                  <w:noWrap w:val="0"/>
                  <w:vAlign w:val="center"/>
                </w:tcPr>
                <w:p>
                  <w:pPr>
                    <w:snapToGrid w:val="0"/>
                    <w:jc w:val="center"/>
                    <w:rPr>
                      <w:rFonts w:hint="default" w:ascii="Times New Roman" w:hAnsi="Times New Roman" w:cs="Times New Roman"/>
                      <w:color w:val="auto"/>
                      <w:kern w:val="2"/>
                      <w:sz w:val="21"/>
                      <w:highlight w:val="none"/>
                      <w:lang w:val="en-US" w:eastAsia="zh-CN" w:bidi="ar-SA"/>
                    </w:rPr>
                  </w:pPr>
                  <w:r>
                    <w:rPr>
                      <w:rFonts w:hint="eastAsia" w:ascii="Times New Roman" w:hAnsi="Times New Roman" w:cs="Times New Roman"/>
                      <w:color w:val="auto"/>
                      <w:kern w:val="2"/>
                      <w:sz w:val="21"/>
                      <w:highlight w:val="none"/>
                      <w:lang w:val="en-US" w:eastAsia="zh-CN" w:bidi="ar-SA"/>
                    </w:rPr>
                    <w:t>N</w:t>
                  </w:r>
                </w:p>
              </w:tc>
              <w:tc>
                <w:tcPr>
                  <w:tcW w:w="825" w:type="dxa"/>
                  <w:noWrap w:val="0"/>
                  <w:vAlign w:val="center"/>
                </w:tcPr>
                <w:p>
                  <w:pPr>
                    <w:snapToGrid w:val="0"/>
                    <w:jc w:val="center"/>
                    <w:rPr>
                      <w:rFonts w:hint="default" w:ascii="Times New Roman" w:hAnsi="Times New Roman" w:cs="Times New Roman"/>
                      <w:color w:val="auto"/>
                      <w:kern w:val="2"/>
                      <w:sz w:val="21"/>
                      <w:highlight w:val="none"/>
                      <w:lang w:val="en-US" w:eastAsia="zh-CN" w:bidi="ar-SA"/>
                    </w:rPr>
                  </w:pPr>
                  <w:r>
                    <w:rPr>
                      <w:rFonts w:hint="eastAsia" w:ascii="Times New Roman" w:hAnsi="Times New Roman" w:cs="Times New Roman"/>
                      <w:color w:val="auto"/>
                      <w:kern w:val="2"/>
                      <w:sz w:val="21"/>
                      <w:highlight w:val="none"/>
                      <w:lang w:val="en-US" w:eastAsia="zh-CN" w:bidi="ar-SA"/>
                    </w:rPr>
                    <w:t>300m</w:t>
                  </w:r>
                </w:p>
              </w:tc>
            </w:tr>
          </w:tbl>
          <w:p>
            <w:pPr>
              <w:adjustRightInd w:val="0"/>
              <w:spacing w:line="360" w:lineRule="auto"/>
              <w:ind w:firstLine="480" w:firstLineChars="200"/>
              <w:rPr>
                <w:rFonts w:eastAsia="仿宋_GB2312"/>
                <w:color w:val="auto"/>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719" w:hRule="atLeast"/>
          <w:jc w:val="center"/>
        </w:trPr>
        <w:tc>
          <w:tcPr>
            <w:tcW w:w="783" w:type="dxa"/>
            <w:tcBorders>
              <w:tl2br w:val="nil"/>
              <w:tr2bl w:val="nil"/>
            </w:tcBorders>
            <w:tcMar>
              <w:left w:w="28" w:type="dxa"/>
              <w:right w:w="28" w:type="dxa"/>
            </w:tcMar>
            <w:vAlign w:val="center"/>
          </w:tcPr>
          <w:p>
            <w:pPr>
              <w:adjustRightInd w:val="0"/>
              <w:snapToGrid w:val="0"/>
              <w:jc w:val="center"/>
              <w:rPr>
                <w:rFonts w:hint="eastAsia" w:ascii="宋体" w:hAnsi="宋体" w:cs="宋体"/>
                <w:b/>
                <w:bCs/>
                <w:color w:val="auto"/>
                <w:kern w:val="0"/>
                <w:sz w:val="24"/>
                <w:highlight w:val="none"/>
                <w:lang w:eastAsia="zh-CN"/>
              </w:rPr>
            </w:pPr>
            <w:r>
              <w:rPr>
                <w:rFonts w:hint="eastAsia" w:ascii="宋体" w:hAnsi="宋体" w:cs="宋体"/>
                <w:b/>
                <w:bCs/>
                <w:color w:val="auto"/>
                <w:kern w:val="0"/>
                <w:sz w:val="24"/>
                <w:highlight w:val="none"/>
                <w:lang w:eastAsia="zh-CN"/>
              </w:rPr>
              <w:t>评价</w:t>
            </w:r>
          </w:p>
          <w:p>
            <w:pPr>
              <w:adjustRightInd w:val="0"/>
              <w:snapToGrid w:val="0"/>
              <w:jc w:val="center"/>
              <w:rPr>
                <w:rFonts w:hint="eastAsia" w:eastAsia="仿宋_GB2312"/>
                <w:b/>
                <w:bCs/>
                <w:color w:val="auto"/>
                <w:kern w:val="0"/>
                <w:sz w:val="24"/>
                <w:highlight w:val="none"/>
                <w:lang w:eastAsia="zh-CN"/>
              </w:rPr>
            </w:pPr>
            <w:r>
              <w:rPr>
                <w:rFonts w:hint="eastAsia" w:ascii="宋体" w:hAnsi="宋体" w:cs="宋体"/>
                <w:b/>
                <w:bCs/>
                <w:color w:val="auto"/>
                <w:kern w:val="0"/>
                <w:sz w:val="24"/>
                <w:highlight w:val="none"/>
                <w:lang w:eastAsia="zh-CN"/>
              </w:rPr>
              <w:t>标准</w:t>
            </w:r>
          </w:p>
        </w:tc>
        <w:tc>
          <w:tcPr>
            <w:tcW w:w="8207" w:type="dxa"/>
            <w:tcBorders>
              <w:tl2br w:val="nil"/>
              <w:tr2bl w:val="nil"/>
            </w:tcBorders>
          </w:tcPr>
          <w:p>
            <w:pPr>
              <w:adjustRightInd w:val="0"/>
              <w:spacing w:line="360" w:lineRule="auto"/>
              <w:ind w:firstLine="482" w:firstLineChars="200"/>
              <w:rPr>
                <w:rFonts w:hint="eastAsia" w:eastAsia="仿宋_GB2312"/>
                <w:b/>
                <w:bCs/>
                <w:color w:val="auto"/>
                <w:kern w:val="0"/>
                <w:sz w:val="24"/>
                <w:highlight w:val="none"/>
                <w:lang w:val="en-US" w:eastAsia="zh-CN"/>
              </w:rPr>
            </w:pPr>
            <w:r>
              <w:rPr>
                <w:rFonts w:hint="eastAsia" w:eastAsia="仿宋_GB2312"/>
                <w:b/>
                <w:bCs/>
                <w:color w:val="auto"/>
                <w:kern w:val="0"/>
                <w:sz w:val="24"/>
                <w:highlight w:val="none"/>
                <w:lang w:val="en-US" w:eastAsia="zh-CN"/>
              </w:rPr>
              <w:t>1、环境质量标准</w:t>
            </w:r>
          </w:p>
          <w:p>
            <w:pPr>
              <w:adjustRightInd w:val="0"/>
              <w:snapToGrid w:val="0"/>
              <w:spacing w:line="360" w:lineRule="auto"/>
              <w:ind w:firstLine="480" w:firstLineChars="200"/>
              <w:rPr>
                <w:rFonts w:hint="default" w:ascii="Times New Roman" w:hAnsi="Times New Roman" w:eastAsia="仿宋_GB2312" w:cs="Times New Roman"/>
                <w:color w:val="auto"/>
                <w:sz w:val="24"/>
                <w:highlight w:val="none"/>
              </w:rPr>
            </w:pPr>
            <w:r>
              <w:rPr>
                <w:rFonts w:hint="eastAsia" w:eastAsia="仿宋_GB2312"/>
                <w:color w:val="auto"/>
                <w:kern w:val="0"/>
                <w:sz w:val="24"/>
                <w:highlight w:val="none"/>
                <w:lang w:eastAsia="zh-CN"/>
              </w:rPr>
              <w:t>（</w:t>
            </w:r>
            <w:r>
              <w:rPr>
                <w:rFonts w:hint="eastAsia" w:eastAsia="仿宋_GB2312"/>
                <w:color w:val="auto"/>
                <w:kern w:val="0"/>
                <w:sz w:val="24"/>
                <w:highlight w:val="none"/>
                <w:lang w:val="en-US" w:eastAsia="zh-CN"/>
              </w:rPr>
              <w:t>1</w:t>
            </w:r>
            <w:r>
              <w:rPr>
                <w:rFonts w:hint="eastAsia" w:eastAsia="仿宋_GB2312"/>
                <w:color w:val="auto"/>
                <w:kern w:val="0"/>
                <w:sz w:val="24"/>
                <w:highlight w:val="none"/>
                <w:lang w:eastAsia="zh-CN"/>
              </w:rPr>
              <w:t>）</w:t>
            </w:r>
            <w:r>
              <w:rPr>
                <w:rFonts w:hint="eastAsia" w:eastAsia="仿宋_GB2312"/>
                <w:color w:val="auto"/>
                <w:kern w:val="0"/>
                <w:sz w:val="24"/>
                <w:highlight w:val="none"/>
                <w:lang w:val="en-US" w:eastAsia="zh-CN"/>
              </w:rPr>
              <w:t>环境空气质量执行</w:t>
            </w:r>
            <w:r>
              <w:rPr>
                <w:rFonts w:hint="default" w:ascii="Times New Roman" w:hAnsi="Times New Roman" w:eastAsia="仿宋_GB2312" w:cs="Times New Roman"/>
                <w:color w:val="auto"/>
                <w:sz w:val="24"/>
                <w:highlight w:val="none"/>
              </w:rPr>
              <w:t>《环境空气质量标准》（GB3095-2012）及2018年修改单中二级标准；</w:t>
            </w:r>
          </w:p>
          <w:p>
            <w:pPr>
              <w:pStyle w:val="12"/>
              <w:adjustRightInd w:val="0"/>
              <w:snapToGrid w:val="0"/>
              <w:ind w:firstLine="480" w:firstLineChars="200"/>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w:t>
            </w:r>
            <w:r>
              <w:rPr>
                <w:rFonts w:hint="eastAsia" w:ascii="Times New Roman" w:hAnsi="Times New Roman" w:eastAsia="黑体" w:cs="Times New Roman"/>
                <w:color w:val="auto"/>
                <w:kern w:val="0"/>
                <w:sz w:val="24"/>
                <w:szCs w:val="24"/>
                <w:highlight w:val="none"/>
                <w:lang w:val="en-US" w:eastAsia="zh-CN" w:bidi="ar-SA"/>
              </w:rPr>
              <w:t>14</w:t>
            </w:r>
            <w:r>
              <w:rPr>
                <w:rFonts w:hint="default" w:ascii="Times New Roman" w:hAnsi="Times New Roman" w:eastAsia="黑体" w:cs="Times New Roman"/>
                <w:color w:val="auto"/>
                <w:kern w:val="0"/>
                <w:sz w:val="24"/>
                <w:szCs w:val="24"/>
                <w:highlight w:val="none"/>
                <w:lang w:val="en-US" w:eastAsia="zh-CN" w:bidi="ar-SA"/>
              </w:rPr>
              <w:t xml:space="preserve">  《环境空气质量标准》及2018年修改单中二级标准</w:t>
            </w:r>
          </w:p>
          <w:tbl>
            <w:tblPr>
              <w:tblStyle w:val="24"/>
              <w:tblW w:w="7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545"/>
              <w:gridCol w:w="2160"/>
              <w:gridCol w:w="1635"/>
              <w:gridCol w:w="1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45" w:type="dxa"/>
                  <w:noWrap w:val="0"/>
                  <w:vAlign w:val="center"/>
                </w:tcPr>
                <w:p>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545" w:type="dxa"/>
                  <w:noWrap w:val="0"/>
                  <w:vAlign w:val="center"/>
                </w:tcPr>
                <w:p>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污染物名称</w:t>
                  </w:r>
                </w:p>
              </w:tc>
              <w:tc>
                <w:tcPr>
                  <w:tcW w:w="2160" w:type="dxa"/>
                  <w:noWrap w:val="0"/>
                  <w:vAlign w:val="center"/>
                </w:tcPr>
                <w:p>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小时平均（μg/m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1635" w:type="dxa"/>
                  <w:noWrap w:val="0"/>
                  <w:vAlign w:val="center"/>
                </w:tcPr>
                <w:p>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24小时平均（μg/m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1769" w:type="dxa"/>
                  <w:noWrap w:val="0"/>
                  <w:vAlign w:val="center"/>
                </w:tcPr>
                <w:p>
                  <w:pPr>
                    <w:topLinePunct/>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年均值（μg/m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5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2160"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3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769"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5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2160"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163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769"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5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2160"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63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769"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5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2160"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3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w:t>
                  </w:r>
                </w:p>
              </w:tc>
              <w:tc>
                <w:tcPr>
                  <w:tcW w:w="1769"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5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2160"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10mg/m</w:t>
                  </w:r>
                  <w:r>
                    <w:rPr>
                      <w:rFonts w:hint="default" w:ascii="Times New Roman" w:hAnsi="Times New Roman" w:cs="Times New Roman"/>
                      <w:color w:val="auto"/>
                      <w:szCs w:val="21"/>
                      <w:highlight w:val="none"/>
                      <w:vertAlign w:val="superscript"/>
                    </w:rPr>
                    <w:t>3</w:t>
                  </w:r>
                </w:p>
              </w:tc>
              <w:tc>
                <w:tcPr>
                  <w:tcW w:w="163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4mg/m</w:t>
                  </w:r>
                  <w:r>
                    <w:rPr>
                      <w:rFonts w:hint="default" w:ascii="Times New Roman" w:hAnsi="Times New Roman" w:cs="Times New Roman"/>
                      <w:color w:val="auto"/>
                      <w:szCs w:val="21"/>
                      <w:highlight w:val="none"/>
                      <w:vertAlign w:val="superscript"/>
                    </w:rPr>
                    <w:t>3</w:t>
                  </w:r>
                </w:p>
              </w:tc>
              <w:tc>
                <w:tcPr>
                  <w:tcW w:w="1769"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5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2160"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63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160（日最大8小时平均）</w:t>
                  </w:r>
                </w:p>
              </w:tc>
              <w:tc>
                <w:tcPr>
                  <w:tcW w:w="1769"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54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TSP</w:t>
                  </w:r>
                </w:p>
              </w:tc>
              <w:tc>
                <w:tcPr>
                  <w:tcW w:w="2160"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635"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1769" w:type="dxa"/>
                  <w:noWrap w:val="0"/>
                  <w:vAlign w:val="center"/>
                </w:tcPr>
                <w:p>
                  <w:pPr>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pPr>
              <w:adjustRightInd w:val="0"/>
              <w:snapToGrid w:val="0"/>
              <w:spacing w:line="360" w:lineRule="auto"/>
              <w:ind w:firstLine="480" w:firstLineChars="200"/>
              <w:rPr>
                <w:rFonts w:hint="default" w:ascii="Times New Roman" w:hAnsi="Times New Roman" w:eastAsia="仿宋_GB2312" w:cs="Times New Roman"/>
                <w:color w:val="auto"/>
                <w:sz w:val="24"/>
                <w:highlight w:val="none"/>
              </w:rPr>
            </w:pPr>
            <w:r>
              <w:rPr>
                <w:rFonts w:hint="eastAsia" w:eastAsia="仿宋_GB2312"/>
                <w:color w:val="auto"/>
                <w:kern w:val="0"/>
                <w:sz w:val="24"/>
                <w:highlight w:val="none"/>
                <w:lang w:eastAsia="zh-CN"/>
              </w:rPr>
              <w:t>（</w:t>
            </w:r>
            <w:r>
              <w:rPr>
                <w:rFonts w:hint="eastAsia" w:eastAsia="仿宋_GB2312"/>
                <w:color w:val="auto"/>
                <w:kern w:val="0"/>
                <w:sz w:val="24"/>
                <w:highlight w:val="none"/>
                <w:lang w:val="en-US" w:eastAsia="zh-CN"/>
              </w:rPr>
              <w:t>2</w:t>
            </w:r>
            <w:r>
              <w:rPr>
                <w:rFonts w:hint="eastAsia" w:eastAsia="仿宋_GB2312"/>
                <w:color w:val="auto"/>
                <w:kern w:val="0"/>
                <w:sz w:val="24"/>
                <w:highlight w:val="none"/>
                <w:lang w:eastAsia="zh-CN"/>
              </w:rPr>
              <w:t>）</w:t>
            </w:r>
            <w:r>
              <w:rPr>
                <w:rFonts w:hint="eastAsia" w:eastAsia="仿宋_GB2312"/>
                <w:color w:val="auto"/>
                <w:kern w:val="0"/>
                <w:sz w:val="24"/>
                <w:highlight w:val="none"/>
                <w:lang w:val="en-US" w:eastAsia="zh-CN"/>
              </w:rPr>
              <w:t>声环境质量执行</w:t>
            </w:r>
            <w:r>
              <w:rPr>
                <w:rFonts w:hint="default" w:eastAsia="仿宋_GB2312"/>
                <w:color w:val="auto"/>
                <w:kern w:val="0"/>
                <w:sz w:val="24"/>
                <w:highlight w:val="none"/>
                <w:lang w:val="en-US" w:eastAsia="zh-CN"/>
              </w:rPr>
              <w:t>《声环境质量标准》（</w:t>
            </w:r>
            <w:r>
              <w:rPr>
                <w:rFonts w:hint="default" w:ascii="Times New Roman" w:hAnsi="Times New Roman" w:eastAsia="仿宋_GB2312" w:cs="Times New Roman"/>
                <w:color w:val="auto"/>
                <w:sz w:val="24"/>
                <w:highlight w:val="none"/>
              </w:rPr>
              <w:t>GB3096-2008）2类标准；</w:t>
            </w:r>
          </w:p>
          <w:p>
            <w:pPr>
              <w:pStyle w:val="12"/>
              <w:adjustRightInd w:val="0"/>
              <w:snapToGrid w:val="0"/>
              <w:ind w:firstLine="480" w:firstLineChars="200"/>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w:t>
            </w:r>
            <w:r>
              <w:rPr>
                <w:rFonts w:hint="eastAsia" w:ascii="Times New Roman" w:hAnsi="Times New Roman" w:eastAsia="黑体" w:cs="Times New Roman"/>
                <w:color w:val="auto"/>
                <w:kern w:val="0"/>
                <w:sz w:val="24"/>
                <w:szCs w:val="24"/>
                <w:highlight w:val="none"/>
                <w:lang w:val="en-US" w:eastAsia="zh-CN" w:bidi="ar-SA"/>
              </w:rPr>
              <w:t>15</w:t>
            </w:r>
            <w:r>
              <w:rPr>
                <w:rFonts w:hint="default" w:ascii="Times New Roman" w:hAnsi="Times New Roman" w:eastAsia="黑体" w:cs="Times New Roman"/>
                <w:color w:val="auto"/>
                <w:kern w:val="0"/>
                <w:sz w:val="24"/>
                <w:szCs w:val="24"/>
                <w:highlight w:val="none"/>
                <w:lang w:val="en-US" w:eastAsia="zh-CN" w:bidi="ar-SA"/>
              </w:rPr>
              <w:t xml:space="preserve">   </w:t>
            </w:r>
            <w:r>
              <w:rPr>
                <w:rFonts w:hint="eastAsia" w:ascii="Times New Roman" w:hAnsi="Times New Roman" w:eastAsia="黑体" w:cs="Times New Roman"/>
                <w:color w:val="auto"/>
                <w:kern w:val="0"/>
                <w:sz w:val="24"/>
                <w:szCs w:val="24"/>
                <w:highlight w:val="none"/>
                <w:lang w:val="en-US" w:eastAsia="zh-CN" w:bidi="ar-SA"/>
              </w:rPr>
              <w:t xml:space="preserve"> </w:t>
            </w:r>
            <w:r>
              <w:rPr>
                <w:rFonts w:hint="default" w:ascii="Times New Roman" w:hAnsi="Times New Roman" w:eastAsia="黑体" w:cs="Times New Roman"/>
                <w:color w:val="auto"/>
                <w:kern w:val="0"/>
                <w:sz w:val="24"/>
                <w:szCs w:val="24"/>
                <w:highlight w:val="none"/>
                <w:lang w:val="en-US" w:eastAsia="zh-CN" w:bidi="ar-SA"/>
              </w:rPr>
              <w:t xml:space="preserve"> 《声环境质量标准》（GB3096-2008）2类标准</w:t>
            </w:r>
          </w:p>
          <w:tbl>
            <w:tblPr>
              <w:tblStyle w:val="24"/>
              <w:tblpPr w:leftFromText="180" w:rightFromText="180" w:vertAnchor="text" w:horzAnchor="margin" w:tblpXSpec="center" w:tblpY="18"/>
              <w:tblOverlap w:val="never"/>
              <w:tblW w:w="7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70"/>
              <w:gridCol w:w="2665"/>
              <w:gridCol w:w="26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570" w:type="dxa"/>
                  <w:noWrap w:val="0"/>
                  <w:vAlign w:val="center"/>
                </w:tcPr>
                <w:p>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类别</w:t>
                  </w:r>
                </w:p>
              </w:tc>
              <w:tc>
                <w:tcPr>
                  <w:tcW w:w="2665" w:type="dxa"/>
                  <w:noWrap w:val="0"/>
                  <w:vAlign w:val="center"/>
                </w:tcPr>
                <w:p>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昼间</w:t>
                  </w:r>
                </w:p>
              </w:tc>
              <w:tc>
                <w:tcPr>
                  <w:tcW w:w="2665" w:type="dxa"/>
                  <w:noWrap w:val="0"/>
                  <w:vAlign w:val="center"/>
                </w:tcPr>
                <w:p>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570" w:type="dxa"/>
                  <w:noWrap w:val="0"/>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w:t>
                  </w:r>
                </w:p>
              </w:tc>
              <w:tc>
                <w:tcPr>
                  <w:tcW w:w="2665" w:type="dxa"/>
                  <w:noWrap w:val="0"/>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60</w:t>
                  </w:r>
                </w:p>
              </w:tc>
              <w:tc>
                <w:tcPr>
                  <w:tcW w:w="2665" w:type="dxa"/>
                  <w:noWrap w:val="0"/>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50</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仿宋_GB2312" w:cs="Times New Roman"/>
                <w:bCs/>
                <w:color w:val="auto"/>
                <w:sz w:val="24"/>
                <w:szCs w:val="24"/>
                <w:highlight w:val="none"/>
                <w:lang w:val="en-US" w:eastAsia="zh-CN"/>
              </w:rPr>
            </w:pPr>
            <w:r>
              <w:rPr>
                <w:rFonts w:hint="eastAsia" w:eastAsia="仿宋_GB2312"/>
                <w:color w:val="auto"/>
                <w:kern w:val="0"/>
                <w:sz w:val="24"/>
                <w:highlight w:val="none"/>
                <w:lang w:eastAsia="zh-CN"/>
              </w:rPr>
              <w:t>（</w:t>
            </w:r>
            <w:r>
              <w:rPr>
                <w:rFonts w:hint="eastAsia" w:eastAsia="仿宋_GB2312"/>
                <w:color w:val="auto"/>
                <w:kern w:val="0"/>
                <w:sz w:val="24"/>
                <w:highlight w:val="none"/>
                <w:lang w:val="en-US" w:eastAsia="zh-CN"/>
              </w:rPr>
              <w:t>3</w:t>
            </w:r>
            <w:r>
              <w:rPr>
                <w:rFonts w:hint="eastAsia" w:eastAsia="仿宋_GB2312"/>
                <w:color w:val="auto"/>
                <w:kern w:val="0"/>
                <w:sz w:val="24"/>
                <w:highlight w:val="none"/>
                <w:lang w:eastAsia="zh-CN"/>
              </w:rPr>
              <w:t>）</w:t>
            </w:r>
            <w:r>
              <w:rPr>
                <w:rFonts w:hint="eastAsia" w:ascii="Times New Roman" w:hAnsi="Times New Roman" w:eastAsia="仿宋_GB2312" w:cs="Times New Roman"/>
                <w:bCs/>
                <w:color w:val="auto"/>
                <w:sz w:val="24"/>
                <w:szCs w:val="24"/>
                <w:highlight w:val="none"/>
                <w:lang w:val="en-US" w:eastAsia="zh-CN"/>
              </w:rPr>
              <w:t>清水河沙坡头区段执行《地表水环境质量标准》（GB3838-2002）中</w:t>
            </w:r>
            <w:r>
              <w:rPr>
                <w:rFonts w:hint="default" w:ascii="Times New Roman" w:hAnsi="Times New Roman" w:eastAsia="仿宋" w:cs="Times New Roman"/>
                <w:b w:val="0"/>
                <w:bCs/>
                <w:snapToGrid w:val="0"/>
                <w:color w:val="auto"/>
                <w:kern w:val="0"/>
                <w:sz w:val="24"/>
                <w:szCs w:val="24"/>
                <w:highlight w:val="none"/>
                <w:lang w:eastAsia="zh-CN"/>
              </w:rPr>
              <w:t>Ⅲ</w:t>
            </w:r>
            <w:r>
              <w:rPr>
                <w:rFonts w:hint="eastAsia" w:ascii="Times New Roman" w:hAnsi="Times New Roman" w:eastAsia="仿宋_GB2312" w:cs="Times New Roman"/>
                <w:bCs/>
                <w:color w:val="auto"/>
                <w:sz w:val="24"/>
                <w:szCs w:val="24"/>
                <w:highlight w:val="none"/>
                <w:lang w:val="en-US" w:eastAsia="zh-CN"/>
              </w:rPr>
              <w:t>类标准。</w:t>
            </w:r>
          </w:p>
          <w:p>
            <w:pPr>
              <w:pStyle w:val="15"/>
              <w:numPr>
                <w:ilvl w:val="0"/>
                <w:numId w:val="0"/>
              </w:numPr>
              <w:ind w:leftChars="200"/>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w:t>
            </w:r>
            <w:r>
              <w:rPr>
                <w:rFonts w:hint="eastAsia" w:ascii="Times New Roman" w:hAnsi="Times New Roman" w:eastAsia="黑体" w:cs="Times New Roman"/>
                <w:color w:val="auto"/>
                <w:kern w:val="0"/>
                <w:sz w:val="24"/>
                <w:szCs w:val="24"/>
                <w:highlight w:val="none"/>
                <w:lang w:val="en-US" w:eastAsia="zh-CN" w:bidi="ar-SA"/>
              </w:rPr>
              <w:t xml:space="preserve">16   </w:t>
            </w:r>
            <w:r>
              <w:rPr>
                <w:rFonts w:hint="default" w:ascii="Times New Roman" w:hAnsi="Times New Roman" w:eastAsia="黑体" w:cs="Times New Roman"/>
                <w:color w:val="auto"/>
                <w:kern w:val="0"/>
                <w:sz w:val="24"/>
                <w:szCs w:val="24"/>
                <w:highlight w:val="none"/>
                <w:lang w:val="en-US" w:eastAsia="zh-CN" w:bidi="ar-SA"/>
              </w:rPr>
              <w:t>《</w:t>
            </w:r>
            <w:r>
              <w:rPr>
                <w:rFonts w:hint="eastAsia" w:ascii="Times New Roman" w:hAnsi="Times New Roman" w:eastAsia="黑体" w:cs="Times New Roman"/>
                <w:color w:val="auto"/>
                <w:kern w:val="0"/>
                <w:sz w:val="24"/>
                <w:szCs w:val="24"/>
                <w:highlight w:val="none"/>
                <w:lang w:val="en-US" w:eastAsia="zh-CN" w:bidi="ar-SA"/>
              </w:rPr>
              <w:t>地表水环境</w:t>
            </w:r>
            <w:r>
              <w:rPr>
                <w:rFonts w:hint="default" w:ascii="Times New Roman" w:hAnsi="Times New Roman" w:eastAsia="黑体" w:cs="Times New Roman"/>
                <w:color w:val="auto"/>
                <w:kern w:val="0"/>
                <w:sz w:val="24"/>
                <w:szCs w:val="24"/>
                <w:highlight w:val="none"/>
                <w:lang w:val="en-US" w:eastAsia="zh-CN" w:bidi="ar-SA"/>
              </w:rPr>
              <w:t>质量标准》（GB</w:t>
            </w:r>
            <w:r>
              <w:rPr>
                <w:rFonts w:hint="eastAsia" w:ascii="Times New Roman" w:hAnsi="Times New Roman" w:eastAsia="黑体" w:cs="Times New Roman"/>
                <w:color w:val="auto"/>
                <w:kern w:val="0"/>
                <w:sz w:val="24"/>
                <w:szCs w:val="24"/>
                <w:highlight w:val="none"/>
                <w:lang w:val="en-US" w:eastAsia="zh-CN" w:bidi="ar-SA"/>
              </w:rPr>
              <w:t>3838-2002</w:t>
            </w:r>
            <w:r>
              <w:rPr>
                <w:rFonts w:hint="default" w:ascii="Times New Roman" w:hAnsi="Times New Roman" w:eastAsia="黑体" w:cs="Times New Roman"/>
                <w:color w:val="auto"/>
                <w:kern w:val="0"/>
                <w:sz w:val="24"/>
                <w:szCs w:val="24"/>
                <w:highlight w:val="none"/>
                <w:lang w:val="en-US" w:eastAsia="zh-CN" w:bidi="ar-SA"/>
              </w:rPr>
              <w:t>）Ⅲ</w:t>
            </w:r>
            <w:r>
              <w:rPr>
                <w:rFonts w:hint="eastAsia" w:ascii="Times New Roman" w:hAnsi="Times New Roman" w:eastAsia="黑体" w:cs="Times New Roman"/>
                <w:color w:val="auto"/>
                <w:kern w:val="0"/>
                <w:sz w:val="24"/>
                <w:szCs w:val="24"/>
                <w:highlight w:val="none"/>
                <w:lang w:val="en-US" w:eastAsia="zh-CN" w:bidi="ar-SA"/>
              </w:rPr>
              <w:t>类标准  单位：mg/L</w:t>
            </w:r>
          </w:p>
          <w:tbl>
            <w:tblPr>
              <w:tblStyle w:val="24"/>
              <w:tblW w:w="791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496"/>
              <w:gridCol w:w="1900"/>
              <w:gridCol w:w="1900"/>
              <w:gridCol w:w="161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7" w:hRule="atLeast"/>
                <w:jc w:val="center"/>
              </w:trPr>
              <w:tc>
                <w:tcPr>
                  <w:tcW w:w="2496" w:type="dxa"/>
                  <w:vAlign w:val="center"/>
                </w:tcPr>
                <w:p>
                  <w:pPr>
                    <w:pStyle w:val="6"/>
                    <w:spacing w:line="240" w:lineRule="auto"/>
                    <w:ind w:firstLine="219" w:firstLineChars="10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900" w:type="dxa"/>
                  <w:vAlign w:val="center"/>
                </w:tcPr>
                <w:p>
                  <w:pPr>
                    <w:pStyle w:val="6"/>
                    <w:spacing w:line="240" w:lineRule="auto"/>
                    <w:ind w:firstLine="219" w:firstLineChars="10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c>
                <w:tcPr>
                  <w:tcW w:w="1900" w:type="dxa"/>
                  <w:vAlign w:val="center"/>
                </w:tcPr>
                <w:p>
                  <w:pPr>
                    <w:pStyle w:val="6"/>
                    <w:spacing w:line="240" w:lineRule="auto"/>
                    <w:ind w:firstLine="219" w:firstLineChars="10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619" w:type="dxa"/>
                  <w:vAlign w:val="center"/>
                </w:tcPr>
                <w:p>
                  <w:pPr>
                    <w:pStyle w:val="6"/>
                    <w:spacing w:line="240" w:lineRule="auto"/>
                    <w:ind w:firstLine="219" w:firstLineChars="10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pH</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6~9</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铜</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溶解氧</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5</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锌</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高锰酸盐指数</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6</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氟化物</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生化需氧量</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4</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硒</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氨氮</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1</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砷</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石油类</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0.05</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镉</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挥发酚</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0.005</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六价铬</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汞</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0.0001</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氰化物</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铅</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0.05</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阴离子表面活性剂</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7"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化学需氧量</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20</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硫化物</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总磷</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snapToGrid w:val="0"/>
                      <w:color w:val="auto"/>
                      <w:kern w:val="0"/>
                      <w:sz w:val="21"/>
                      <w:szCs w:val="21"/>
                      <w:highlight w:val="none"/>
                      <w:lang w:val="en-US" w:eastAsia="zh-CN"/>
                    </w:rPr>
                    <w:t>0.2</w:t>
                  </w:r>
                </w:p>
              </w:tc>
              <w:tc>
                <w:tcPr>
                  <w:tcW w:w="1900" w:type="dxa"/>
                  <w:vAlign w:val="center"/>
                </w:tcPr>
                <w:p>
                  <w:pPr>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c>
                <w:tcPr>
                  <w:tcW w:w="1619" w:type="dxa"/>
                  <w:vAlign w:val="center"/>
                </w:tcPr>
                <w:p>
                  <w:pPr>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5" w:hRule="atLeast"/>
                <w:jc w:val="center"/>
              </w:trPr>
              <w:tc>
                <w:tcPr>
                  <w:tcW w:w="7915" w:type="dxa"/>
                  <w:gridSpan w:val="4"/>
                  <w:vAlign w:val="center"/>
                </w:tcPr>
                <w:p>
                  <w:pPr>
                    <w:spacing w:line="240" w:lineRule="auto"/>
                    <w:ind w:firstLine="42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《地表水环境质量标准》（GB3838-2002）</w:t>
                  </w:r>
                  <w:r>
                    <w:rPr>
                      <w:rFonts w:hint="default" w:ascii="Times New Roman" w:hAnsi="Times New Roman" w:eastAsia="宋体" w:cs="Times New Roman"/>
                      <w:color w:val="auto"/>
                      <w:sz w:val="21"/>
                      <w:szCs w:val="21"/>
                      <w:highlight w:val="none"/>
                      <w:lang w:eastAsia="zh-CN"/>
                    </w:rPr>
                    <w:t>Ⅲ</w:t>
                  </w:r>
                  <w:r>
                    <w:rPr>
                      <w:rFonts w:hint="default" w:ascii="Times New Roman" w:hAnsi="Times New Roman" w:eastAsia="宋体" w:cs="Times New Roman"/>
                      <w:color w:val="auto"/>
                      <w:sz w:val="21"/>
                      <w:szCs w:val="21"/>
                      <w:highlight w:val="none"/>
                    </w:rPr>
                    <w:t>类标准</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仿宋_GB2312" w:cs="Times New Roman"/>
                <w:bCs/>
                <w:color w:val="auto"/>
                <w:sz w:val="24"/>
                <w:szCs w:val="24"/>
                <w:highlight w:val="none"/>
                <w:lang w:val="en-US" w:eastAsia="zh-CN"/>
              </w:rPr>
            </w:pPr>
            <w:r>
              <w:rPr>
                <w:rFonts w:hint="eastAsia" w:eastAsia="仿宋_GB2312"/>
                <w:color w:val="auto"/>
                <w:kern w:val="0"/>
                <w:sz w:val="24"/>
                <w:highlight w:val="none"/>
                <w:lang w:eastAsia="zh-CN"/>
              </w:rPr>
              <w:t>（</w:t>
            </w:r>
            <w:r>
              <w:rPr>
                <w:rFonts w:hint="eastAsia" w:eastAsia="仿宋_GB2312"/>
                <w:color w:val="auto"/>
                <w:kern w:val="0"/>
                <w:sz w:val="24"/>
                <w:highlight w:val="none"/>
                <w:lang w:val="en-US" w:eastAsia="zh-CN"/>
              </w:rPr>
              <w:t>4</w:t>
            </w:r>
            <w:r>
              <w:rPr>
                <w:rFonts w:hint="eastAsia" w:eastAsia="仿宋_GB2312"/>
                <w:color w:val="auto"/>
                <w:kern w:val="0"/>
                <w:sz w:val="24"/>
                <w:highlight w:val="none"/>
                <w:lang w:eastAsia="zh-CN"/>
              </w:rPr>
              <w:t>）</w:t>
            </w:r>
            <w:r>
              <w:rPr>
                <w:rFonts w:hint="eastAsia" w:eastAsia="仿宋_GB2312"/>
                <w:color w:val="auto"/>
                <w:sz w:val="24"/>
                <w:szCs w:val="24"/>
                <w:highlight w:val="none"/>
                <w:lang w:eastAsia="zh-CN"/>
              </w:rPr>
              <w:t>黄河中卫下河沿断面</w:t>
            </w:r>
            <w:r>
              <w:rPr>
                <w:rFonts w:hint="eastAsia" w:ascii="Times New Roman" w:hAnsi="Times New Roman" w:eastAsia="仿宋_GB2312" w:cs="Times New Roman"/>
                <w:bCs/>
                <w:color w:val="auto"/>
                <w:sz w:val="24"/>
                <w:szCs w:val="24"/>
                <w:highlight w:val="none"/>
                <w:lang w:val="en-US" w:eastAsia="zh-CN"/>
              </w:rPr>
              <w:t>执行《地表水环境质量标准》（GB3838-2002）中</w:t>
            </w:r>
            <w:r>
              <w:rPr>
                <w:rFonts w:hint="default" w:ascii="Times New Roman" w:hAnsi="Times New Roman" w:eastAsia="仿宋" w:cs="Times New Roman"/>
                <w:b w:val="0"/>
                <w:bCs/>
                <w:snapToGrid w:val="0"/>
                <w:color w:val="auto"/>
                <w:kern w:val="0"/>
                <w:sz w:val="24"/>
                <w:szCs w:val="24"/>
                <w:highlight w:val="none"/>
                <w:lang w:eastAsia="zh-CN"/>
              </w:rPr>
              <w:t>Ⅱ</w:t>
            </w:r>
            <w:r>
              <w:rPr>
                <w:rFonts w:hint="eastAsia" w:ascii="Times New Roman" w:hAnsi="Times New Roman" w:eastAsia="仿宋_GB2312" w:cs="Times New Roman"/>
                <w:bCs/>
                <w:color w:val="auto"/>
                <w:sz w:val="24"/>
                <w:szCs w:val="24"/>
                <w:highlight w:val="none"/>
                <w:lang w:val="en-US" w:eastAsia="zh-CN"/>
              </w:rPr>
              <w:t>类标准。</w:t>
            </w:r>
          </w:p>
          <w:p>
            <w:pPr>
              <w:pStyle w:val="15"/>
              <w:numPr>
                <w:ilvl w:val="0"/>
                <w:numId w:val="0"/>
              </w:numPr>
              <w:ind w:leftChars="200"/>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表</w:t>
            </w:r>
            <w:r>
              <w:rPr>
                <w:rFonts w:hint="eastAsia" w:ascii="Times New Roman" w:hAnsi="Times New Roman" w:eastAsia="黑体" w:cs="Times New Roman"/>
                <w:color w:val="auto"/>
                <w:kern w:val="0"/>
                <w:sz w:val="24"/>
                <w:szCs w:val="24"/>
                <w:highlight w:val="none"/>
                <w:lang w:val="en-US" w:eastAsia="zh-CN" w:bidi="ar-SA"/>
              </w:rPr>
              <w:t>17</w:t>
            </w:r>
            <w:r>
              <w:rPr>
                <w:rFonts w:hint="default" w:ascii="Times New Roman" w:hAnsi="Times New Roman" w:eastAsia="黑体" w:cs="Times New Roman"/>
                <w:color w:val="auto"/>
                <w:kern w:val="0"/>
                <w:sz w:val="24"/>
                <w:szCs w:val="24"/>
                <w:highlight w:val="none"/>
                <w:lang w:val="en-US" w:eastAsia="zh-CN" w:bidi="ar-SA"/>
              </w:rPr>
              <w:t xml:space="preserve"> </w:t>
            </w:r>
            <w:r>
              <w:rPr>
                <w:rFonts w:hint="eastAsia" w:ascii="Times New Roman" w:hAnsi="Times New Roman" w:eastAsia="黑体" w:cs="Times New Roman"/>
                <w:color w:val="auto"/>
                <w:kern w:val="0"/>
                <w:sz w:val="24"/>
                <w:szCs w:val="24"/>
                <w:highlight w:val="none"/>
                <w:lang w:val="en-US" w:eastAsia="zh-CN" w:bidi="ar-SA"/>
              </w:rPr>
              <w:t xml:space="preserve">  </w:t>
            </w:r>
            <w:r>
              <w:rPr>
                <w:rFonts w:hint="default" w:ascii="Times New Roman" w:hAnsi="Times New Roman" w:eastAsia="黑体" w:cs="Times New Roman"/>
                <w:color w:val="auto"/>
                <w:kern w:val="0"/>
                <w:sz w:val="24"/>
                <w:szCs w:val="24"/>
                <w:highlight w:val="none"/>
                <w:lang w:val="en-US" w:eastAsia="zh-CN" w:bidi="ar-SA"/>
              </w:rPr>
              <w:t>《</w:t>
            </w:r>
            <w:r>
              <w:rPr>
                <w:rFonts w:hint="eastAsia" w:ascii="Times New Roman" w:hAnsi="Times New Roman" w:eastAsia="黑体" w:cs="Times New Roman"/>
                <w:color w:val="auto"/>
                <w:kern w:val="0"/>
                <w:sz w:val="24"/>
                <w:szCs w:val="24"/>
                <w:highlight w:val="none"/>
                <w:lang w:val="en-US" w:eastAsia="zh-CN" w:bidi="ar-SA"/>
              </w:rPr>
              <w:t>地表水环境</w:t>
            </w:r>
            <w:r>
              <w:rPr>
                <w:rFonts w:hint="default" w:ascii="Times New Roman" w:hAnsi="Times New Roman" w:eastAsia="黑体" w:cs="Times New Roman"/>
                <w:color w:val="auto"/>
                <w:kern w:val="0"/>
                <w:sz w:val="24"/>
                <w:szCs w:val="24"/>
                <w:highlight w:val="none"/>
                <w:lang w:val="en-US" w:eastAsia="zh-CN" w:bidi="ar-SA"/>
              </w:rPr>
              <w:t>质量标准》（GB</w:t>
            </w:r>
            <w:r>
              <w:rPr>
                <w:rFonts w:hint="eastAsia" w:ascii="Times New Roman" w:hAnsi="Times New Roman" w:eastAsia="黑体" w:cs="Times New Roman"/>
                <w:color w:val="auto"/>
                <w:kern w:val="0"/>
                <w:sz w:val="24"/>
                <w:szCs w:val="24"/>
                <w:highlight w:val="none"/>
                <w:lang w:val="en-US" w:eastAsia="zh-CN" w:bidi="ar-SA"/>
              </w:rPr>
              <w:t>3838-2002</w:t>
            </w:r>
            <w:r>
              <w:rPr>
                <w:rFonts w:hint="default" w:ascii="Times New Roman" w:hAnsi="Times New Roman" w:eastAsia="黑体" w:cs="Times New Roman"/>
                <w:color w:val="auto"/>
                <w:kern w:val="0"/>
                <w:sz w:val="24"/>
                <w:szCs w:val="24"/>
                <w:highlight w:val="none"/>
                <w:lang w:val="en-US" w:eastAsia="zh-CN" w:bidi="ar-SA"/>
              </w:rPr>
              <w:t>）Ⅱ</w:t>
            </w:r>
            <w:r>
              <w:rPr>
                <w:rFonts w:hint="eastAsia" w:ascii="Times New Roman" w:hAnsi="Times New Roman" w:eastAsia="黑体" w:cs="Times New Roman"/>
                <w:color w:val="auto"/>
                <w:kern w:val="0"/>
                <w:sz w:val="24"/>
                <w:szCs w:val="24"/>
                <w:highlight w:val="none"/>
                <w:lang w:val="en-US" w:eastAsia="zh-CN" w:bidi="ar-SA"/>
              </w:rPr>
              <w:t>类标准  单位：mg/L</w:t>
            </w:r>
          </w:p>
          <w:tbl>
            <w:tblPr>
              <w:tblStyle w:val="24"/>
              <w:tblW w:w="791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493"/>
              <w:gridCol w:w="1900"/>
              <w:gridCol w:w="1900"/>
              <w:gridCol w:w="161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7" w:hRule="atLeast"/>
                <w:jc w:val="center"/>
              </w:trPr>
              <w:tc>
                <w:tcPr>
                  <w:tcW w:w="2493" w:type="dxa"/>
                  <w:vAlign w:val="center"/>
                </w:tcPr>
                <w:p>
                  <w:pPr>
                    <w:pStyle w:val="6"/>
                    <w:spacing w:line="240" w:lineRule="auto"/>
                    <w:ind w:firstLine="219" w:firstLineChars="10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900" w:type="dxa"/>
                  <w:vAlign w:val="center"/>
                </w:tcPr>
                <w:p>
                  <w:pPr>
                    <w:pStyle w:val="6"/>
                    <w:spacing w:line="240" w:lineRule="auto"/>
                    <w:ind w:firstLine="219" w:firstLineChars="10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c>
                <w:tcPr>
                  <w:tcW w:w="1900" w:type="dxa"/>
                  <w:vAlign w:val="center"/>
                </w:tcPr>
                <w:p>
                  <w:pPr>
                    <w:pStyle w:val="6"/>
                    <w:spacing w:line="240" w:lineRule="auto"/>
                    <w:ind w:firstLine="219" w:firstLineChars="10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619" w:type="dxa"/>
                  <w:vAlign w:val="center"/>
                </w:tcPr>
                <w:p>
                  <w:pPr>
                    <w:pStyle w:val="6"/>
                    <w:spacing w:line="240" w:lineRule="auto"/>
                    <w:ind w:firstLine="219" w:firstLineChars="104"/>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pH</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6~9</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铜</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溶解氧</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6</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锌</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高锰酸盐指数</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4</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氟化物</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生化需氧量</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3</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硒</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氨氮</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0.5</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砷</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石油类</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0.05</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镉</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挥发酚</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0.002</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六价铬</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汞</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0.00005</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氰化物</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铅</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0.01</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阴离子表面活性剂</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7"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化学需氧量</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15</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硫化物</w:t>
                  </w:r>
                </w:p>
              </w:tc>
              <w:tc>
                <w:tcPr>
                  <w:tcW w:w="161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snapToGrid w:val="0"/>
                      <w:color w:val="auto"/>
                      <w:kern w:val="0"/>
                      <w:sz w:val="21"/>
                      <w:szCs w:val="21"/>
                      <w:highlight w:val="no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249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总磷</w:t>
                  </w:r>
                </w:p>
              </w:tc>
              <w:tc>
                <w:tcPr>
                  <w:tcW w:w="190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snapToGrid w:val="0"/>
                      <w:color w:val="auto"/>
                      <w:kern w:val="0"/>
                      <w:sz w:val="21"/>
                      <w:szCs w:val="21"/>
                      <w:highlight w:val="none"/>
                      <w:lang w:val="en-US" w:eastAsia="zh-CN"/>
                    </w:rPr>
                    <w:t>1.5</w:t>
                  </w:r>
                </w:p>
              </w:tc>
              <w:tc>
                <w:tcPr>
                  <w:tcW w:w="1900" w:type="dxa"/>
                  <w:vAlign w:val="center"/>
                </w:tcPr>
                <w:p>
                  <w:pPr>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c>
                <w:tcPr>
                  <w:tcW w:w="1619" w:type="dxa"/>
                  <w:vAlign w:val="center"/>
                </w:tcPr>
                <w:p>
                  <w:pPr>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5" w:hRule="atLeast"/>
                <w:jc w:val="center"/>
              </w:trPr>
              <w:tc>
                <w:tcPr>
                  <w:tcW w:w="7912" w:type="dxa"/>
                  <w:gridSpan w:val="4"/>
                  <w:vAlign w:val="center"/>
                </w:tcPr>
                <w:p>
                  <w:pPr>
                    <w:spacing w:line="240" w:lineRule="auto"/>
                    <w:ind w:firstLine="42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《地表水环境质量标准》（GB3838-2002）</w:t>
                  </w:r>
                  <w:r>
                    <w:rPr>
                      <w:rFonts w:hint="default" w:ascii="Times New Roman" w:hAnsi="Times New Roman" w:eastAsia="宋体" w:cs="Times New Roman"/>
                      <w:color w:val="auto"/>
                      <w:sz w:val="21"/>
                      <w:szCs w:val="21"/>
                      <w:highlight w:val="none"/>
                      <w:lang w:eastAsia="zh-CN"/>
                    </w:rPr>
                    <w:t>Ⅱ</w:t>
                  </w:r>
                  <w:r>
                    <w:rPr>
                      <w:rFonts w:hint="default" w:ascii="Times New Roman" w:hAnsi="Times New Roman" w:eastAsia="宋体" w:cs="Times New Roman"/>
                      <w:color w:val="auto"/>
                      <w:sz w:val="21"/>
                      <w:szCs w:val="21"/>
                      <w:highlight w:val="none"/>
                    </w:rPr>
                    <w:t>类标准</w:t>
                  </w:r>
                </w:p>
              </w:tc>
            </w:tr>
          </w:tbl>
          <w:p>
            <w:pPr>
              <w:adjustRightInd w:val="0"/>
              <w:spacing w:line="360" w:lineRule="auto"/>
              <w:ind w:firstLine="482" w:firstLineChars="200"/>
              <w:rPr>
                <w:rFonts w:hint="default" w:eastAsia="仿宋_GB2312"/>
                <w:b/>
                <w:bCs/>
                <w:color w:val="auto"/>
                <w:kern w:val="0"/>
                <w:sz w:val="24"/>
                <w:highlight w:val="none"/>
                <w:lang w:val="en-US" w:eastAsia="zh-CN"/>
              </w:rPr>
            </w:pPr>
            <w:r>
              <w:rPr>
                <w:rFonts w:hint="eastAsia" w:eastAsia="仿宋_GB2312"/>
                <w:b/>
                <w:bCs/>
                <w:color w:val="auto"/>
                <w:kern w:val="0"/>
                <w:sz w:val="24"/>
                <w:highlight w:val="none"/>
                <w:lang w:val="en-US" w:eastAsia="zh-CN"/>
              </w:rPr>
              <w:t>2、污染物排放标准</w:t>
            </w:r>
          </w:p>
          <w:p>
            <w:pPr>
              <w:adjustRightInd w:val="0"/>
              <w:spacing w:line="360" w:lineRule="auto"/>
              <w:ind w:firstLine="480" w:firstLineChars="200"/>
              <w:rPr>
                <w:rFonts w:eastAsia="仿宋_GB2312"/>
                <w:color w:val="auto"/>
                <w:kern w:val="0"/>
                <w:sz w:val="24"/>
                <w:highlight w:val="none"/>
              </w:rPr>
            </w:pPr>
            <w:r>
              <w:rPr>
                <w:rFonts w:hint="eastAsia" w:eastAsia="仿宋_GB2312"/>
                <w:color w:val="auto"/>
                <w:kern w:val="0"/>
                <w:sz w:val="24"/>
                <w:highlight w:val="none"/>
                <w:lang w:eastAsia="zh-CN"/>
              </w:rPr>
              <w:t>（</w:t>
            </w:r>
            <w:r>
              <w:rPr>
                <w:rFonts w:hint="eastAsia" w:eastAsia="仿宋_GB2312"/>
                <w:color w:val="auto"/>
                <w:kern w:val="0"/>
                <w:sz w:val="24"/>
                <w:highlight w:val="none"/>
                <w:lang w:val="en-US" w:eastAsia="zh-CN"/>
              </w:rPr>
              <w:t>1</w:t>
            </w:r>
            <w:r>
              <w:rPr>
                <w:rFonts w:hint="eastAsia" w:eastAsia="仿宋_GB2312"/>
                <w:color w:val="auto"/>
                <w:kern w:val="0"/>
                <w:sz w:val="24"/>
                <w:highlight w:val="none"/>
                <w:lang w:eastAsia="zh-CN"/>
              </w:rPr>
              <w:t>）</w:t>
            </w:r>
            <w:r>
              <w:rPr>
                <w:rFonts w:hint="eastAsia" w:eastAsia="仿宋_GB2312"/>
                <w:color w:val="auto"/>
                <w:kern w:val="0"/>
                <w:sz w:val="24"/>
                <w:highlight w:val="none"/>
              </w:rPr>
              <w:t>本项目施工期噪声执行《建筑施工场界环境噪声排放标准》（GB12523-2011）；</w:t>
            </w:r>
          </w:p>
          <w:p>
            <w:pPr>
              <w:adjustRightInd w:val="0"/>
              <w:ind w:firstLine="480" w:firstLineChars="200"/>
              <w:rPr>
                <w:rFonts w:eastAsia="黑体"/>
                <w:color w:val="auto"/>
                <w:kern w:val="0"/>
                <w:sz w:val="24"/>
                <w:highlight w:val="none"/>
              </w:rPr>
            </w:pPr>
            <w:r>
              <w:rPr>
                <w:rFonts w:eastAsia="黑体"/>
                <w:color w:val="auto"/>
                <w:kern w:val="0"/>
                <w:sz w:val="24"/>
                <w:highlight w:val="none"/>
              </w:rPr>
              <w:t>表</w:t>
            </w:r>
            <w:r>
              <w:rPr>
                <w:rFonts w:hint="eastAsia" w:eastAsia="黑体"/>
                <w:color w:val="auto"/>
                <w:kern w:val="0"/>
                <w:sz w:val="24"/>
                <w:highlight w:val="none"/>
                <w:lang w:val="en-US" w:eastAsia="zh-CN"/>
              </w:rPr>
              <w:t>18</w:t>
            </w:r>
            <w:r>
              <w:rPr>
                <w:rFonts w:eastAsia="黑体"/>
                <w:color w:val="auto"/>
                <w:kern w:val="0"/>
                <w:sz w:val="24"/>
                <w:highlight w:val="none"/>
              </w:rPr>
              <w:t xml:space="preserve">            </w:t>
            </w:r>
            <w:r>
              <w:rPr>
                <w:rFonts w:hint="eastAsia" w:eastAsia="黑体"/>
                <w:color w:val="auto"/>
                <w:kern w:val="0"/>
                <w:sz w:val="24"/>
                <w:highlight w:val="none"/>
              </w:rPr>
              <w:t xml:space="preserve"> 本项目施工期噪声排放标准</w:t>
            </w:r>
          </w:p>
          <w:tbl>
            <w:tblPr>
              <w:tblStyle w:val="24"/>
              <w:tblW w:w="79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37"/>
              <w:gridCol w:w="40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7" w:type="dxa"/>
                  <w:vAlign w:val="center"/>
                </w:tcPr>
                <w:p>
                  <w:pPr>
                    <w:adjustRightInd w:val="0"/>
                    <w:snapToGrid w:val="0"/>
                    <w:jc w:val="center"/>
                    <w:rPr>
                      <w:b/>
                      <w:bCs/>
                      <w:color w:val="auto"/>
                      <w:kern w:val="0"/>
                      <w:szCs w:val="21"/>
                      <w:highlight w:val="none"/>
                    </w:rPr>
                  </w:pPr>
                  <w:r>
                    <w:rPr>
                      <w:b/>
                      <w:bCs/>
                      <w:color w:val="auto"/>
                      <w:kern w:val="0"/>
                      <w:szCs w:val="21"/>
                      <w:highlight w:val="none"/>
                    </w:rPr>
                    <w:t>昼间/dB(A)</w:t>
                  </w:r>
                </w:p>
              </w:tc>
              <w:tc>
                <w:tcPr>
                  <w:tcW w:w="4078" w:type="dxa"/>
                  <w:vAlign w:val="center"/>
                </w:tcPr>
                <w:p>
                  <w:pPr>
                    <w:adjustRightInd w:val="0"/>
                    <w:snapToGrid w:val="0"/>
                    <w:jc w:val="center"/>
                    <w:rPr>
                      <w:b/>
                      <w:bCs/>
                      <w:color w:val="auto"/>
                      <w:kern w:val="0"/>
                      <w:szCs w:val="21"/>
                      <w:highlight w:val="none"/>
                    </w:rPr>
                  </w:pPr>
                  <w:r>
                    <w:rPr>
                      <w:b/>
                      <w:bCs/>
                      <w:color w:val="auto"/>
                      <w:kern w:val="0"/>
                      <w:szCs w:val="21"/>
                      <w:highlight w:val="none"/>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37" w:type="dxa"/>
                  <w:vAlign w:val="center"/>
                </w:tcPr>
                <w:p>
                  <w:pPr>
                    <w:adjustRightInd w:val="0"/>
                    <w:snapToGrid w:val="0"/>
                    <w:jc w:val="center"/>
                    <w:rPr>
                      <w:color w:val="auto"/>
                      <w:kern w:val="0"/>
                      <w:szCs w:val="21"/>
                      <w:highlight w:val="none"/>
                    </w:rPr>
                  </w:pPr>
                  <w:r>
                    <w:rPr>
                      <w:rFonts w:hint="eastAsia"/>
                      <w:color w:val="auto"/>
                      <w:kern w:val="0"/>
                      <w:szCs w:val="21"/>
                      <w:highlight w:val="none"/>
                    </w:rPr>
                    <w:t>70</w:t>
                  </w:r>
                </w:p>
              </w:tc>
              <w:tc>
                <w:tcPr>
                  <w:tcW w:w="4078" w:type="dxa"/>
                  <w:vAlign w:val="center"/>
                </w:tcPr>
                <w:p>
                  <w:pPr>
                    <w:adjustRightInd w:val="0"/>
                    <w:snapToGrid w:val="0"/>
                    <w:jc w:val="center"/>
                    <w:rPr>
                      <w:color w:val="auto"/>
                      <w:kern w:val="0"/>
                      <w:szCs w:val="21"/>
                      <w:highlight w:val="none"/>
                    </w:rPr>
                  </w:pPr>
                  <w:r>
                    <w:rPr>
                      <w:rFonts w:hint="eastAsia"/>
                      <w:color w:val="auto"/>
                      <w:kern w:val="0"/>
                      <w:szCs w:val="21"/>
                      <w:highlight w:val="none"/>
                    </w:rPr>
                    <w:t>55</w:t>
                  </w:r>
                </w:p>
              </w:tc>
            </w:tr>
          </w:tbl>
          <w:p>
            <w:pPr>
              <w:adjustRightInd w:val="0"/>
              <w:spacing w:line="360" w:lineRule="auto"/>
              <w:ind w:firstLine="480" w:firstLineChars="200"/>
              <w:rPr>
                <w:rFonts w:eastAsia="仿宋_GB2312"/>
                <w:color w:val="auto"/>
                <w:kern w:val="0"/>
                <w:sz w:val="24"/>
                <w:highlight w:val="none"/>
              </w:rPr>
            </w:pPr>
            <w:r>
              <w:rPr>
                <w:rFonts w:hint="eastAsia" w:eastAsia="仿宋_GB2312"/>
                <w:color w:val="auto"/>
                <w:kern w:val="0"/>
                <w:sz w:val="24"/>
                <w:highlight w:val="none"/>
              </w:rPr>
              <w:t>2、本项目施工期产生废气执行《大气污染物综合排放标准》（GB16297-1996）无组织排放标准；</w:t>
            </w:r>
          </w:p>
          <w:p>
            <w:pPr>
              <w:adjustRightInd w:val="0"/>
              <w:ind w:firstLine="480" w:firstLineChars="200"/>
              <w:rPr>
                <w:rFonts w:eastAsia="仿宋_GB2312"/>
                <w:color w:val="auto"/>
                <w:kern w:val="0"/>
                <w:sz w:val="24"/>
                <w:highlight w:val="none"/>
              </w:rPr>
            </w:pPr>
            <w:r>
              <w:rPr>
                <w:rFonts w:eastAsia="黑体"/>
                <w:color w:val="auto"/>
                <w:kern w:val="0"/>
                <w:sz w:val="24"/>
                <w:highlight w:val="none"/>
              </w:rPr>
              <w:t>表</w:t>
            </w:r>
            <w:r>
              <w:rPr>
                <w:rFonts w:hint="eastAsia" w:eastAsia="黑体"/>
                <w:color w:val="auto"/>
                <w:kern w:val="0"/>
                <w:sz w:val="24"/>
                <w:highlight w:val="none"/>
                <w:lang w:val="en-US" w:eastAsia="zh-CN"/>
              </w:rPr>
              <w:t>19</w:t>
            </w:r>
            <w:r>
              <w:rPr>
                <w:rFonts w:eastAsia="黑体"/>
                <w:color w:val="auto"/>
                <w:kern w:val="0"/>
                <w:sz w:val="24"/>
                <w:highlight w:val="none"/>
              </w:rPr>
              <w:t xml:space="preserve">            </w:t>
            </w:r>
            <w:r>
              <w:rPr>
                <w:rFonts w:hint="eastAsia" w:eastAsia="黑体"/>
                <w:color w:val="auto"/>
                <w:kern w:val="0"/>
                <w:sz w:val="24"/>
                <w:highlight w:val="none"/>
              </w:rPr>
              <w:t xml:space="preserve"> 本项目施工期废气排放标准</w:t>
            </w:r>
          </w:p>
          <w:tbl>
            <w:tblPr>
              <w:tblStyle w:val="24"/>
              <w:tblW w:w="79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63"/>
              <w:gridCol w:w="2685"/>
              <w:gridCol w:w="27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3" w:type="dxa"/>
                  <w:vAlign w:val="center"/>
                </w:tcPr>
                <w:p>
                  <w:pPr>
                    <w:adjustRightInd w:val="0"/>
                    <w:snapToGrid w:val="0"/>
                    <w:jc w:val="center"/>
                    <w:rPr>
                      <w:b/>
                      <w:bCs/>
                      <w:color w:val="auto"/>
                      <w:kern w:val="0"/>
                      <w:szCs w:val="21"/>
                      <w:highlight w:val="none"/>
                    </w:rPr>
                  </w:pPr>
                  <w:r>
                    <w:rPr>
                      <w:rFonts w:hint="eastAsia"/>
                      <w:b/>
                      <w:bCs/>
                      <w:color w:val="auto"/>
                      <w:kern w:val="0"/>
                      <w:szCs w:val="21"/>
                      <w:highlight w:val="none"/>
                    </w:rPr>
                    <w:t>污染物</w:t>
                  </w:r>
                </w:p>
              </w:tc>
              <w:tc>
                <w:tcPr>
                  <w:tcW w:w="2685" w:type="dxa"/>
                  <w:vAlign w:val="center"/>
                </w:tcPr>
                <w:p>
                  <w:pPr>
                    <w:adjustRightInd w:val="0"/>
                    <w:snapToGrid w:val="0"/>
                    <w:jc w:val="center"/>
                    <w:rPr>
                      <w:b/>
                      <w:bCs/>
                      <w:color w:val="auto"/>
                      <w:kern w:val="0"/>
                      <w:szCs w:val="21"/>
                      <w:highlight w:val="none"/>
                    </w:rPr>
                  </w:pPr>
                  <w:r>
                    <w:rPr>
                      <w:rFonts w:hint="eastAsia"/>
                      <w:b/>
                      <w:bCs/>
                      <w:color w:val="auto"/>
                      <w:kern w:val="0"/>
                      <w:szCs w:val="21"/>
                      <w:highlight w:val="none"/>
                    </w:rPr>
                    <w:t>标准类型</w:t>
                  </w:r>
                </w:p>
              </w:tc>
              <w:tc>
                <w:tcPr>
                  <w:tcW w:w="2767" w:type="dxa"/>
                  <w:vAlign w:val="center"/>
                </w:tcPr>
                <w:p>
                  <w:pPr>
                    <w:adjustRightInd w:val="0"/>
                    <w:snapToGrid w:val="0"/>
                    <w:jc w:val="center"/>
                    <w:rPr>
                      <w:b/>
                      <w:bCs/>
                      <w:color w:val="auto"/>
                      <w:kern w:val="0"/>
                      <w:szCs w:val="21"/>
                      <w:highlight w:val="none"/>
                    </w:rPr>
                  </w:pPr>
                  <w:r>
                    <w:rPr>
                      <w:rFonts w:hint="eastAsia"/>
                      <w:b/>
                      <w:bCs/>
                      <w:color w:val="auto"/>
                      <w:kern w:val="0"/>
                      <w:szCs w:val="21"/>
                      <w:highlight w:val="none"/>
                    </w:rPr>
                    <w:t>浓度限制（mg/m</w:t>
                  </w:r>
                  <w:r>
                    <w:rPr>
                      <w:rFonts w:hint="eastAsia"/>
                      <w:b/>
                      <w:bCs/>
                      <w:color w:val="auto"/>
                      <w:kern w:val="0"/>
                      <w:szCs w:val="21"/>
                      <w:highlight w:val="none"/>
                      <w:vertAlign w:val="superscript"/>
                    </w:rPr>
                    <w:t>3</w:t>
                  </w:r>
                  <w:r>
                    <w:rPr>
                      <w:rFonts w:hint="eastAsia"/>
                      <w:b/>
                      <w:bCs/>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3" w:type="dxa"/>
                  <w:vAlign w:val="center"/>
                </w:tcPr>
                <w:p>
                  <w:pPr>
                    <w:pStyle w:val="15"/>
                    <w:jc w:val="center"/>
                    <w:rPr>
                      <w:color w:val="auto"/>
                      <w:sz w:val="21"/>
                      <w:szCs w:val="21"/>
                      <w:highlight w:val="none"/>
                    </w:rPr>
                  </w:pPr>
                  <w:r>
                    <w:rPr>
                      <w:color w:val="auto"/>
                      <w:sz w:val="21"/>
                      <w:szCs w:val="21"/>
                      <w:highlight w:val="none"/>
                    </w:rPr>
                    <w:t>颗粒物</w:t>
                  </w:r>
                </w:p>
              </w:tc>
              <w:tc>
                <w:tcPr>
                  <w:tcW w:w="2685" w:type="dxa"/>
                  <w:vAlign w:val="center"/>
                </w:tcPr>
                <w:p>
                  <w:pPr>
                    <w:pStyle w:val="15"/>
                    <w:jc w:val="center"/>
                    <w:rPr>
                      <w:color w:val="auto"/>
                      <w:sz w:val="21"/>
                      <w:szCs w:val="21"/>
                      <w:highlight w:val="none"/>
                    </w:rPr>
                  </w:pPr>
                  <w:r>
                    <w:rPr>
                      <w:rFonts w:hint="eastAsia"/>
                      <w:color w:val="auto"/>
                      <w:sz w:val="21"/>
                      <w:szCs w:val="21"/>
                      <w:highlight w:val="none"/>
                    </w:rPr>
                    <w:t>无组织排放监控浓度限制</w:t>
                  </w:r>
                </w:p>
              </w:tc>
              <w:tc>
                <w:tcPr>
                  <w:tcW w:w="2767" w:type="dxa"/>
                  <w:vAlign w:val="center"/>
                </w:tcPr>
                <w:p>
                  <w:pPr>
                    <w:pStyle w:val="15"/>
                    <w:jc w:val="center"/>
                    <w:rPr>
                      <w:color w:val="auto"/>
                      <w:sz w:val="21"/>
                      <w:szCs w:val="21"/>
                      <w:highlight w:val="none"/>
                    </w:rPr>
                  </w:pPr>
                  <w:r>
                    <w:rPr>
                      <w:rFonts w:hint="eastAsia"/>
                      <w:color w:val="auto"/>
                      <w:sz w:val="21"/>
                      <w:szCs w:val="21"/>
                      <w:highlight w:val="none"/>
                    </w:rPr>
                    <w:t>1.0</w:t>
                  </w:r>
                </w:p>
              </w:tc>
            </w:tr>
          </w:tbl>
          <w:p>
            <w:pPr>
              <w:adjustRightInd w:val="0"/>
              <w:snapToGrid w:val="0"/>
              <w:spacing w:line="360" w:lineRule="auto"/>
              <w:ind w:firstLine="480" w:firstLineChars="200"/>
              <w:rPr>
                <w:rFonts w:hint="default" w:eastAsia="仿宋_GB2312"/>
                <w:color w:val="auto"/>
                <w:kern w:val="0"/>
                <w:sz w:val="24"/>
                <w:highlight w:val="none"/>
                <w:lang w:val="en-US" w:eastAsia="zh-CN"/>
              </w:rPr>
            </w:pPr>
            <w:r>
              <w:rPr>
                <w:rFonts w:hint="eastAsia" w:ascii="Times New Roman" w:hAnsi="Times New Roman" w:eastAsia="仿宋_GB2312" w:cs="Times New Roman"/>
                <w:color w:val="auto"/>
                <w:kern w:val="0"/>
                <w:sz w:val="24"/>
                <w:highlight w:val="none"/>
                <w:lang w:val="en-US" w:eastAsia="zh-CN"/>
              </w:rPr>
              <w:t>3、生活垃圾依托租住民房垃圾桶收集，定期运送至附近垃圾中转站由环卫部门处置；</w:t>
            </w:r>
            <w:r>
              <w:rPr>
                <w:rFonts w:hint="eastAsia" w:eastAsia="仿宋_GB2312" w:cs="Times New Roman"/>
                <w:b w:val="0"/>
                <w:bCs w:val="0"/>
                <w:color w:val="auto"/>
                <w:kern w:val="2"/>
                <w:sz w:val="24"/>
                <w:szCs w:val="24"/>
                <w:highlight w:val="none"/>
                <w:lang w:val="en-US" w:eastAsia="zh-CN" w:bidi="ar-SA"/>
              </w:rPr>
              <w:t>施工期所有开挖土方全部回填利用，施工期结束后围堰拆除产生的弃方运输至政府指定地点</w:t>
            </w:r>
            <w:r>
              <w:rPr>
                <w:rFonts w:hint="eastAsia" w:ascii="Times New Roman" w:hAnsi="Times New Roman" w:eastAsia="仿宋_GB2312" w:cs="Times New Roman"/>
                <w:color w:val="auto"/>
                <w:kern w:val="0"/>
                <w:sz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176" w:hRule="atLeast"/>
          <w:jc w:val="center"/>
        </w:trPr>
        <w:tc>
          <w:tcPr>
            <w:tcW w:w="783" w:type="dxa"/>
            <w:tcBorders>
              <w:tl2br w:val="nil"/>
              <w:tr2bl w:val="nil"/>
            </w:tcBorders>
            <w:vAlign w:val="center"/>
          </w:tcPr>
          <w:p>
            <w:pPr>
              <w:adjustRightInd w:val="0"/>
              <w:snapToGrid w:val="0"/>
              <w:jc w:val="center"/>
              <w:rPr>
                <w:rFonts w:hint="eastAsia" w:eastAsia="仿宋_GB2312"/>
                <w:color w:val="auto"/>
                <w:kern w:val="0"/>
                <w:sz w:val="24"/>
                <w:highlight w:val="none"/>
                <w:lang w:eastAsia="zh-CN"/>
              </w:rPr>
            </w:pPr>
            <w:r>
              <w:rPr>
                <w:rFonts w:hint="eastAsia" w:ascii="宋体" w:hAnsi="宋体" w:cs="宋体"/>
                <w:b/>
                <w:bCs/>
                <w:color w:val="auto"/>
                <w:kern w:val="0"/>
                <w:sz w:val="24"/>
                <w:highlight w:val="none"/>
                <w:lang w:eastAsia="zh-CN"/>
              </w:rPr>
              <w:t>其他</w:t>
            </w:r>
          </w:p>
        </w:tc>
        <w:tc>
          <w:tcPr>
            <w:tcW w:w="8207" w:type="dxa"/>
            <w:tcBorders>
              <w:tl2br w:val="nil"/>
              <w:tr2bl w:val="nil"/>
            </w:tcBorders>
            <w:vAlign w:val="center"/>
          </w:tcPr>
          <w:p>
            <w:pPr>
              <w:adjustRightInd w:val="0"/>
              <w:snapToGrid w:val="0"/>
              <w:spacing w:before="120" w:beforeLines="50" w:line="360" w:lineRule="auto"/>
              <w:jc w:val="center"/>
              <w:rPr>
                <w:rFonts w:hint="eastAsia" w:eastAsia="仿宋_GB2312"/>
                <w:color w:val="auto"/>
                <w:kern w:val="0"/>
                <w:sz w:val="24"/>
                <w:highlight w:val="none"/>
                <w:lang w:eastAsia="zh-CN"/>
              </w:rPr>
            </w:pPr>
            <w:r>
              <w:rPr>
                <w:rFonts w:hint="eastAsia" w:eastAsia="仿宋_GB2312"/>
                <w:bCs/>
                <w:color w:val="auto"/>
                <w:spacing w:val="-10"/>
                <w:sz w:val="24"/>
                <w:highlight w:val="none"/>
                <w:lang w:val="en-US" w:eastAsia="zh-CN"/>
              </w:rPr>
              <w:t>无</w:t>
            </w:r>
          </w:p>
        </w:tc>
      </w:tr>
    </w:tbl>
    <w:p>
      <w:pPr>
        <w:pStyle w:val="21"/>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eastAsia" w:ascii="黑体" w:hAnsi="黑体" w:eastAsia="黑体"/>
          <w:snapToGrid w:val="0"/>
          <w:color w:val="auto"/>
          <w:sz w:val="30"/>
          <w:szCs w:val="30"/>
          <w:highlight w:val="none"/>
          <w:lang w:eastAsia="zh-CN"/>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w:t>
      </w:r>
      <w:r>
        <w:rPr>
          <w:rFonts w:hint="eastAsia" w:ascii="黑体" w:hAnsi="黑体" w:eastAsia="黑体"/>
          <w:snapToGrid w:val="0"/>
          <w:color w:val="auto"/>
          <w:sz w:val="30"/>
          <w:szCs w:val="30"/>
          <w:highlight w:val="none"/>
          <w:lang w:eastAsia="zh-CN"/>
        </w:rPr>
        <w:t>生态环境影响分析</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46"/>
        <w:gridCol w:w="8162"/>
        <w:gridCol w:w="4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After w:val="1"/>
          <w:wAfter w:w="48" w:type="dxa"/>
          <w:trHeight w:val="90" w:hRule="atLeast"/>
          <w:jc w:val="center"/>
        </w:trPr>
        <w:tc>
          <w:tcPr>
            <w:tcW w:w="746" w:type="dxa"/>
            <w:tcBorders>
              <w:tl2br w:val="nil"/>
              <w:tr2bl w:val="nil"/>
            </w:tcBorders>
            <w:tcMar>
              <w:left w:w="28" w:type="dxa"/>
              <w:right w:w="28" w:type="dxa"/>
            </w:tcMar>
            <w:vAlign w:val="center"/>
          </w:tcPr>
          <w:p>
            <w:pPr>
              <w:pStyle w:val="21"/>
              <w:adjustRightInd w:val="0"/>
              <w:snapToGrid w:val="0"/>
              <w:spacing w:before="0" w:beforeAutospacing="0" w:after="0" w:afterAutospacing="0"/>
              <w:jc w:val="center"/>
              <w:rPr>
                <w:rFonts w:hint="eastAsia" w:ascii="Times New Roman" w:hAnsi="Times New Roman" w:eastAsia="仿宋_GB2312"/>
                <w:b/>
                <w:bCs/>
                <w:color w:val="auto"/>
                <w:kern w:val="2"/>
                <w:szCs w:val="24"/>
                <w:highlight w:val="none"/>
                <w:lang w:eastAsia="zh-CN"/>
              </w:rPr>
            </w:pPr>
            <w:r>
              <w:rPr>
                <w:rFonts w:hint="eastAsia" w:cs="宋体"/>
                <w:b/>
                <w:bCs/>
                <w:color w:val="auto"/>
                <w:kern w:val="2"/>
                <w:szCs w:val="24"/>
                <w:highlight w:val="none"/>
                <w:lang w:eastAsia="zh-CN"/>
              </w:rPr>
              <w:t>施工期</w:t>
            </w:r>
            <w:r>
              <w:rPr>
                <w:rFonts w:hint="eastAsia" w:ascii="宋体" w:hAnsi="宋体" w:eastAsia="宋体" w:cs="宋体"/>
                <w:b/>
                <w:bCs/>
                <w:color w:val="auto"/>
                <w:kern w:val="2"/>
                <w:szCs w:val="24"/>
                <w:highlight w:val="none"/>
                <w:lang w:eastAsia="zh-CN"/>
              </w:rPr>
              <w:t>生态环境影响分析</w:t>
            </w:r>
          </w:p>
        </w:tc>
        <w:tc>
          <w:tcPr>
            <w:tcW w:w="8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rPr>
            </w:pPr>
            <w:r>
              <w:rPr>
                <w:rFonts w:hint="eastAsia" w:ascii="Times New Roman" w:hAnsi="Times New Roman" w:eastAsia="仿宋_GB2312" w:cs="Times New Roman"/>
                <w:b/>
                <w:bCs w:val="0"/>
                <w:color w:val="auto"/>
                <w:sz w:val="24"/>
                <w:szCs w:val="24"/>
                <w:highlight w:val="none"/>
                <w:lang w:val="en-US" w:eastAsia="zh-CN"/>
              </w:rPr>
              <w:t>1、</w:t>
            </w:r>
            <w:r>
              <w:rPr>
                <w:rFonts w:hint="default" w:ascii="Times New Roman" w:hAnsi="Times New Roman" w:eastAsia="仿宋_GB2312" w:cs="Times New Roman"/>
                <w:b/>
                <w:bCs w:val="0"/>
                <w:color w:val="auto"/>
                <w:sz w:val="24"/>
                <w:szCs w:val="24"/>
                <w:highlight w:val="none"/>
                <w:lang w:eastAsia="zh-CN"/>
              </w:rPr>
              <w:t>生态</w:t>
            </w:r>
            <w:r>
              <w:rPr>
                <w:rFonts w:hint="default" w:ascii="Times New Roman" w:hAnsi="Times New Roman" w:eastAsia="仿宋_GB2312" w:cs="Times New Roman"/>
                <w:b/>
                <w:bCs w:val="0"/>
                <w:color w:val="auto"/>
                <w:sz w:val="24"/>
                <w:szCs w:val="24"/>
                <w:highlight w:val="none"/>
              </w:rPr>
              <w:t>环境</w:t>
            </w:r>
            <w:r>
              <w:rPr>
                <w:rFonts w:hint="default" w:ascii="Times New Roman" w:hAnsi="Times New Roman" w:eastAsia="仿宋_GB2312" w:cs="Times New Roman"/>
                <w:b/>
                <w:bCs w:val="0"/>
                <w:color w:val="auto"/>
                <w:sz w:val="24"/>
                <w:szCs w:val="24"/>
                <w:highlight w:val="none"/>
                <w:lang w:eastAsia="zh-CN"/>
              </w:rPr>
              <w:t>影响分析</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cs="Times New Roman"/>
                <w:b/>
                <w:bCs w:val="0"/>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val="en-US" w:eastAsia="zh-CN"/>
              </w:rPr>
              <w:t>本工程</w:t>
            </w:r>
            <w:r>
              <w:rPr>
                <w:rFonts w:hint="default" w:ascii="Times New Roman" w:hAnsi="Times New Roman" w:eastAsia="仿宋_GB2312" w:cs="Times New Roman"/>
                <w:b w:val="0"/>
                <w:bCs/>
                <w:color w:val="auto"/>
                <w:sz w:val="24"/>
                <w:szCs w:val="24"/>
                <w:highlight w:val="none"/>
                <w:lang w:eastAsia="zh-CN"/>
              </w:rPr>
              <w:t>的实施对当地生态环境的不利影响主要表现为施工期</w:t>
            </w:r>
            <w:r>
              <w:rPr>
                <w:rFonts w:hint="eastAsia" w:eastAsia="仿宋_GB2312" w:cs="Times New Roman"/>
                <w:color w:val="auto"/>
                <w:sz w:val="24"/>
                <w:szCs w:val="24"/>
                <w:highlight w:val="none"/>
                <w:lang w:val="en-US" w:eastAsia="zh-CN"/>
              </w:rPr>
              <w:t>道路清基</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高坡削坡</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土方开挖</w:t>
            </w:r>
            <w:r>
              <w:rPr>
                <w:rFonts w:hint="default" w:ascii="Times New Roman" w:hAnsi="Times New Roman" w:eastAsia="仿宋_GB2312" w:cs="Times New Roman"/>
                <w:color w:val="auto"/>
                <w:sz w:val="24"/>
                <w:szCs w:val="24"/>
                <w:highlight w:val="none"/>
                <w:lang w:val="en-US" w:eastAsia="zh-CN"/>
              </w:rPr>
              <w:t>等</w:t>
            </w:r>
            <w:r>
              <w:rPr>
                <w:rFonts w:hint="eastAsia" w:ascii="Times New Roman" w:hAnsi="Times New Roman" w:eastAsia="仿宋_GB2312" w:cs="Times New Roman"/>
                <w:color w:val="auto"/>
                <w:sz w:val="24"/>
                <w:szCs w:val="24"/>
                <w:highlight w:val="none"/>
                <w:lang w:val="en-US" w:eastAsia="zh-CN"/>
              </w:rPr>
              <w:t>建设，</w:t>
            </w:r>
            <w:r>
              <w:rPr>
                <w:rFonts w:hint="default" w:ascii="Times New Roman" w:hAnsi="Times New Roman" w:eastAsia="仿宋_GB2312" w:cs="Times New Roman"/>
                <w:b w:val="0"/>
                <w:bCs/>
                <w:color w:val="auto"/>
                <w:sz w:val="24"/>
                <w:szCs w:val="24"/>
                <w:highlight w:val="none"/>
                <w:lang w:eastAsia="zh-CN"/>
              </w:rPr>
              <w:t>将会引起一定的新增水土流失，但随着项目施工活动的结束，</w:t>
            </w:r>
            <w:r>
              <w:rPr>
                <w:rFonts w:hint="default" w:ascii="Times New Roman" w:hAnsi="Times New Roman" w:eastAsia="仿宋_GB2312" w:cs="Times New Roman"/>
                <w:b w:val="0"/>
                <w:bCs/>
                <w:color w:val="auto"/>
                <w:sz w:val="24"/>
                <w:szCs w:val="24"/>
                <w:highlight w:val="none"/>
                <w:lang w:val="en-US" w:eastAsia="zh-CN"/>
              </w:rPr>
              <w:t>生态修复绿化工程</w:t>
            </w:r>
            <w:r>
              <w:rPr>
                <w:rFonts w:hint="default" w:ascii="Times New Roman" w:hAnsi="Times New Roman" w:eastAsia="仿宋_GB2312" w:cs="Times New Roman"/>
                <w:b w:val="0"/>
                <w:bCs/>
                <w:color w:val="auto"/>
                <w:sz w:val="24"/>
                <w:szCs w:val="24"/>
                <w:highlight w:val="none"/>
                <w:lang w:eastAsia="zh-CN"/>
              </w:rPr>
              <w:t>的开展，水土流失量将大幅下降</w:t>
            </w:r>
            <w:r>
              <w:rPr>
                <w:rFonts w:hint="eastAsia" w:ascii="Times New Roman" w:hAnsi="Times New Roman" w:eastAsia="仿宋_GB2312" w:cs="Times New Roman"/>
                <w:b w:val="0"/>
                <w:bCs/>
                <w:color w:val="auto"/>
                <w:sz w:val="24"/>
                <w:szCs w:val="24"/>
                <w:highlight w:val="none"/>
                <w:lang w:eastAsia="zh-CN"/>
              </w:rPr>
              <w:t>。</w:t>
            </w:r>
            <w:r>
              <w:rPr>
                <w:rFonts w:hint="eastAsia" w:eastAsia="仿宋_GB2312" w:cs="Times New Roman"/>
                <w:b w:val="0"/>
                <w:bCs/>
                <w:color w:val="auto"/>
                <w:sz w:val="24"/>
                <w:szCs w:val="24"/>
                <w:highlight w:val="none"/>
                <w:lang w:eastAsia="zh-CN"/>
              </w:rPr>
              <w:t>施工前</w:t>
            </w:r>
            <w:r>
              <w:rPr>
                <w:rFonts w:hint="eastAsia" w:eastAsia="仿宋_GB2312"/>
                <w:b w:val="0"/>
                <w:bCs/>
                <w:color w:val="auto"/>
                <w:sz w:val="24"/>
                <w:highlight w:val="none"/>
                <w:lang w:val="en-US" w:eastAsia="zh-CN"/>
              </w:rPr>
              <w:t>在主体工程部位沿河道布置纵向围堰，待河道内主体工程施工完毕后，进行围堰拆除，在进行围堰设置时会对清水河水生态环境产生影响</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
                <w:bCs w:val="0"/>
                <w:color w:val="auto"/>
                <w:sz w:val="24"/>
                <w:szCs w:val="24"/>
                <w:highlight w:val="none"/>
                <w:lang w:val="en-US" w:eastAsia="zh-CN"/>
              </w:rPr>
            </w:pPr>
            <w:r>
              <w:rPr>
                <w:rFonts w:hint="eastAsia" w:eastAsia="仿宋_GB2312" w:cs="Times New Roman"/>
                <w:b/>
                <w:bCs w:val="0"/>
                <w:color w:val="auto"/>
                <w:sz w:val="24"/>
                <w:szCs w:val="24"/>
                <w:highlight w:val="none"/>
                <w:lang w:val="en-US" w:eastAsia="zh-CN"/>
              </w:rPr>
              <w:t xml:space="preserve">1.1 </w:t>
            </w:r>
            <w:r>
              <w:rPr>
                <w:rFonts w:hint="default" w:ascii="Times New Roman" w:hAnsi="Times New Roman" w:eastAsia="仿宋_GB2312" w:cs="Times New Roman"/>
                <w:b/>
                <w:bCs w:val="0"/>
                <w:color w:val="auto"/>
                <w:sz w:val="24"/>
                <w:szCs w:val="24"/>
                <w:highlight w:val="none"/>
              </w:rPr>
              <w:t>土地利用的影响</w:t>
            </w:r>
            <w:r>
              <w:rPr>
                <w:rFonts w:hint="eastAsia" w:eastAsia="仿宋_GB2312" w:cs="Times New Roman"/>
                <w:b/>
                <w:bCs w:val="0"/>
                <w:color w:val="auto"/>
                <w:sz w:val="24"/>
                <w:szCs w:val="24"/>
                <w:highlight w:val="none"/>
                <w:lang w:val="en-US" w:eastAsia="zh-CN"/>
              </w:rPr>
              <w:t>分析</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eastAsia" w:eastAsia="仿宋_GB2312" w:cs="Times New Roman"/>
                <w:color w:val="auto"/>
                <w:sz w:val="24"/>
                <w:szCs w:val="24"/>
                <w:highlight w:val="none"/>
                <w:lang w:val="en-US" w:eastAsia="zh-CN"/>
              </w:rPr>
              <w:t>本</w:t>
            </w:r>
            <w:r>
              <w:rPr>
                <w:rFonts w:hint="default" w:ascii="Times New Roman" w:hAnsi="Times New Roman" w:eastAsia="仿宋_GB2312" w:cs="Times New Roman"/>
                <w:color w:val="auto"/>
                <w:sz w:val="24"/>
                <w:szCs w:val="24"/>
                <w:highlight w:val="none"/>
                <w:lang w:val="en-US" w:eastAsia="zh-CN"/>
              </w:rPr>
              <w:t>项目</w:t>
            </w:r>
            <w:r>
              <w:rPr>
                <w:rFonts w:hint="eastAsia" w:eastAsia="仿宋_GB2312" w:cs="Times New Roman"/>
                <w:color w:val="auto"/>
                <w:sz w:val="24"/>
                <w:szCs w:val="24"/>
                <w:highlight w:val="none"/>
                <w:lang w:val="en-US" w:eastAsia="zh-CN"/>
              </w:rPr>
              <w:t>道路清基</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高坡削坡</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土方开挖</w:t>
            </w:r>
            <w:r>
              <w:rPr>
                <w:rFonts w:hint="default" w:ascii="Times New Roman" w:hAnsi="Times New Roman" w:eastAsia="仿宋_GB2312" w:cs="Times New Roman"/>
                <w:color w:val="auto"/>
                <w:sz w:val="24"/>
                <w:szCs w:val="24"/>
                <w:highlight w:val="none"/>
                <w:lang w:val="en-US" w:eastAsia="zh-CN"/>
              </w:rPr>
              <w:t>等建设以及</w:t>
            </w:r>
            <w:r>
              <w:rPr>
                <w:rFonts w:hint="eastAsia" w:eastAsia="仿宋_GB2312" w:cs="Times New Roman"/>
                <w:color w:val="auto"/>
                <w:sz w:val="24"/>
                <w:szCs w:val="24"/>
                <w:highlight w:val="none"/>
                <w:lang w:val="en-US" w:eastAsia="zh-CN"/>
              </w:rPr>
              <w:t>临时占地会对地表植被产生破坏</w:t>
            </w:r>
            <w:r>
              <w:rPr>
                <w:rFonts w:hint="default" w:ascii="Times New Roman" w:hAnsi="Times New Roman" w:eastAsia="仿宋_GB2312" w:cs="Times New Roman"/>
                <w:color w:val="auto"/>
                <w:sz w:val="24"/>
                <w:szCs w:val="24"/>
                <w:highlight w:val="none"/>
                <w:lang w:val="en-US" w:eastAsia="zh-CN"/>
              </w:rPr>
              <w:t>，造成占地区域</w:t>
            </w:r>
            <w:r>
              <w:rPr>
                <w:rFonts w:hint="eastAsia" w:eastAsia="仿宋_GB2312" w:cs="Times New Roman"/>
                <w:color w:val="auto"/>
                <w:sz w:val="24"/>
                <w:szCs w:val="24"/>
                <w:highlight w:val="none"/>
                <w:lang w:val="en-US" w:eastAsia="zh-CN"/>
              </w:rPr>
              <w:t>植被</w:t>
            </w:r>
            <w:r>
              <w:rPr>
                <w:rFonts w:hint="default" w:ascii="Times New Roman" w:hAnsi="Times New Roman" w:eastAsia="仿宋_GB2312" w:cs="Times New Roman"/>
                <w:color w:val="auto"/>
                <w:sz w:val="24"/>
                <w:szCs w:val="24"/>
                <w:highlight w:val="none"/>
                <w:lang w:val="en-US" w:eastAsia="zh-CN"/>
              </w:rPr>
              <w:t>受损。因施工过程使原地貌发生改变，不能及时恢复，造成地表裸露，从而加剧了土壤的风蚀沙化。</w:t>
            </w:r>
            <w:r>
              <w:rPr>
                <w:rFonts w:hint="default" w:ascii="Times New Roman" w:hAnsi="Times New Roman" w:eastAsia="仿宋_GB2312" w:cs="Times New Roman"/>
                <w:color w:val="auto"/>
                <w:sz w:val="24"/>
                <w:szCs w:val="24"/>
                <w:highlight w:val="none"/>
              </w:rPr>
              <w:t>施工建设活动主要从以下几个方面促使形成新增水土流失：</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在项目建设过程中，由于原地表遭到人为扰动和破坏，形成场地边坡等再塑地貌，再塑地貌的岩土物质与原地面物质相比，结构松散，边坡大多不稳定，且施工期没有植被防护，抗侵蚀能力明显降低，易发生水土流失。</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土壤是被侵蚀的对象，本工程的建设对土体的扰动作用使扰动区土体结构松散，抗侵蚀力明显减弱，加剧了土壤侵蚀程度和强度。</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建设区原地表植被为</w:t>
            </w:r>
            <w:r>
              <w:rPr>
                <w:rFonts w:hint="eastAsia" w:eastAsia="仿宋_GB2312" w:cs="Times New Roman"/>
                <w:color w:val="auto"/>
                <w:sz w:val="24"/>
                <w:szCs w:val="24"/>
                <w:highlight w:val="none"/>
                <w:lang w:eastAsia="zh-CN"/>
              </w:rPr>
              <w:t>河滩地、荒地、林地、耕地</w:t>
            </w:r>
            <w:r>
              <w:rPr>
                <w:rFonts w:hint="default" w:ascii="Times New Roman" w:hAnsi="Times New Roman" w:eastAsia="仿宋_GB2312" w:cs="Times New Roman"/>
                <w:color w:val="auto"/>
                <w:sz w:val="24"/>
                <w:szCs w:val="24"/>
                <w:highlight w:val="none"/>
              </w:rPr>
              <w:t>，具有阻缓风蚀和水蚀的作用。在抗水蚀方面，能够截留降水，消减降雨能量，分散和滞缓地表径流，改善土体结构，固持和网络土体；在抗风蚀方面，削弱地表风力，防止风力直接侵蚀地表。工程建设破坏扰动了原地表植被，从而加速土壤侵蚀。</w:t>
            </w:r>
          </w:p>
          <w:p>
            <w:pPr>
              <w:pStyle w:val="4"/>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bookmarkStart w:id="3" w:name="_Toc15991"/>
            <w:bookmarkStart w:id="4" w:name="_Toc15363633"/>
            <w:r>
              <w:rPr>
                <w:rFonts w:hint="eastAsia" w:ascii="Times New Roman" w:hAnsi="Times New Roman" w:eastAsia="仿宋_GB2312" w:cs="Times New Roman"/>
                <w:b/>
                <w:bCs/>
                <w:color w:val="auto"/>
                <w:kern w:val="2"/>
                <w:sz w:val="24"/>
                <w:szCs w:val="24"/>
                <w:highlight w:val="none"/>
                <w:lang w:val="en-US" w:eastAsia="zh-CN" w:bidi="ar-SA"/>
              </w:rPr>
              <w:t xml:space="preserve">1.2 </w:t>
            </w:r>
            <w:r>
              <w:rPr>
                <w:rFonts w:hint="default" w:ascii="Times New Roman" w:hAnsi="Times New Roman" w:eastAsia="仿宋_GB2312" w:cs="Times New Roman"/>
                <w:b/>
                <w:bCs/>
                <w:color w:val="auto"/>
                <w:kern w:val="2"/>
                <w:sz w:val="24"/>
                <w:szCs w:val="24"/>
                <w:highlight w:val="none"/>
                <w:lang w:val="en-US" w:eastAsia="zh-CN" w:bidi="ar-SA"/>
              </w:rPr>
              <w:t>对植被</w:t>
            </w:r>
            <w:r>
              <w:rPr>
                <w:rFonts w:hint="eastAsia" w:ascii="Times New Roman" w:hAnsi="Times New Roman" w:eastAsia="仿宋_GB2312" w:cs="Times New Roman"/>
                <w:b/>
                <w:bCs/>
                <w:color w:val="auto"/>
                <w:kern w:val="2"/>
                <w:sz w:val="24"/>
                <w:szCs w:val="24"/>
                <w:highlight w:val="none"/>
                <w:lang w:val="en-US" w:eastAsia="zh-CN" w:bidi="ar-SA"/>
              </w:rPr>
              <w:t>的</w:t>
            </w:r>
            <w:r>
              <w:rPr>
                <w:rFonts w:hint="default" w:ascii="Times New Roman" w:hAnsi="Times New Roman" w:eastAsia="仿宋_GB2312" w:cs="Times New Roman"/>
                <w:b/>
                <w:bCs/>
                <w:color w:val="auto"/>
                <w:kern w:val="2"/>
                <w:sz w:val="24"/>
                <w:szCs w:val="24"/>
                <w:highlight w:val="none"/>
                <w:lang w:val="en-US" w:eastAsia="zh-CN" w:bidi="ar-SA"/>
              </w:rPr>
              <w:t>影响</w:t>
            </w:r>
            <w:bookmarkEnd w:id="3"/>
            <w:r>
              <w:rPr>
                <w:rFonts w:hint="eastAsia" w:eastAsia="仿宋_GB2312" w:cs="Times New Roman"/>
                <w:b/>
                <w:bCs w:val="0"/>
                <w:color w:val="auto"/>
                <w:sz w:val="24"/>
                <w:szCs w:val="24"/>
                <w:highlight w:val="none"/>
                <w:lang w:val="en-US" w:eastAsia="zh-CN"/>
              </w:rPr>
              <w:t>分析</w:t>
            </w:r>
          </w:p>
          <w:bookmarkEnd w:id="4"/>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建设项目施工期时，</w:t>
            </w:r>
            <w:r>
              <w:rPr>
                <w:rFonts w:hint="eastAsia" w:eastAsia="仿宋_GB2312" w:cs="Times New Roman"/>
                <w:color w:val="auto"/>
                <w:sz w:val="24"/>
                <w:szCs w:val="24"/>
                <w:highlight w:val="none"/>
                <w:lang w:val="en-US" w:eastAsia="zh-CN"/>
              </w:rPr>
              <w:t>高坡削坡</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土方开挖</w:t>
            </w:r>
            <w:r>
              <w:rPr>
                <w:rFonts w:hint="default" w:ascii="Times New Roman" w:hAnsi="Times New Roman" w:eastAsia="仿宋_GB2312" w:cs="Times New Roman"/>
                <w:color w:val="auto"/>
                <w:sz w:val="24"/>
                <w:szCs w:val="24"/>
                <w:highlight w:val="none"/>
                <w:lang w:val="en-US" w:eastAsia="zh-CN"/>
              </w:rPr>
              <w:t>等过程均要进行植被清除、开挖地表和地面建设，施工运输、施工机械、人员践踏、破坏了工程区域原有地貌和植被，造成一定植被的损失，因此将直接导致项目区范围内生物量的下降。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项目建成后，随着人工生态系统的建成，将使原有生态系统的完整性被改变。伴随着各项生态恢复措施的启动，破碎的生态系统结构也会逐渐得到改善，生态系统的完整性将得到修复</w:t>
            </w:r>
            <w:r>
              <w:rPr>
                <w:rFonts w:hint="default" w:ascii="Times New Roman" w:hAnsi="Times New Roman" w:eastAsia="仿宋_GB2312" w:cs="Times New Roman"/>
                <w:color w:val="auto"/>
                <w:sz w:val="24"/>
                <w:szCs w:val="24"/>
                <w:highlight w:val="none"/>
              </w:rPr>
              <w:t>。</w:t>
            </w:r>
          </w:p>
          <w:p>
            <w:pPr>
              <w:pStyle w:val="4"/>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bookmarkStart w:id="5" w:name="_Toc23333"/>
            <w:bookmarkStart w:id="6" w:name="_Toc18993"/>
            <w:bookmarkStart w:id="7" w:name="_Toc13377_WPSOffice_Level1"/>
            <w:bookmarkStart w:id="8" w:name="_Toc15363634"/>
            <w:r>
              <w:rPr>
                <w:rFonts w:hint="eastAsia" w:ascii="Times New Roman" w:hAnsi="Times New Roman" w:eastAsia="仿宋_GB2312" w:cs="Times New Roman"/>
                <w:b/>
                <w:bCs/>
                <w:color w:val="auto"/>
                <w:kern w:val="2"/>
                <w:sz w:val="24"/>
                <w:szCs w:val="24"/>
                <w:highlight w:val="none"/>
                <w:lang w:val="en-US" w:eastAsia="zh-CN" w:bidi="ar-SA"/>
              </w:rPr>
              <w:t xml:space="preserve">1.3 </w:t>
            </w:r>
            <w:bookmarkEnd w:id="5"/>
            <w:r>
              <w:rPr>
                <w:rFonts w:hint="default" w:ascii="Times New Roman" w:hAnsi="Times New Roman" w:eastAsia="仿宋_GB2312" w:cs="Times New Roman"/>
                <w:b/>
                <w:bCs/>
                <w:color w:val="auto"/>
                <w:kern w:val="2"/>
                <w:sz w:val="24"/>
                <w:szCs w:val="24"/>
                <w:highlight w:val="none"/>
                <w:lang w:val="en-US" w:eastAsia="zh-CN" w:bidi="ar-SA"/>
              </w:rPr>
              <w:t>对动物</w:t>
            </w:r>
            <w:r>
              <w:rPr>
                <w:rFonts w:hint="eastAsia" w:ascii="Times New Roman" w:hAnsi="Times New Roman" w:eastAsia="仿宋_GB2312" w:cs="Times New Roman"/>
                <w:b/>
                <w:bCs/>
                <w:color w:val="auto"/>
                <w:kern w:val="2"/>
                <w:sz w:val="24"/>
                <w:szCs w:val="24"/>
                <w:highlight w:val="none"/>
                <w:lang w:val="en-US" w:eastAsia="zh-CN" w:bidi="ar-SA"/>
              </w:rPr>
              <w:t>的</w:t>
            </w:r>
            <w:r>
              <w:rPr>
                <w:rFonts w:hint="default" w:ascii="Times New Roman" w:hAnsi="Times New Roman" w:eastAsia="仿宋_GB2312" w:cs="Times New Roman"/>
                <w:b/>
                <w:bCs/>
                <w:color w:val="auto"/>
                <w:kern w:val="2"/>
                <w:sz w:val="24"/>
                <w:szCs w:val="24"/>
                <w:highlight w:val="none"/>
                <w:lang w:val="en-US" w:eastAsia="zh-CN" w:bidi="ar-SA"/>
              </w:rPr>
              <w:t>影响</w:t>
            </w:r>
            <w:r>
              <w:rPr>
                <w:rFonts w:hint="eastAsia" w:eastAsia="仿宋_GB2312" w:cs="Times New Roman"/>
                <w:b/>
                <w:bCs w:val="0"/>
                <w:color w:val="auto"/>
                <w:sz w:val="24"/>
                <w:szCs w:val="24"/>
                <w:highlight w:val="none"/>
                <w:lang w:val="en-US" w:eastAsia="zh-CN"/>
              </w:rPr>
              <w:t>分析</w:t>
            </w:r>
          </w:p>
          <w:bookmarkEnd w:id="6"/>
          <w:bookmarkEnd w:id="7"/>
          <w:bookmarkEnd w:id="8"/>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rPr>
            </w:pPr>
            <w:bookmarkStart w:id="9" w:name="_Toc405288419"/>
            <w:r>
              <w:rPr>
                <w:rFonts w:hint="default" w:ascii="Times New Roman" w:hAnsi="Times New Roman" w:eastAsia="仿宋_GB2312" w:cs="Times New Roman"/>
                <w:color w:val="auto"/>
                <w:sz w:val="24"/>
                <w:szCs w:val="24"/>
                <w:highlight w:val="none"/>
              </w:rPr>
              <w:t>本项目</w:t>
            </w:r>
            <w:r>
              <w:rPr>
                <w:rFonts w:hint="default" w:ascii="Times New Roman" w:hAnsi="Times New Roman" w:eastAsia="仿宋_GB2312" w:cs="Times New Roman"/>
                <w:color w:val="auto"/>
                <w:sz w:val="24"/>
                <w:szCs w:val="24"/>
                <w:highlight w:val="none"/>
                <w:lang w:eastAsia="zh-CN"/>
              </w:rPr>
              <w:t>区</w:t>
            </w:r>
            <w:r>
              <w:rPr>
                <w:rFonts w:hint="default" w:ascii="Times New Roman" w:hAnsi="Times New Roman" w:eastAsia="仿宋_GB2312" w:cs="Times New Roman"/>
                <w:color w:val="auto"/>
                <w:sz w:val="24"/>
                <w:szCs w:val="24"/>
                <w:highlight w:val="none"/>
              </w:rPr>
              <w:t>动物种类及数量较少。施工期</w:t>
            </w:r>
            <w:r>
              <w:rPr>
                <w:rFonts w:hint="default" w:ascii="Times New Roman" w:hAnsi="Times New Roman" w:eastAsia="仿宋_GB2312" w:cs="Times New Roman"/>
                <w:color w:val="auto"/>
                <w:sz w:val="24"/>
                <w:szCs w:val="24"/>
                <w:highlight w:val="none"/>
                <w:lang w:val="en-US" w:eastAsia="zh-CN"/>
              </w:rPr>
              <w:t>建设以及</w:t>
            </w:r>
            <w:r>
              <w:rPr>
                <w:rFonts w:hint="default" w:ascii="Times New Roman" w:hAnsi="Times New Roman" w:eastAsia="仿宋_GB2312" w:cs="Times New Roman"/>
                <w:color w:val="auto"/>
                <w:sz w:val="24"/>
                <w:szCs w:val="24"/>
                <w:highlight w:val="none"/>
              </w:rPr>
              <w:t>施工人员的活动和机械噪声等将会对施工区及周围一定范围内野生动物的活动产生一定影响，但这种影响只是引起野生动物暂时的、局部的迁移，待</w:t>
            </w:r>
            <w:r>
              <w:rPr>
                <w:rFonts w:hint="eastAsia" w:eastAsia="仿宋_GB2312" w:cs="Times New Roman"/>
                <w:color w:val="auto"/>
                <w:sz w:val="24"/>
                <w:szCs w:val="24"/>
                <w:highlight w:val="none"/>
                <w:lang w:val="en-US" w:eastAsia="zh-CN"/>
              </w:rPr>
              <w:t>项目结束生态修复</w:t>
            </w:r>
            <w:r>
              <w:rPr>
                <w:rFonts w:hint="default" w:ascii="Times New Roman" w:hAnsi="Times New Roman" w:eastAsia="仿宋_GB2312" w:cs="Times New Roman"/>
                <w:color w:val="auto"/>
                <w:sz w:val="24"/>
                <w:szCs w:val="24"/>
                <w:highlight w:val="none"/>
                <w:lang w:val="en-US" w:eastAsia="zh-CN"/>
              </w:rPr>
              <w:t>完成后，对区域的扰动结束后，</w:t>
            </w:r>
            <w:r>
              <w:rPr>
                <w:rFonts w:hint="default" w:ascii="Times New Roman" w:hAnsi="Times New Roman" w:eastAsia="仿宋_GB2312" w:cs="Times New Roman"/>
                <w:color w:val="auto"/>
                <w:sz w:val="24"/>
                <w:szCs w:val="24"/>
                <w:highlight w:val="none"/>
              </w:rPr>
              <w:t>这种影响亦将消失。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由于施工时间短、施工点分散、施工人员</w:t>
            </w:r>
            <w:r>
              <w:rPr>
                <w:rFonts w:hint="default" w:ascii="Times New Roman" w:hAnsi="Times New Roman" w:eastAsia="仿宋_GB2312" w:cs="Times New Roman"/>
                <w:color w:val="auto"/>
                <w:sz w:val="24"/>
                <w:szCs w:val="24"/>
                <w:highlight w:val="none"/>
                <w:lang w:eastAsia="zh-CN"/>
              </w:rPr>
              <w:t>较</w:t>
            </w:r>
            <w:r>
              <w:rPr>
                <w:rFonts w:hint="default" w:ascii="Times New Roman" w:hAnsi="Times New Roman" w:eastAsia="仿宋_GB2312" w:cs="Times New Roman"/>
                <w:color w:val="auto"/>
                <w:sz w:val="24"/>
                <w:szCs w:val="24"/>
                <w:highlight w:val="none"/>
              </w:rPr>
              <w:t>少等原因，项目施工对动物的影响范围小，影响时间短，同时由于动物栖息环境和活动区域范围较大，食性广泛，且有一定迁移能力，因此本工程施工建设过程虽对动物生命活动产生了一定程度的不利影响，但不会改变其种群结构，其种群数量也不会因本工程建设而受到大的影响。主要在施工过程中加强管理，杜绝人为捕猎行为，施工不会对野生动物造成明显的影响。</w:t>
            </w:r>
          </w:p>
          <w:bookmarkEnd w:id="9"/>
          <w:p>
            <w:pPr>
              <w:pStyle w:val="4"/>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t xml:space="preserve">1.4 </w:t>
            </w:r>
            <w:r>
              <w:rPr>
                <w:rFonts w:hint="default" w:ascii="Times New Roman" w:hAnsi="Times New Roman" w:eastAsia="仿宋_GB2312" w:cs="Times New Roman"/>
                <w:b/>
                <w:bCs/>
                <w:color w:val="auto"/>
                <w:kern w:val="2"/>
                <w:sz w:val="24"/>
                <w:szCs w:val="24"/>
                <w:highlight w:val="none"/>
                <w:lang w:val="en-US" w:eastAsia="zh-CN" w:bidi="ar-SA"/>
              </w:rPr>
              <w:t>土壤侵蚀影响分析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Cs/>
                <w:color w:val="auto"/>
                <w:sz w:val="24"/>
                <w:szCs w:val="24"/>
                <w:highlight w:val="none"/>
                <w:lang w:val="en-US" w:eastAsia="zh-CN"/>
              </w:rPr>
              <w:t>经过施工期的</w:t>
            </w:r>
            <w:r>
              <w:rPr>
                <w:rFonts w:hint="eastAsia" w:eastAsia="仿宋_GB2312" w:cs="Times New Roman"/>
                <w:bCs/>
                <w:color w:val="auto"/>
                <w:sz w:val="24"/>
                <w:szCs w:val="24"/>
                <w:highlight w:val="none"/>
                <w:lang w:val="en-US" w:eastAsia="zh-CN"/>
              </w:rPr>
              <w:t>土方</w:t>
            </w:r>
            <w:r>
              <w:rPr>
                <w:rFonts w:hint="default" w:ascii="Times New Roman" w:hAnsi="Times New Roman" w:eastAsia="仿宋_GB2312" w:cs="Times New Roman"/>
                <w:bCs/>
                <w:color w:val="auto"/>
                <w:sz w:val="24"/>
                <w:szCs w:val="24"/>
                <w:highlight w:val="none"/>
                <w:lang w:val="en-US" w:eastAsia="zh-CN"/>
              </w:rPr>
              <w:t>开挖、平整后，原地貌、土壤和植被的破坏严重，使其失去原有的防冲、固土的能力，导致土体抗侵蚀能力降低，土壤侵蚀加剧。在施工期间，若不采取相应的水土保持措施，将导致项目建设区水土流失急剧增加。但随着绿化的配套，地表扰动相对减轻，水土流失逐渐减弱</w:t>
            </w:r>
            <w:r>
              <w:rPr>
                <w:rFonts w:hint="eastAsia" w:ascii="Times New Roman" w:hAnsi="Times New Roman" w:eastAsia="仿宋_GB2312" w:cs="Times New Roman"/>
                <w:color w:val="auto"/>
                <w:sz w:val="24"/>
                <w:szCs w:val="24"/>
                <w:highlight w:val="none"/>
              </w:rPr>
              <w:t>。</w:t>
            </w:r>
          </w:p>
          <w:p>
            <w:pPr>
              <w:adjustRightInd w:val="0"/>
              <w:spacing w:line="360" w:lineRule="auto"/>
              <w:ind w:left="440"/>
              <w:rPr>
                <w:rFonts w:hint="default" w:eastAsia="仿宋_GB2312"/>
                <w:b/>
                <w:bCs/>
                <w:color w:val="auto"/>
                <w:spacing w:val="-10"/>
                <w:sz w:val="24"/>
                <w:highlight w:val="none"/>
                <w:lang w:val="en-US" w:eastAsia="zh-CN"/>
              </w:rPr>
            </w:pPr>
            <w:r>
              <w:rPr>
                <w:rFonts w:hint="eastAsia" w:eastAsia="仿宋_GB2312"/>
                <w:b/>
                <w:bCs/>
                <w:color w:val="auto"/>
                <w:spacing w:val="-10"/>
                <w:sz w:val="24"/>
                <w:highlight w:val="none"/>
                <w:lang w:val="en-US" w:eastAsia="zh-CN"/>
              </w:rPr>
              <w:t>1.5 水生生态影响分析</w:t>
            </w:r>
          </w:p>
          <w:p>
            <w:p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本项目施工期对水生生态的影响主要集中在工程河道施工区域。对水生生态的影响主要表现在导流围堰的设置与拆除活动对浮游植物、浮游动物、底栖生物的影响，以及由此引起的对鱼类的影响。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w:t>
            </w:r>
            <w:r>
              <w:rPr>
                <w:rFonts w:hint="eastAsia" w:eastAsia="仿宋_GB2312"/>
                <w:b w:val="0"/>
                <w:bCs w:val="0"/>
                <w:color w:val="auto"/>
                <w:spacing w:val="-10"/>
                <w:sz w:val="24"/>
                <w:highlight w:val="none"/>
                <w:lang w:val="en-US" w:eastAsia="zh-CN"/>
              </w:rPr>
              <w:t>1</w:t>
            </w:r>
            <w:r>
              <w:rPr>
                <w:rFonts w:hint="eastAsia" w:eastAsia="仿宋_GB2312"/>
                <w:b w:val="0"/>
                <w:bCs w:val="0"/>
                <w:color w:val="auto"/>
                <w:spacing w:val="-10"/>
                <w:sz w:val="24"/>
                <w:highlight w:val="none"/>
                <w:lang w:eastAsia="zh-CN"/>
              </w:rPr>
              <w:t>）对浮游植物的影响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本项目施工前先设置围堰，然后进行施工导流，导流后河道晾晒数日进行开挖。对水体透明度的影响主要是在围堰的设置和拆除、施工导流等过程中产生的影响。这些施工活动在施工过程中会扰动水体，搅动底泥，产生大量悬浮物，悬浮物在重力、波浪、风力等因素作用下扩 散、运动，将会形成一定范围的悬浮物高密度分布区域，从而引起水体悬浮物浓度增加，造成施工作业点周围区域悬浮物浓度的增加，造成水质浑浊，在其扩散范围内不同程度地降低水体透光率并影响水域的浮游生物的生存环境；光强减少，将阻碍浮游植物的光合作用，从而降低水体初级生产力，使浮游植物生物量下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本项目沿线河段内的浮游生物均常见物种，这些浮游生物具有普生性的特点，且适应环境的能力很强，施工建设可能会降低施工区域浮游生物的生物量，但不会对其种类组成、结构造成影响，且这种影响是暂时的，会随着施工的结束而逐渐得到恢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w:t>
            </w:r>
            <w:r>
              <w:rPr>
                <w:rFonts w:hint="eastAsia" w:eastAsia="仿宋_GB2312"/>
                <w:b w:val="0"/>
                <w:bCs w:val="0"/>
                <w:color w:val="auto"/>
                <w:spacing w:val="-10"/>
                <w:sz w:val="24"/>
                <w:highlight w:val="none"/>
                <w:lang w:val="en-US" w:eastAsia="zh-CN"/>
              </w:rPr>
              <w:t>2</w:t>
            </w:r>
            <w:r>
              <w:rPr>
                <w:rFonts w:hint="eastAsia" w:eastAsia="仿宋_GB2312"/>
                <w:b w:val="0"/>
                <w:bCs w:val="0"/>
                <w:color w:val="auto"/>
                <w:spacing w:val="-10"/>
                <w:sz w:val="24"/>
                <w:highlight w:val="none"/>
                <w:lang w:eastAsia="zh-CN"/>
              </w:rPr>
              <w:t>）对浮游动物的影响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施工期围堰的设置和拆除、施工导流等过程中造成的水体扰动会导致河流水体污染程度增加，一方面水体相对稳定性降低，影响浮游动物群落的生物多样性和群落稳定性；另一方面，这些影响使得浮游植物生物量大大减少，间接影响浮游动物的生物量，浮游动物生物量也会明显减少，并间接影响桡足类和枝角类浮游动物的摄食率，最终影响其繁殖、发育和变态，进而对局部区域内鱼类资源产生一定的影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本项目沿线河段内的浮游动物均常见物种，广泛分布在沿线河流中，随着治 理工程结束，河流治理后水流恢复，泥沙含量减少，水深增加，水体透明度增加， 在一定程度上有利于轮虫及浮游甲壳动物的繁殖，从而增加浮游动物种类丰度和 生物量。随着浮游植物生物量的增加，浮游动物群落会较快时间得以恢复并重建， 其物种也会发展出适于较好生境生存的种类。</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w:t>
            </w:r>
            <w:r>
              <w:rPr>
                <w:rFonts w:hint="eastAsia" w:eastAsia="仿宋_GB2312"/>
                <w:b w:val="0"/>
                <w:bCs w:val="0"/>
                <w:color w:val="auto"/>
                <w:spacing w:val="-10"/>
                <w:sz w:val="24"/>
                <w:highlight w:val="none"/>
                <w:lang w:val="en-US" w:eastAsia="zh-CN"/>
              </w:rPr>
              <w:t>3</w:t>
            </w:r>
            <w:r>
              <w:rPr>
                <w:rFonts w:hint="eastAsia" w:eastAsia="仿宋_GB2312"/>
                <w:b w:val="0"/>
                <w:bCs w:val="0"/>
                <w:color w:val="auto"/>
                <w:spacing w:val="-10"/>
                <w:sz w:val="24"/>
                <w:highlight w:val="none"/>
                <w:lang w:eastAsia="zh-CN"/>
              </w:rPr>
              <w:t>）对鱼类的影响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清水河沙坡头区段鱼类为鲤鱼、鲫鱼等常见鱼类。项目施工导流、围堰的设置和拆除扰动水体对鱼类的影响主要是悬浮物浓度的增加对施工区域附近的部分鱼类造成伤害，降低了该区域的鱼类密度。施工期悬浮物的增加破坏水质，悬浮物将在一定范围内形成高浓度扩散场，悬浮颗粒将直接对鱼类造成伤害，主要表现为影响胚胎发育，悬浮物堵塞鰓部造成室息死亡。大量悬浮物造成水体严重缺氧而导致生物死亡，悬浮物有害物质二次污染造成生物死亡等。</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项目完工后，水中悬浮物下降，水质恢复，水体浮游植物及浮游动物的逐渐 恢复，鱼类生存环境逐步恢复，鱼类慢慢迁回至区域河段内，密度也逐渐恢复。施工结束后，河流生态生境得到改善，将为鱼类资源的恢复和生长提供更好的环境。</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w:t>
            </w:r>
            <w:r>
              <w:rPr>
                <w:rFonts w:hint="eastAsia" w:eastAsia="仿宋_GB2312"/>
                <w:b w:val="0"/>
                <w:bCs w:val="0"/>
                <w:color w:val="auto"/>
                <w:spacing w:val="-10"/>
                <w:sz w:val="24"/>
                <w:highlight w:val="none"/>
                <w:lang w:val="en-US" w:eastAsia="zh-CN"/>
              </w:rPr>
              <w:t>4</w:t>
            </w:r>
            <w:r>
              <w:rPr>
                <w:rFonts w:hint="eastAsia" w:eastAsia="仿宋_GB2312"/>
                <w:b w:val="0"/>
                <w:bCs w:val="0"/>
                <w:color w:val="auto"/>
                <w:spacing w:val="-10"/>
                <w:sz w:val="24"/>
                <w:highlight w:val="none"/>
                <w:lang w:eastAsia="zh-CN"/>
              </w:rPr>
              <w:t>）对水生植物的影响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项目施工导流、围堰的设置和拆除活动会在水体中产生大量的悬浮物，在施工点周围将会形成一定范围的悬浮物高密度分布区域，降低水体透明度，从而影响该范围内的水生植物的生长和繁育，若持续时间过长，会导致水生植物死亡，施工结束后悬浮物含量可逐渐恢复到原有水平，即使扩散影响区域的水生植物已死亡，待到生长季节，水体透明度合适时，这些水生植物还会重新萌发、生长。</w:t>
            </w:r>
          </w:p>
          <w:p>
            <w:pPr>
              <w:adjustRightInd w:val="0"/>
              <w:spacing w:line="360" w:lineRule="auto"/>
              <w:ind w:left="440"/>
              <w:rPr>
                <w:rFonts w:hint="eastAsia" w:eastAsia="仿宋_GB2312"/>
                <w:b/>
                <w:bCs/>
                <w:color w:val="auto"/>
                <w:spacing w:val="-10"/>
                <w:sz w:val="24"/>
                <w:highlight w:val="none"/>
                <w:lang w:eastAsia="zh-CN"/>
              </w:rPr>
            </w:pPr>
            <w:r>
              <w:rPr>
                <w:rFonts w:hint="eastAsia" w:eastAsia="仿宋_GB2312"/>
                <w:b/>
                <w:bCs/>
                <w:color w:val="auto"/>
                <w:spacing w:val="-10"/>
                <w:sz w:val="24"/>
                <w:highlight w:val="none"/>
              </w:rPr>
              <w:t>2、</w:t>
            </w:r>
            <w:r>
              <w:rPr>
                <w:rFonts w:hint="eastAsia" w:eastAsia="仿宋_GB2312"/>
                <w:b/>
                <w:bCs/>
                <w:color w:val="auto"/>
                <w:spacing w:val="-10"/>
                <w:sz w:val="24"/>
                <w:highlight w:val="none"/>
                <w:lang w:eastAsia="zh-CN"/>
              </w:rPr>
              <w:t>大气环境影响分析</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rPr>
            </w:pPr>
            <w:r>
              <w:rPr>
                <w:rFonts w:hint="eastAsia" w:eastAsia="仿宋_GB2312" w:cs="Times New Roman"/>
                <w:b/>
                <w:bCs/>
                <w:color w:val="auto"/>
                <w:sz w:val="24"/>
                <w:szCs w:val="24"/>
                <w:highlight w:val="none"/>
                <w:lang w:val="en-US" w:eastAsia="zh-CN"/>
              </w:rPr>
              <w:t>2.1施工</w:t>
            </w:r>
            <w:r>
              <w:rPr>
                <w:rFonts w:hint="default" w:ascii="Times New Roman" w:hAnsi="Times New Roman" w:eastAsia="仿宋_GB2312" w:cs="Times New Roman"/>
                <w:b/>
                <w:bCs/>
                <w:color w:val="auto"/>
                <w:sz w:val="24"/>
                <w:szCs w:val="24"/>
                <w:highlight w:val="none"/>
              </w:rPr>
              <w:t>扬尘</w:t>
            </w:r>
          </w:p>
          <w:p>
            <w:pPr>
              <w:adjustRightInd w:val="0"/>
              <w:spacing w:line="360" w:lineRule="auto"/>
              <w:ind w:firstLine="440" w:firstLineChars="200"/>
              <w:rPr>
                <w:rFonts w:hint="default" w:ascii="Times New Roman" w:hAnsi="Times New Roman" w:eastAsia="仿宋_GB2312" w:cs="Times New Roman"/>
                <w:bCs/>
                <w:color w:val="auto"/>
                <w:spacing w:val="-10"/>
                <w:sz w:val="24"/>
                <w:highlight w:val="none"/>
              </w:rPr>
            </w:pPr>
            <w:r>
              <w:rPr>
                <w:rFonts w:hint="default" w:ascii="Times New Roman" w:hAnsi="Times New Roman" w:eastAsia="仿宋_GB2312" w:cs="Times New Roman"/>
                <w:bCs/>
                <w:color w:val="auto"/>
                <w:spacing w:val="-10"/>
                <w:sz w:val="24"/>
                <w:highlight w:val="none"/>
              </w:rPr>
              <w:t>本项目施工期对大气环境的影响主要来源于</w:t>
            </w:r>
            <w:r>
              <w:rPr>
                <w:rFonts w:hint="eastAsia" w:eastAsia="仿宋_GB2312" w:cs="Times New Roman"/>
                <w:bCs/>
                <w:color w:val="auto"/>
                <w:spacing w:val="-10"/>
                <w:sz w:val="24"/>
                <w:highlight w:val="none"/>
                <w:lang w:eastAsia="zh-CN"/>
              </w:rPr>
              <w:t>道路清基</w:t>
            </w:r>
            <w:r>
              <w:rPr>
                <w:rFonts w:hint="default" w:ascii="Times New Roman" w:hAnsi="Times New Roman" w:eastAsia="仿宋_GB2312" w:cs="Times New Roman"/>
                <w:bCs/>
                <w:color w:val="auto"/>
                <w:spacing w:val="-10"/>
                <w:sz w:val="24"/>
                <w:highlight w:val="none"/>
              </w:rPr>
              <w:t>、</w:t>
            </w:r>
            <w:r>
              <w:rPr>
                <w:rFonts w:hint="eastAsia" w:eastAsia="仿宋_GB2312" w:cs="Times New Roman"/>
                <w:bCs/>
                <w:color w:val="auto"/>
                <w:spacing w:val="-10"/>
                <w:sz w:val="24"/>
                <w:highlight w:val="none"/>
                <w:lang w:eastAsia="zh-CN"/>
              </w:rPr>
              <w:t>土方</w:t>
            </w:r>
            <w:r>
              <w:rPr>
                <w:rFonts w:hint="default" w:ascii="Times New Roman" w:hAnsi="Times New Roman" w:eastAsia="仿宋_GB2312" w:cs="Times New Roman"/>
                <w:bCs/>
                <w:color w:val="auto"/>
                <w:spacing w:val="-10"/>
                <w:sz w:val="24"/>
                <w:highlight w:val="none"/>
              </w:rPr>
              <w:t>开挖等一次扬尘，和建筑材料、土方的汽车运输及施工车辆行驶等产生的二次扬尘，其主要污染物为TSP；这些大气污染物会对周围环境空气质量产生一定影响，其产生量和浓度与施工期的天气状况、施工防护程度、施工方式、物料粒态等有关。</w:t>
            </w:r>
          </w:p>
          <w:p>
            <w:pPr>
              <w:adjustRightInd w:val="0"/>
              <w:spacing w:line="360" w:lineRule="auto"/>
              <w:ind w:firstLine="480" w:firstLineChars="200"/>
              <w:rPr>
                <w:rFonts w:hint="default" w:ascii="Times New Roman" w:hAnsi="Times New Roman" w:eastAsia="仿宋_GB2312" w:cs="Times New Roman"/>
                <w:bCs/>
                <w:color w:val="auto"/>
                <w:spacing w:val="0"/>
                <w:sz w:val="24"/>
                <w:highlight w:val="none"/>
              </w:rPr>
            </w:pPr>
            <w:r>
              <w:rPr>
                <w:rFonts w:hint="default" w:ascii="Times New Roman" w:hAnsi="Times New Roman" w:eastAsia="仿宋_GB2312" w:cs="Times New Roman"/>
                <w:bCs/>
                <w:color w:val="auto"/>
                <w:spacing w:val="0"/>
                <w:sz w:val="24"/>
                <w:highlight w:val="none"/>
                <w:lang w:val="en-US" w:eastAsia="zh-CN"/>
              </w:rPr>
              <w:t>本项目为</w:t>
            </w:r>
            <w:r>
              <w:rPr>
                <w:rFonts w:hint="default" w:eastAsia="仿宋_GB2312" w:cs="Times New Roman"/>
                <w:bCs/>
                <w:color w:val="auto"/>
                <w:spacing w:val="0"/>
                <w:sz w:val="24"/>
                <w:highlight w:val="none"/>
                <w:lang w:val="en-US" w:eastAsia="zh-CN"/>
              </w:rPr>
              <w:t>清水河岸线修复与保护</w:t>
            </w:r>
            <w:r>
              <w:rPr>
                <w:rFonts w:hint="default" w:ascii="Times New Roman" w:hAnsi="Times New Roman" w:eastAsia="仿宋_GB2312" w:cs="Times New Roman"/>
                <w:bCs/>
                <w:color w:val="auto"/>
                <w:spacing w:val="0"/>
                <w:sz w:val="24"/>
                <w:highlight w:val="none"/>
                <w:lang w:val="en-US" w:eastAsia="zh-CN"/>
              </w:rPr>
              <w:t>，</w:t>
            </w:r>
            <w:r>
              <w:rPr>
                <w:rFonts w:hint="default" w:ascii="Times New Roman" w:hAnsi="Times New Roman" w:eastAsia="仿宋_GB2312" w:cs="Times New Roman"/>
                <w:bCs/>
                <w:color w:val="auto"/>
                <w:spacing w:val="0"/>
                <w:sz w:val="24"/>
                <w:highlight w:val="none"/>
              </w:rPr>
              <w:t>开挖量小，施工时间较短，影响区域较小，故对周围环境空气的影响只是短期的、小范围的，并且能够很快恢复，施工扬尘对周围环境的影响较小。</w:t>
            </w:r>
          </w:p>
          <w:p>
            <w:pPr>
              <w:adjustRightInd w:val="0"/>
              <w:spacing w:line="360" w:lineRule="auto"/>
              <w:ind w:firstLine="442" w:firstLineChars="200"/>
              <w:rPr>
                <w:rFonts w:hint="default" w:eastAsia="仿宋_GB2312"/>
                <w:b/>
                <w:bCs/>
                <w:color w:val="auto"/>
                <w:spacing w:val="-10"/>
                <w:sz w:val="24"/>
                <w:highlight w:val="none"/>
                <w:lang w:val="en-US" w:eastAsia="zh-CN"/>
              </w:rPr>
            </w:pPr>
            <w:r>
              <w:rPr>
                <w:rFonts w:hint="eastAsia" w:eastAsia="仿宋_GB2312"/>
                <w:b/>
                <w:bCs/>
                <w:color w:val="auto"/>
                <w:spacing w:val="-10"/>
                <w:sz w:val="24"/>
                <w:highlight w:val="none"/>
                <w:lang w:val="en-US" w:eastAsia="zh-CN"/>
              </w:rPr>
              <w:t>2.2 原料装卸、运输及堆存扬尘</w:t>
            </w:r>
          </w:p>
          <w:p>
            <w:pPr>
              <w:adjustRightInd w:val="0"/>
              <w:spacing w:line="360" w:lineRule="auto"/>
              <w:ind w:firstLine="440" w:firstLineChars="200"/>
              <w:rPr>
                <w:rFonts w:hint="eastAsia" w:eastAsia="仿宋_GB2312"/>
                <w:b w:val="0"/>
                <w:bCs w:val="0"/>
                <w:color w:val="auto"/>
                <w:spacing w:val="-10"/>
                <w:sz w:val="24"/>
                <w:highlight w:val="none"/>
                <w:lang w:val="en-US" w:eastAsia="zh-CN"/>
              </w:rPr>
            </w:pPr>
            <w:r>
              <w:rPr>
                <w:rFonts w:hint="eastAsia" w:eastAsia="仿宋_GB2312"/>
                <w:b w:val="0"/>
                <w:bCs w:val="0"/>
                <w:color w:val="auto"/>
                <w:spacing w:val="-10"/>
                <w:sz w:val="24"/>
                <w:highlight w:val="none"/>
                <w:lang w:val="en-US" w:eastAsia="zh-CN"/>
              </w:rPr>
              <w:t>土方及原材料装卸过程会产生一定的起尘颗粒，土方运输过程中如不采取遮盖措施，也产生起尘颗粒，会对周边产生一定的扬尘污染。</w:t>
            </w:r>
          </w:p>
          <w:p>
            <w:p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rPr>
              <w:t>项目露天堆放剥离表土，因含水率低，其表层含大量的易起尘颗粒物，在干燥及起风的情况，易在堆放点</w:t>
            </w:r>
            <w:r>
              <w:rPr>
                <w:rFonts w:hint="eastAsia" w:eastAsia="仿宋_GB2312"/>
                <w:b w:val="0"/>
                <w:bCs w:val="0"/>
                <w:color w:val="auto"/>
                <w:spacing w:val="-10"/>
                <w:sz w:val="24"/>
                <w:highlight w:val="none"/>
                <w:lang w:val="en-US" w:eastAsia="zh-CN"/>
              </w:rPr>
              <w:t>也会对</w:t>
            </w:r>
            <w:r>
              <w:rPr>
                <w:rFonts w:hint="eastAsia" w:eastAsia="仿宋_GB2312"/>
                <w:b w:val="0"/>
                <w:bCs w:val="0"/>
                <w:color w:val="auto"/>
                <w:spacing w:val="-10"/>
                <w:sz w:val="24"/>
                <w:highlight w:val="none"/>
              </w:rPr>
              <w:t>周边产生一定的扬尘污染</w:t>
            </w:r>
            <w:r>
              <w:rPr>
                <w:rFonts w:hint="eastAsia" w:eastAsia="仿宋_GB2312"/>
                <w:b w:val="0"/>
                <w:bCs w:val="0"/>
                <w:color w:val="auto"/>
                <w:spacing w:val="-10"/>
                <w:sz w:val="24"/>
                <w:highlight w:val="none"/>
                <w:lang w:eastAsia="zh-CN"/>
              </w:rPr>
              <w:t>。</w:t>
            </w:r>
          </w:p>
          <w:p>
            <w:pPr>
              <w:adjustRightInd w:val="0"/>
              <w:spacing w:line="360" w:lineRule="auto"/>
              <w:ind w:firstLine="442" w:firstLineChars="200"/>
              <w:rPr>
                <w:rFonts w:hint="default" w:eastAsia="仿宋_GB2312"/>
                <w:b/>
                <w:bCs/>
                <w:color w:val="auto"/>
                <w:spacing w:val="-10"/>
                <w:sz w:val="24"/>
                <w:highlight w:val="none"/>
                <w:lang w:val="en-US" w:eastAsia="zh-CN"/>
              </w:rPr>
            </w:pPr>
            <w:r>
              <w:rPr>
                <w:rFonts w:hint="eastAsia" w:eastAsia="仿宋_GB2312"/>
                <w:b/>
                <w:bCs/>
                <w:color w:val="auto"/>
                <w:spacing w:val="-10"/>
                <w:sz w:val="24"/>
                <w:highlight w:val="none"/>
                <w:lang w:val="en-US" w:eastAsia="zh-CN"/>
              </w:rPr>
              <w:t>2.3 施工机械和车辆尾气</w:t>
            </w:r>
          </w:p>
          <w:p>
            <w:pPr>
              <w:adjustRightInd w:val="0"/>
              <w:spacing w:line="360" w:lineRule="auto"/>
              <w:ind w:firstLine="440" w:firstLineChars="200"/>
              <w:rPr>
                <w:rFonts w:hint="eastAsia" w:eastAsia="仿宋_GB2312"/>
                <w:b w:val="0"/>
                <w:bCs w:val="0"/>
                <w:color w:val="auto"/>
                <w:spacing w:val="-10"/>
                <w:sz w:val="24"/>
                <w:highlight w:val="none"/>
                <w:vertAlign w:val="baseline"/>
                <w:lang w:eastAsia="zh-CN"/>
              </w:rPr>
            </w:pPr>
            <w:r>
              <w:rPr>
                <w:rFonts w:hint="eastAsia" w:eastAsia="仿宋_GB2312"/>
                <w:b w:val="0"/>
                <w:bCs w:val="0"/>
                <w:color w:val="auto"/>
                <w:spacing w:val="-10"/>
                <w:sz w:val="24"/>
                <w:highlight w:val="none"/>
              </w:rPr>
              <w:t>建设单位施工期间使用的施工机械主要有压路机、柴油动力机械等，运输车辆主要有卡车、载重车等，施工机械和运输车辆排放尾气中的污染物主要有CO、NO</w:t>
            </w:r>
            <w:r>
              <w:rPr>
                <w:rFonts w:hint="eastAsia" w:eastAsia="仿宋_GB2312"/>
                <w:b w:val="0"/>
                <w:bCs w:val="0"/>
                <w:color w:val="auto"/>
                <w:spacing w:val="-10"/>
                <w:sz w:val="24"/>
                <w:highlight w:val="none"/>
                <w:vertAlign w:val="subscript"/>
              </w:rPr>
              <w:t>2</w:t>
            </w:r>
            <w:r>
              <w:rPr>
                <w:rFonts w:hint="eastAsia" w:eastAsia="仿宋_GB2312"/>
                <w:b w:val="0"/>
                <w:bCs w:val="0"/>
                <w:color w:val="auto"/>
                <w:spacing w:val="-10"/>
                <w:sz w:val="24"/>
                <w:highlight w:val="none"/>
              </w:rPr>
              <w:t>等，</w:t>
            </w:r>
            <w:r>
              <w:rPr>
                <w:rFonts w:hint="default" w:ascii="Times New Roman" w:hAnsi="Times New Roman" w:eastAsia="仿宋_GB2312" w:cs="Times New Roman"/>
                <w:color w:val="auto"/>
                <w:spacing w:val="0"/>
                <w:kern w:val="2"/>
                <w:sz w:val="24"/>
                <w:szCs w:val="24"/>
                <w:highlight w:val="none"/>
                <w:u w:val="none"/>
                <w:lang w:val="en-US" w:eastAsia="zh-CN" w:bidi="ar-SA"/>
              </w:rPr>
              <w:t>属于无组织排放。由于施工场地车辆和各种燃油机械沿线布置，尾气排放源强不大，为非连续间歇式排放。项目区空间通畅，通风条件良好，对周边环境空气的影响不大</w:t>
            </w:r>
            <w:r>
              <w:rPr>
                <w:rFonts w:hint="eastAsia" w:eastAsia="仿宋_GB2312"/>
                <w:b w:val="0"/>
                <w:bCs w:val="0"/>
                <w:color w:val="auto"/>
                <w:spacing w:val="-10"/>
                <w:sz w:val="24"/>
                <w:highlight w:val="none"/>
                <w:vertAlign w:val="baseline"/>
                <w:lang w:eastAsia="zh-CN"/>
              </w:rPr>
              <w:t>。</w:t>
            </w:r>
          </w:p>
          <w:p>
            <w:pPr>
              <w:adjustRightInd w:val="0"/>
              <w:spacing w:line="360" w:lineRule="auto"/>
              <w:ind w:firstLine="442" w:firstLineChars="200"/>
              <w:rPr>
                <w:rFonts w:hint="eastAsia" w:eastAsia="仿宋_GB2312"/>
                <w:b/>
                <w:bCs/>
                <w:color w:val="auto"/>
                <w:spacing w:val="-10"/>
                <w:sz w:val="24"/>
                <w:highlight w:val="none"/>
                <w:lang w:eastAsia="zh-CN"/>
              </w:rPr>
            </w:pPr>
            <w:r>
              <w:rPr>
                <w:rFonts w:hint="eastAsia" w:eastAsia="仿宋_GB2312"/>
                <w:b/>
                <w:bCs/>
                <w:color w:val="auto"/>
                <w:spacing w:val="-10"/>
                <w:sz w:val="24"/>
                <w:highlight w:val="none"/>
              </w:rPr>
              <w:t>3、</w:t>
            </w:r>
            <w:r>
              <w:rPr>
                <w:rFonts w:hint="eastAsia" w:eastAsia="仿宋_GB2312"/>
                <w:b/>
                <w:bCs/>
                <w:color w:val="auto"/>
                <w:spacing w:val="-10"/>
                <w:sz w:val="24"/>
                <w:highlight w:val="none"/>
                <w:lang w:eastAsia="zh-CN"/>
              </w:rPr>
              <w:t>水</w:t>
            </w:r>
            <w:r>
              <w:rPr>
                <w:rFonts w:hint="eastAsia" w:eastAsia="仿宋_GB2312"/>
                <w:b/>
                <w:bCs/>
                <w:color w:val="auto"/>
                <w:spacing w:val="-10"/>
                <w:sz w:val="24"/>
                <w:highlight w:val="none"/>
              </w:rPr>
              <w:t>环境</w:t>
            </w:r>
            <w:r>
              <w:rPr>
                <w:rFonts w:hint="eastAsia" w:eastAsia="仿宋_GB2312"/>
                <w:b/>
                <w:bCs/>
                <w:color w:val="auto"/>
                <w:spacing w:val="-10"/>
                <w:sz w:val="24"/>
                <w:highlight w:val="none"/>
                <w:lang w:eastAsia="zh-CN"/>
              </w:rPr>
              <w:t>影响分析</w:t>
            </w:r>
          </w:p>
          <w:p>
            <w:pPr>
              <w:pStyle w:val="15"/>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u w:val="none"/>
                <w:lang w:val="en-US" w:eastAsia="zh-CN" w:bidi="ar-SA"/>
              </w:rPr>
            </w:pPr>
            <w:r>
              <w:rPr>
                <w:rFonts w:hint="default" w:ascii="Times New Roman" w:hAnsi="Times New Roman" w:eastAsia="仿宋_GB2312" w:cs="Times New Roman"/>
                <w:color w:val="auto"/>
                <w:spacing w:val="0"/>
                <w:kern w:val="2"/>
                <w:sz w:val="24"/>
                <w:szCs w:val="24"/>
                <w:highlight w:val="none"/>
                <w:u w:val="none"/>
                <w:lang w:val="en-US" w:eastAsia="zh-CN" w:bidi="ar-SA"/>
              </w:rPr>
              <w:t>（1）生活污水</w:t>
            </w:r>
          </w:p>
          <w:p>
            <w:pPr>
              <w:pStyle w:val="15"/>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u w:val="none"/>
                <w:lang w:val="en-US" w:eastAsia="zh-CN" w:bidi="ar-SA"/>
              </w:rPr>
            </w:pPr>
            <w:r>
              <w:rPr>
                <w:rFonts w:hint="default" w:ascii="Times New Roman" w:hAnsi="Times New Roman" w:eastAsia="仿宋_GB2312" w:cs="Times New Roman"/>
                <w:color w:val="auto"/>
                <w:spacing w:val="0"/>
                <w:kern w:val="2"/>
                <w:sz w:val="24"/>
                <w:szCs w:val="24"/>
                <w:highlight w:val="none"/>
                <w:u w:val="none"/>
                <w:lang w:val="en-US" w:eastAsia="zh-CN" w:bidi="ar-SA"/>
              </w:rPr>
              <w:t>本项目施工期共</w:t>
            </w:r>
            <w:r>
              <w:rPr>
                <w:rFonts w:hint="eastAsia" w:ascii="Times New Roman" w:hAnsi="Times New Roman" w:eastAsia="仿宋_GB2312" w:cs="Times New Roman"/>
                <w:color w:val="auto"/>
                <w:spacing w:val="0"/>
                <w:kern w:val="2"/>
                <w:sz w:val="24"/>
                <w:szCs w:val="24"/>
                <w:highlight w:val="none"/>
                <w:u w:val="none"/>
                <w:lang w:val="en-US" w:eastAsia="zh-CN" w:bidi="ar-SA"/>
              </w:rPr>
              <w:t>四</w:t>
            </w:r>
            <w:r>
              <w:rPr>
                <w:rFonts w:hint="default" w:ascii="Times New Roman" w:hAnsi="Times New Roman" w:eastAsia="仿宋_GB2312" w:cs="Times New Roman"/>
                <w:color w:val="auto"/>
                <w:spacing w:val="0"/>
                <w:kern w:val="2"/>
                <w:sz w:val="24"/>
                <w:szCs w:val="24"/>
                <w:highlight w:val="none"/>
                <w:u w:val="none"/>
                <w:lang w:val="en-US" w:eastAsia="zh-CN" w:bidi="ar-SA"/>
              </w:rPr>
              <w:t>个月约</w:t>
            </w:r>
            <w:r>
              <w:rPr>
                <w:rFonts w:hint="eastAsia" w:ascii="Times New Roman" w:hAnsi="Times New Roman" w:eastAsia="仿宋_GB2312" w:cs="Times New Roman"/>
                <w:color w:val="auto"/>
                <w:spacing w:val="0"/>
                <w:kern w:val="2"/>
                <w:sz w:val="24"/>
                <w:szCs w:val="24"/>
                <w:highlight w:val="none"/>
                <w:u w:val="none"/>
                <w:lang w:val="en-US" w:eastAsia="zh-CN" w:bidi="ar-SA"/>
              </w:rPr>
              <w:t>120</w:t>
            </w:r>
            <w:r>
              <w:rPr>
                <w:rFonts w:hint="default" w:ascii="Times New Roman" w:hAnsi="Times New Roman" w:eastAsia="仿宋_GB2312" w:cs="Times New Roman"/>
                <w:color w:val="auto"/>
                <w:spacing w:val="0"/>
                <w:kern w:val="2"/>
                <w:sz w:val="24"/>
                <w:szCs w:val="24"/>
                <w:highlight w:val="none"/>
                <w:u w:val="none"/>
                <w:lang w:val="en-US" w:eastAsia="zh-CN" w:bidi="ar-SA"/>
              </w:rPr>
              <w:t>天，施工高峰人数为60人，按照生活用水0.12m</w:t>
            </w:r>
            <w:r>
              <w:rPr>
                <w:rFonts w:hint="default" w:ascii="Times New Roman" w:hAnsi="Times New Roman" w:eastAsia="仿宋_GB2312" w:cs="Times New Roman"/>
                <w:color w:val="auto"/>
                <w:spacing w:val="0"/>
                <w:kern w:val="2"/>
                <w:sz w:val="24"/>
                <w:szCs w:val="24"/>
                <w:highlight w:val="none"/>
                <w:u w:val="none"/>
                <w:vertAlign w:val="superscript"/>
                <w:lang w:val="en-US" w:eastAsia="zh-CN" w:bidi="ar-SA"/>
              </w:rPr>
              <w:t>3</w:t>
            </w:r>
            <w:r>
              <w:rPr>
                <w:rFonts w:hint="default" w:ascii="Times New Roman" w:hAnsi="Times New Roman" w:eastAsia="仿宋_GB2312" w:cs="Times New Roman"/>
                <w:color w:val="auto"/>
                <w:spacing w:val="0"/>
                <w:kern w:val="2"/>
                <w:sz w:val="24"/>
                <w:szCs w:val="24"/>
                <w:highlight w:val="none"/>
                <w:u w:val="none"/>
                <w:lang w:val="en-US" w:eastAsia="zh-CN" w:bidi="ar-SA"/>
              </w:rPr>
              <w:t>/d·人计，则施工高峰期用水量为7.2m</w:t>
            </w:r>
            <w:r>
              <w:rPr>
                <w:rFonts w:hint="default" w:ascii="Times New Roman" w:hAnsi="Times New Roman" w:eastAsia="仿宋_GB2312" w:cs="Times New Roman"/>
                <w:color w:val="auto"/>
                <w:spacing w:val="0"/>
                <w:kern w:val="2"/>
                <w:sz w:val="24"/>
                <w:szCs w:val="24"/>
                <w:highlight w:val="none"/>
                <w:u w:val="none"/>
                <w:vertAlign w:val="superscript"/>
                <w:lang w:val="en-US" w:eastAsia="zh-CN" w:bidi="ar-SA"/>
              </w:rPr>
              <w:t>3</w:t>
            </w:r>
            <w:r>
              <w:rPr>
                <w:rFonts w:hint="default" w:ascii="Times New Roman" w:hAnsi="Times New Roman" w:eastAsia="仿宋_GB2312" w:cs="Times New Roman"/>
                <w:color w:val="auto"/>
                <w:spacing w:val="0"/>
                <w:kern w:val="2"/>
                <w:sz w:val="24"/>
                <w:szCs w:val="24"/>
                <w:highlight w:val="none"/>
                <w:u w:val="none"/>
                <w:lang w:val="en-US" w:eastAsia="zh-CN" w:bidi="ar-SA"/>
              </w:rPr>
              <w:t>/d，取污水排放系数为0.8，则施工高峰期最大排污量为5.76m</w:t>
            </w:r>
            <w:r>
              <w:rPr>
                <w:rFonts w:hint="default" w:ascii="Times New Roman" w:hAnsi="Times New Roman" w:eastAsia="仿宋_GB2312" w:cs="Times New Roman"/>
                <w:color w:val="auto"/>
                <w:spacing w:val="0"/>
                <w:kern w:val="2"/>
                <w:sz w:val="24"/>
                <w:szCs w:val="24"/>
                <w:highlight w:val="none"/>
                <w:u w:val="none"/>
                <w:vertAlign w:val="superscript"/>
                <w:lang w:val="en-US" w:eastAsia="zh-CN" w:bidi="ar-SA"/>
              </w:rPr>
              <w:t>3</w:t>
            </w:r>
            <w:r>
              <w:rPr>
                <w:rFonts w:hint="default" w:ascii="Times New Roman" w:hAnsi="Times New Roman" w:eastAsia="仿宋_GB2312" w:cs="Times New Roman"/>
                <w:color w:val="auto"/>
                <w:spacing w:val="0"/>
                <w:kern w:val="2"/>
                <w:sz w:val="24"/>
                <w:szCs w:val="24"/>
                <w:highlight w:val="none"/>
                <w:u w:val="none"/>
                <w:lang w:val="en-US" w:eastAsia="zh-CN" w:bidi="ar-SA"/>
              </w:rPr>
              <w:t>/d，主要污染物为COD</w:t>
            </w:r>
            <w:r>
              <w:rPr>
                <w:rFonts w:hint="default" w:ascii="Times New Roman" w:hAnsi="Times New Roman" w:eastAsia="仿宋_GB2312" w:cs="Times New Roman"/>
                <w:color w:val="auto"/>
                <w:spacing w:val="0"/>
                <w:kern w:val="2"/>
                <w:sz w:val="24"/>
                <w:szCs w:val="24"/>
                <w:highlight w:val="none"/>
                <w:u w:val="none"/>
                <w:vertAlign w:val="subscript"/>
                <w:lang w:val="en-US" w:eastAsia="zh-CN" w:bidi="ar-SA"/>
              </w:rPr>
              <w:t>Cr</w:t>
            </w:r>
            <w:r>
              <w:rPr>
                <w:rFonts w:hint="default" w:ascii="Times New Roman" w:hAnsi="Times New Roman" w:eastAsia="仿宋_GB2312" w:cs="Times New Roman"/>
                <w:color w:val="auto"/>
                <w:spacing w:val="0"/>
                <w:kern w:val="2"/>
                <w:sz w:val="24"/>
                <w:szCs w:val="24"/>
                <w:highlight w:val="none"/>
                <w:u w:val="none"/>
                <w:lang w:val="en-US" w:eastAsia="zh-CN" w:bidi="ar-SA"/>
              </w:rPr>
              <w:t>、BOD</w:t>
            </w:r>
            <w:r>
              <w:rPr>
                <w:rFonts w:hint="default" w:ascii="Times New Roman" w:hAnsi="Times New Roman" w:eastAsia="仿宋_GB2312" w:cs="Times New Roman"/>
                <w:color w:val="auto"/>
                <w:spacing w:val="0"/>
                <w:kern w:val="2"/>
                <w:sz w:val="24"/>
                <w:szCs w:val="24"/>
                <w:highlight w:val="none"/>
                <w:u w:val="none"/>
                <w:vertAlign w:val="subscript"/>
                <w:lang w:val="en-US" w:eastAsia="zh-CN" w:bidi="ar-SA"/>
              </w:rPr>
              <w:t>5</w:t>
            </w:r>
            <w:r>
              <w:rPr>
                <w:rFonts w:hint="default" w:ascii="Times New Roman" w:hAnsi="Times New Roman" w:eastAsia="仿宋_GB2312" w:cs="Times New Roman"/>
                <w:color w:val="auto"/>
                <w:spacing w:val="0"/>
                <w:kern w:val="2"/>
                <w:sz w:val="24"/>
                <w:szCs w:val="24"/>
                <w:highlight w:val="none"/>
                <w:u w:val="none"/>
                <w:lang w:val="en-US" w:eastAsia="zh-CN" w:bidi="ar-SA"/>
              </w:rPr>
              <w:t>、SS、氨氮等。由于施工期生活污水的排放全部依托租住民房，排入农村污水管网，进入宏爱村污水处理站进行处理，</w:t>
            </w:r>
            <w:r>
              <w:rPr>
                <w:rFonts w:hint="eastAsia" w:eastAsia="仿宋_GB2312" w:cs="Times New Roman"/>
                <w:color w:val="auto"/>
                <w:spacing w:val="0"/>
                <w:kern w:val="2"/>
                <w:sz w:val="24"/>
                <w:szCs w:val="24"/>
                <w:highlight w:val="none"/>
                <w:u w:val="none"/>
                <w:lang w:val="en-US" w:eastAsia="zh-CN" w:bidi="ar-SA"/>
              </w:rPr>
              <w:t>因此，</w:t>
            </w:r>
            <w:r>
              <w:rPr>
                <w:rFonts w:hint="default" w:ascii="Times New Roman" w:hAnsi="Times New Roman" w:eastAsia="仿宋_GB2312" w:cs="Times New Roman"/>
                <w:color w:val="auto"/>
                <w:spacing w:val="0"/>
                <w:kern w:val="2"/>
                <w:sz w:val="24"/>
                <w:szCs w:val="24"/>
                <w:highlight w:val="none"/>
                <w:u w:val="none"/>
                <w:lang w:val="en-US" w:eastAsia="zh-CN" w:bidi="ar-SA"/>
              </w:rPr>
              <w:t>不会对水环境造成影响。</w:t>
            </w:r>
          </w:p>
          <w:p>
            <w:pPr>
              <w:pStyle w:val="15"/>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u w:val="none"/>
                <w:lang w:val="en-US" w:eastAsia="zh-CN" w:bidi="ar-SA"/>
              </w:rPr>
            </w:pPr>
            <w:r>
              <w:rPr>
                <w:rFonts w:hint="default" w:ascii="Times New Roman" w:hAnsi="Times New Roman" w:eastAsia="仿宋_GB2312" w:cs="Times New Roman"/>
                <w:color w:val="auto"/>
                <w:spacing w:val="0"/>
                <w:kern w:val="2"/>
                <w:sz w:val="24"/>
                <w:szCs w:val="24"/>
                <w:highlight w:val="none"/>
                <w:u w:val="none"/>
                <w:lang w:val="en-US" w:eastAsia="zh-CN" w:bidi="ar-SA"/>
              </w:rPr>
              <w:t>（2）施工废水</w:t>
            </w:r>
          </w:p>
          <w:p>
            <w:pPr>
              <w:pStyle w:val="15"/>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eastAsia="仿宋_GB2312"/>
                <w:bCs/>
                <w:color w:val="auto"/>
                <w:spacing w:val="-10"/>
                <w:sz w:val="24"/>
                <w:highlight w:val="none"/>
                <w:lang w:eastAsia="zh-CN"/>
              </w:rPr>
            </w:pPr>
            <w:r>
              <w:rPr>
                <w:rFonts w:hint="default" w:ascii="Times New Roman" w:hAnsi="Times New Roman" w:eastAsia="仿宋_GB2312" w:cs="Times New Roman"/>
                <w:color w:val="auto"/>
                <w:spacing w:val="0"/>
                <w:kern w:val="2"/>
                <w:sz w:val="24"/>
                <w:szCs w:val="24"/>
                <w:highlight w:val="none"/>
                <w:u w:val="none"/>
                <w:lang w:val="en-US" w:eastAsia="zh-CN" w:bidi="ar-SA"/>
              </w:rPr>
              <w:t>本项目施工期</w:t>
            </w:r>
            <w:r>
              <w:rPr>
                <w:rFonts w:hint="eastAsia" w:eastAsia="仿宋_GB2312" w:cs="Times New Roman"/>
                <w:color w:val="auto"/>
                <w:spacing w:val="0"/>
                <w:kern w:val="2"/>
                <w:sz w:val="24"/>
                <w:szCs w:val="24"/>
                <w:highlight w:val="none"/>
                <w:u w:val="none"/>
                <w:lang w:val="en-US" w:eastAsia="zh-CN" w:bidi="ar-SA"/>
              </w:rPr>
              <w:t>不产生施工废水</w:t>
            </w:r>
            <w:r>
              <w:rPr>
                <w:rFonts w:hint="default" w:ascii="Times New Roman" w:hAnsi="Times New Roman" w:eastAsia="仿宋_GB2312" w:cs="Times New Roman"/>
                <w:color w:val="auto"/>
                <w:spacing w:val="0"/>
                <w:kern w:val="2"/>
                <w:sz w:val="24"/>
                <w:szCs w:val="24"/>
                <w:highlight w:val="none"/>
                <w:u w:val="none"/>
                <w:lang w:val="en-US" w:eastAsia="zh-CN" w:bidi="ar-SA"/>
              </w:rPr>
              <w:t>。</w:t>
            </w:r>
            <w:r>
              <w:rPr>
                <w:rFonts w:hint="eastAsia" w:ascii="Times New Roman" w:hAnsi="Times New Roman" w:eastAsia="仿宋_GB2312" w:cs="Times New Roman"/>
                <w:color w:val="auto"/>
                <w:spacing w:val="0"/>
                <w:kern w:val="2"/>
                <w:sz w:val="24"/>
                <w:szCs w:val="24"/>
                <w:highlight w:val="none"/>
                <w:u w:val="none"/>
                <w:lang w:val="en-US" w:eastAsia="zh-CN" w:bidi="ar-SA"/>
              </w:rPr>
              <w:t>在施工期间禁止将土方、建筑垃圾、生活垃圾等排入清水河以及黄河，生活污水全部</w:t>
            </w:r>
            <w:r>
              <w:rPr>
                <w:rFonts w:hint="eastAsia" w:eastAsia="仿宋_GB2312" w:cs="Times New Roman"/>
                <w:color w:val="auto"/>
                <w:spacing w:val="0"/>
                <w:kern w:val="2"/>
                <w:sz w:val="24"/>
                <w:szCs w:val="24"/>
                <w:highlight w:val="none"/>
                <w:u w:val="none"/>
                <w:lang w:val="en-US" w:eastAsia="zh-CN" w:bidi="ar-SA"/>
              </w:rPr>
              <w:t>妥善处置</w:t>
            </w:r>
            <w:r>
              <w:rPr>
                <w:rFonts w:hint="eastAsia" w:ascii="Times New Roman" w:hAnsi="Times New Roman" w:eastAsia="仿宋_GB2312" w:cs="Times New Roman"/>
                <w:color w:val="auto"/>
                <w:spacing w:val="0"/>
                <w:kern w:val="2"/>
                <w:sz w:val="24"/>
                <w:szCs w:val="24"/>
                <w:highlight w:val="none"/>
                <w:u w:val="none"/>
                <w:lang w:val="en-US" w:eastAsia="zh-CN" w:bidi="ar-SA"/>
              </w:rPr>
              <w:t>，不会对</w:t>
            </w:r>
            <w:r>
              <w:rPr>
                <w:rFonts w:hint="default" w:ascii="Times New Roman" w:hAnsi="Times New Roman" w:eastAsia="仿宋_GB2312" w:cs="Times New Roman"/>
                <w:color w:val="auto"/>
                <w:spacing w:val="0"/>
                <w:kern w:val="2"/>
                <w:sz w:val="24"/>
                <w:szCs w:val="24"/>
                <w:highlight w:val="none"/>
                <w:u w:val="none"/>
                <w:lang w:val="en-US" w:eastAsia="zh-CN" w:bidi="ar-SA"/>
              </w:rPr>
              <w:t>水环境</w:t>
            </w:r>
            <w:r>
              <w:rPr>
                <w:rFonts w:hint="eastAsia" w:ascii="Times New Roman" w:hAnsi="Times New Roman" w:eastAsia="仿宋_GB2312" w:cs="Times New Roman"/>
                <w:color w:val="auto"/>
                <w:spacing w:val="0"/>
                <w:kern w:val="2"/>
                <w:sz w:val="24"/>
                <w:szCs w:val="24"/>
                <w:highlight w:val="none"/>
                <w:u w:val="none"/>
                <w:lang w:val="en-US" w:eastAsia="zh-CN" w:bidi="ar-SA"/>
              </w:rPr>
              <w:t>产生</w:t>
            </w:r>
            <w:r>
              <w:rPr>
                <w:rFonts w:hint="default" w:ascii="Times New Roman" w:hAnsi="Times New Roman" w:eastAsia="仿宋_GB2312" w:cs="Times New Roman"/>
                <w:color w:val="auto"/>
                <w:spacing w:val="0"/>
                <w:kern w:val="2"/>
                <w:sz w:val="24"/>
                <w:szCs w:val="24"/>
                <w:highlight w:val="none"/>
                <w:u w:val="none"/>
                <w:lang w:val="en-US" w:eastAsia="zh-CN" w:bidi="ar-SA"/>
              </w:rPr>
              <w:t>影响。</w:t>
            </w:r>
            <w:r>
              <w:rPr>
                <w:rFonts w:hint="eastAsia" w:ascii="Times New Roman" w:hAnsi="Times New Roman" w:eastAsia="仿宋_GB2312" w:cs="Times New Roman"/>
                <w:color w:val="auto"/>
                <w:spacing w:val="0"/>
                <w:kern w:val="2"/>
                <w:sz w:val="24"/>
                <w:szCs w:val="24"/>
                <w:highlight w:val="none"/>
                <w:u w:val="none"/>
                <w:lang w:val="en-US" w:eastAsia="zh-CN" w:bidi="ar-SA"/>
              </w:rPr>
              <w:t>综上所述，本项目对水环境影响较小</w:t>
            </w:r>
            <w:r>
              <w:rPr>
                <w:rFonts w:hint="eastAsia" w:ascii="Times New Roman" w:hAnsi="Times New Roman" w:eastAsia="仿宋_GB2312" w:cs="Times New Roman"/>
                <w:color w:val="auto"/>
                <w:sz w:val="24"/>
                <w:szCs w:val="24"/>
                <w:highlight w:val="none"/>
                <w:lang w:val="en-US" w:eastAsia="zh-CN"/>
              </w:rPr>
              <w:t>。</w:t>
            </w:r>
          </w:p>
          <w:p>
            <w:pPr>
              <w:adjustRightInd w:val="0"/>
              <w:spacing w:line="360" w:lineRule="auto"/>
              <w:ind w:firstLine="442" w:firstLineChars="200"/>
              <w:rPr>
                <w:rFonts w:hint="eastAsia" w:eastAsia="仿宋_GB2312"/>
                <w:b/>
                <w:bCs/>
                <w:color w:val="auto"/>
                <w:spacing w:val="-10"/>
                <w:sz w:val="24"/>
                <w:highlight w:val="none"/>
                <w:lang w:val="en-US" w:eastAsia="zh-CN"/>
              </w:rPr>
            </w:pPr>
            <w:r>
              <w:rPr>
                <w:rFonts w:hint="eastAsia" w:eastAsia="仿宋_GB2312"/>
                <w:b/>
                <w:bCs/>
                <w:color w:val="auto"/>
                <w:spacing w:val="-10"/>
                <w:sz w:val="24"/>
                <w:highlight w:val="none"/>
                <w:lang w:val="en-US" w:eastAsia="zh-CN"/>
              </w:rPr>
              <w:t>4、声环境影响分析</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cs="Times New Roman"/>
                <w:color w:val="auto"/>
                <w:sz w:val="24"/>
                <w:szCs w:val="24"/>
                <w:highlight w:val="none"/>
                <w:lang w:eastAsia="zh-CN"/>
              </w:rPr>
            </w:pP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1</w:t>
            </w:r>
            <w:r>
              <w:rPr>
                <w:rFonts w:hint="eastAsia" w:eastAsia="仿宋_GB2312" w:cs="Times New Roman"/>
                <w:color w:val="auto"/>
                <w:sz w:val="24"/>
                <w:szCs w:val="24"/>
                <w:highlight w:val="none"/>
                <w:lang w:eastAsia="zh-CN"/>
              </w:rPr>
              <w:t>）不同距离处的噪声贡献值</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项目在施工过程中，施工机械类型较多，如</w:t>
            </w:r>
            <w:r>
              <w:rPr>
                <w:rFonts w:hint="eastAsia" w:eastAsia="仿宋_GB2312" w:cs="Times New Roman"/>
                <w:color w:val="auto"/>
                <w:sz w:val="24"/>
                <w:szCs w:val="24"/>
                <w:highlight w:val="none"/>
                <w:lang w:eastAsia="zh-CN"/>
              </w:rPr>
              <w:t>压路机</w:t>
            </w:r>
            <w:r>
              <w:rPr>
                <w:rFonts w:hint="default"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eastAsia="zh-CN"/>
              </w:rPr>
              <w:t>挖掘机</w:t>
            </w:r>
            <w:r>
              <w:rPr>
                <w:rFonts w:hint="default" w:ascii="Times New Roman" w:hAnsi="Times New Roman" w:eastAsia="仿宋_GB2312" w:cs="Times New Roman"/>
                <w:color w:val="auto"/>
                <w:sz w:val="24"/>
                <w:szCs w:val="24"/>
                <w:highlight w:val="none"/>
              </w:rPr>
              <w:t>等。各种施工机械的运转都会产生噪声，主要施工噪声源见表</w:t>
            </w:r>
            <w:r>
              <w:rPr>
                <w:rFonts w:hint="eastAsia" w:eastAsia="仿宋_GB2312" w:cs="Times New Roman"/>
                <w:color w:val="auto"/>
                <w:sz w:val="24"/>
                <w:szCs w:val="24"/>
                <w:highlight w:val="none"/>
                <w:lang w:val="en-US" w:eastAsia="zh-CN"/>
              </w:rPr>
              <w:t>20</w:t>
            </w:r>
            <w:r>
              <w:rPr>
                <w:rFonts w:hint="default" w:ascii="Times New Roman" w:hAnsi="Times New Roman" w:eastAsia="仿宋_GB2312" w:cs="Times New Roman"/>
                <w:color w:val="auto"/>
                <w:sz w:val="24"/>
                <w:szCs w:val="24"/>
                <w:highlight w:val="none"/>
              </w:rPr>
              <w:t>。</w:t>
            </w:r>
          </w:p>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right="0" w:rightChars="0" w:firstLine="480" w:firstLineChars="200"/>
              <w:jc w:val="both"/>
              <w:textAlignment w:val="auto"/>
              <w:rPr>
                <w:rFonts w:hint="default" w:ascii="Times New Roman" w:hAnsi="Times New Roman" w:eastAsia="黑体" w:cs="Times New Roman"/>
                <w:b w:val="0"/>
                <w:bCs/>
                <w:color w:val="auto"/>
                <w:sz w:val="24"/>
                <w:szCs w:val="24"/>
                <w:highlight w:val="none"/>
              </w:rPr>
            </w:pPr>
            <w:r>
              <w:rPr>
                <w:rFonts w:hint="default" w:ascii="Times New Roman" w:hAnsi="Times New Roman" w:eastAsia="黑体" w:cs="Times New Roman"/>
                <w:b w:val="0"/>
                <w:bCs/>
                <w:color w:val="auto"/>
                <w:sz w:val="24"/>
                <w:szCs w:val="24"/>
                <w:highlight w:val="none"/>
                <w:lang w:eastAsia="zh-CN"/>
              </w:rPr>
              <w:t>表</w:t>
            </w:r>
            <w:r>
              <w:rPr>
                <w:rFonts w:hint="eastAsia" w:ascii="Times New Roman" w:hAnsi="Times New Roman" w:eastAsia="黑体" w:cs="Times New Roman"/>
                <w:b w:val="0"/>
                <w:bCs/>
                <w:color w:val="auto"/>
                <w:sz w:val="24"/>
                <w:szCs w:val="24"/>
                <w:highlight w:val="none"/>
                <w:lang w:val="en-US" w:eastAsia="zh-CN"/>
              </w:rPr>
              <w:t>20</w:t>
            </w:r>
            <w:r>
              <w:rPr>
                <w:rFonts w:hint="default" w:ascii="Times New Roman" w:hAnsi="Times New Roman" w:eastAsia="黑体" w:cs="Times New Roman"/>
                <w:b w:val="0"/>
                <w:bCs/>
                <w:color w:val="auto"/>
                <w:sz w:val="24"/>
                <w:szCs w:val="24"/>
                <w:highlight w:val="none"/>
                <w:lang w:val="en-US" w:eastAsia="zh-CN"/>
              </w:rPr>
              <w:t xml:space="preserve">            </w:t>
            </w:r>
            <w:r>
              <w:rPr>
                <w:rFonts w:hint="default" w:ascii="Times New Roman" w:hAnsi="Times New Roman" w:eastAsia="黑体" w:cs="Times New Roman"/>
                <w:b w:val="0"/>
                <w:bCs/>
                <w:color w:val="auto"/>
                <w:sz w:val="24"/>
                <w:szCs w:val="24"/>
                <w:highlight w:val="none"/>
              </w:rPr>
              <w:t>主要施工机械噪声源强表</w:t>
            </w:r>
          </w:p>
          <w:tbl>
            <w:tblPr>
              <w:tblStyle w:val="6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3"/>
              <w:gridCol w:w="1093"/>
              <w:gridCol w:w="745"/>
              <w:gridCol w:w="745"/>
              <w:gridCol w:w="745"/>
              <w:gridCol w:w="745"/>
              <w:gridCol w:w="745"/>
              <w:gridCol w:w="745"/>
              <w:gridCol w:w="7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tblHeader/>
                <w:jc w:val="center"/>
              </w:trPr>
              <w:tc>
                <w:tcPr>
                  <w:tcW w:w="1703" w:type="pct"/>
                  <w:gridSpan w:val="2"/>
                  <w:noWrap/>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ascii="宋体" w:hAnsi="宋体" w:eastAsia="宋体"/>
                      <w:b/>
                      <w:color w:val="auto"/>
                      <w:sz w:val="21"/>
                      <w:szCs w:val="21"/>
                      <w:highlight w:val="none"/>
                    </w:rPr>
                  </w:pPr>
                  <w:r>
                    <w:rPr>
                      <w:rFonts w:ascii="宋体" w:hAnsi="宋体" w:eastAsia="宋体"/>
                      <w:b/>
                      <w:color w:val="auto"/>
                      <w:sz w:val="21"/>
                      <w:szCs w:val="21"/>
                      <w:highlight w:val="none"/>
                    </w:rPr>
                    <w:t>噪声源</w:t>
                  </w:r>
                </w:p>
              </w:tc>
              <w:tc>
                <w:tcPr>
                  <w:tcW w:w="3296" w:type="pct"/>
                  <w:gridSpan w:val="7"/>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ascii="宋体" w:hAnsi="宋体" w:eastAsia="宋体"/>
                      <w:b/>
                      <w:color w:val="auto"/>
                      <w:sz w:val="21"/>
                      <w:szCs w:val="21"/>
                      <w:highlight w:val="none"/>
                    </w:rPr>
                  </w:pPr>
                  <w:r>
                    <w:rPr>
                      <w:rFonts w:ascii="宋体" w:hAnsi="宋体" w:eastAsia="宋体"/>
                      <w:b/>
                      <w:color w:val="auto"/>
                      <w:sz w:val="21"/>
                      <w:szCs w:val="21"/>
                      <w:highlight w:val="none"/>
                    </w:rPr>
                    <w:t>距噪声源不同距离噪声级dB(A)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tblHeader/>
                <w:jc w:val="center"/>
              </w:trPr>
              <w:tc>
                <w:tcPr>
                  <w:tcW w:w="1012" w:type="pct"/>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噪声设备</w:t>
                  </w:r>
                </w:p>
              </w:tc>
              <w:tc>
                <w:tcPr>
                  <w:tcW w:w="690" w:type="pct"/>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噪声级dB(A)</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20m</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40m</w:t>
                  </w:r>
                </w:p>
              </w:tc>
              <w:tc>
                <w:tcPr>
                  <w:tcW w:w="470" w:type="pct"/>
                  <w:tcBorders>
                    <w:right w:val="single" w:color="auto" w:sz="4" w:space="0"/>
                  </w:tcBorders>
                  <w:noWrap/>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60m</w:t>
                  </w:r>
                </w:p>
              </w:tc>
              <w:tc>
                <w:tcPr>
                  <w:tcW w:w="470" w:type="pct"/>
                  <w:tcBorders>
                    <w:left w:val="single" w:color="auto" w:sz="4" w:space="0"/>
                  </w:tcBorders>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80m</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100m</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150m</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12"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压路机</w:t>
                  </w:r>
                </w:p>
              </w:tc>
              <w:tc>
                <w:tcPr>
                  <w:tcW w:w="69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62.9</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56.9</w:t>
                  </w:r>
                </w:p>
              </w:tc>
              <w:tc>
                <w:tcPr>
                  <w:tcW w:w="470" w:type="pct"/>
                  <w:tcBorders>
                    <w:right w:val="single" w:color="auto" w:sz="4" w:space="0"/>
                  </w:tcBorders>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53.3</w:t>
                  </w:r>
                </w:p>
              </w:tc>
              <w:tc>
                <w:tcPr>
                  <w:tcW w:w="470" w:type="pct"/>
                  <w:tcBorders>
                    <w:left w:val="single" w:color="auto" w:sz="4" w:space="0"/>
                  </w:tcBorders>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50.8</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45.3</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12"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挖掘机</w:t>
                  </w:r>
                </w:p>
              </w:tc>
              <w:tc>
                <w:tcPr>
                  <w:tcW w:w="69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62.9</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56.9</w:t>
                  </w:r>
                </w:p>
              </w:tc>
              <w:tc>
                <w:tcPr>
                  <w:tcW w:w="470" w:type="pct"/>
                  <w:tcBorders>
                    <w:right w:val="single" w:color="auto" w:sz="4" w:space="0"/>
                  </w:tcBorders>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53.3</w:t>
                  </w:r>
                </w:p>
              </w:tc>
              <w:tc>
                <w:tcPr>
                  <w:tcW w:w="470" w:type="pct"/>
                  <w:tcBorders>
                    <w:left w:val="single" w:color="auto" w:sz="4" w:space="0"/>
                  </w:tcBorders>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50.8</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45.3</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12"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w:t>
                  </w:r>
                </w:p>
              </w:tc>
              <w:tc>
                <w:tcPr>
                  <w:tcW w:w="69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64.9</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58.9</w:t>
                  </w:r>
                </w:p>
              </w:tc>
              <w:tc>
                <w:tcPr>
                  <w:tcW w:w="470" w:type="pct"/>
                  <w:tcBorders>
                    <w:right w:val="single" w:color="auto" w:sz="4" w:space="0"/>
                  </w:tcBorders>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55.3</w:t>
                  </w:r>
                </w:p>
              </w:tc>
              <w:tc>
                <w:tcPr>
                  <w:tcW w:w="470" w:type="pct"/>
                  <w:tcBorders>
                    <w:left w:val="single" w:color="auto" w:sz="4" w:space="0"/>
                  </w:tcBorders>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52.8</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50.8</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47.2</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12"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载重汽车</w:t>
                  </w:r>
                </w:p>
              </w:tc>
              <w:tc>
                <w:tcPr>
                  <w:tcW w:w="69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60.9</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54.9</w:t>
                  </w:r>
                </w:p>
              </w:tc>
              <w:tc>
                <w:tcPr>
                  <w:tcW w:w="470" w:type="pct"/>
                  <w:tcBorders>
                    <w:right w:val="single" w:color="auto" w:sz="4" w:space="0"/>
                  </w:tcBorders>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51.3</w:t>
                  </w:r>
                </w:p>
              </w:tc>
              <w:tc>
                <w:tcPr>
                  <w:tcW w:w="470" w:type="pct"/>
                  <w:tcBorders>
                    <w:left w:val="single" w:color="auto" w:sz="4" w:space="0"/>
                  </w:tcBorders>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46.8</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43.2</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r>
          </w:tbl>
          <w:p>
            <w:pPr>
              <w:adjustRightInd w:val="0"/>
              <w:spacing w:line="360" w:lineRule="auto"/>
              <w:ind w:firstLine="480" w:firstLineChars="200"/>
              <w:rPr>
                <w:color w:val="auto"/>
                <w:highlight w:val="none"/>
              </w:rPr>
            </w:pPr>
            <w:r>
              <w:rPr>
                <w:rFonts w:hint="eastAsia" w:ascii="Times New Roman" w:hAnsi="Times New Roman" w:eastAsia="仿宋_GB2312" w:cs="Times New Roman"/>
                <w:color w:val="auto"/>
                <w:kern w:val="2"/>
                <w:sz w:val="24"/>
                <w:szCs w:val="24"/>
                <w:highlight w:val="none"/>
                <w:lang w:val="en-US" w:eastAsia="zh-CN" w:bidi="ar-SA"/>
              </w:rPr>
              <w:t>由</w:t>
            </w:r>
            <w:r>
              <w:rPr>
                <w:rFonts w:hint="eastAsia" w:eastAsia="仿宋_GB2312" w:cs="Times New Roman"/>
                <w:color w:val="auto"/>
                <w:kern w:val="2"/>
                <w:sz w:val="24"/>
                <w:szCs w:val="24"/>
                <w:highlight w:val="none"/>
                <w:lang w:val="en-US" w:eastAsia="zh-CN" w:bidi="ar-SA"/>
              </w:rPr>
              <w:t>表26</w:t>
            </w:r>
            <w:r>
              <w:rPr>
                <w:rFonts w:hint="eastAsia" w:ascii="Times New Roman" w:hAnsi="Times New Roman" w:eastAsia="仿宋_GB2312" w:cs="Times New Roman"/>
                <w:color w:val="auto"/>
                <w:kern w:val="2"/>
                <w:sz w:val="24"/>
                <w:szCs w:val="24"/>
                <w:highlight w:val="none"/>
                <w:lang w:val="en-US" w:eastAsia="zh-CN" w:bidi="ar-SA"/>
              </w:rPr>
              <w:t>可知，各施工活动中，噪声最大的是装载机。</w:t>
            </w:r>
          </w:p>
          <w:p>
            <w:pPr>
              <w:adjustRightIn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（2）噪声叠加影响预测结果</w:t>
            </w:r>
          </w:p>
          <w:p>
            <w:pPr>
              <w:adjustRightIn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根据项目最大量情况下同时投入运行的设备数量及各设备的声压级，预测出本项目运行后各预测点的环境噪声水平，施工噪声源组合在不同距离的噪声预测结果见表21。</w:t>
            </w:r>
          </w:p>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right="0" w:rightChars="0" w:firstLine="480" w:firstLineChars="200"/>
              <w:jc w:val="both"/>
              <w:textAlignment w:val="auto"/>
              <w:rPr>
                <w:rFonts w:hint="eastAsia" w:ascii="Times New Roman" w:hAnsi="Times New Roman" w:eastAsia="黑体" w:cs="Times New Roman"/>
                <w:b w:val="0"/>
                <w:bCs/>
                <w:color w:val="auto"/>
                <w:sz w:val="24"/>
                <w:szCs w:val="24"/>
                <w:highlight w:val="none"/>
                <w:lang w:eastAsia="zh-CN"/>
              </w:rPr>
            </w:pPr>
            <w:r>
              <w:rPr>
                <w:rFonts w:hint="default" w:ascii="Times New Roman" w:hAnsi="Times New Roman" w:eastAsia="黑体" w:cs="Times New Roman"/>
                <w:b w:val="0"/>
                <w:bCs/>
                <w:color w:val="auto"/>
                <w:sz w:val="24"/>
                <w:szCs w:val="24"/>
                <w:highlight w:val="none"/>
                <w:lang w:eastAsia="zh-CN"/>
              </w:rPr>
              <w:t>表</w:t>
            </w:r>
            <w:r>
              <w:rPr>
                <w:rFonts w:hint="eastAsia" w:ascii="Times New Roman" w:hAnsi="Times New Roman" w:eastAsia="黑体" w:cs="Times New Roman"/>
                <w:b w:val="0"/>
                <w:bCs/>
                <w:color w:val="auto"/>
                <w:sz w:val="24"/>
                <w:szCs w:val="24"/>
                <w:highlight w:val="none"/>
                <w:lang w:val="en-US" w:eastAsia="zh-CN"/>
              </w:rPr>
              <w:t>21</w:t>
            </w:r>
            <w:r>
              <w:rPr>
                <w:rFonts w:hint="default" w:ascii="Times New Roman" w:hAnsi="Times New Roman" w:eastAsia="黑体" w:cs="Times New Roman"/>
                <w:b w:val="0"/>
                <w:bCs/>
                <w:color w:val="auto"/>
                <w:sz w:val="24"/>
                <w:szCs w:val="24"/>
                <w:highlight w:val="none"/>
                <w:lang w:val="en-US" w:eastAsia="zh-CN"/>
              </w:rPr>
              <w:t xml:space="preserve">            </w:t>
            </w:r>
            <w:r>
              <w:rPr>
                <w:rFonts w:hint="default" w:ascii="Times New Roman" w:hAnsi="Times New Roman" w:eastAsia="黑体" w:cs="Times New Roman"/>
                <w:b w:val="0"/>
                <w:bCs/>
                <w:color w:val="auto"/>
                <w:sz w:val="24"/>
                <w:szCs w:val="24"/>
                <w:highlight w:val="none"/>
              </w:rPr>
              <w:t>施工机械噪声</w:t>
            </w:r>
            <w:r>
              <w:rPr>
                <w:rFonts w:hint="eastAsia" w:ascii="Times New Roman" w:hAnsi="Times New Roman" w:eastAsia="黑体" w:cs="Times New Roman"/>
                <w:b w:val="0"/>
                <w:bCs/>
                <w:color w:val="auto"/>
                <w:sz w:val="24"/>
                <w:szCs w:val="24"/>
                <w:highlight w:val="none"/>
                <w:lang w:eastAsia="zh-CN"/>
              </w:rPr>
              <w:t>叠加预测值</w:t>
            </w:r>
          </w:p>
          <w:tbl>
            <w:tblPr>
              <w:tblStyle w:val="62"/>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96"/>
              <w:gridCol w:w="745"/>
              <w:gridCol w:w="745"/>
              <w:gridCol w:w="745"/>
              <w:gridCol w:w="745"/>
              <w:gridCol w:w="745"/>
              <w:gridCol w:w="745"/>
              <w:gridCol w:w="7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03" w:type="pct"/>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eastAsia" w:ascii="Times New Roman" w:hAnsi="Times New Roman" w:eastAsia="宋体" w:cs="Times New Roman"/>
                      <w:b w:val="0"/>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距离（</w:t>
                  </w:r>
                  <w:r>
                    <w:rPr>
                      <w:rFonts w:hint="eastAsia" w:ascii="Times New Roman" w:hAnsi="Times New Roman" w:eastAsia="宋体" w:cs="Times New Roman"/>
                      <w:b/>
                      <w:bCs/>
                      <w:color w:val="auto"/>
                      <w:sz w:val="21"/>
                      <w:szCs w:val="21"/>
                      <w:highlight w:val="none"/>
                      <w:lang w:val="en-US" w:eastAsia="zh-CN"/>
                    </w:rPr>
                    <w:t>m</w:t>
                  </w:r>
                  <w:r>
                    <w:rPr>
                      <w:rFonts w:hint="eastAsia" w:ascii="Times New Roman" w:hAnsi="Times New Roman" w:eastAsia="宋体" w:cs="Times New Roman"/>
                      <w:b/>
                      <w:bCs/>
                      <w:color w:val="auto"/>
                      <w:sz w:val="21"/>
                      <w:szCs w:val="21"/>
                      <w:highlight w:val="none"/>
                      <w:lang w:eastAsia="zh-CN"/>
                    </w:rPr>
                    <w:t>）</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5</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20</w:t>
                  </w:r>
                </w:p>
              </w:tc>
              <w:tc>
                <w:tcPr>
                  <w:tcW w:w="470" w:type="pct"/>
                  <w:tcBorders>
                    <w:right w:val="single" w:color="auto" w:sz="4" w:space="0"/>
                  </w:tcBorders>
                  <w:noWrap/>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40</w:t>
                  </w:r>
                </w:p>
              </w:tc>
              <w:tc>
                <w:tcPr>
                  <w:tcW w:w="470" w:type="pct"/>
                  <w:tcBorders>
                    <w:left w:val="single" w:color="auto" w:sz="4" w:space="0"/>
                  </w:tcBorders>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80</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160</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320</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3"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叠加预测值（</w:t>
                  </w:r>
                  <w:r>
                    <w:rPr>
                      <w:rFonts w:hint="eastAsia" w:ascii="Times New Roman" w:hAnsi="Times New Roman" w:eastAsia="宋体" w:cs="Times New Roman"/>
                      <w:b/>
                      <w:bCs/>
                      <w:color w:val="auto"/>
                      <w:sz w:val="21"/>
                      <w:szCs w:val="21"/>
                      <w:highlight w:val="none"/>
                      <w:lang w:val="en-US" w:eastAsia="zh-CN"/>
                    </w:rPr>
                    <w:t>dB（A）</w:t>
                  </w:r>
                  <w:r>
                    <w:rPr>
                      <w:rFonts w:hint="eastAsia" w:ascii="Times New Roman" w:hAnsi="Times New Roman" w:eastAsia="宋体" w:cs="Times New Roman"/>
                      <w:b/>
                      <w:bCs/>
                      <w:color w:val="auto"/>
                      <w:sz w:val="21"/>
                      <w:szCs w:val="21"/>
                      <w:highlight w:val="none"/>
                      <w:lang w:eastAsia="zh-CN"/>
                    </w:rPr>
                    <w:t>）</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w:t>
                  </w:r>
                </w:p>
              </w:tc>
              <w:tc>
                <w:tcPr>
                  <w:tcW w:w="470" w:type="pct"/>
                  <w:tcBorders>
                    <w:right w:val="single" w:color="auto" w:sz="4" w:space="0"/>
                  </w:tcBorders>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w:t>
                  </w:r>
                </w:p>
              </w:tc>
              <w:tc>
                <w:tcPr>
                  <w:tcW w:w="470" w:type="pct"/>
                  <w:tcBorders>
                    <w:left w:val="single" w:color="auto" w:sz="4" w:space="0"/>
                  </w:tcBorders>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470" w:type="pct"/>
                  <w:noWrap w:val="0"/>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470" w:type="pct"/>
                  <w:noWrap/>
                  <w:vAlign w:val="center"/>
                </w:tcPr>
                <w:p>
                  <w:pPr>
                    <w:pStyle w:val="61"/>
                    <w:keepNext w:val="0"/>
                    <w:keepLines w:val="0"/>
                    <w:pageBreakBefore w:val="0"/>
                    <w:widowControl/>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w:t>
                  </w:r>
                </w:p>
              </w:tc>
            </w:tr>
          </w:tbl>
          <w:p>
            <w:pPr>
              <w:adjustRightInd w:val="0"/>
              <w:spacing w:line="360" w:lineRule="auto"/>
              <w:ind w:firstLine="480" w:firstLineChars="200"/>
              <w:rPr>
                <w:rFonts w:hint="eastAsia" w:eastAsia="仿宋_GB2312"/>
                <w:b/>
                <w:bCs/>
                <w:color w:val="auto"/>
                <w:spacing w:val="-10"/>
                <w:sz w:val="24"/>
                <w:highlight w:val="none"/>
                <w:lang w:val="en-US" w:eastAsia="zh-CN"/>
              </w:rPr>
            </w:pPr>
            <w:r>
              <w:rPr>
                <w:rFonts w:hint="eastAsia" w:eastAsia="仿宋_GB2312" w:cs="Times New Roman"/>
                <w:color w:val="auto"/>
                <w:sz w:val="24"/>
                <w:szCs w:val="24"/>
                <w:highlight w:val="none"/>
                <w:lang w:val="en-US" w:eastAsia="zh-CN"/>
              </w:rPr>
              <w:t>根据上表预测结果，</w:t>
            </w:r>
            <w:r>
              <w:rPr>
                <w:rFonts w:hint="eastAsia" w:ascii="Times New Roman" w:hAnsi="Times New Roman" w:eastAsia="仿宋_GB2312" w:cs="Times New Roman"/>
                <w:color w:val="auto"/>
                <w:kern w:val="2"/>
                <w:sz w:val="24"/>
                <w:szCs w:val="24"/>
                <w:highlight w:val="none"/>
                <w:lang w:val="en-US" w:eastAsia="zh-CN" w:bidi="ar-SA"/>
              </w:rPr>
              <w:t>按照《建筑施工场界环境噪声排放标</w:t>
            </w:r>
            <w:r>
              <w:rPr>
                <w:rFonts w:hint="eastAsia" w:ascii="Times New Roman" w:hAnsi="Times New Roman" w:eastAsia="仿宋_GB2312" w:cs="Times New Roman"/>
                <w:color w:val="auto"/>
                <w:sz w:val="24"/>
                <w:szCs w:val="24"/>
                <w:highlight w:val="none"/>
                <w:lang w:val="en-US" w:eastAsia="zh-CN"/>
              </w:rPr>
              <w:t>准》（GB12523-2011）要求，在</w:t>
            </w:r>
            <w:r>
              <w:rPr>
                <w:rFonts w:hint="eastAsia" w:eastAsia="仿宋_GB2312" w:cs="Times New Roman"/>
                <w:color w:val="auto"/>
                <w:sz w:val="24"/>
                <w:szCs w:val="24"/>
                <w:highlight w:val="none"/>
                <w:lang w:val="en-US" w:eastAsia="zh-CN"/>
              </w:rPr>
              <w:t>距离本项目施工场地40m以外可达到标准限值，最近的村庄距离本项目120m，因此对周边村庄影响较小，</w:t>
            </w:r>
            <w:r>
              <w:rPr>
                <w:rFonts w:ascii="Times New Roman" w:hAnsi="Times New Roman" w:eastAsia="仿宋_GB2312" w:cs="Times New Roman"/>
                <w:color w:val="auto"/>
                <w:sz w:val="24"/>
                <w:szCs w:val="24"/>
                <w:highlight w:val="none"/>
              </w:rPr>
              <w:t>项目施工期较短，一旦施工活动结束，施工噪声影响也就随之结束</w:t>
            </w:r>
            <w:r>
              <w:rPr>
                <w:rFonts w:hint="eastAsia" w:ascii="Times New Roman" w:hAnsi="Times New Roman" w:eastAsia="仿宋_GB2312" w:cs="Times New Roman"/>
                <w:color w:val="auto"/>
                <w:sz w:val="24"/>
                <w:szCs w:val="24"/>
                <w:highlight w:val="none"/>
                <w:lang w:eastAsia="zh-CN"/>
              </w:rPr>
              <w:t>。</w:t>
            </w:r>
          </w:p>
          <w:p>
            <w:pPr>
              <w:adjustRightInd w:val="0"/>
              <w:spacing w:line="360" w:lineRule="auto"/>
              <w:ind w:firstLine="442" w:firstLineChars="200"/>
              <w:rPr>
                <w:rFonts w:eastAsia="仿宋_GB2312"/>
                <w:b/>
                <w:bCs/>
                <w:color w:val="auto"/>
                <w:spacing w:val="-10"/>
                <w:sz w:val="24"/>
                <w:highlight w:val="none"/>
              </w:rPr>
            </w:pPr>
            <w:r>
              <w:rPr>
                <w:rFonts w:hint="eastAsia" w:eastAsia="仿宋_GB2312"/>
                <w:b/>
                <w:bCs/>
                <w:color w:val="auto"/>
                <w:spacing w:val="-10"/>
                <w:sz w:val="24"/>
                <w:highlight w:val="none"/>
                <w:lang w:val="en-US" w:eastAsia="zh-CN"/>
              </w:rPr>
              <w:t>5</w:t>
            </w:r>
            <w:r>
              <w:rPr>
                <w:rFonts w:hint="eastAsia" w:eastAsia="仿宋_GB2312"/>
                <w:b/>
                <w:bCs/>
                <w:color w:val="auto"/>
                <w:spacing w:val="-10"/>
                <w:sz w:val="24"/>
                <w:highlight w:val="none"/>
              </w:rPr>
              <w:t>、固体废物污染防治措施</w:t>
            </w:r>
          </w:p>
          <w:p>
            <w:pPr>
              <w:pStyle w:val="51"/>
              <w:spacing w:line="360" w:lineRule="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b w:val="0"/>
                <w:bCs w:val="0"/>
                <w:color w:val="auto"/>
                <w:kern w:val="2"/>
                <w:sz w:val="24"/>
                <w:szCs w:val="24"/>
                <w:highlight w:val="none"/>
                <w:lang w:val="en-US" w:eastAsia="zh-CN" w:bidi="ar-SA"/>
              </w:rPr>
              <w:t>本项目</w:t>
            </w:r>
            <w:r>
              <w:rPr>
                <w:rFonts w:hint="eastAsia" w:eastAsia="仿宋_GB2312" w:cs="Times New Roman"/>
                <w:b w:val="0"/>
                <w:bCs w:val="0"/>
                <w:color w:val="auto"/>
                <w:kern w:val="2"/>
                <w:sz w:val="24"/>
                <w:szCs w:val="24"/>
                <w:highlight w:val="none"/>
                <w:lang w:val="en-US" w:eastAsia="zh-CN" w:bidi="ar-SA"/>
              </w:rPr>
              <w:t>施工期所有开挖土方全部回填利用，施工期结束后围堰拆除产生的弃方运输至政府指定地点</w:t>
            </w:r>
            <w:r>
              <w:rPr>
                <w:rFonts w:hint="eastAsia" w:ascii="Times New Roman" w:hAnsi="Times New Roman" w:eastAsia="仿宋_GB2312" w:cs="Times New Roman"/>
                <w:color w:val="auto"/>
                <w:kern w:val="2"/>
                <w:sz w:val="24"/>
                <w:szCs w:val="24"/>
                <w:highlight w:val="none"/>
                <w:lang w:val="en-US" w:eastAsia="zh-CN" w:bidi="ar-SA"/>
              </w:rPr>
              <w:t>。</w:t>
            </w:r>
          </w:p>
          <w:p>
            <w:pPr>
              <w:pStyle w:val="51"/>
              <w:pageBreakBefore w:val="0"/>
              <w:widowControl w:val="0"/>
              <w:kinsoku/>
              <w:wordWrap/>
              <w:overflowPunct/>
              <w:topLinePunct w:val="0"/>
              <w:autoSpaceDE/>
              <w:autoSpaceDN/>
              <w:bidi w:val="0"/>
              <w:snapToGrid/>
              <w:spacing w:line="360" w:lineRule="auto"/>
              <w:textAlignment w:val="auto"/>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本项目施工高峰期人数</w:t>
            </w:r>
            <w:r>
              <w:rPr>
                <w:rFonts w:hint="default" w:ascii="Times New Roman" w:hAnsi="Times New Roman" w:eastAsia="仿宋_GB2312" w:cs="Times New Roman"/>
                <w:color w:val="auto"/>
                <w:kern w:val="2"/>
                <w:sz w:val="24"/>
                <w:szCs w:val="24"/>
                <w:highlight w:val="none"/>
                <w:lang w:val="en-US" w:eastAsia="zh-CN" w:bidi="ar-SA"/>
              </w:rPr>
              <w:t>为</w:t>
            </w:r>
            <w:r>
              <w:rPr>
                <w:rFonts w:hint="eastAsia" w:ascii="Times New Roman" w:hAnsi="Times New Roman" w:eastAsia="仿宋_GB2312" w:cs="Times New Roman"/>
                <w:color w:val="auto"/>
                <w:kern w:val="2"/>
                <w:sz w:val="24"/>
                <w:szCs w:val="24"/>
                <w:highlight w:val="none"/>
                <w:lang w:val="en-US" w:eastAsia="zh-CN" w:bidi="ar-SA"/>
              </w:rPr>
              <w:t>60</w:t>
            </w:r>
            <w:r>
              <w:rPr>
                <w:rFonts w:hint="default" w:ascii="Times New Roman" w:hAnsi="Times New Roman" w:eastAsia="仿宋_GB2312" w:cs="Times New Roman"/>
                <w:color w:val="auto"/>
                <w:kern w:val="2"/>
                <w:sz w:val="24"/>
                <w:szCs w:val="24"/>
                <w:highlight w:val="none"/>
                <w:lang w:val="en-US" w:eastAsia="zh-CN" w:bidi="ar-SA"/>
              </w:rPr>
              <w:t>人，以每人每天产生0.5kg计，产生生活垃圾</w:t>
            </w:r>
            <w:r>
              <w:rPr>
                <w:rFonts w:hint="eastAsia" w:ascii="Times New Roman" w:hAnsi="Times New Roman" w:eastAsia="仿宋_GB2312" w:cs="Times New Roman"/>
                <w:color w:val="auto"/>
                <w:kern w:val="2"/>
                <w:sz w:val="24"/>
                <w:szCs w:val="24"/>
                <w:highlight w:val="none"/>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0kg/d。生活垃圾依托租住民房垃圾桶收集，定期运送至附近垃圾中转站由环卫部门处置</w:t>
            </w:r>
            <w:r>
              <w:rPr>
                <w:rFonts w:hint="eastAsia" w:ascii="Times New Roman" w:hAnsi="Times New Roman" w:eastAsia="仿宋_GB2312" w:cs="Times New Roman"/>
                <w:color w:val="auto"/>
                <w:kern w:val="2"/>
                <w:sz w:val="24"/>
                <w:szCs w:val="24"/>
                <w:highlight w:val="none"/>
                <w:lang w:val="en-US" w:eastAsia="zh-CN" w:bidi="ar-SA"/>
              </w:rPr>
              <w:t>。</w:t>
            </w:r>
          </w:p>
          <w:p>
            <w:pPr>
              <w:adjustRightInd w:val="0"/>
              <w:spacing w:line="360" w:lineRule="auto"/>
              <w:ind w:firstLine="480" w:firstLineChars="200"/>
              <w:rPr>
                <w:rFonts w:eastAsia="仿宋_GB2312"/>
                <w:bCs/>
                <w:color w:val="auto"/>
                <w:spacing w:val="-10"/>
                <w:sz w:val="24"/>
                <w:highlight w:val="none"/>
              </w:rPr>
            </w:pPr>
            <w:r>
              <w:rPr>
                <w:rFonts w:hint="eastAsia" w:ascii="Times New Roman" w:hAnsi="Times New Roman" w:eastAsia="仿宋_GB2312" w:cs="Times New Roman"/>
                <w:color w:val="auto"/>
                <w:kern w:val="2"/>
                <w:sz w:val="24"/>
                <w:szCs w:val="24"/>
                <w:highlight w:val="none"/>
                <w:lang w:val="en-US" w:eastAsia="zh-CN" w:bidi="ar-SA"/>
              </w:rPr>
              <w:t>综上述分析，采取上述措施后，施工期固体废物可得到妥善处置，基本不会对环境造成影响，不会造成二次污染。</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746" w:type="dxa"/>
            <w:tcBorders>
              <w:tl2br w:val="nil"/>
              <w:tr2bl w:val="nil"/>
            </w:tcBorders>
            <w:tcMar>
              <w:left w:w="28" w:type="dxa"/>
              <w:right w:w="28" w:type="dxa"/>
            </w:tcMar>
            <w:vAlign w:val="center"/>
          </w:tcPr>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运营</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期生</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态环</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境影</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响分</w:t>
            </w:r>
          </w:p>
          <w:p>
            <w:pPr>
              <w:adjustRightInd w:val="0"/>
              <w:spacing w:line="240" w:lineRule="auto"/>
              <w:jc w:val="center"/>
              <w:rPr>
                <w:rFonts w:hint="eastAsia" w:eastAsia="宋体"/>
                <w:color w:val="auto"/>
                <w:highlight w:val="none"/>
                <w:lang w:eastAsia="zh-CN"/>
              </w:rPr>
            </w:pPr>
            <w:r>
              <w:rPr>
                <w:rFonts w:hint="eastAsia" w:ascii="宋体" w:hAnsi="宋体" w:eastAsia="宋体" w:cs="宋体"/>
                <w:b/>
                <w:bCs/>
                <w:color w:val="auto"/>
                <w:kern w:val="2"/>
                <w:sz w:val="24"/>
                <w:szCs w:val="24"/>
                <w:highlight w:val="none"/>
                <w:lang w:val="en-US" w:eastAsia="zh-CN" w:bidi="ar-SA"/>
              </w:rPr>
              <w:t>析</w:t>
            </w:r>
          </w:p>
        </w:tc>
        <w:tc>
          <w:tcPr>
            <w:tcW w:w="82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本项目运营期不产生废气、废水、噪声以及固体废物，且不存在土壤及地下水污染因子及污染途径。因此，本项目不对运营期大气环境、地下水环境、声环境、土壤环境、固体废物进行环境影响分析</w:t>
            </w:r>
            <w:r>
              <w:rPr>
                <w:rFonts w:hint="eastAsia"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1、地表水环境影响分析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本项目通过新建堤防、生态修复等工程，可以提高清水河沙坡头区段整体防洪能力，提高水资源利用率，促进区域农村经济可持续发展。</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2、对水生生态影响分析</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w:t>
            </w:r>
            <w:r>
              <w:rPr>
                <w:rFonts w:hint="eastAsia" w:eastAsia="仿宋_GB2312"/>
                <w:b w:val="0"/>
                <w:bCs w:val="0"/>
                <w:color w:val="auto"/>
                <w:spacing w:val="-10"/>
                <w:sz w:val="24"/>
                <w:highlight w:val="none"/>
                <w:lang w:val="en-US" w:eastAsia="zh-CN"/>
              </w:rPr>
              <w:t>1</w:t>
            </w:r>
            <w:r>
              <w:rPr>
                <w:rFonts w:hint="eastAsia" w:eastAsia="仿宋_GB2312"/>
                <w:b w:val="0"/>
                <w:bCs w:val="0"/>
                <w:color w:val="auto"/>
                <w:spacing w:val="-10"/>
                <w:sz w:val="24"/>
                <w:highlight w:val="none"/>
                <w:lang w:eastAsia="zh-CN"/>
              </w:rPr>
              <w:t>）对浮游生物的影响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本项目施工后对浮游植物的生长和繁殖有利，河道内浮游植物种类和数量都将会很快恢复。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工程实施后，随着河道生态环境的改善，使植物性鞭毛虫生物量将会有一定的增加。植物性鞭毛虫生物量的增加，将会引起食藻和食菌的纤毛虫种类增多和生物量的增加，由于泥沙的沉降和纤毛虫的增加，有壳肉足虫的种类数和生物量可能下降。总体而言，工程实施后，对浮游动物的生长和繁殖有利，河道内浮游动物种类和数量都将会很快恢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w:t>
            </w:r>
            <w:r>
              <w:rPr>
                <w:rFonts w:hint="eastAsia" w:eastAsia="仿宋_GB2312"/>
                <w:b w:val="0"/>
                <w:bCs w:val="0"/>
                <w:color w:val="auto"/>
                <w:spacing w:val="-10"/>
                <w:sz w:val="24"/>
                <w:highlight w:val="none"/>
                <w:lang w:val="en-US" w:eastAsia="zh-CN"/>
              </w:rPr>
              <w:t>2</w:t>
            </w:r>
            <w:r>
              <w:rPr>
                <w:rFonts w:hint="eastAsia" w:eastAsia="仿宋_GB2312"/>
                <w:b w:val="0"/>
                <w:bCs w:val="0"/>
                <w:color w:val="auto"/>
                <w:spacing w:val="-10"/>
                <w:sz w:val="24"/>
                <w:highlight w:val="none"/>
                <w:lang w:eastAsia="zh-CN"/>
              </w:rPr>
              <w:t>）对鱼类的影响</w:t>
            </w:r>
          </w:p>
          <w:p>
            <w:pPr>
              <w:numPr>
                <w:ilvl w:val="0"/>
                <w:numId w:val="0"/>
              </w:numPr>
              <w:adjustRightInd w:val="0"/>
              <w:spacing w:line="360" w:lineRule="auto"/>
              <w:ind w:firstLine="440" w:firstLineChars="200"/>
              <w:rPr>
                <w:rFonts w:hint="eastAsia" w:eastAsia="仿宋_GB2312"/>
                <w:b w:val="0"/>
                <w:bCs w:val="0"/>
                <w:color w:val="auto"/>
                <w:spacing w:val="-10"/>
                <w:sz w:val="24"/>
                <w:highlight w:val="none"/>
                <w:lang w:eastAsia="zh-CN"/>
              </w:rPr>
            </w:pPr>
            <w:r>
              <w:rPr>
                <w:rFonts w:hint="eastAsia" w:eastAsia="仿宋_GB2312"/>
                <w:b w:val="0"/>
                <w:bCs w:val="0"/>
                <w:color w:val="auto"/>
                <w:spacing w:val="-10"/>
                <w:sz w:val="24"/>
                <w:highlight w:val="none"/>
                <w:lang w:eastAsia="zh-CN"/>
              </w:rPr>
              <w:t>清水河沙坡头区段鱼类为鲤鱼、鲫鱼等常见鱼类。项目结束后，施工过程中受损的水生维管束植物将得到一定程度的恢复，其中挺水植物和浮水植物均能在较短的时间内恢复外，沉水植物的恢复时间较长。本工程河道整治后对鱼类生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3、效益</w:t>
            </w:r>
            <w:r>
              <w:rPr>
                <w:rFonts w:hint="eastAsia" w:ascii="Times New Roman" w:hAnsi="Times New Roman" w:eastAsia="仿宋_GB2312" w:cs="Times New Roman"/>
                <w:b/>
                <w:bCs/>
                <w:color w:val="auto"/>
                <w:sz w:val="24"/>
                <w:szCs w:val="24"/>
                <w:highlight w:val="none"/>
                <w:lang w:val="en-US" w:eastAsia="zh-CN"/>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（1）</w:t>
            </w:r>
            <w:r>
              <w:rPr>
                <w:rFonts w:hint="eastAsia" w:eastAsia="仿宋_GB2312" w:cs="Times New Roman"/>
                <w:b w:val="0"/>
                <w:bCs/>
                <w:color w:val="auto"/>
                <w:kern w:val="2"/>
                <w:sz w:val="24"/>
                <w:szCs w:val="24"/>
                <w:highlight w:val="none"/>
                <w:lang w:val="en-US" w:eastAsia="zh-CN" w:bidi="ar-SA"/>
              </w:rPr>
              <w:t>生态效益分析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b w:val="0"/>
                <w:bCs/>
                <w:color w:val="auto"/>
                <w:kern w:val="2"/>
                <w:sz w:val="24"/>
                <w:szCs w:val="24"/>
                <w:highlight w:val="none"/>
                <w:lang w:val="en-US" w:eastAsia="zh-CN" w:bidi="ar-SA"/>
              </w:rPr>
              <w:t>本工程在建设期间和建设完成后进行一系列的生态防治措施，可以有效地减少工程施工过程带来的生态影响。工程建成后可以有效地控制洪水，减少洪水漫滩几率，能够保护现有河滩和农田。保护农田及土壤，减少洪水的冲刷，防止水土流失。对生态环境有正效益</w:t>
            </w:r>
            <w:r>
              <w:rPr>
                <w:rFonts w:hint="default"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（2）</w:t>
            </w:r>
            <w:r>
              <w:rPr>
                <w:rFonts w:hint="eastAsia" w:eastAsia="仿宋_GB2312" w:cs="Times New Roman"/>
                <w:b w:val="0"/>
                <w:bCs/>
                <w:color w:val="auto"/>
                <w:kern w:val="2"/>
                <w:sz w:val="24"/>
                <w:szCs w:val="24"/>
                <w:highlight w:val="none"/>
                <w:lang w:val="en-US" w:eastAsia="zh-CN" w:bidi="ar-SA"/>
              </w:rPr>
              <w:t>经济效益分析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清水河属山区性河流，主要是山洪暴涨暴落，水土流失严重，枯水时河道断流，洪水时冲毁良田村落。由于多方面的原因，清水河长期没有得到有效治理，河床不断拓宽下切，洪水期河势摆动，毁田塌岸现象时有发生。河道两岸岸坡不稳，坍塌严重，河道整治工程少，难以形成合理的布局。随着河道来水来沙条件的改变，河势变化将 进一步加剧，若不加快河道整治工程的建设，特别是坍塌段的治理，对河道两岸城镇、村庄、农田的防洪安全构成重大威胁，急需加大治理力度</w:t>
            </w:r>
            <w:r>
              <w:rPr>
                <w:rFonts w:hint="eastAsia"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本工程按照防洪标准，在干流左岸、干支沟两岸布置护岸工程，整治河道与沟道，治理险工险段，有效减少大量塌岸带来的村庄和灌区段损失，减轻险情；随着国民经济的发展，人民生活水平的提高，洪水淹没、盐渍化损失也随之提高，因此防洪、顺排效益的计算应考虑国民经济发展的增长率。据调查资料分析确定，增长率为5%</w:t>
            </w:r>
            <w:r>
              <w:rPr>
                <w:rFonts w:hint="eastAsia"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eastAsia="仿宋_GB2312"/>
                <w:bCs/>
                <w:color w:val="auto"/>
                <w:spacing w:val="-10"/>
                <w:sz w:val="24"/>
                <w:highlight w:val="none"/>
                <w:lang w:eastAsia="zh-CN"/>
              </w:rPr>
            </w:pPr>
            <w:r>
              <w:rPr>
                <w:rFonts w:hint="eastAsia" w:eastAsia="仿宋_GB2312"/>
                <w:bCs/>
                <w:color w:val="auto"/>
                <w:spacing w:val="-10"/>
                <w:sz w:val="24"/>
                <w:highlight w:val="none"/>
                <w:lang w:eastAsia="zh-CN"/>
              </w:rPr>
              <w:t>防洪、顺排效益的年值用有、无该工程项目的损失的多年平均值表示。经分析计算，多年平均防洪减灾效益为65万元。</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After w:val="1"/>
          <w:wAfter w:w="48" w:type="dxa"/>
          <w:trHeight w:val="2561" w:hRule="atLeast"/>
          <w:jc w:val="center"/>
        </w:trPr>
        <w:tc>
          <w:tcPr>
            <w:tcW w:w="746" w:type="dxa"/>
            <w:tcBorders>
              <w:tl2br w:val="nil"/>
              <w:tr2bl w:val="nil"/>
            </w:tcBorders>
            <w:tcMar>
              <w:left w:w="28" w:type="dxa"/>
              <w:right w:w="28" w:type="dxa"/>
            </w:tcMar>
            <w:vAlign w:val="center"/>
          </w:tcPr>
          <w:p>
            <w:pPr>
              <w:adjustRightInd w:val="0"/>
              <w:snapToGrid w:val="0"/>
              <w:jc w:val="center"/>
              <w:rPr>
                <w:rFonts w:hint="eastAsia" w:eastAsia="仿宋_GB2312"/>
                <w:b/>
                <w:bCs/>
                <w:color w:val="auto"/>
                <w:sz w:val="24"/>
                <w:highlight w:val="none"/>
                <w:lang w:eastAsia="zh-CN"/>
              </w:rPr>
            </w:pPr>
            <w:r>
              <w:rPr>
                <w:rFonts w:hint="eastAsia" w:ascii="宋体" w:hAnsi="宋体" w:eastAsia="宋体" w:cs="宋体"/>
                <w:b/>
                <w:bCs/>
                <w:color w:val="auto"/>
                <w:sz w:val="24"/>
                <w:highlight w:val="none"/>
                <w:lang w:eastAsia="zh-CN"/>
              </w:rPr>
              <w:t>选址选线环境和理性分析</w:t>
            </w:r>
          </w:p>
        </w:tc>
        <w:tc>
          <w:tcPr>
            <w:tcW w:w="8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仿宋_GB2312"/>
                <w:bCs/>
                <w:color w:val="auto"/>
                <w:spacing w:val="-10"/>
                <w:sz w:val="24"/>
                <w:highlight w:val="none"/>
                <w:lang w:eastAsia="zh-CN"/>
              </w:rPr>
            </w:pPr>
            <w:r>
              <w:rPr>
                <w:rFonts w:hint="default" w:ascii="Times New Roman" w:hAnsi="Times New Roman" w:eastAsia="仿宋_GB2312" w:cs="Times New Roman"/>
                <w:color w:val="auto"/>
                <w:kern w:val="0"/>
                <w:sz w:val="24"/>
                <w:szCs w:val="24"/>
                <w:highlight w:val="none"/>
                <w:lang w:val="en-US" w:eastAsia="zh-CN" w:bidi="ar-SA"/>
              </w:rPr>
              <w:t>清水河沙坡头区段滨岸带生态现状总体植被稀疏，河道Ⅰ、Ⅱ级阶地及滩涂植被覆盖率低，未形成有效的滨岸生态区</w:t>
            </w:r>
            <w:r>
              <w:rPr>
                <w:rFonts w:hint="eastAsia" w:eastAsia="仿宋_GB2312" w:cs="Times New Roman"/>
                <w:color w:val="auto"/>
                <w:kern w:val="0"/>
                <w:sz w:val="24"/>
                <w:szCs w:val="24"/>
                <w:highlight w:val="none"/>
                <w:lang w:val="en-US" w:eastAsia="zh-CN" w:bidi="ar-SA"/>
              </w:rPr>
              <w:t>。</w:t>
            </w:r>
            <w:r>
              <w:rPr>
                <w:rFonts w:hint="default" w:ascii="Times New Roman" w:hAnsi="Times New Roman" w:eastAsia="仿宋_GB2312" w:cs="Times New Roman"/>
                <w:color w:val="auto"/>
                <w:kern w:val="0"/>
                <w:sz w:val="24"/>
                <w:szCs w:val="24"/>
                <w:highlight w:val="none"/>
                <w:lang w:val="en-US" w:eastAsia="zh-CN" w:bidi="ar-SA"/>
              </w:rPr>
              <w:t>山河桥至七星渠渡槽段河道边坡陡立，存在高边坡滑塌等地质灾害隐患</w:t>
            </w:r>
            <w:r>
              <w:rPr>
                <w:rFonts w:hint="eastAsia" w:eastAsia="仿宋_GB2312"/>
                <w:bCs/>
                <w:color w:val="auto"/>
                <w:spacing w:val="-10"/>
                <w:sz w:val="24"/>
                <w:highlight w:val="none"/>
                <w:lang w:eastAsia="zh-CN"/>
              </w:rPr>
              <w:t>。</w:t>
            </w:r>
          </w:p>
          <w:p>
            <w:pPr>
              <w:adjustRightInd w:val="0"/>
              <w:spacing w:line="360" w:lineRule="auto"/>
              <w:ind w:firstLine="440" w:firstLineChars="200"/>
              <w:jc w:val="both"/>
              <w:rPr>
                <w:rFonts w:hint="eastAsia" w:eastAsia="仿宋_GB2312"/>
                <w:bCs/>
                <w:color w:val="auto"/>
                <w:spacing w:val="-10"/>
                <w:sz w:val="24"/>
                <w:highlight w:val="none"/>
                <w:lang w:eastAsia="zh-CN"/>
              </w:rPr>
            </w:pPr>
            <w:r>
              <w:rPr>
                <w:rFonts w:hint="eastAsia" w:eastAsia="仿宋_GB2312"/>
                <w:bCs/>
                <w:color w:val="auto"/>
                <w:spacing w:val="-10"/>
                <w:sz w:val="24"/>
                <w:highlight w:val="none"/>
              </w:rPr>
              <w:t>本项目</w:t>
            </w:r>
            <w:r>
              <w:rPr>
                <w:rFonts w:hint="eastAsia" w:eastAsia="仿宋_GB2312"/>
                <w:b w:val="0"/>
                <w:bCs/>
                <w:color w:val="auto"/>
                <w:sz w:val="24"/>
                <w:highlight w:val="none"/>
                <w:lang w:val="en-US" w:eastAsia="zh-CN"/>
              </w:rPr>
              <w:t>在现有河道防洪工程的基础上，贯通防汛道路、改善河道生态环境、消除高边坡滑塌等地质灾害，有效减少洪水对灌区带来的损失，减轻河道险情</w:t>
            </w:r>
            <w:r>
              <w:rPr>
                <w:rFonts w:hint="eastAsia" w:eastAsia="仿宋_GB2312"/>
                <w:bCs/>
                <w:color w:val="auto"/>
                <w:spacing w:val="-10"/>
                <w:sz w:val="24"/>
                <w:highlight w:val="none"/>
              </w:rPr>
              <w:t>。</w:t>
            </w:r>
            <w:r>
              <w:rPr>
                <w:rFonts w:hint="eastAsia" w:eastAsia="仿宋_GB2312"/>
                <w:bCs/>
                <w:color w:val="auto"/>
                <w:spacing w:val="-10"/>
                <w:sz w:val="24"/>
                <w:highlight w:val="none"/>
                <w:lang w:eastAsia="zh-CN"/>
              </w:rPr>
              <w:t>因此，本项目选址选线合理。</w:t>
            </w:r>
          </w:p>
        </w:tc>
      </w:tr>
    </w:tbl>
    <w:p>
      <w:pPr>
        <w:adjustRightInd w:val="0"/>
        <w:snapToGrid w:val="0"/>
        <w:spacing w:line="360" w:lineRule="auto"/>
        <w:rPr>
          <w:rFonts w:ascii="宋体" w:cs="宋体"/>
          <w:b/>
          <w:color w:val="auto"/>
          <w:kern w:val="0"/>
          <w:sz w:val="28"/>
          <w:szCs w:val="28"/>
          <w:highlight w:val="none"/>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21"/>
        <w:jc w:val="center"/>
        <w:outlineLvl w:val="0"/>
        <w:rPr>
          <w:rFonts w:hint="eastAsia" w:ascii="黑体" w:hAnsi="黑体" w:eastAsia="黑体"/>
          <w:snapToGrid w:val="0"/>
          <w:color w:val="auto"/>
          <w:sz w:val="30"/>
          <w:szCs w:val="30"/>
          <w:highlight w:val="none"/>
          <w:lang w:eastAsia="zh-CN"/>
        </w:rPr>
      </w:pPr>
      <w:r>
        <w:rPr>
          <w:rFonts w:hint="eastAsia" w:ascii="黑体" w:hAnsi="黑体" w:eastAsia="黑体"/>
          <w:snapToGrid w:val="0"/>
          <w:color w:val="auto"/>
          <w:sz w:val="30"/>
          <w:szCs w:val="30"/>
          <w:highlight w:val="none"/>
          <w:lang w:eastAsia="zh-CN"/>
        </w:rPr>
        <w:t>五</w:t>
      </w:r>
      <w:r>
        <w:rPr>
          <w:rFonts w:hint="eastAsia" w:ascii="黑体" w:hAnsi="黑体" w:eastAsia="黑体"/>
          <w:snapToGrid w:val="0"/>
          <w:color w:val="auto"/>
          <w:sz w:val="30"/>
          <w:szCs w:val="30"/>
          <w:highlight w:val="none"/>
        </w:rPr>
        <w:t>、</w:t>
      </w:r>
      <w:r>
        <w:rPr>
          <w:rFonts w:hint="eastAsia" w:ascii="黑体" w:hAnsi="黑体" w:eastAsia="黑体"/>
          <w:snapToGrid w:val="0"/>
          <w:color w:val="auto"/>
          <w:sz w:val="30"/>
          <w:szCs w:val="30"/>
          <w:highlight w:val="none"/>
          <w:lang w:eastAsia="zh-CN"/>
        </w:rPr>
        <w:t>主要生态环境保护措施</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46"/>
        <w:gridCol w:w="8162"/>
        <w:gridCol w:w="4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After w:val="1"/>
          <w:wAfter w:w="48" w:type="dxa"/>
          <w:trHeight w:val="6054" w:hRule="atLeast"/>
          <w:jc w:val="center"/>
        </w:trPr>
        <w:tc>
          <w:tcPr>
            <w:tcW w:w="746" w:type="dxa"/>
            <w:tcBorders>
              <w:tl2br w:val="nil"/>
              <w:tr2bl w:val="nil"/>
            </w:tcBorders>
            <w:tcMar>
              <w:left w:w="28" w:type="dxa"/>
              <w:right w:w="28" w:type="dxa"/>
            </w:tcMar>
            <w:vAlign w:val="center"/>
          </w:tcPr>
          <w:p>
            <w:pPr>
              <w:pStyle w:val="21"/>
              <w:adjustRightInd w:val="0"/>
              <w:snapToGrid w:val="0"/>
              <w:spacing w:before="0" w:beforeAutospacing="0" w:after="0" w:afterAutospacing="0"/>
              <w:jc w:val="center"/>
              <w:rPr>
                <w:rFonts w:hint="eastAsia" w:ascii="Times New Roman" w:hAnsi="Times New Roman" w:eastAsia="仿宋_GB2312"/>
                <w:b/>
                <w:bCs/>
                <w:color w:val="auto"/>
                <w:kern w:val="2"/>
                <w:szCs w:val="24"/>
                <w:highlight w:val="none"/>
                <w:lang w:eastAsia="zh-CN"/>
              </w:rPr>
            </w:pPr>
            <w:r>
              <w:rPr>
                <w:rFonts w:hint="eastAsia" w:cs="宋体"/>
                <w:b/>
                <w:bCs/>
                <w:color w:val="auto"/>
                <w:kern w:val="2"/>
                <w:szCs w:val="24"/>
                <w:highlight w:val="none"/>
                <w:lang w:eastAsia="zh-CN"/>
              </w:rPr>
              <w:t>施工期</w:t>
            </w:r>
            <w:r>
              <w:rPr>
                <w:rFonts w:hint="eastAsia" w:ascii="宋体" w:hAnsi="宋体" w:eastAsia="宋体" w:cs="宋体"/>
                <w:b/>
                <w:bCs/>
                <w:color w:val="auto"/>
                <w:kern w:val="2"/>
                <w:szCs w:val="24"/>
                <w:highlight w:val="none"/>
                <w:lang w:eastAsia="zh-CN"/>
              </w:rPr>
              <w:t>生态环境</w:t>
            </w:r>
            <w:r>
              <w:rPr>
                <w:rFonts w:hint="eastAsia" w:cs="宋体"/>
                <w:b/>
                <w:bCs/>
                <w:color w:val="auto"/>
                <w:kern w:val="2"/>
                <w:szCs w:val="24"/>
                <w:highlight w:val="none"/>
                <w:lang w:eastAsia="zh-CN"/>
              </w:rPr>
              <w:t>保护措施</w:t>
            </w:r>
          </w:p>
        </w:tc>
        <w:tc>
          <w:tcPr>
            <w:tcW w:w="8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1、</w:t>
            </w:r>
            <w:r>
              <w:rPr>
                <w:rFonts w:hint="eastAsia" w:ascii="Times New Roman" w:hAnsi="Times New Roman" w:eastAsia="仿宋_GB2312" w:cs="Times New Roman"/>
                <w:b/>
                <w:bCs/>
                <w:color w:val="auto"/>
                <w:sz w:val="24"/>
                <w:szCs w:val="24"/>
                <w:highlight w:val="none"/>
                <w:lang w:val="en-US" w:eastAsia="zh-CN"/>
              </w:rPr>
              <w:t>施工期</w:t>
            </w:r>
            <w:r>
              <w:rPr>
                <w:rFonts w:hint="default" w:ascii="Times New Roman" w:hAnsi="Times New Roman" w:eastAsia="仿宋_GB2312" w:cs="Times New Roman"/>
                <w:b/>
                <w:bCs/>
                <w:color w:val="auto"/>
                <w:sz w:val="24"/>
                <w:szCs w:val="24"/>
                <w:highlight w:val="none"/>
                <w:lang w:val="en-US" w:eastAsia="zh-CN"/>
              </w:rPr>
              <w:t>生态保护措施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1.1</w:t>
            </w:r>
            <w:r>
              <w:rPr>
                <w:rFonts w:hint="eastAsia" w:eastAsia="仿宋_GB2312" w:cs="Times New Roman"/>
                <w:b/>
                <w:bCs/>
                <w:color w:val="auto"/>
                <w:sz w:val="24"/>
                <w:szCs w:val="24"/>
                <w:highlight w:val="none"/>
                <w:lang w:val="en-US" w:eastAsia="zh-CN"/>
              </w:rPr>
              <w:t xml:space="preserve"> 生态</w:t>
            </w:r>
            <w:r>
              <w:rPr>
                <w:rFonts w:hint="eastAsia" w:ascii="Times New Roman" w:hAnsi="Times New Roman" w:eastAsia="仿宋_GB2312" w:cs="Times New Roman"/>
                <w:b/>
                <w:bCs/>
                <w:color w:val="auto"/>
                <w:sz w:val="24"/>
                <w:szCs w:val="24"/>
                <w:highlight w:val="none"/>
                <w:lang w:val="en-US" w:eastAsia="zh-CN"/>
              </w:rPr>
              <w:t>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工程监理人员、管理人员和施工人员应熟悉各施工点及其周边的主要植物种类及分布，以便在施工过程中进行严格的监理和管理，减少不必要的破坏。施工前对施工人员进行环境教育、生物多样性保护教育及有关法律、法规的宣传教育，施工人员必须遵守《中华人民共和国野生动物保护法》，破坏生物多样性将要承担相应的法律责任。虽然在现状调查期间工程施工区内未发现珍稀濒危保护植物，一旦发现，应及时采取措施，并及时上报，管理部门应遵循就地保护优先、迁地保护其次的原则，确保保护植物不受或少受工程影响。在工程施工期间，若发现有重点保护鸟类出现在施工区域时，应酌情降低施工强度或停止施工，采取驱离措施后再恢复施工活动；承包商应加强监督，避免出现人为捕杀野生动物情况</w:t>
            </w:r>
            <w:r>
              <w:rPr>
                <w:rFonts w:hint="eastAsia"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1.2</w:t>
            </w:r>
            <w:r>
              <w:rPr>
                <w:rFonts w:hint="eastAsia" w:eastAsia="仿宋_GB2312" w:cs="Times New Roman"/>
                <w:b/>
                <w:bCs/>
                <w:color w:val="auto"/>
                <w:sz w:val="24"/>
                <w:szCs w:val="24"/>
                <w:highlight w:val="none"/>
                <w:lang w:val="en-US" w:eastAsia="zh-CN"/>
              </w:rPr>
              <w:t xml:space="preserve"> 生态减缓</w:t>
            </w:r>
            <w:r>
              <w:rPr>
                <w:rFonts w:hint="eastAsia" w:ascii="Times New Roman" w:hAnsi="Times New Roman" w:eastAsia="仿宋_GB2312" w:cs="Times New Roman"/>
                <w:b/>
                <w:bCs/>
                <w:color w:val="auto"/>
                <w:sz w:val="24"/>
                <w:szCs w:val="24"/>
                <w:highlight w:val="none"/>
                <w:lang w:val="en-US" w:eastAsia="zh-CN"/>
              </w:rPr>
              <w:t>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开工前对施工临时设施要进行细致的规划，减少对地表植被的破坏。按照设计文件确定征占土地范围，进行地表植被的清理。严格执行施工规划，不得随意扩大作业面。在施工场地设挡墙或隔板，施工人员在施工过程中应限制在作业面内施工活动，不得越界施工滥采滥伐，以减少施工占地对植被的影响。对于本工程施工建设区及其施工影响区域，可能会出现野植株，须经施工环境监理或者施工期陆生生态调查确定后，必须采取物种移栽措施进行保护；严禁施工单位在不采取保护措施的条件下破坏其生长环境和状态。施工过程中应尽量减少高噪声施工。在工程初设阶级应进一步优化施工组织设计，减少对于周边动物的扰动；同时做好施工车辆及各施工机械的保养和维护，限制车速、设立标志牌以减轻对周边活动动物的影响。在施工结束施工人员撤离时，应及时拆除临时设施，清除碎石、砖块、施工废物等影响植物生存和影响区域景观美学的施工杂物，恢复景观斑块的连通性，以利于植物生长。此外，应对临时施工区进行绿化，尽可能恢复已被破坏的植被，绿化树种应选择当地种类，若选择外地种需慎重，要进行充分的论证，以免造成新的外来物种生态入侵。</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1.3</w:t>
            </w:r>
            <w:r>
              <w:rPr>
                <w:rFonts w:hint="eastAsia" w:eastAsia="仿宋_GB2312" w:cs="Times New Roman"/>
                <w:b/>
                <w:bCs/>
                <w:color w:val="auto"/>
                <w:sz w:val="24"/>
                <w:szCs w:val="24"/>
                <w:highlight w:val="none"/>
                <w:lang w:val="en-US" w:eastAsia="zh-CN"/>
              </w:rPr>
              <w:t xml:space="preserve"> </w:t>
            </w:r>
            <w:r>
              <w:rPr>
                <w:rFonts w:hint="eastAsia" w:ascii="Times New Roman" w:hAnsi="Times New Roman" w:eastAsia="仿宋_GB2312" w:cs="Times New Roman"/>
                <w:b/>
                <w:bCs/>
                <w:color w:val="auto"/>
                <w:sz w:val="24"/>
                <w:szCs w:val="24"/>
                <w:highlight w:val="none"/>
                <w:lang w:val="en-US" w:eastAsia="zh-CN"/>
              </w:rPr>
              <w:t>生态恢复措施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本项目临时设施包括</w:t>
            </w:r>
            <w:r>
              <w:rPr>
                <w:rFonts w:hint="eastAsia" w:eastAsia="仿宋_GB2312" w:cs="Times New Roman"/>
                <w:color w:val="auto"/>
                <w:sz w:val="24"/>
                <w:szCs w:val="24"/>
                <w:highlight w:val="none"/>
                <w:lang w:val="en-US" w:eastAsia="zh-CN"/>
              </w:rPr>
              <w:t>临时施工区、</w:t>
            </w:r>
            <w:r>
              <w:rPr>
                <w:rFonts w:hint="eastAsia" w:ascii="Times New Roman" w:hAnsi="Times New Roman" w:eastAsia="仿宋_GB2312" w:cs="Times New Roman"/>
                <w:color w:val="auto"/>
                <w:sz w:val="24"/>
                <w:szCs w:val="24"/>
                <w:highlight w:val="none"/>
                <w:lang w:val="en-US" w:eastAsia="zh-CN"/>
              </w:rPr>
              <w:t>临时</w:t>
            </w:r>
            <w:r>
              <w:rPr>
                <w:rFonts w:hint="eastAsia" w:eastAsia="仿宋_GB2312" w:cs="Times New Roman"/>
                <w:color w:val="auto"/>
                <w:sz w:val="24"/>
                <w:szCs w:val="24"/>
                <w:highlight w:val="none"/>
                <w:lang w:val="en-US" w:eastAsia="zh-CN"/>
              </w:rPr>
              <w:t>施工</w:t>
            </w:r>
            <w:r>
              <w:rPr>
                <w:rFonts w:hint="eastAsia" w:ascii="Times New Roman" w:hAnsi="Times New Roman" w:eastAsia="仿宋_GB2312" w:cs="Times New Roman"/>
                <w:color w:val="auto"/>
                <w:sz w:val="24"/>
                <w:szCs w:val="24"/>
                <w:highlight w:val="none"/>
                <w:lang w:val="en-US" w:eastAsia="zh-CN"/>
              </w:rPr>
              <w:t>道路</w:t>
            </w:r>
            <w:r>
              <w:rPr>
                <w:rFonts w:hint="eastAsia" w:eastAsia="仿宋_GB2312" w:cs="Times New Roman"/>
                <w:color w:val="auto"/>
                <w:sz w:val="24"/>
                <w:szCs w:val="24"/>
                <w:highlight w:val="none"/>
                <w:lang w:val="en-US" w:eastAsia="zh-CN"/>
              </w:rPr>
              <w:t>及取土场</w:t>
            </w:r>
            <w:r>
              <w:rPr>
                <w:rFonts w:hint="eastAsia" w:ascii="Times New Roman" w:hAnsi="Times New Roman" w:eastAsia="仿宋_GB2312" w:cs="Times New Roman"/>
                <w:color w:val="auto"/>
                <w:sz w:val="24"/>
                <w:szCs w:val="24"/>
                <w:highlight w:val="none"/>
                <w:lang w:val="en-US" w:eastAsia="zh-CN"/>
              </w:rPr>
              <w:t>，施工过程中对表土剥离并单独堆放，施工完成后进行恢复，并对各施工临时占地原用地为林草地的区域采取撒播草籽的措施进行植被恢复，原耕地区域恢复耕种。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2、</w:t>
            </w:r>
            <w:r>
              <w:rPr>
                <w:rFonts w:hint="eastAsia" w:ascii="Times New Roman" w:hAnsi="Times New Roman" w:eastAsia="仿宋_GB2312" w:cs="Times New Roman"/>
                <w:b/>
                <w:bCs/>
                <w:color w:val="auto"/>
                <w:sz w:val="24"/>
                <w:szCs w:val="24"/>
                <w:highlight w:val="none"/>
                <w:lang w:val="en-US" w:eastAsia="zh-CN"/>
              </w:rPr>
              <w:t>施工期大气污染防治措施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为减少施工扬尘，施工时须满足《关于进一步加强施工工地和道路扬尘管控工作的通知》（建办质〔2019〕23号）、《宁夏回族自治区大气污染防治条例》相关要求。具体措施如下：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①施工作业过程中，由洒水车定期</w:t>
            </w:r>
            <w:r>
              <w:rPr>
                <w:rFonts w:hint="eastAsia" w:eastAsia="仿宋_GB2312" w:cs="Times New Roman"/>
                <w:color w:val="auto"/>
                <w:sz w:val="24"/>
                <w:szCs w:val="24"/>
                <w:highlight w:val="none"/>
                <w:lang w:val="en-US" w:eastAsia="zh-CN"/>
              </w:rPr>
              <w:t>对施工道路及施工工作面</w:t>
            </w:r>
            <w:r>
              <w:rPr>
                <w:rFonts w:hint="default" w:ascii="Times New Roman" w:hAnsi="Times New Roman" w:eastAsia="仿宋_GB2312" w:cs="Times New Roman"/>
                <w:color w:val="auto"/>
                <w:sz w:val="24"/>
                <w:szCs w:val="24"/>
                <w:highlight w:val="none"/>
                <w:lang w:val="en-US" w:eastAsia="zh-CN"/>
              </w:rPr>
              <w:t>进行洒水抑尘；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②运输车辆在易产生扬尘的路段应慢速行驶，保持车辆进出施工现场出入口路面清洁、湿润，同时在车辆出入口竖立减速标牌，限制行车速度；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③施工材料应集中堆放，以缩小扬尘影响范围，土方及时回填减小扬尘影响时间；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④施工时开挖的土方不能及时回填时，在有风或大雨天气应采取临时遮盖措施，避免或减少因工程施工引起的扬尘对周围环境的不利影响；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⑤工程完工后应及时清理施工场地，减缓扬尘污染；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⑥当风速过大时，应停止施工作业，并进行洒水抑尘，对堆存易产生扬尘的施工材料采取遮盖措施；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eastAsia="仿宋_GB2312" w:cs="Times New Roman"/>
                <w:b/>
                <w:bCs/>
                <w:color w:val="auto"/>
                <w:sz w:val="24"/>
                <w:szCs w:val="24"/>
                <w:highlight w:val="none"/>
                <w:lang w:val="en-US" w:eastAsia="zh-CN"/>
              </w:rPr>
              <w:t>3、</w:t>
            </w:r>
            <w:r>
              <w:rPr>
                <w:rFonts w:hint="eastAsia" w:ascii="Times New Roman" w:hAnsi="Times New Roman" w:eastAsia="仿宋_GB2312" w:cs="Times New Roman"/>
                <w:b/>
                <w:bCs/>
                <w:color w:val="auto"/>
                <w:sz w:val="24"/>
                <w:szCs w:val="24"/>
                <w:highlight w:val="none"/>
                <w:lang w:val="en-US" w:eastAsia="zh-CN"/>
              </w:rPr>
              <w:t>施工期水污染防治措施</w:t>
            </w:r>
          </w:p>
          <w:p>
            <w:pPr>
              <w:adjustRightInd w:val="0"/>
              <w:spacing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Times New Roman" w:hAnsi="Times New Roman" w:eastAsia="仿宋_GB2312" w:cs="Times New Roman"/>
                <w:color w:val="auto"/>
                <w:spacing w:val="0"/>
                <w:kern w:val="2"/>
                <w:sz w:val="24"/>
                <w:szCs w:val="24"/>
                <w:highlight w:val="none"/>
                <w:u w:val="none"/>
                <w:lang w:val="en-US" w:eastAsia="zh-CN" w:bidi="ar-SA"/>
              </w:rPr>
              <w:t>本项目在施工期间禁止将土方、建筑垃圾、生活垃圾等排入第九排水沟、清水河以及黄河</w:t>
            </w:r>
            <w:r>
              <w:rPr>
                <w:rFonts w:hint="default" w:ascii="Times New Roman" w:hAnsi="Times New Roman" w:eastAsia="仿宋_GB2312" w:cs="Times New Roman"/>
                <w:color w:val="auto"/>
                <w:spacing w:val="0"/>
                <w:kern w:val="2"/>
                <w:sz w:val="24"/>
                <w:szCs w:val="24"/>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4、</w:t>
            </w:r>
            <w:r>
              <w:rPr>
                <w:rFonts w:hint="eastAsia" w:ascii="Times New Roman" w:hAnsi="Times New Roman" w:eastAsia="仿宋_GB2312" w:cs="Times New Roman"/>
                <w:b/>
                <w:bCs/>
                <w:color w:val="auto"/>
                <w:sz w:val="24"/>
                <w:szCs w:val="24"/>
                <w:highlight w:val="none"/>
                <w:lang w:val="en-US" w:eastAsia="zh-CN"/>
              </w:rPr>
              <w:t>施工期噪声污染防治</w:t>
            </w:r>
            <w:r>
              <w:rPr>
                <w:rFonts w:hint="default" w:ascii="Times New Roman" w:hAnsi="Times New Roman" w:eastAsia="仿宋_GB2312" w:cs="Times New Roman"/>
                <w:b/>
                <w:bCs/>
                <w:color w:val="auto"/>
                <w:sz w:val="24"/>
                <w:szCs w:val="24"/>
                <w:highlight w:val="none"/>
                <w:lang w:val="en-US" w:eastAsia="zh-CN"/>
              </w:rPr>
              <w:t>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施工期声环境保护防治措施及对策建议：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①施工前，对所使用机械设备进行了保养，施工过程中有专人维护。加强施工管理，合理安排施工作业时间</w:t>
            </w:r>
            <w:r>
              <w:rPr>
                <w:rFonts w:hint="eastAsia" w:ascii="Times New Roman" w:hAnsi="Times New Roman" w:eastAsia="仿宋_GB2312" w:cs="Times New Roman"/>
                <w:color w:val="auto"/>
                <w:sz w:val="24"/>
                <w:szCs w:val="24"/>
                <w:highlight w:val="none"/>
                <w:lang w:val="en-US" w:eastAsia="zh-CN"/>
              </w:rPr>
              <w:t>；若施工工艺要求必须连续进行施工的作业点，施工单位须视具体情况及时与当地环保部门取得联系，并按规定办理相关手续。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②降低施工设备噪声：尽量采用低噪声设备；采用安装排气筒消音器和隔离发动机振动部件的方法降低噪声；对动力机械、设备加强定期检修、养护。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③降低人为噪声：按规定操作机械设备，尽量减少碰撞声音；尽量少用哨子等指挥作业。</w:t>
            </w:r>
            <w:r>
              <w:rPr>
                <w:rFonts w:hint="eastAsia" w:ascii="Times New Roman" w:hAnsi="Times New Roman" w:eastAsia="仿宋_GB2312" w:cs="Times New Roman"/>
                <w:color w:val="auto"/>
                <w:sz w:val="24"/>
                <w:szCs w:val="24"/>
                <w:highlight w:val="none"/>
                <w:lang w:val="zh-CN" w:eastAsia="zh-CN"/>
              </w:rPr>
              <w:t>施工单位通过文明施工、加强有效管理，降低噪声对周围环境的影响。</w:t>
            </w:r>
            <w:r>
              <w:rPr>
                <w:rFonts w:hint="eastAsia" w:ascii="Times New Roman" w:hAnsi="Times New Roman" w:eastAsia="仿宋_GB2312" w:cs="Times New Roman"/>
                <w:color w:val="auto"/>
                <w:sz w:val="24"/>
                <w:szCs w:val="24"/>
                <w:highlight w:val="none"/>
                <w:lang w:val="en-US" w:eastAsia="zh-CN"/>
              </w:rPr>
              <w:t>合理安排施工人员轮流操作噪声较高的施工机械，减少工人接触高噪音的时间，同时注意保养施工机械，使其维持其最低声级水平。</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5、</w:t>
            </w:r>
            <w:r>
              <w:rPr>
                <w:rFonts w:hint="eastAsia" w:ascii="Times New Roman" w:hAnsi="Times New Roman" w:eastAsia="仿宋_GB2312" w:cs="Times New Roman"/>
                <w:b/>
                <w:bCs/>
                <w:color w:val="auto"/>
                <w:sz w:val="24"/>
                <w:szCs w:val="24"/>
                <w:highlight w:val="none"/>
                <w:lang w:val="en-US" w:eastAsia="zh-CN"/>
              </w:rPr>
              <w:t>施工期固废污染防治</w:t>
            </w:r>
            <w:r>
              <w:rPr>
                <w:rFonts w:hint="default" w:ascii="Times New Roman" w:hAnsi="Times New Roman" w:eastAsia="仿宋_GB2312" w:cs="Times New Roman"/>
                <w:b/>
                <w:bCs/>
                <w:color w:val="auto"/>
                <w:sz w:val="24"/>
                <w:szCs w:val="24"/>
                <w:highlight w:val="none"/>
                <w:lang w:val="en-US" w:eastAsia="zh-CN"/>
              </w:rPr>
              <w:t>措施</w:t>
            </w:r>
          </w:p>
          <w:p>
            <w:pPr>
              <w:adjustRightInd w:val="0"/>
              <w:spacing w:line="360" w:lineRule="auto"/>
              <w:ind w:firstLine="480" w:firstLineChars="200"/>
              <w:rPr>
                <w:rFonts w:hint="eastAsia" w:eastAsia="仿宋_GB2312"/>
                <w:bCs/>
                <w:color w:val="auto"/>
                <w:spacing w:val="-10"/>
                <w:sz w:val="24"/>
                <w:highlight w:val="none"/>
                <w:lang w:val="en-US" w:eastAsia="zh-CN"/>
              </w:rPr>
            </w:pPr>
            <w:r>
              <w:rPr>
                <w:rFonts w:hint="default" w:ascii="Times New Roman" w:hAnsi="Times New Roman" w:eastAsia="仿宋_GB2312" w:cs="Times New Roman"/>
                <w:color w:val="auto"/>
                <w:kern w:val="2"/>
                <w:sz w:val="24"/>
                <w:szCs w:val="24"/>
                <w:highlight w:val="none"/>
                <w:lang w:val="en-US" w:eastAsia="zh-CN" w:bidi="ar-SA"/>
              </w:rPr>
              <w:t>生活垃圾依托租住民房垃圾桶收集，定期运送至附近垃圾中转站由环卫部门处置</w:t>
            </w:r>
            <w:r>
              <w:rPr>
                <w:rFonts w:hint="eastAsia" w:ascii="Times New Roman" w:hAnsi="Times New Roman" w:eastAsia="仿宋_GB2312" w:cs="Times New Roman"/>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施工期结束后围堰拆除产生的弃方运输至政府指定地点。</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746" w:type="dxa"/>
            <w:tcBorders>
              <w:tl2br w:val="nil"/>
              <w:tr2bl w:val="nil"/>
            </w:tcBorders>
            <w:tcMar>
              <w:left w:w="28" w:type="dxa"/>
              <w:right w:w="28" w:type="dxa"/>
            </w:tcMar>
            <w:vAlign w:val="center"/>
          </w:tcPr>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运营</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期生</w:t>
            </w:r>
          </w:p>
          <w:p>
            <w:pPr>
              <w:adjustRightInd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态环</w:t>
            </w:r>
          </w:p>
          <w:p>
            <w:pPr>
              <w:adjustRightInd w:val="0"/>
              <w:spacing w:line="240" w:lineRule="auto"/>
              <w:jc w:val="center"/>
              <w:rPr>
                <w:rFonts w:hint="eastAsia" w:ascii="宋体" w:hAnsi="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境</w:t>
            </w:r>
            <w:r>
              <w:rPr>
                <w:rFonts w:hint="eastAsia" w:ascii="宋体" w:hAnsi="宋体" w:cs="宋体"/>
                <w:b/>
                <w:bCs/>
                <w:color w:val="auto"/>
                <w:kern w:val="2"/>
                <w:sz w:val="24"/>
                <w:szCs w:val="24"/>
                <w:highlight w:val="none"/>
                <w:lang w:val="en-US" w:eastAsia="zh-CN" w:bidi="ar-SA"/>
              </w:rPr>
              <w:t>保</w:t>
            </w:r>
          </w:p>
          <w:p>
            <w:pPr>
              <w:adjustRightInd w:val="0"/>
              <w:spacing w:line="240" w:lineRule="auto"/>
              <w:jc w:val="center"/>
              <w:rPr>
                <w:rFonts w:hint="eastAsia" w:ascii="宋体" w:hAnsi="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护措</w:t>
            </w:r>
          </w:p>
          <w:p>
            <w:pPr>
              <w:adjustRightInd w:val="0"/>
              <w:spacing w:line="240" w:lineRule="auto"/>
              <w:jc w:val="center"/>
              <w:rPr>
                <w:rFonts w:hint="eastAsia" w:eastAsia="宋体"/>
                <w:color w:val="auto"/>
                <w:highlight w:val="none"/>
                <w:lang w:eastAsia="zh-CN"/>
              </w:rPr>
            </w:pPr>
            <w:r>
              <w:rPr>
                <w:rFonts w:hint="eastAsia" w:ascii="宋体" w:hAnsi="宋体" w:cs="宋体"/>
                <w:b/>
                <w:bCs/>
                <w:color w:val="auto"/>
                <w:kern w:val="2"/>
                <w:sz w:val="24"/>
                <w:szCs w:val="24"/>
                <w:highlight w:val="none"/>
                <w:lang w:val="en-US" w:eastAsia="zh-CN" w:bidi="ar-SA"/>
              </w:rPr>
              <w:t>施</w:t>
            </w:r>
          </w:p>
        </w:tc>
        <w:tc>
          <w:tcPr>
            <w:tcW w:w="82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生态修复区后期养护措施</w:t>
            </w:r>
            <w:r>
              <w:rPr>
                <w:rFonts w:hint="eastAsia" w:ascii="Times New Roman" w:hAnsi="Times New Roman" w:eastAsia="仿宋_GB2312" w:cs="Times New Roman"/>
                <w:b/>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①抹芽、除萌</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定植当年需对阔叶乔木及时进行抹芽、除萌和剪除根蘖等工作。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②整形修枝</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项目区林木具有绿化美化的作用，应进行整形修枝。主要是剪去病虫危害枝、树 干下部影响美观及交通的侧枝。</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③除草</w:t>
            </w:r>
            <w:r>
              <w:rPr>
                <w:rFonts w:hint="eastAsia"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对树穴、树行内杂草应及时清除，以免其争夺水分与养分。秋季应全面清除林带中的杂草，防止发生鼠害和火灾</w:t>
            </w:r>
            <w:r>
              <w:rPr>
                <w:rFonts w:hint="eastAsia"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④病虫害防治</w:t>
            </w:r>
            <w:r>
              <w:rPr>
                <w:rFonts w:hint="eastAsia"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项目区危害林木的病虫害较少，但仍需加强防范，特别是对蛀干害虫、食叶性害虫和刺吸式口器害虫，要及时发现及时防治，避免扩大侵染范围，保证区域林木安全</w:t>
            </w:r>
            <w:r>
              <w:rPr>
                <w:rFonts w:hint="eastAsia"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bCs/>
                <w:color w:val="auto"/>
                <w:spacing w:val="-10"/>
                <w:sz w:val="24"/>
                <w:highlight w:val="none"/>
              </w:rPr>
            </w:pPr>
            <w:r>
              <w:rPr>
                <w:rFonts w:hint="default" w:ascii="Times New Roman" w:hAnsi="Times New Roman" w:eastAsia="仿宋_GB2312" w:cs="Times New Roman"/>
                <w:color w:val="auto"/>
                <w:sz w:val="24"/>
                <w:szCs w:val="24"/>
                <w:highlight w:val="none"/>
                <w:lang w:val="en-US" w:eastAsia="zh-CN"/>
              </w:rPr>
              <w:t>⑤冬季涂白</w:t>
            </w:r>
            <w:r>
              <w:rPr>
                <w:rFonts w:hint="eastAsia"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对栽植的苗木，在冬季要对其进行防寒处理，对乔木要用石硫合剂或石灰进行主干涂白，避免树干冻裂，还可杀死在树皮内越冬的害虫。涂白要均匀，不可漏涂</w:t>
            </w:r>
            <w:r>
              <w:rPr>
                <w:rFonts w:hint="eastAsia" w:ascii="Times New Roman" w:hAnsi="Times New Roman" w:eastAsia="仿宋_GB2312"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After w:val="1"/>
          <w:wAfter w:w="48" w:type="dxa"/>
          <w:trHeight w:val="4560" w:hRule="atLeast"/>
          <w:jc w:val="center"/>
        </w:trPr>
        <w:tc>
          <w:tcPr>
            <w:tcW w:w="746" w:type="dxa"/>
            <w:tcBorders>
              <w:tl2br w:val="nil"/>
              <w:tr2bl w:val="nil"/>
            </w:tcBorders>
            <w:tcMar>
              <w:left w:w="28" w:type="dxa"/>
              <w:right w:w="28" w:type="dxa"/>
            </w:tcMar>
            <w:vAlign w:val="center"/>
          </w:tcPr>
          <w:p>
            <w:pPr>
              <w:adjustRightInd w:val="0"/>
              <w:snapToGrid w:val="0"/>
              <w:jc w:val="center"/>
              <w:rPr>
                <w:rFonts w:hint="eastAsia" w:eastAsia="仿宋_GB2312"/>
                <w:b/>
                <w:bCs/>
                <w:color w:val="auto"/>
                <w:sz w:val="24"/>
                <w:highlight w:val="none"/>
                <w:lang w:eastAsia="zh-CN"/>
              </w:rPr>
            </w:pPr>
            <w:r>
              <w:rPr>
                <w:rFonts w:hint="eastAsia" w:ascii="宋体" w:hAnsi="宋体" w:cs="宋体"/>
                <w:b/>
                <w:bCs/>
                <w:color w:val="auto"/>
                <w:sz w:val="24"/>
                <w:highlight w:val="none"/>
                <w:lang w:eastAsia="zh-CN"/>
              </w:rPr>
              <w:t>其他</w:t>
            </w:r>
          </w:p>
        </w:tc>
        <w:tc>
          <w:tcPr>
            <w:tcW w:w="816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1.环境管理与监测计划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1.1环境管理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建设项目环境保护管理是指项目在施工期和营运期必须遵守国家、自治区、</w:t>
            </w:r>
            <w:r>
              <w:rPr>
                <w:rFonts w:hint="eastAsia" w:eastAsia="仿宋_GB2312" w:cs="Times New Roman"/>
                <w:color w:val="auto"/>
                <w:sz w:val="24"/>
                <w:szCs w:val="24"/>
                <w:highlight w:val="none"/>
                <w:lang w:val="en-US" w:eastAsia="zh-CN"/>
              </w:rPr>
              <w:t>中卫市</w:t>
            </w:r>
            <w:r>
              <w:rPr>
                <w:rFonts w:hint="eastAsia" w:ascii="Times New Roman" w:hAnsi="Times New Roman" w:eastAsia="仿宋_GB2312" w:cs="Times New Roman"/>
                <w:color w:val="auto"/>
                <w:sz w:val="24"/>
                <w:szCs w:val="24"/>
                <w:highlight w:val="none"/>
                <w:lang w:val="en-US" w:eastAsia="zh-CN"/>
              </w:rPr>
              <w:t>的有关环境保护法律、法规、政策与标准，接受地方生态环境主管部门的监督，调整和制订环境规划保护目标，协调同有关部门的关系以及一切与改善环境有关的管理活动。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施工期环境管理见表</w:t>
            </w:r>
            <w:r>
              <w:rPr>
                <w:rFonts w:hint="eastAsia" w:eastAsia="仿宋_GB2312" w:cs="Times New Roman"/>
                <w:color w:val="auto"/>
                <w:sz w:val="24"/>
                <w:szCs w:val="24"/>
                <w:highlight w:val="none"/>
                <w:lang w:val="en-US" w:eastAsia="zh-CN"/>
              </w:rPr>
              <w:t>22</w:t>
            </w:r>
            <w:r>
              <w:rPr>
                <w:rFonts w:hint="default" w:ascii="Times New Roman" w:hAnsi="Times New Roman" w:eastAsia="仿宋_GB2312" w:cs="Times New Roman"/>
                <w:color w:val="auto"/>
                <w:sz w:val="24"/>
                <w:szCs w:val="24"/>
                <w:highlight w:val="none"/>
                <w:lang w:val="en-US" w:eastAsia="zh-CN"/>
              </w:rPr>
              <w:t>。监测计划见表</w:t>
            </w:r>
            <w:r>
              <w:rPr>
                <w:rFonts w:hint="eastAsia" w:eastAsia="仿宋_GB2312" w:cs="Times New Roman"/>
                <w:color w:val="auto"/>
                <w:sz w:val="24"/>
                <w:szCs w:val="24"/>
                <w:highlight w:val="none"/>
                <w:lang w:val="en-US" w:eastAsia="zh-CN"/>
              </w:rPr>
              <w:t>23</w:t>
            </w:r>
            <w:r>
              <w:rPr>
                <w:rFonts w:hint="default" w:ascii="Times New Roman" w:hAnsi="Times New Roman" w:eastAsia="仿宋_GB2312"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1.2环境监测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环境监测单位将根据国家环保部颁布的各项导则和标准规定的方法进行采样、保存和分析样品，与项目的环境监测的要求相同。本工程环境监测计划主要为施工期，监测内容主要有</w:t>
            </w:r>
            <w:r>
              <w:rPr>
                <w:rFonts w:hint="eastAsia" w:eastAsia="仿宋_GB2312" w:cs="Times New Roman"/>
                <w:color w:val="auto"/>
                <w:sz w:val="24"/>
                <w:szCs w:val="24"/>
                <w:highlight w:val="none"/>
                <w:lang w:val="en-US" w:eastAsia="zh-CN"/>
              </w:rPr>
              <w:t>地表水、</w:t>
            </w:r>
            <w:r>
              <w:rPr>
                <w:rFonts w:hint="eastAsia" w:ascii="Times New Roman" w:hAnsi="Times New Roman" w:eastAsia="仿宋_GB2312" w:cs="Times New Roman"/>
                <w:color w:val="auto"/>
                <w:sz w:val="24"/>
                <w:szCs w:val="24"/>
                <w:highlight w:val="none"/>
                <w:lang w:val="en-US" w:eastAsia="zh-CN"/>
              </w:rPr>
              <w:t>噪声、环境空气和生态</w:t>
            </w:r>
            <w:r>
              <w:rPr>
                <w:rFonts w:hint="eastAsia" w:eastAsia="仿宋_GB2312" w:cs="Times New Roman"/>
                <w:color w:val="auto"/>
                <w:sz w:val="24"/>
                <w:szCs w:val="24"/>
                <w:highlight w:val="none"/>
                <w:lang w:val="en-US" w:eastAsia="zh-CN"/>
              </w:rPr>
              <w:t>四</w:t>
            </w:r>
            <w:r>
              <w:rPr>
                <w:rFonts w:hint="eastAsia" w:ascii="Times New Roman" w:hAnsi="Times New Roman" w:eastAsia="仿宋_GB2312" w:cs="Times New Roman"/>
                <w:color w:val="auto"/>
                <w:sz w:val="24"/>
                <w:szCs w:val="24"/>
                <w:highlight w:val="none"/>
                <w:lang w:val="en-US" w:eastAsia="zh-CN"/>
              </w:rPr>
              <w:t>部分</w:t>
            </w:r>
            <w:r>
              <w:rPr>
                <w:rFonts w:hint="eastAsia" w:eastAsia="仿宋_GB2312" w:cs="Times New Roman"/>
                <w:color w:val="auto"/>
                <w:sz w:val="24"/>
                <w:szCs w:val="24"/>
                <w:highlight w:val="none"/>
                <w:lang w:val="en-US" w:eastAsia="zh-CN"/>
              </w:rPr>
              <w:t>，</w:t>
            </w:r>
            <w:r>
              <w:rPr>
                <w:rFonts w:hint="eastAsia" w:ascii="Times New Roman" w:hAnsi="Times New Roman" w:eastAsia="仿宋_GB2312" w:cs="Times New Roman"/>
                <w:b w:val="0"/>
                <w:bCs/>
                <w:color w:val="auto"/>
                <w:kern w:val="2"/>
                <w:sz w:val="24"/>
                <w:szCs w:val="24"/>
                <w:highlight w:val="none"/>
                <w:lang w:val="en-US" w:eastAsia="zh-CN" w:bidi="ar-SA"/>
              </w:rPr>
              <w:t>鉴于在项目中断有清水河泉眼山国控断面，可不进行地表水环境监测，但要随时关注最新的水质监测数据</w:t>
            </w:r>
            <w:r>
              <w:rPr>
                <w:rFonts w:hint="eastAsia" w:ascii="Times New Roman" w:hAnsi="Times New Roman" w:eastAsia="仿宋_GB2312" w:cs="Times New Roman"/>
                <w:color w:val="auto"/>
                <w:sz w:val="24"/>
                <w:szCs w:val="24"/>
                <w:highlight w:val="none"/>
                <w:lang w:val="en-US" w:eastAsia="zh-CN"/>
              </w:rPr>
              <w:t>。</w:t>
            </w:r>
          </w:p>
          <w:p>
            <w:pPr>
              <w:pStyle w:val="60"/>
              <w:bidi w:val="0"/>
              <w:ind w:firstLine="480" w:firstLineChars="200"/>
              <w:jc w:val="both"/>
              <w:rPr>
                <w:rFonts w:hint="default" w:ascii="Times New Roman" w:hAnsi="Times New Roman" w:eastAsia="黑体" w:cs="Times New Roman"/>
                <w:b w:val="0"/>
                <w:bCs/>
                <w:color w:val="auto"/>
                <w:kern w:val="44"/>
                <w:sz w:val="24"/>
                <w:szCs w:val="24"/>
                <w:highlight w:val="none"/>
                <w:lang w:val="en-US" w:eastAsia="zh-CN" w:bidi="ar-SA"/>
              </w:rPr>
            </w:pPr>
            <w:r>
              <w:rPr>
                <w:rFonts w:hint="default" w:ascii="Times New Roman" w:hAnsi="Times New Roman" w:eastAsia="黑体" w:cs="Times New Roman"/>
                <w:b w:val="0"/>
                <w:bCs/>
                <w:color w:val="auto"/>
                <w:kern w:val="44"/>
                <w:sz w:val="24"/>
                <w:szCs w:val="24"/>
                <w:highlight w:val="none"/>
                <w:lang w:val="en-US" w:eastAsia="zh-CN" w:bidi="ar-SA"/>
              </w:rPr>
              <w:t>表</w:t>
            </w:r>
            <w:r>
              <w:rPr>
                <w:rFonts w:hint="eastAsia" w:eastAsia="黑体" w:cs="Times New Roman"/>
                <w:b w:val="0"/>
                <w:bCs/>
                <w:color w:val="auto"/>
                <w:kern w:val="44"/>
                <w:sz w:val="24"/>
                <w:szCs w:val="24"/>
                <w:highlight w:val="none"/>
                <w:lang w:val="en-US" w:eastAsia="zh-CN" w:bidi="ar-SA"/>
              </w:rPr>
              <w:t>22</w:t>
            </w:r>
            <w:r>
              <w:rPr>
                <w:rFonts w:hint="default" w:ascii="Times New Roman" w:hAnsi="Times New Roman" w:eastAsia="黑体" w:cs="Times New Roman"/>
                <w:b w:val="0"/>
                <w:bCs/>
                <w:color w:val="auto"/>
                <w:kern w:val="44"/>
                <w:sz w:val="24"/>
                <w:szCs w:val="24"/>
                <w:highlight w:val="none"/>
                <w:lang w:val="en-US" w:eastAsia="zh-CN" w:bidi="ar-SA"/>
              </w:rPr>
              <w:t xml:space="preserve">  </w:t>
            </w:r>
            <w:r>
              <w:rPr>
                <w:rFonts w:hint="eastAsia" w:ascii="Times New Roman" w:hAnsi="Times New Roman" w:eastAsia="黑体" w:cs="Times New Roman"/>
                <w:b w:val="0"/>
                <w:bCs/>
                <w:color w:val="auto"/>
                <w:kern w:val="44"/>
                <w:sz w:val="24"/>
                <w:szCs w:val="24"/>
                <w:highlight w:val="none"/>
                <w:lang w:val="en-US" w:eastAsia="zh-CN" w:bidi="ar-SA"/>
              </w:rPr>
              <w:t xml:space="preserve">   </w:t>
            </w:r>
            <w:r>
              <w:rPr>
                <w:rFonts w:hint="default" w:ascii="Times New Roman" w:hAnsi="Times New Roman" w:eastAsia="黑体" w:cs="Times New Roman"/>
                <w:b w:val="0"/>
                <w:bCs/>
                <w:color w:val="auto"/>
                <w:kern w:val="44"/>
                <w:sz w:val="24"/>
                <w:szCs w:val="24"/>
                <w:highlight w:val="none"/>
                <w:lang w:val="en-US" w:eastAsia="zh-CN" w:bidi="ar-SA"/>
              </w:rPr>
              <w:t xml:space="preserve">  </w:t>
            </w:r>
            <w:r>
              <w:rPr>
                <w:rFonts w:hint="eastAsia" w:ascii="Times New Roman" w:hAnsi="Times New Roman" w:eastAsia="黑体" w:cs="Times New Roman"/>
                <w:b w:val="0"/>
                <w:bCs/>
                <w:color w:val="auto"/>
                <w:kern w:val="44"/>
                <w:sz w:val="24"/>
                <w:szCs w:val="24"/>
                <w:highlight w:val="none"/>
                <w:lang w:val="en-US" w:eastAsia="zh-CN" w:bidi="ar-SA"/>
              </w:rPr>
              <w:t xml:space="preserve">          </w:t>
            </w:r>
            <w:r>
              <w:rPr>
                <w:rFonts w:hint="default" w:ascii="Times New Roman" w:hAnsi="Times New Roman" w:eastAsia="黑体" w:cs="Times New Roman"/>
                <w:b w:val="0"/>
                <w:bCs/>
                <w:color w:val="auto"/>
                <w:kern w:val="44"/>
                <w:sz w:val="24"/>
                <w:szCs w:val="24"/>
                <w:highlight w:val="none"/>
                <w:lang w:val="en-US" w:eastAsia="zh-CN" w:bidi="ar-SA"/>
              </w:rPr>
              <w:t>施工期环境管理</w:t>
            </w:r>
          </w:p>
          <w:tbl>
            <w:tblPr>
              <w:tblStyle w:val="24"/>
              <w:tblW w:w="79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320"/>
              <w:gridCol w:w="3510"/>
              <w:gridCol w:w="22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32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35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污染防治措施及设施</w:t>
                  </w:r>
                </w:p>
              </w:tc>
              <w:tc>
                <w:tcPr>
                  <w:tcW w:w="2284"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预期效果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22"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废气</w:t>
                  </w:r>
                </w:p>
              </w:tc>
              <w:tc>
                <w:tcPr>
                  <w:tcW w:w="132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施工扬尘</w:t>
                  </w:r>
                </w:p>
              </w:tc>
              <w:tc>
                <w:tcPr>
                  <w:tcW w:w="35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①施工作业过程中，由洒水车定期进行洒水抑尘</w:t>
                  </w:r>
                  <w:r>
                    <w:rPr>
                      <w:rFonts w:hint="eastAsia" w:ascii="Times New Roman" w:cs="Times New Roman"/>
                      <w:b w:val="0"/>
                      <w:bCs w:val="0"/>
                      <w:color w:val="auto"/>
                      <w:sz w:val="21"/>
                      <w:szCs w:val="21"/>
                      <w:highlight w:val="none"/>
                      <w:lang w:eastAsia="zh-CN"/>
                    </w:rPr>
                    <w:t>。</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②运输车辆在易产生扬尘的路段应慢速行驶，保持车辆进出施工现场出入口路面清洁、湿润</w:t>
                  </w:r>
                  <w:r>
                    <w:rPr>
                      <w:rFonts w:hint="eastAsia" w:ascii="Times New Roman" w:cs="Times New Roman"/>
                      <w:b w:val="0"/>
                      <w:bCs w:val="0"/>
                      <w:color w:val="auto"/>
                      <w:sz w:val="21"/>
                      <w:szCs w:val="21"/>
                      <w:highlight w:val="none"/>
                      <w:lang w:eastAsia="zh-CN"/>
                    </w:rPr>
                    <w:t>。</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③工程完工后应及时清理施工场地，减缓扬尘污染。</w:t>
                  </w:r>
                </w:p>
              </w:tc>
              <w:tc>
                <w:tcPr>
                  <w:tcW w:w="2284"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有效减轻其污染影响程度和范围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22"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32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施工机械尾气</w:t>
                  </w:r>
                </w:p>
              </w:tc>
              <w:tc>
                <w:tcPr>
                  <w:tcW w:w="35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项目所在地较为开阔，空气流通较好，汽车排放的废气能够较快地扩散，不会对当地的环境空气产生较大影响，但项目建设过程中仍应采取控制措施，加强施工机械的维护，使环境空气质量受到的影响降至最低。</w:t>
                  </w:r>
                </w:p>
              </w:tc>
              <w:tc>
                <w:tcPr>
                  <w:tcW w:w="2284"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2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废水</w:t>
                  </w:r>
                </w:p>
              </w:tc>
              <w:tc>
                <w:tcPr>
                  <w:tcW w:w="132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施工废水和生活污水</w:t>
                  </w:r>
                </w:p>
              </w:tc>
              <w:tc>
                <w:tcPr>
                  <w:tcW w:w="35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加强施工人员管理，增强施工人员的环保意识。</w:t>
                  </w:r>
                </w:p>
              </w:tc>
              <w:tc>
                <w:tcPr>
                  <w:tcW w:w="2284"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减少对区域水体环境的影响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4" w:hRule="atLeast"/>
                <w:jc w:val="center"/>
              </w:trPr>
              <w:tc>
                <w:tcPr>
                  <w:tcW w:w="82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噪声</w:t>
                  </w:r>
                </w:p>
              </w:tc>
              <w:tc>
                <w:tcPr>
                  <w:tcW w:w="132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施工设备及车辆噪声</w:t>
                  </w:r>
                </w:p>
              </w:tc>
              <w:tc>
                <w:tcPr>
                  <w:tcW w:w="35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①选用低噪施工机械设备。</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②合理安排高噪设备施工时间。</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③物料运输路线尽量远离声敏感点。</w:t>
                  </w:r>
                </w:p>
              </w:tc>
              <w:tc>
                <w:tcPr>
                  <w:tcW w:w="2284"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达到《建筑施工场界环境噪声排放标准》（GB12523-2011）要求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2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固废</w:t>
                  </w:r>
                </w:p>
              </w:tc>
              <w:tc>
                <w:tcPr>
                  <w:tcW w:w="132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建筑垃圾</w:t>
                  </w:r>
                </w:p>
              </w:tc>
              <w:tc>
                <w:tcPr>
                  <w:tcW w:w="35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按照</w:t>
                  </w:r>
                  <w:r>
                    <w:rPr>
                      <w:rFonts w:hint="eastAsia" w:ascii="Times New Roman" w:hAnsi="Times New Roman" w:eastAsia="宋体" w:cs="Times New Roman"/>
                      <w:b w:val="0"/>
                      <w:bCs w:val="0"/>
                      <w:color w:val="auto"/>
                      <w:sz w:val="21"/>
                      <w:szCs w:val="21"/>
                      <w:highlight w:val="none"/>
                      <w:lang w:val="en-US" w:eastAsia="zh-CN"/>
                    </w:rPr>
                    <w:t>当地</w:t>
                  </w:r>
                  <w:r>
                    <w:rPr>
                      <w:rFonts w:hint="default" w:ascii="Times New Roman" w:hAnsi="Times New Roman" w:eastAsia="宋体" w:cs="Times New Roman"/>
                      <w:b w:val="0"/>
                      <w:bCs w:val="0"/>
                      <w:color w:val="auto"/>
                      <w:sz w:val="21"/>
                      <w:szCs w:val="21"/>
                      <w:highlight w:val="none"/>
                      <w:lang w:eastAsia="zh-CN"/>
                    </w:rPr>
                    <w:t>环境卫生主管部门的规定处置</w:t>
                  </w:r>
                  <w:r>
                    <w:rPr>
                      <w:rFonts w:hint="eastAsia" w:ascii="Times New Roman" w:hAnsi="Times New Roman" w:eastAsia="宋体" w:cs="Times New Roman"/>
                      <w:b w:val="0"/>
                      <w:bCs w:val="0"/>
                      <w:color w:val="auto"/>
                      <w:sz w:val="21"/>
                      <w:szCs w:val="21"/>
                      <w:highlight w:val="none"/>
                      <w:lang w:eastAsia="zh-CN"/>
                    </w:rPr>
                    <w:t>建筑</w:t>
                  </w:r>
                  <w:r>
                    <w:rPr>
                      <w:rFonts w:hint="default" w:ascii="Times New Roman" w:hAnsi="Times New Roman" w:eastAsia="宋体" w:cs="Times New Roman"/>
                      <w:b w:val="0"/>
                      <w:bCs w:val="0"/>
                      <w:color w:val="auto"/>
                      <w:sz w:val="21"/>
                      <w:szCs w:val="21"/>
                      <w:highlight w:val="none"/>
                      <w:lang w:eastAsia="zh-CN"/>
                    </w:rPr>
                    <w:t>垃圾</w:t>
                  </w:r>
                  <w:r>
                    <w:rPr>
                      <w:rFonts w:hint="eastAsia" w:ascii="Times New Roman" w:hAnsi="Times New Roman" w:eastAsia="宋体" w:cs="Times New Roman"/>
                      <w:b w:val="0"/>
                      <w:bCs w:val="0"/>
                      <w:color w:val="auto"/>
                      <w:sz w:val="21"/>
                      <w:szCs w:val="21"/>
                      <w:highlight w:val="none"/>
                      <w:lang w:eastAsia="zh-CN"/>
                    </w:rPr>
                    <w:t>。</w:t>
                  </w:r>
                </w:p>
              </w:tc>
              <w:tc>
                <w:tcPr>
                  <w:tcW w:w="2284"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有效减少固废物对评价范围的影响，减少项目水土流失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2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生态</w:t>
                  </w:r>
                </w:p>
              </w:tc>
              <w:tc>
                <w:tcPr>
                  <w:tcW w:w="132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工程生态恢复</w:t>
                  </w:r>
                </w:p>
              </w:tc>
              <w:tc>
                <w:tcPr>
                  <w:tcW w:w="35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施工完成后进行恢复，并对各施工临时占地原用地为林草地的区域采取撒播草籽的措施进行植被恢复，原耕地区域恢复耕种</w:t>
                  </w:r>
                  <w:r>
                    <w:rPr>
                      <w:rFonts w:hint="default" w:ascii="Times New Roman" w:hAnsi="Times New Roman" w:eastAsia="宋体" w:cs="Times New Roman"/>
                      <w:b w:val="0"/>
                      <w:bCs w:val="0"/>
                      <w:color w:val="auto"/>
                      <w:sz w:val="21"/>
                      <w:szCs w:val="21"/>
                      <w:highlight w:val="none"/>
                      <w:lang w:eastAsia="zh-CN"/>
                    </w:rPr>
                    <w:t>。</w:t>
                  </w:r>
                </w:p>
              </w:tc>
              <w:tc>
                <w:tcPr>
                  <w:tcW w:w="2284"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临时占地</w:t>
                  </w:r>
                  <w:r>
                    <w:rPr>
                      <w:rFonts w:hint="default" w:ascii="Times New Roman" w:hAnsi="Times New Roman" w:eastAsia="宋体" w:cs="Times New Roman"/>
                      <w:b w:val="0"/>
                      <w:bCs w:val="0"/>
                      <w:color w:val="auto"/>
                      <w:sz w:val="21"/>
                      <w:szCs w:val="21"/>
                      <w:highlight w:val="none"/>
                      <w:lang w:eastAsia="zh-CN"/>
                    </w:rPr>
                    <w:t>土地功能得到恢复，生态环境逐步改善</w:t>
                  </w:r>
                </w:p>
              </w:tc>
            </w:tr>
          </w:tbl>
          <w:p>
            <w:pPr>
              <w:pStyle w:val="60"/>
              <w:bidi w:val="0"/>
              <w:ind w:firstLine="480" w:firstLineChars="200"/>
              <w:jc w:val="both"/>
              <w:rPr>
                <w:rFonts w:hint="default" w:ascii="Times New Roman" w:hAnsi="Times New Roman" w:eastAsia="黑体" w:cs="Times New Roman"/>
                <w:b w:val="0"/>
                <w:bCs/>
                <w:color w:val="auto"/>
                <w:kern w:val="44"/>
                <w:sz w:val="24"/>
                <w:szCs w:val="24"/>
                <w:highlight w:val="none"/>
                <w:lang w:val="en-US" w:eastAsia="zh-CN" w:bidi="ar-SA"/>
              </w:rPr>
            </w:pPr>
            <w:r>
              <w:rPr>
                <w:rFonts w:hint="eastAsia" w:ascii="Times New Roman" w:hAnsi="Times New Roman" w:eastAsia="黑体" w:cs="Times New Roman"/>
                <w:b w:val="0"/>
                <w:bCs/>
                <w:color w:val="auto"/>
                <w:kern w:val="44"/>
                <w:sz w:val="24"/>
                <w:szCs w:val="24"/>
                <w:highlight w:val="none"/>
                <w:lang w:val="en-US" w:eastAsia="zh-CN" w:bidi="ar-SA"/>
              </w:rPr>
              <w:t>表</w:t>
            </w:r>
            <w:r>
              <w:rPr>
                <w:rFonts w:hint="eastAsia" w:eastAsia="黑体" w:cs="Times New Roman"/>
                <w:b w:val="0"/>
                <w:bCs/>
                <w:color w:val="auto"/>
                <w:kern w:val="44"/>
                <w:sz w:val="24"/>
                <w:szCs w:val="24"/>
                <w:highlight w:val="none"/>
                <w:lang w:val="en-US" w:eastAsia="zh-CN" w:bidi="ar-SA"/>
              </w:rPr>
              <w:t>23</w:t>
            </w:r>
            <w:r>
              <w:rPr>
                <w:rFonts w:hint="default" w:ascii="Times New Roman" w:hAnsi="Times New Roman" w:eastAsia="黑体" w:cs="Times New Roman"/>
                <w:b w:val="0"/>
                <w:bCs/>
                <w:color w:val="auto"/>
                <w:kern w:val="44"/>
                <w:sz w:val="24"/>
                <w:szCs w:val="24"/>
                <w:highlight w:val="none"/>
                <w:lang w:val="en-US" w:eastAsia="zh-CN" w:bidi="ar-SA"/>
              </w:rPr>
              <w:t xml:space="preserve">    </w:t>
            </w:r>
            <w:r>
              <w:rPr>
                <w:rFonts w:hint="eastAsia" w:ascii="Times New Roman" w:hAnsi="Times New Roman" w:eastAsia="黑体" w:cs="Times New Roman"/>
                <w:b w:val="0"/>
                <w:bCs/>
                <w:color w:val="auto"/>
                <w:kern w:val="44"/>
                <w:sz w:val="24"/>
                <w:szCs w:val="24"/>
                <w:highlight w:val="none"/>
                <w:lang w:val="en-US" w:eastAsia="zh-CN" w:bidi="ar-SA"/>
              </w:rPr>
              <w:t xml:space="preserve">             </w:t>
            </w:r>
            <w:r>
              <w:rPr>
                <w:rFonts w:hint="default" w:ascii="Times New Roman" w:hAnsi="Times New Roman" w:eastAsia="黑体" w:cs="Times New Roman"/>
                <w:b w:val="0"/>
                <w:bCs/>
                <w:color w:val="auto"/>
                <w:kern w:val="44"/>
                <w:sz w:val="24"/>
                <w:szCs w:val="24"/>
                <w:highlight w:val="none"/>
                <w:lang w:val="en-US" w:eastAsia="zh-CN" w:bidi="ar-SA"/>
              </w:rPr>
              <w:t>环境监测计划</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363"/>
              <w:gridCol w:w="978"/>
              <w:gridCol w:w="1306"/>
              <w:gridCol w:w="1981"/>
              <w:gridCol w:w="15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时</w:t>
                  </w:r>
                  <w:r>
                    <w:rPr>
                      <w:rFonts w:hint="default" w:ascii="Times New Roman" w:hAnsi="Times New Roman" w:eastAsia="宋体" w:cs="Times New Roman"/>
                      <w:b/>
                      <w:bCs/>
                      <w:color w:val="auto"/>
                      <w:sz w:val="21"/>
                      <w:szCs w:val="21"/>
                      <w:highlight w:val="none"/>
                    </w:rPr>
                    <w:t>段</w:t>
                  </w:r>
                </w:p>
              </w:tc>
              <w:tc>
                <w:tcPr>
                  <w:tcW w:w="861"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监测类别</w:t>
                  </w:r>
                </w:p>
              </w:tc>
              <w:tc>
                <w:tcPr>
                  <w:tcW w:w="61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监测地点</w:t>
                  </w:r>
                </w:p>
              </w:tc>
              <w:tc>
                <w:tcPr>
                  <w:tcW w:w="82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1251"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97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监测历时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66"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施工期</w:t>
                  </w:r>
                </w:p>
              </w:tc>
              <w:tc>
                <w:tcPr>
                  <w:tcW w:w="861"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生态环境</w:t>
                  </w:r>
                </w:p>
              </w:tc>
              <w:tc>
                <w:tcPr>
                  <w:tcW w:w="61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修复区</w:t>
                  </w:r>
                </w:p>
              </w:tc>
              <w:tc>
                <w:tcPr>
                  <w:tcW w:w="82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snapToGrid w:val="0"/>
                      <w:color w:val="auto"/>
                      <w:kern w:val="0"/>
                      <w:szCs w:val="21"/>
                      <w:highlight w:val="none"/>
                      <w:lang w:eastAsia="zh-CN"/>
                    </w:rPr>
                    <w:t>地表植被</w:t>
                  </w:r>
                </w:p>
              </w:tc>
              <w:tc>
                <w:tcPr>
                  <w:tcW w:w="2228" w:type="pct"/>
                  <w:gridSpan w:val="2"/>
                  <w:tcBorders>
                    <w:tl2br w:val="nil"/>
                    <w:tr2bl w:val="nil"/>
                  </w:tcBorders>
                  <w:noWrap w:val="0"/>
                  <w:vAlign w:val="center"/>
                </w:tcPr>
                <w:p>
                  <w:pPr>
                    <w:adjustRightInd w:val="0"/>
                    <w:snapToGrid w:val="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监测项目：地表植被破坏面积、地表植物种类和生产力</w:t>
                  </w:r>
                </w:p>
                <w:p>
                  <w:pPr>
                    <w:adjustRightInd w:val="0"/>
                    <w:snapToGrid w:val="0"/>
                    <w:rPr>
                      <w:rFonts w:hint="eastAsia" w:ascii="Times New Roman" w:hAnsi="Times New Roman" w:eastAsia="宋体" w:cs="Times New Roman"/>
                      <w:snapToGrid w:val="0"/>
                      <w:color w:val="auto"/>
                      <w:kern w:val="0"/>
                      <w:szCs w:val="21"/>
                      <w:highlight w:val="none"/>
                      <w:lang w:eastAsia="zh-CN"/>
                    </w:rPr>
                  </w:pPr>
                  <w:r>
                    <w:rPr>
                      <w:rFonts w:hint="default" w:ascii="Times New Roman" w:hAnsi="Times New Roman" w:cs="Times New Roman"/>
                      <w:snapToGrid w:val="0"/>
                      <w:color w:val="auto"/>
                      <w:kern w:val="0"/>
                      <w:szCs w:val="21"/>
                      <w:highlight w:val="none"/>
                    </w:rPr>
                    <w:t>监测频率：</w:t>
                  </w:r>
                  <w:r>
                    <w:rPr>
                      <w:rFonts w:hint="eastAsia" w:cs="Times New Roman"/>
                      <w:snapToGrid w:val="0"/>
                      <w:color w:val="auto"/>
                      <w:kern w:val="0"/>
                      <w:szCs w:val="21"/>
                      <w:highlight w:val="none"/>
                      <w:lang w:eastAsia="zh-CN"/>
                    </w:rPr>
                    <w:t>施工前监测一次、施工后三年内每年各监测一次</w:t>
                  </w:r>
                </w:p>
                <w:p>
                  <w:pPr>
                    <w:adjustRightInd w:val="0"/>
                    <w:snapToGrid w:val="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snapToGrid w:val="0"/>
                      <w:color w:val="auto"/>
                      <w:kern w:val="0"/>
                      <w:szCs w:val="21"/>
                      <w:highlight w:val="none"/>
                    </w:rPr>
                    <w:t>监测点位：项目区3～5个代表点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p>
              </w:tc>
              <w:tc>
                <w:tcPr>
                  <w:tcW w:w="861"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声环境</w:t>
                  </w:r>
                </w:p>
              </w:tc>
              <w:tc>
                <w:tcPr>
                  <w:tcW w:w="61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施工区边界</w:t>
                  </w:r>
                </w:p>
              </w:tc>
              <w:tc>
                <w:tcPr>
                  <w:tcW w:w="82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施工</w:t>
                  </w:r>
                  <w:r>
                    <w:rPr>
                      <w:rFonts w:hint="default" w:ascii="Times New Roman" w:hAnsi="Times New Roman" w:eastAsia="宋体" w:cs="Times New Roman"/>
                      <w:b w:val="0"/>
                      <w:bCs w:val="0"/>
                      <w:color w:val="auto"/>
                      <w:sz w:val="21"/>
                      <w:szCs w:val="21"/>
                      <w:highlight w:val="none"/>
                      <w:lang w:eastAsia="zh-CN"/>
                    </w:rPr>
                    <w:t>噪声</w:t>
                  </w:r>
                </w:p>
              </w:tc>
              <w:tc>
                <w:tcPr>
                  <w:tcW w:w="1251"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eastAsia="zh-CN"/>
                    </w:rPr>
                    <w:t>次/1</w:t>
                  </w:r>
                  <w:r>
                    <w:rPr>
                      <w:rFonts w:hint="eastAsia" w:ascii="Times New Roman" w:cs="Times New Roman"/>
                      <w:b w:val="0"/>
                      <w:bCs w:val="0"/>
                      <w:color w:val="auto"/>
                      <w:sz w:val="21"/>
                      <w:szCs w:val="21"/>
                      <w:highlight w:val="none"/>
                      <w:lang w:eastAsia="zh-CN"/>
                    </w:rPr>
                    <w:t>月</w:t>
                  </w:r>
                </w:p>
              </w:tc>
              <w:tc>
                <w:tcPr>
                  <w:tcW w:w="97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2天，昼夜各1次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rPr>
                  </w:pPr>
                </w:p>
              </w:tc>
              <w:tc>
                <w:tcPr>
                  <w:tcW w:w="861"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大气</w:t>
                  </w:r>
                  <w:r>
                    <w:rPr>
                      <w:rFonts w:hint="eastAsia" w:ascii="Times New Roman" w:hAnsi="Times New Roman" w:eastAsia="宋体" w:cs="Times New Roman"/>
                      <w:b w:val="0"/>
                      <w:bCs w:val="0"/>
                      <w:color w:val="auto"/>
                      <w:sz w:val="21"/>
                      <w:szCs w:val="21"/>
                      <w:highlight w:val="none"/>
                      <w:lang w:eastAsia="zh-CN"/>
                    </w:rPr>
                    <w:t>环境</w:t>
                  </w:r>
                </w:p>
              </w:tc>
              <w:tc>
                <w:tcPr>
                  <w:tcW w:w="61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施工区边界</w:t>
                  </w:r>
                </w:p>
              </w:tc>
              <w:tc>
                <w:tcPr>
                  <w:tcW w:w="82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TSP</w:t>
                  </w:r>
                </w:p>
              </w:tc>
              <w:tc>
                <w:tcPr>
                  <w:tcW w:w="1251"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每个施工时段监测1次</w:t>
                  </w:r>
                </w:p>
              </w:tc>
              <w:tc>
                <w:tcPr>
                  <w:tcW w:w="97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3天</w:t>
                  </w:r>
                  <w:r>
                    <w:rPr>
                      <w:rFonts w:hint="eastAsia" w:ascii="Times New Roman" w:hAnsi="Times New Roman" w:eastAsia="宋体" w:cs="Times New Roman"/>
                      <w:b w:val="0"/>
                      <w:bCs w:val="0"/>
                      <w:color w:val="auto"/>
                      <w:sz w:val="21"/>
                      <w:szCs w:val="21"/>
                      <w:highlight w:val="none"/>
                      <w:lang w:eastAsia="zh-CN"/>
                    </w:rPr>
                    <w:t>，一天</w:t>
                  </w:r>
                  <w:r>
                    <w:rPr>
                      <w:rFonts w:hint="eastAsia" w:ascii="Times New Roman" w:hAnsi="Times New Roman" w:eastAsia="宋体" w:cs="Times New Roman"/>
                      <w:b w:val="0"/>
                      <w:bCs w:val="0"/>
                      <w:color w:val="auto"/>
                      <w:sz w:val="21"/>
                      <w:szCs w:val="21"/>
                      <w:highlight w:val="none"/>
                      <w:lang w:val="en-US" w:eastAsia="zh-CN"/>
                    </w:rPr>
                    <w:t>4次</w:t>
                  </w:r>
                </w:p>
              </w:tc>
            </w:tr>
          </w:tbl>
          <w:p>
            <w:pPr>
              <w:adjustRightInd w:val="0"/>
              <w:spacing w:line="360" w:lineRule="auto"/>
              <w:ind w:firstLine="440" w:firstLineChars="200"/>
              <w:rPr>
                <w:rFonts w:eastAsia="仿宋_GB2312"/>
                <w:bCs/>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After w:val="1"/>
          <w:wAfter w:w="48" w:type="dxa"/>
          <w:trHeight w:val="8140" w:hRule="atLeast"/>
          <w:jc w:val="center"/>
        </w:trPr>
        <w:tc>
          <w:tcPr>
            <w:tcW w:w="746" w:type="dxa"/>
            <w:tcBorders>
              <w:tl2br w:val="nil"/>
              <w:tr2bl w:val="nil"/>
            </w:tcBorders>
            <w:tcMar>
              <w:left w:w="28" w:type="dxa"/>
              <w:right w:w="28" w:type="dxa"/>
            </w:tcMar>
            <w:vAlign w:val="center"/>
          </w:tcPr>
          <w:p>
            <w:pPr>
              <w:adjustRightInd w:val="0"/>
              <w:snapToGrid w:val="0"/>
              <w:jc w:val="center"/>
              <w:rPr>
                <w:rFonts w:hint="eastAsia" w:ascii="宋体" w:hAnsi="宋体" w:cs="宋体"/>
                <w:b/>
                <w:bCs/>
                <w:color w:val="auto"/>
                <w:sz w:val="24"/>
                <w:highlight w:val="none"/>
                <w:lang w:eastAsia="zh-CN"/>
              </w:rPr>
            </w:pPr>
            <w:r>
              <w:rPr>
                <w:rFonts w:hint="eastAsia" w:ascii="宋体" w:hAnsi="宋体" w:cs="宋体"/>
                <w:b/>
                <w:bCs/>
                <w:color w:val="auto"/>
                <w:sz w:val="24"/>
                <w:highlight w:val="none"/>
                <w:lang w:eastAsia="zh-CN"/>
              </w:rPr>
              <w:t>环保投资</w:t>
            </w:r>
          </w:p>
        </w:tc>
        <w:tc>
          <w:tcPr>
            <w:tcW w:w="816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本工程</w:t>
            </w:r>
            <w:r>
              <w:rPr>
                <w:rFonts w:hint="default" w:ascii="Times New Roman" w:hAnsi="Times New Roman" w:eastAsia="仿宋_GB2312" w:cs="Times New Roman"/>
                <w:color w:val="auto"/>
                <w:sz w:val="24"/>
                <w:szCs w:val="24"/>
                <w:highlight w:val="none"/>
                <w:lang w:val="en-US" w:eastAsia="zh-CN"/>
              </w:rPr>
              <w:t>总投资</w:t>
            </w:r>
            <w:r>
              <w:rPr>
                <w:rFonts w:hint="eastAsia" w:eastAsia="仿宋_GB2312"/>
                <w:color w:val="auto"/>
                <w:sz w:val="24"/>
                <w:highlight w:val="none"/>
                <w:lang w:val="en-US" w:eastAsia="zh-CN"/>
              </w:rPr>
              <w:t>539.99</w:t>
            </w:r>
            <w:r>
              <w:rPr>
                <w:rFonts w:hint="default" w:ascii="Times New Roman" w:hAnsi="Times New Roman" w:eastAsia="仿宋_GB2312" w:cs="Times New Roman"/>
                <w:color w:val="auto"/>
                <w:sz w:val="24"/>
                <w:szCs w:val="24"/>
                <w:highlight w:val="none"/>
                <w:lang w:val="en-US" w:eastAsia="zh-CN"/>
              </w:rPr>
              <w:t>万元，其中环保投资为</w:t>
            </w:r>
            <w:r>
              <w:rPr>
                <w:rFonts w:hint="eastAsia" w:eastAsia="仿宋_GB2312" w:cs="Times New Roman"/>
                <w:color w:val="auto"/>
                <w:sz w:val="24"/>
                <w:szCs w:val="24"/>
                <w:highlight w:val="none"/>
                <w:lang w:val="en-US" w:eastAsia="zh-CN"/>
              </w:rPr>
              <w:t>32</w:t>
            </w:r>
            <w:r>
              <w:rPr>
                <w:rFonts w:hint="default" w:ascii="Times New Roman" w:hAnsi="Times New Roman" w:eastAsia="仿宋_GB2312" w:cs="Times New Roman"/>
                <w:color w:val="auto"/>
                <w:sz w:val="24"/>
                <w:szCs w:val="24"/>
                <w:highlight w:val="none"/>
                <w:lang w:val="en-US" w:eastAsia="zh-CN"/>
              </w:rPr>
              <w:t>万元，占总投资的</w:t>
            </w:r>
            <w:r>
              <w:rPr>
                <w:rFonts w:hint="eastAsia" w:eastAsia="仿宋_GB2312" w:cs="Times New Roman"/>
                <w:color w:val="auto"/>
                <w:sz w:val="24"/>
                <w:szCs w:val="24"/>
                <w:highlight w:val="none"/>
                <w:lang w:val="en-US" w:eastAsia="zh-CN"/>
              </w:rPr>
              <w:t>5.93</w:t>
            </w:r>
            <w:r>
              <w:rPr>
                <w:rFonts w:hint="default" w:ascii="Times New Roman" w:hAnsi="Times New Roman" w:eastAsia="仿宋_GB2312" w:cs="Times New Roman"/>
                <w:color w:val="auto"/>
                <w:sz w:val="24"/>
                <w:szCs w:val="24"/>
                <w:highlight w:val="none"/>
                <w:lang w:val="en-US" w:eastAsia="zh-CN"/>
              </w:rPr>
              <w:t>%，环保投资具体见表</w:t>
            </w:r>
            <w:r>
              <w:rPr>
                <w:rFonts w:hint="eastAsia" w:eastAsia="仿宋_GB2312" w:cs="Times New Roman"/>
                <w:color w:val="auto"/>
                <w:sz w:val="24"/>
                <w:szCs w:val="24"/>
                <w:highlight w:val="none"/>
                <w:lang w:val="en-US" w:eastAsia="zh-CN"/>
              </w:rPr>
              <w:t>24</w:t>
            </w:r>
            <w:r>
              <w:rPr>
                <w:rFonts w:hint="default" w:ascii="Times New Roman" w:hAnsi="Times New Roman" w:eastAsia="仿宋_GB2312" w:cs="Times New Roman"/>
                <w:color w:val="auto"/>
                <w:sz w:val="24"/>
                <w:szCs w:val="24"/>
                <w:highlight w:val="none"/>
                <w:lang w:val="en-US" w:eastAsia="zh-CN"/>
              </w:rPr>
              <w:t>。</w:t>
            </w:r>
          </w:p>
          <w:p>
            <w:pPr>
              <w:pStyle w:val="60"/>
              <w:bidi w:val="0"/>
              <w:ind w:firstLine="480" w:firstLineChars="200"/>
              <w:jc w:val="both"/>
              <w:rPr>
                <w:rFonts w:hint="default" w:ascii="Times New Roman" w:hAnsi="Times New Roman" w:eastAsia="黑体" w:cs="Times New Roman"/>
                <w:b w:val="0"/>
                <w:bCs/>
                <w:color w:val="auto"/>
                <w:kern w:val="44"/>
                <w:sz w:val="24"/>
                <w:szCs w:val="24"/>
                <w:highlight w:val="none"/>
                <w:lang w:val="en-US" w:eastAsia="zh-CN" w:bidi="ar-SA"/>
              </w:rPr>
            </w:pPr>
            <w:r>
              <w:rPr>
                <w:rFonts w:hint="default" w:ascii="Times New Roman" w:hAnsi="Times New Roman" w:eastAsia="黑体" w:cs="Times New Roman"/>
                <w:b w:val="0"/>
                <w:bCs/>
                <w:color w:val="auto"/>
                <w:kern w:val="44"/>
                <w:sz w:val="24"/>
                <w:szCs w:val="24"/>
                <w:highlight w:val="none"/>
                <w:lang w:val="en-US" w:eastAsia="zh-CN" w:bidi="ar-SA"/>
              </w:rPr>
              <w:t>表</w:t>
            </w:r>
            <w:r>
              <w:rPr>
                <w:rFonts w:hint="eastAsia" w:eastAsia="黑体" w:cs="Times New Roman"/>
                <w:b w:val="0"/>
                <w:bCs/>
                <w:color w:val="auto"/>
                <w:kern w:val="44"/>
                <w:sz w:val="24"/>
                <w:szCs w:val="24"/>
                <w:highlight w:val="none"/>
                <w:lang w:val="en-US" w:eastAsia="zh-CN" w:bidi="ar-SA"/>
              </w:rPr>
              <w:t>24</w:t>
            </w:r>
            <w:r>
              <w:rPr>
                <w:rFonts w:hint="default" w:ascii="Times New Roman" w:hAnsi="Times New Roman" w:eastAsia="黑体" w:cs="Times New Roman"/>
                <w:b w:val="0"/>
                <w:bCs/>
                <w:color w:val="auto"/>
                <w:kern w:val="44"/>
                <w:sz w:val="24"/>
                <w:szCs w:val="24"/>
                <w:highlight w:val="none"/>
                <w:lang w:val="en-US" w:eastAsia="zh-CN" w:bidi="ar-SA"/>
              </w:rPr>
              <w:t xml:space="preserve">    </w:t>
            </w:r>
            <w:r>
              <w:rPr>
                <w:rFonts w:hint="eastAsia" w:ascii="Times New Roman" w:hAnsi="Times New Roman" w:eastAsia="黑体" w:cs="Times New Roman"/>
                <w:b w:val="0"/>
                <w:bCs/>
                <w:color w:val="auto"/>
                <w:kern w:val="44"/>
                <w:sz w:val="24"/>
                <w:szCs w:val="24"/>
                <w:highlight w:val="none"/>
                <w:lang w:val="en-US" w:eastAsia="zh-CN" w:bidi="ar-SA"/>
              </w:rPr>
              <w:t xml:space="preserve">             </w:t>
            </w:r>
            <w:r>
              <w:rPr>
                <w:rFonts w:hint="default" w:ascii="Times New Roman" w:hAnsi="Times New Roman" w:eastAsia="黑体" w:cs="Times New Roman"/>
                <w:b w:val="0"/>
                <w:bCs/>
                <w:color w:val="auto"/>
                <w:kern w:val="44"/>
                <w:sz w:val="24"/>
                <w:szCs w:val="24"/>
                <w:highlight w:val="none"/>
                <w:lang w:val="en-US" w:eastAsia="zh-CN" w:bidi="ar-SA"/>
              </w:rPr>
              <w:t xml:space="preserve">环保投资一览表 </w:t>
            </w:r>
            <w:r>
              <w:rPr>
                <w:rFonts w:hint="eastAsia" w:ascii="Times New Roman" w:hAnsi="Times New Roman" w:eastAsia="黑体" w:cs="Times New Roman"/>
                <w:b w:val="0"/>
                <w:bCs/>
                <w:color w:val="auto"/>
                <w:kern w:val="44"/>
                <w:sz w:val="24"/>
                <w:szCs w:val="24"/>
                <w:highlight w:val="none"/>
                <w:lang w:val="en-US" w:eastAsia="zh-CN" w:bidi="ar-SA"/>
              </w:rPr>
              <w:t xml:space="preserve">              单位：万元</w:t>
            </w:r>
          </w:p>
          <w:tbl>
            <w:tblPr>
              <w:tblStyle w:val="25"/>
              <w:tblW w:w="79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4976"/>
              <w:gridCol w:w="1140"/>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序号</w:t>
                  </w:r>
                </w:p>
              </w:tc>
              <w:tc>
                <w:tcPr>
                  <w:tcW w:w="4976"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环保措施</w:t>
                  </w:r>
                </w:p>
              </w:tc>
              <w:tc>
                <w:tcPr>
                  <w:tcW w:w="114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投资金额</w:t>
                  </w:r>
                </w:p>
              </w:tc>
              <w:tc>
                <w:tcPr>
                  <w:tcW w:w="107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76" w:type="dxa"/>
                  <w:tcBorders>
                    <w:tl2br w:val="nil"/>
                    <w:tr2bl w:val="nil"/>
                  </w:tcBorders>
                  <w:vAlign w:val="center"/>
                </w:tcPr>
                <w:p>
                  <w:pPr>
                    <w:adjustRightInd w:val="0"/>
                    <w:snapToGrid w:val="0"/>
                    <w:spacing w:line="240" w:lineRule="auto"/>
                    <w:ind w:firstLine="420" w:firstLineChars="200"/>
                    <w:jc w:val="both"/>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rPr>
                    <w:t>施工期</w:t>
                  </w:r>
                  <w:r>
                    <w:rPr>
                      <w:rFonts w:hint="eastAsia" w:cs="Times New Roman" w:eastAsiaTheme="minorEastAsia"/>
                      <w:color w:val="auto"/>
                      <w:sz w:val="21"/>
                      <w:szCs w:val="21"/>
                      <w:highlight w:val="none"/>
                      <w:lang w:eastAsia="zh-CN"/>
                    </w:rPr>
                    <w:t>对施工道路、施工作业面、临时施工区</w:t>
                  </w:r>
                  <w:r>
                    <w:rPr>
                      <w:rFonts w:hint="default" w:ascii="Times New Roman" w:hAnsi="Times New Roman" w:cs="Times New Roman" w:eastAsiaTheme="minorEastAsia"/>
                      <w:color w:val="auto"/>
                      <w:sz w:val="21"/>
                      <w:szCs w:val="21"/>
                      <w:highlight w:val="none"/>
                    </w:rPr>
                    <w:t>定期洒水抑尘</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运输车辆限速</w:t>
                  </w:r>
                  <w:r>
                    <w:rPr>
                      <w:rFonts w:hint="eastAsia" w:cs="Times New Roman" w:eastAsiaTheme="minorEastAsia"/>
                      <w:color w:val="auto"/>
                      <w:sz w:val="21"/>
                      <w:szCs w:val="21"/>
                      <w:highlight w:val="none"/>
                      <w:lang w:eastAsia="zh-CN"/>
                    </w:rPr>
                    <w:t>，从河道桩号</w:t>
                  </w:r>
                  <w:r>
                    <w:rPr>
                      <w:rFonts w:hint="default" w:ascii="Times New Roman" w:hAnsi="Times New Roman" w:cs="Times New Roman"/>
                      <w:b w:val="0"/>
                      <w:bCs/>
                      <w:color w:val="auto"/>
                      <w:szCs w:val="21"/>
                      <w:highlight w:val="none"/>
                      <w:lang w:eastAsia="zh-CN"/>
                    </w:rPr>
                    <w:t>K307+606～308+456</w:t>
                  </w:r>
                  <w:r>
                    <w:rPr>
                      <w:rFonts w:hint="eastAsia" w:cs="Times New Roman"/>
                      <w:b w:val="0"/>
                      <w:bCs/>
                      <w:color w:val="auto"/>
                      <w:szCs w:val="21"/>
                      <w:highlight w:val="none"/>
                      <w:lang w:eastAsia="zh-CN"/>
                    </w:rPr>
                    <w:t>处</w:t>
                  </w:r>
                  <w:r>
                    <w:rPr>
                      <w:rFonts w:hint="eastAsia" w:ascii="Times New Roman" w:hAnsi="Times New Roman" w:cs="Times New Roman" w:eastAsiaTheme="minorEastAsia"/>
                      <w:color w:val="auto"/>
                      <w:sz w:val="21"/>
                      <w:szCs w:val="21"/>
                      <w:highlight w:val="none"/>
                      <w:lang w:eastAsia="zh-CN"/>
                    </w:rPr>
                    <w:t>设置围挡等</w:t>
                  </w:r>
                  <w:r>
                    <w:rPr>
                      <w:rFonts w:hint="default" w:ascii="Times New Roman" w:hAnsi="Times New Roman" w:cs="Times New Roman" w:eastAsiaTheme="minorEastAsia"/>
                      <w:color w:val="auto"/>
                      <w:sz w:val="21"/>
                      <w:szCs w:val="21"/>
                      <w:highlight w:val="none"/>
                    </w:rPr>
                    <w:t>措施用以抑制施工扬尘</w:t>
                  </w:r>
                  <w:r>
                    <w:rPr>
                      <w:rFonts w:hint="eastAsia" w:ascii="Times New Roman" w:hAnsi="Times New Roman" w:cs="Times New Roman" w:eastAsiaTheme="minorEastAsia"/>
                      <w:color w:val="auto"/>
                      <w:sz w:val="21"/>
                      <w:szCs w:val="21"/>
                      <w:highlight w:val="none"/>
                      <w:lang w:eastAsia="zh-CN"/>
                    </w:rPr>
                    <w:t>。</w:t>
                  </w:r>
                </w:p>
              </w:tc>
              <w:tc>
                <w:tcPr>
                  <w:tcW w:w="114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p>
              </w:tc>
              <w:tc>
                <w:tcPr>
                  <w:tcW w:w="107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w:t>
                  </w:r>
                </w:p>
              </w:tc>
              <w:tc>
                <w:tcPr>
                  <w:tcW w:w="4976" w:type="dxa"/>
                  <w:tcBorders>
                    <w:tl2br w:val="nil"/>
                    <w:tr2bl w:val="nil"/>
                  </w:tcBorders>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rPr>
                    <w:t>施工机械选用低噪声设备</w:t>
                  </w:r>
                  <w:r>
                    <w:rPr>
                      <w:rFonts w:hint="eastAsia" w:ascii="Times New Roman" w:hAnsi="Times New Roman"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eastAsia="zh-CN"/>
                    </w:rPr>
                    <w:t>从河道桩号</w:t>
                  </w:r>
                  <w:r>
                    <w:rPr>
                      <w:rFonts w:hint="default" w:ascii="Times New Roman" w:hAnsi="Times New Roman" w:cs="Times New Roman"/>
                      <w:b w:val="0"/>
                      <w:bCs/>
                      <w:color w:val="auto"/>
                      <w:szCs w:val="21"/>
                      <w:highlight w:val="none"/>
                      <w:lang w:eastAsia="zh-CN"/>
                    </w:rPr>
                    <w:t>K307+606～308+456</w:t>
                  </w:r>
                  <w:r>
                    <w:rPr>
                      <w:rFonts w:hint="eastAsia" w:cs="Times New Roman"/>
                      <w:b w:val="0"/>
                      <w:bCs/>
                      <w:color w:val="auto"/>
                      <w:szCs w:val="21"/>
                      <w:highlight w:val="none"/>
                      <w:lang w:eastAsia="zh-CN"/>
                    </w:rPr>
                    <w:t>处</w:t>
                  </w:r>
                  <w:r>
                    <w:rPr>
                      <w:rFonts w:hint="eastAsia" w:ascii="Times New Roman" w:hAnsi="Times New Roman" w:cs="Times New Roman" w:eastAsiaTheme="minorEastAsia"/>
                      <w:color w:val="auto"/>
                      <w:sz w:val="21"/>
                      <w:szCs w:val="21"/>
                      <w:highlight w:val="none"/>
                      <w:lang w:eastAsia="zh-CN"/>
                    </w:rPr>
                    <w:t>设置围挡。</w:t>
                  </w:r>
                </w:p>
              </w:tc>
              <w:tc>
                <w:tcPr>
                  <w:tcW w:w="114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w:t>
                  </w:r>
                </w:p>
              </w:tc>
              <w:tc>
                <w:tcPr>
                  <w:tcW w:w="107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4976" w:type="dxa"/>
                  <w:tcBorders>
                    <w:tl2br w:val="nil"/>
                    <w:tr2bl w:val="nil"/>
                  </w:tcBorders>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rPr>
                    <w:t>施工人员生活污水排放依托现有民房</w:t>
                  </w:r>
                  <w:r>
                    <w:rPr>
                      <w:rFonts w:hint="eastAsia" w:ascii="Times New Roman" w:cs="Times New Roman"/>
                      <w:color w:val="auto"/>
                      <w:szCs w:val="21"/>
                      <w:highlight w:val="none"/>
                      <w:lang w:val="en-US" w:eastAsia="zh-CN"/>
                    </w:rPr>
                    <w:t>。</w:t>
                  </w:r>
                </w:p>
              </w:tc>
              <w:tc>
                <w:tcPr>
                  <w:tcW w:w="114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07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4</w:t>
                  </w:r>
                </w:p>
              </w:tc>
              <w:tc>
                <w:tcPr>
                  <w:tcW w:w="4976" w:type="dxa"/>
                  <w:tcBorders>
                    <w:tl2br w:val="nil"/>
                    <w:tr2bl w:val="nil"/>
                  </w:tcBorders>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rPr>
                    <w:t>生活垃圾</w:t>
                  </w:r>
                  <w:r>
                    <w:rPr>
                      <w:rFonts w:hint="eastAsia" w:asciiTheme="minorEastAsia" w:hAnsiTheme="minorEastAsia" w:eastAsiaTheme="minorEastAsia" w:cstheme="minorEastAsia"/>
                      <w:color w:val="auto"/>
                      <w:sz w:val="21"/>
                      <w:szCs w:val="21"/>
                      <w:highlight w:val="none"/>
                      <w:lang w:eastAsia="zh-CN"/>
                    </w:rPr>
                    <w:t>依托租住民房</w:t>
                  </w:r>
                  <w:r>
                    <w:rPr>
                      <w:rFonts w:hint="eastAsia" w:asciiTheme="minorEastAsia" w:hAnsiTheme="minorEastAsia" w:eastAsiaTheme="minorEastAsia" w:cstheme="minorEastAsia"/>
                      <w:color w:val="auto"/>
                      <w:sz w:val="21"/>
                      <w:szCs w:val="21"/>
                      <w:highlight w:val="none"/>
                    </w:rPr>
                    <w:t>垃圾桶收集，</w:t>
                  </w:r>
                  <w:r>
                    <w:rPr>
                      <w:rFonts w:hint="eastAsia" w:asciiTheme="minorEastAsia" w:hAnsiTheme="minorEastAsia" w:eastAsiaTheme="minorEastAsia" w:cstheme="minorEastAsia"/>
                      <w:color w:val="auto"/>
                      <w:sz w:val="21"/>
                      <w:szCs w:val="21"/>
                      <w:highlight w:val="none"/>
                      <w:lang w:eastAsia="zh-CN"/>
                    </w:rPr>
                    <w:t>定期运送至附近垃圾中转站由环卫部门处置</w:t>
                  </w:r>
                  <w:r>
                    <w:rPr>
                      <w:rFonts w:hint="eastAsia" w:asciiTheme="minorEastAsia" w:hAnsiTheme="minorEastAsia" w:eastAsiaTheme="minorEastAsia" w:cstheme="minorEastAsia"/>
                      <w:color w:val="auto"/>
                      <w:sz w:val="21"/>
                      <w:szCs w:val="21"/>
                      <w:highlight w:val="none"/>
                    </w:rPr>
                    <w:t>；</w:t>
                  </w:r>
                  <w:r>
                    <w:rPr>
                      <w:rFonts w:hint="eastAsia" w:cs="Times New Roman"/>
                      <w:color w:val="auto"/>
                      <w:szCs w:val="21"/>
                      <w:highlight w:val="none"/>
                      <w:lang w:val="en-US" w:eastAsia="zh-CN"/>
                    </w:rPr>
                    <w:t>施工期结束后拆除围堰产生的弃方运送至政府指定地点</w:t>
                  </w:r>
                  <w:r>
                    <w:rPr>
                      <w:rFonts w:hint="eastAsia" w:asciiTheme="minorEastAsia" w:hAnsiTheme="minorEastAsia" w:eastAsiaTheme="minorEastAsia" w:cstheme="minorEastAsia"/>
                      <w:color w:val="auto"/>
                      <w:sz w:val="21"/>
                      <w:szCs w:val="21"/>
                      <w:highlight w:val="none"/>
                      <w:lang w:eastAsia="zh-CN"/>
                    </w:rPr>
                    <w:t>。</w:t>
                  </w:r>
                </w:p>
              </w:tc>
              <w:tc>
                <w:tcPr>
                  <w:tcW w:w="114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07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5</w:t>
                  </w:r>
                </w:p>
              </w:tc>
              <w:tc>
                <w:tcPr>
                  <w:tcW w:w="4976" w:type="dxa"/>
                  <w:tcBorders>
                    <w:tl2br w:val="nil"/>
                    <w:tr2bl w:val="nil"/>
                  </w:tcBorders>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边坡采用鱼鳞坑种植，为减少水土流失，在山坡上挖掘有一定蓄水容量、交错排列、类似鱼鳞状的半圆型或月牙型土坑，坑内蓄水，植树造林</w:t>
                  </w:r>
                  <w:r>
                    <w:rPr>
                      <w:rFonts w:hint="eastAsia" w:ascii="Times New Roman" w:cs="Times New Roman"/>
                      <w:color w:val="auto"/>
                      <w:szCs w:val="21"/>
                      <w:highlight w:val="none"/>
                      <w:vertAlign w:val="baseline"/>
                      <w:lang w:val="en-US" w:eastAsia="zh-CN"/>
                    </w:rPr>
                    <w:t>。</w:t>
                  </w:r>
                </w:p>
              </w:tc>
              <w:tc>
                <w:tcPr>
                  <w:tcW w:w="1140" w:type="dxa"/>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r>
                    <w:rPr>
                      <w:rFonts w:hint="eastAsia" w:cs="Times New Roman"/>
                      <w:b w:val="0"/>
                      <w:bCs/>
                      <w:color w:val="auto"/>
                      <w:sz w:val="21"/>
                      <w:szCs w:val="21"/>
                      <w:highlight w:val="none"/>
                      <w:vertAlign w:val="baseline"/>
                      <w:lang w:val="en-US" w:eastAsia="zh-CN"/>
                    </w:rPr>
                    <w:t>5</w:t>
                  </w:r>
                </w:p>
              </w:tc>
              <w:tc>
                <w:tcPr>
                  <w:tcW w:w="1078" w:type="dxa"/>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p>
              </w:tc>
              <w:tc>
                <w:tcPr>
                  <w:tcW w:w="4976" w:type="dxa"/>
                  <w:tcBorders>
                    <w:tl2br w:val="nil"/>
                    <w:tr2bl w:val="nil"/>
                  </w:tcBorders>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高边坡植物选择河北杨</w:t>
                  </w:r>
                  <w:r>
                    <w:rPr>
                      <w:rFonts w:hint="eastAsia" w:ascii="Times New Roman" w:cs="Times New Roman"/>
                      <w:color w:val="auto"/>
                      <w:szCs w:val="21"/>
                      <w:highlight w:val="none"/>
                      <w:vertAlign w:val="baseline"/>
                      <w:lang w:val="en-US" w:eastAsia="zh-CN"/>
                    </w:rPr>
                    <w:t>、刺槐、柠条进行种植，河北杨、刺槐株行距3</w:t>
                  </w:r>
                  <w:r>
                    <w:rPr>
                      <w:rFonts w:hint="default" w:ascii="Times New Roman" w:hAnsi="Times New Roman" w:cs="Times New Roman"/>
                      <w:color w:val="auto"/>
                      <w:szCs w:val="21"/>
                      <w:highlight w:val="none"/>
                      <w:vertAlign w:val="baseline"/>
                      <w:lang w:val="en-US" w:eastAsia="zh-CN"/>
                    </w:rPr>
                    <w:t>×</w:t>
                  </w:r>
                  <w:r>
                    <w:rPr>
                      <w:rFonts w:hint="eastAsia" w:ascii="Times New Roman" w:cs="Times New Roman"/>
                      <w:color w:val="auto"/>
                      <w:szCs w:val="21"/>
                      <w:highlight w:val="none"/>
                      <w:vertAlign w:val="baseline"/>
                      <w:lang w:val="en-US" w:eastAsia="zh-CN"/>
                    </w:rPr>
                    <w:t>4m，柠条种植密度9株/m</w:t>
                  </w:r>
                  <w:r>
                    <w:rPr>
                      <w:rFonts w:hint="eastAsia" w:ascii="Times New Roman" w:cs="Times New Roman"/>
                      <w:color w:val="auto"/>
                      <w:szCs w:val="21"/>
                      <w:highlight w:val="none"/>
                      <w:vertAlign w:val="superscript"/>
                      <w:lang w:val="en-US" w:eastAsia="zh-CN"/>
                    </w:rPr>
                    <w:t>2</w:t>
                  </w:r>
                  <w:r>
                    <w:rPr>
                      <w:rFonts w:hint="eastAsia" w:ascii="Times New Roman" w:cs="Times New Roman"/>
                      <w:color w:val="auto"/>
                      <w:szCs w:val="21"/>
                      <w:highlight w:val="none"/>
                      <w:vertAlign w:val="baseline"/>
                      <w:lang w:val="en-US" w:eastAsia="zh-CN"/>
                    </w:rPr>
                    <w:t>。</w:t>
                  </w:r>
                </w:p>
              </w:tc>
              <w:tc>
                <w:tcPr>
                  <w:tcW w:w="1140"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p>
              </w:tc>
              <w:tc>
                <w:tcPr>
                  <w:tcW w:w="1078"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p>
              </w:tc>
              <w:tc>
                <w:tcPr>
                  <w:tcW w:w="4976" w:type="dxa"/>
                  <w:tcBorders>
                    <w:tl2br w:val="nil"/>
                    <w:tr2bl w:val="nil"/>
                  </w:tcBorders>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滩地平原植物选择</w:t>
                  </w:r>
                  <w:r>
                    <w:rPr>
                      <w:rFonts w:hint="eastAsia" w:ascii="Times New Roman" w:cs="Times New Roman"/>
                      <w:color w:val="auto"/>
                      <w:szCs w:val="21"/>
                      <w:highlight w:val="none"/>
                      <w:vertAlign w:val="baseline"/>
                      <w:lang w:val="en-US" w:eastAsia="zh-CN"/>
                    </w:rPr>
                    <w:t>柽柳，种植密度9株/m</w:t>
                  </w:r>
                  <w:r>
                    <w:rPr>
                      <w:rFonts w:hint="eastAsia" w:ascii="Times New Roman" w:cs="Times New Roman"/>
                      <w:color w:val="auto"/>
                      <w:szCs w:val="21"/>
                      <w:highlight w:val="none"/>
                      <w:vertAlign w:val="superscript"/>
                      <w:lang w:val="en-US" w:eastAsia="zh-CN"/>
                    </w:rPr>
                    <w:t>2</w:t>
                  </w:r>
                  <w:r>
                    <w:rPr>
                      <w:rFonts w:hint="eastAsia" w:ascii="Times New Roman" w:cs="Times New Roman"/>
                      <w:color w:val="auto"/>
                      <w:szCs w:val="21"/>
                      <w:highlight w:val="none"/>
                      <w:vertAlign w:val="baseline"/>
                      <w:lang w:val="en-US" w:eastAsia="zh-CN"/>
                    </w:rPr>
                    <w:t>。</w:t>
                  </w:r>
                </w:p>
              </w:tc>
              <w:tc>
                <w:tcPr>
                  <w:tcW w:w="1140"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p>
              </w:tc>
              <w:tc>
                <w:tcPr>
                  <w:tcW w:w="1078"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p>
              </w:tc>
              <w:tc>
                <w:tcPr>
                  <w:tcW w:w="4976" w:type="dxa"/>
                  <w:tcBorders>
                    <w:tl2br w:val="nil"/>
                    <w:tr2bl w:val="nil"/>
                  </w:tcBorders>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exact"/>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cs="Times New Roman"/>
                      <w:color w:val="auto"/>
                      <w:szCs w:val="21"/>
                      <w:highlight w:val="none"/>
                      <w:vertAlign w:val="baseline"/>
                      <w:lang w:val="en-US" w:eastAsia="zh-CN"/>
                    </w:rPr>
                    <w:t>山河桥北侧空地植物选择四季玫瑰、马蔺，四季玫瑰种植密度9株/m</w:t>
                  </w:r>
                  <w:r>
                    <w:rPr>
                      <w:rFonts w:hint="eastAsia" w:ascii="Times New Roman" w:cs="Times New Roman"/>
                      <w:color w:val="auto"/>
                      <w:szCs w:val="21"/>
                      <w:highlight w:val="none"/>
                      <w:vertAlign w:val="superscript"/>
                      <w:lang w:val="en-US" w:eastAsia="zh-CN"/>
                    </w:rPr>
                    <w:t>2</w:t>
                  </w:r>
                  <w:r>
                    <w:rPr>
                      <w:rFonts w:hint="eastAsia" w:ascii="Times New Roman" w:cs="Times New Roman"/>
                      <w:color w:val="auto"/>
                      <w:szCs w:val="21"/>
                      <w:highlight w:val="none"/>
                      <w:vertAlign w:val="baseline"/>
                      <w:lang w:val="en-US" w:eastAsia="zh-CN"/>
                    </w:rPr>
                    <w:t>，马蔺种植密度25株/m</w:t>
                  </w:r>
                  <w:r>
                    <w:rPr>
                      <w:rFonts w:hint="eastAsia" w:ascii="Times New Roman" w:cs="Times New Roman"/>
                      <w:color w:val="auto"/>
                      <w:szCs w:val="21"/>
                      <w:highlight w:val="none"/>
                      <w:vertAlign w:val="superscript"/>
                      <w:lang w:val="en-US" w:eastAsia="zh-CN"/>
                    </w:rPr>
                    <w:t>2</w:t>
                  </w:r>
                  <w:r>
                    <w:rPr>
                      <w:rFonts w:hint="eastAsia" w:ascii="Times New Roman" w:cs="Times New Roman"/>
                      <w:color w:val="auto"/>
                      <w:szCs w:val="21"/>
                      <w:highlight w:val="none"/>
                      <w:vertAlign w:val="baseline"/>
                      <w:lang w:val="en-US" w:eastAsia="zh-CN"/>
                    </w:rPr>
                    <w:t>。</w:t>
                  </w:r>
                </w:p>
              </w:tc>
              <w:tc>
                <w:tcPr>
                  <w:tcW w:w="1140"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p>
              </w:tc>
              <w:tc>
                <w:tcPr>
                  <w:tcW w:w="1078"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6" w:type="dxa"/>
                  <w:gridSpan w:val="2"/>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合计</w:t>
                  </w:r>
                </w:p>
              </w:tc>
              <w:tc>
                <w:tcPr>
                  <w:tcW w:w="114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25</w:t>
                  </w:r>
                </w:p>
              </w:tc>
              <w:tc>
                <w:tcPr>
                  <w:tcW w:w="107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100</w:t>
                  </w:r>
                </w:p>
              </w:tc>
            </w:tr>
          </w:tbl>
          <w:p>
            <w:pPr>
              <w:adjustRightInd w:val="0"/>
              <w:spacing w:line="360" w:lineRule="auto"/>
              <w:ind w:firstLine="440" w:firstLineChars="200"/>
              <w:rPr>
                <w:rFonts w:eastAsia="仿宋_GB2312"/>
                <w:bCs/>
                <w:color w:val="auto"/>
                <w:spacing w:val="-10"/>
                <w:sz w:val="24"/>
                <w:highlight w:val="none"/>
              </w:rPr>
            </w:pPr>
          </w:p>
        </w:tc>
      </w:tr>
    </w:tbl>
    <w:p>
      <w:pPr>
        <w:adjustRightInd w:val="0"/>
        <w:snapToGrid w:val="0"/>
        <w:spacing w:line="360" w:lineRule="auto"/>
        <w:rPr>
          <w:rFonts w:ascii="宋体" w:cs="宋体"/>
          <w:b/>
          <w:color w:val="auto"/>
          <w:kern w:val="0"/>
          <w:sz w:val="28"/>
          <w:szCs w:val="28"/>
          <w:highlight w:val="none"/>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六、生态环境保护措施监督检查清单</w:t>
      </w:r>
    </w:p>
    <w:tbl>
      <w:tblPr>
        <w:tblStyle w:val="24"/>
        <w:tblW w:w="14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4110"/>
        <w:gridCol w:w="2935"/>
        <w:gridCol w:w="3945"/>
        <w:gridCol w:w="22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197"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jc w:val="right"/>
              <w:textAlignment w:val="auto"/>
              <w:rPr>
                <w:rFonts w:hint="eastAsia"/>
                <w:b/>
                <w:bCs/>
                <w:color w:val="auto"/>
                <w:sz w:val="18"/>
                <w:szCs w:val="18"/>
                <w:highlight w:val="none"/>
              </w:rPr>
            </w:pPr>
            <w:r>
              <w:rPr>
                <w:rFonts w:hint="eastAsia"/>
                <w:b/>
                <w:bCs/>
                <w:color w:val="auto"/>
                <w:sz w:val="18"/>
                <w:szCs w:val="18"/>
                <w:highlight w:val="none"/>
              </w:rPr>
              <w:t>内容</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b/>
                <w:bCs/>
                <w:color w:val="auto"/>
                <w:sz w:val="18"/>
                <w:szCs w:val="18"/>
                <w:highlight w:val="none"/>
              </w:rPr>
            </w:pPr>
            <w:r>
              <w:rPr>
                <w:rFonts w:hint="eastAsia"/>
                <w:b/>
                <w:bCs/>
                <w:color w:val="auto"/>
                <w:sz w:val="18"/>
                <w:szCs w:val="18"/>
                <w:highlight w:val="none"/>
              </w:rPr>
              <w:t>要素</w:t>
            </w:r>
          </w:p>
        </w:tc>
        <w:tc>
          <w:tcPr>
            <w:tcW w:w="7045"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b/>
                <w:bCs/>
                <w:color w:val="auto"/>
                <w:sz w:val="18"/>
                <w:szCs w:val="18"/>
                <w:highlight w:val="none"/>
              </w:rPr>
            </w:pPr>
            <w:r>
              <w:rPr>
                <w:rFonts w:hint="eastAsia"/>
                <w:b/>
                <w:bCs/>
                <w:color w:val="auto"/>
                <w:sz w:val="18"/>
                <w:szCs w:val="18"/>
                <w:highlight w:val="none"/>
              </w:rPr>
              <w:t>施工期</w:t>
            </w:r>
          </w:p>
        </w:tc>
        <w:tc>
          <w:tcPr>
            <w:tcW w:w="6215"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b/>
                <w:bCs/>
                <w:color w:val="auto"/>
                <w:sz w:val="18"/>
                <w:szCs w:val="18"/>
                <w:highlight w:val="none"/>
              </w:rPr>
            </w:pPr>
            <w:r>
              <w:rPr>
                <w:rFonts w:hint="eastAsia"/>
                <w:b/>
                <w:bCs/>
                <w:color w:val="auto"/>
                <w:sz w:val="18"/>
                <w:szCs w:val="18"/>
                <w:highlight w:val="none"/>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97"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textAlignment w:val="auto"/>
              <w:rPr>
                <w:rFonts w:hint="eastAsia"/>
                <w:b/>
                <w:bCs/>
                <w:color w:val="auto"/>
                <w:sz w:val="18"/>
                <w:szCs w:val="18"/>
                <w:highlight w:val="none"/>
              </w:rPr>
            </w:pP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b/>
                <w:bCs/>
                <w:color w:val="auto"/>
                <w:sz w:val="18"/>
                <w:szCs w:val="18"/>
                <w:highlight w:val="none"/>
              </w:rPr>
            </w:pPr>
            <w:r>
              <w:rPr>
                <w:rFonts w:hint="eastAsia"/>
                <w:b/>
                <w:bCs/>
                <w:color w:val="auto"/>
                <w:sz w:val="18"/>
                <w:szCs w:val="18"/>
                <w:highlight w:val="none"/>
              </w:rPr>
              <w:t>环境保护措施</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b/>
                <w:bCs/>
                <w:color w:val="auto"/>
                <w:sz w:val="18"/>
                <w:szCs w:val="18"/>
                <w:highlight w:val="none"/>
              </w:rPr>
            </w:pPr>
            <w:r>
              <w:rPr>
                <w:rFonts w:hint="eastAsia"/>
                <w:b/>
                <w:bCs/>
                <w:color w:val="auto"/>
                <w:sz w:val="18"/>
                <w:szCs w:val="18"/>
                <w:highlight w:val="none"/>
              </w:rPr>
              <w:t>验收要求</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b/>
                <w:bCs/>
                <w:color w:val="auto"/>
                <w:sz w:val="18"/>
                <w:szCs w:val="18"/>
                <w:highlight w:val="none"/>
              </w:rPr>
            </w:pPr>
            <w:r>
              <w:rPr>
                <w:rFonts w:hint="eastAsia"/>
                <w:b/>
                <w:bCs/>
                <w:color w:val="auto"/>
                <w:sz w:val="18"/>
                <w:szCs w:val="18"/>
                <w:highlight w:val="none"/>
              </w:rPr>
              <w:t>环境保护措施</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b/>
                <w:bCs/>
                <w:color w:val="auto"/>
                <w:sz w:val="18"/>
                <w:szCs w:val="18"/>
                <w:highlight w:val="none"/>
              </w:rPr>
            </w:pPr>
            <w:r>
              <w:rPr>
                <w:rFonts w:hint="eastAsia"/>
                <w:b/>
                <w:bCs/>
                <w:color w:val="auto"/>
                <w:sz w:val="18"/>
                <w:szCs w:val="18"/>
                <w:highlight w:val="none"/>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1"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陆生生态</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eastAsia="zh-CN"/>
              </w:rPr>
              <w:t>①</w:t>
            </w:r>
            <w:r>
              <w:rPr>
                <w:rFonts w:hint="default" w:ascii="Times New Roman" w:hAnsi="Times New Roman" w:eastAsia="宋体" w:cs="Times New Roman"/>
                <w:b w:val="0"/>
                <w:bCs w:val="0"/>
                <w:color w:val="auto"/>
                <w:sz w:val="18"/>
                <w:szCs w:val="18"/>
                <w:highlight w:val="none"/>
                <w:lang w:val="en-US" w:eastAsia="zh-CN"/>
              </w:rPr>
              <w:t>优化施工布置，合理规划占地，严格控制占地面积。</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eastAsia="zh-CN"/>
              </w:rPr>
              <w:t>②</w:t>
            </w:r>
            <w:r>
              <w:rPr>
                <w:rFonts w:hint="eastAsia" w:ascii="Times New Roman" w:hAnsi="Times New Roman" w:eastAsia="宋体" w:cs="Times New Roman"/>
                <w:b w:val="0"/>
                <w:bCs w:val="0"/>
                <w:color w:val="auto"/>
                <w:sz w:val="18"/>
                <w:szCs w:val="18"/>
                <w:highlight w:val="none"/>
                <w:lang w:eastAsia="zh-CN"/>
              </w:rPr>
              <w:t>对施工人员和附近居民加强生态保护的宣传教育，在各施工区设置动植物保护警示牌或宣传栏，严禁施工人员非法猎捕野生动物</w:t>
            </w:r>
            <w:r>
              <w:rPr>
                <w:rFonts w:hint="default" w:ascii="Times New Roman" w:hAnsi="Times New Roman" w:eastAsia="宋体" w:cs="Times New Roman"/>
                <w:b w:val="0"/>
                <w:bCs w:val="0"/>
                <w:color w:val="auto"/>
                <w:sz w:val="18"/>
                <w:szCs w:val="18"/>
                <w:highlight w:val="none"/>
                <w:lang w:eastAsia="zh-CN"/>
              </w:rPr>
              <w:t>；</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eastAsia="zh-CN"/>
              </w:rPr>
              <w:t>③加强施工期的环境监理工作，保护好沿线两侧其它区域现有的植被。</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eastAsia="zh-CN"/>
              </w:rPr>
              <w:t>在选用先进的施工工艺，选取科学的施工方式的前提下，施工单位加强施工管理，合理</w:t>
            </w:r>
            <w:r>
              <w:rPr>
                <w:rFonts w:hint="eastAsia" w:ascii="Times New Roman" w:hAnsi="Times New Roman" w:eastAsia="宋体" w:cs="Times New Roman"/>
                <w:b w:val="0"/>
                <w:bCs w:val="0"/>
                <w:color w:val="auto"/>
                <w:sz w:val="18"/>
                <w:szCs w:val="18"/>
                <w:highlight w:val="none"/>
                <w:lang w:val="en-US" w:eastAsia="zh-CN"/>
              </w:rPr>
              <w:t>规划占地，合理</w:t>
            </w:r>
            <w:r>
              <w:rPr>
                <w:rFonts w:hint="default" w:ascii="Times New Roman" w:hAnsi="Times New Roman" w:eastAsia="宋体" w:cs="Times New Roman"/>
                <w:b w:val="0"/>
                <w:bCs w:val="0"/>
                <w:color w:val="auto"/>
                <w:sz w:val="18"/>
                <w:szCs w:val="18"/>
                <w:highlight w:val="none"/>
                <w:lang w:eastAsia="zh-CN"/>
              </w:rPr>
              <w:t>安排施工时间，对施工过程采取有效的控制及影响减缓措施后，可将项目实施对所在区域生态的影响降至最低程度</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水生生态</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施工期间禁止将土方、建筑垃圾、生活垃圾等排入第九排水沟、清水河以及黄河</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cs="Times New Roman"/>
                <w:b w:val="0"/>
                <w:bCs w:val="0"/>
                <w:color w:val="auto"/>
                <w:sz w:val="18"/>
                <w:szCs w:val="18"/>
                <w:highlight w:val="none"/>
                <w:lang w:val="en-US" w:eastAsia="zh-CN"/>
              </w:rPr>
              <w:t>清水河泉眼山断面监测数据达到《地表水环境质量标准》（GB3838-2002）中Ⅲ类标准</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地表水环境</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施工区应设置沉淀池，施工废水沉淀后回用，不外排。</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废水不外排，不对地表水环境造成影响。</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地下水及土壤环境</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声环境</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①施工前，对所使用机械设备进行了保养，施工过程中有专人维护。</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②降低施工设备噪声。</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③降低人为噪声</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声环境现状达到《声环境质量标准》（GB3096-2008）</w:t>
            </w:r>
            <w:r>
              <w:rPr>
                <w:rFonts w:hint="eastAsia" w:ascii="Times New Roman" w:hAnsi="Times New Roman" w:eastAsia="宋体" w:cs="Times New Roman"/>
                <w:b w:val="0"/>
                <w:bCs w:val="0"/>
                <w:color w:val="auto"/>
                <w:sz w:val="18"/>
                <w:szCs w:val="18"/>
                <w:highlight w:val="none"/>
                <w:lang w:val="en-US" w:eastAsia="zh-CN"/>
              </w:rPr>
              <w:t>2</w:t>
            </w:r>
            <w:r>
              <w:rPr>
                <w:rFonts w:hint="default" w:ascii="Times New Roman" w:hAnsi="Times New Roman" w:eastAsia="宋体" w:cs="Times New Roman"/>
                <w:b w:val="0"/>
                <w:bCs w:val="0"/>
                <w:color w:val="auto"/>
                <w:sz w:val="18"/>
                <w:szCs w:val="18"/>
                <w:highlight w:val="none"/>
                <w:lang w:val="en-US" w:eastAsia="zh-CN"/>
              </w:rPr>
              <w:t>类</w:t>
            </w:r>
            <w:r>
              <w:rPr>
                <w:rFonts w:hint="eastAsia" w:ascii="Times New Roman" w:hAnsi="Times New Roman" w:eastAsia="宋体" w:cs="Times New Roman"/>
                <w:b w:val="0"/>
                <w:bCs w:val="0"/>
                <w:color w:val="auto"/>
                <w:sz w:val="18"/>
                <w:szCs w:val="18"/>
                <w:highlight w:val="none"/>
                <w:lang w:val="en-US" w:eastAsia="zh-CN"/>
              </w:rPr>
              <w:t>标准要求</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color w:val="auto"/>
                <w:sz w:val="18"/>
                <w:szCs w:val="18"/>
                <w:highlight w:val="none"/>
                <w:lang w:eastAsia="zh-CN"/>
              </w:rPr>
            </w:pPr>
            <w:r>
              <w:rPr>
                <w:rFonts w:hint="eastAsia"/>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eastAsia="宋体"/>
                <w:color w:val="auto"/>
                <w:sz w:val="18"/>
                <w:szCs w:val="18"/>
                <w:highlight w:val="none"/>
                <w:lang w:eastAsia="zh-CN"/>
              </w:rPr>
            </w:pPr>
            <w:r>
              <w:rPr>
                <w:rFonts w:hint="eastAsia"/>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b/>
                <w:bCs/>
                <w:color w:val="auto"/>
                <w:sz w:val="18"/>
                <w:szCs w:val="18"/>
                <w:highlight w:val="none"/>
              </w:rPr>
            </w:pPr>
            <w:r>
              <w:rPr>
                <w:rFonts w:hint="eastAsia"/>
                <w:b/>
                <w:bCs/>
                <w:color w:val="auto"/>
                <w:sz w:val="18"/>
                <w:szCs w:val="18"/>
                <w:highlight w:val="none"/>
              </w:rPr>
              <w:t>振动</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大气环境</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fldChar w:fldCharType="begin"/>
            </w:r>
            <w:r>
              <w:rPr>
                <w:rFonts w:hint="eastAsia" w:ascii="Times New Roman" w:hAnsi="Times New Roman" w:eastAsia="宋体" w:cs="Times New Roman"/>
                <w:b w:val="0"/>
                <w:bCs w:val="0"/>
                <w:color w:val="auto"/>
                <w:sz w:val="18"/>
                <w:szCs w:val="18"/>
                <w:highlight w:val="none"/>
                <w:lang w:val="en-US" w:eastAsia="zh-CN"/>
              </w:rPr>
              <w:instrText xml:space="preserve"> = 1 \* GB2 \* MERGEFORMAT </w:instrText>
            </w:r>
            <w:r>
              <w:rPr>
                <w:rFonts w:hint="eastAsia" w:ascii="Times New Roman" w:hAnsi="Times New Roman" w:eastAsia="宋体" w:cs="Times New Roman"/>
                <w:b w:val="0"/>
                <w:bCs w:val="0"/>
                <w:color w:val="auto"/>
                <w:sz w:val="18"/>
                <w:szCs w:val="18"/>
                <w:highlight w:val="none"/>
                <w:lang w:val="en-US" w:eastAsia="zh-CN"/>
              </w:rPr>
              <w:fldChar w:fldCharType="separate"/>
            </w:r>
            <w:r>
              <w:rPr>
                <w:rFonts w:hint="eastAsia" w:ascii="Times New Roman" w:hAnsi="Times New Roman" w:eastAsia="宋体" w:cs="Times New Roman"/>
                <w:b w:val="0"/>
                <w:bCs w:val="0"/>
                <w:color w:val="auto"/>
                <w:sz w:val="18"/>
                <w:szCs w:val="18"/>
                <w:highlight w:val="none"/>
                <w:lang w:val="en-US" w:eastAsia="zh-CN"/>
              </w:rPr>
              <w:t>⑴</w:t>
            </w:r>
            <w:r>
              <w:rPr>
                <w:rFonts w:hint="eastAsia" w:ascii="Times New Roman" w:hAnsi="Times New Roman" w:eastAsia="宋体" w:cs="Times New Roman"/>
                <w:b w:val="0"/>
                <w:bCs w:val="0"/>
                <w:color w:val="auto"/>
                <w:sz w:val="18"/>
                <w:szCs w:val="18"/>
                <w:highlight w:val="none"/>
                <w:lang w:val="en-US" w:eastAsia="zh-CN"/>
              </w:rPr>
              <w:fldChar w:fldCharType="end"/>
            </w:r>
            <w:r>
              <w:rPr>
                <w:rFonts w:hint="eastAsia" w:ascii="Times New Roman" w:hAnsi="Times New Roman" w:eastAsia="宋体" w:cs="Times New Roman"/>
                <w:b w:val="0"/>
                <w:bCs w:val="0"/>
                <w:color w:val="auto"/>
                <w:sz w:val="18"/>
                <w:szCs w:val="18"/>
                <w:highlight w:val="none"/>
                <w:lang w:val="en-US" w:eastAsia="zh-CN"/>
              </w:rPr>
              <w:t>根据施工过程的实际情况，施工现场设围栏，以减少施工扬尘扩散范围。</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fldChar w:fldCharType="begin"/>
            </w:r>
            <w:r>
              <w:rPr>
                <w:rFonts w:hint="eastAsia" w:ascii="Times New Roman" w:hAnsi="Times New Roman" w:eastAsia="宋体" w:cs="Times New Roman"/>
                <w:b w:val="0"/>
                <w:bCs w:val="0"/>
                <w:color w:val="auto"/>
                <w:sz w:val="18"/>
                <w:szCs w:val="18"/>
                <w:highlight w:val="none"/>
                <w:lang w:val="en-US" w:eastAsia="zh-CN"/>
              </w:rPr>
              <w:instrText xml:space="preserve"> = 2 \* GB2 \* MERGEFORMAT </w:instrText>
            </w:r>
            <w:r>
              <w:rPr>
                <w:rFonts w:hint="eastAsia" w:ascii="Times New Roman" w:hAnsi="Times New Roman" w:eastAsia="宋体" w:cs="Times New Roman"/>
                <w:b w:val="0"/>
                <w:bCs w:val="0"/>
                <w:color w:val="auto"/>
                <w:sz w:val="18"/>
                <w:szCs w:val="18"/>
                <w:highlight w:val="none"/>
                <w:lang w:val="en-US" w:eastAsia="zh-CN"/>
              </w:rPr>
              <w:fldChar w:fldCharType="separate"/>
            </w:r>
            <w:r>
              <w:rPr>
                <w:rFonts w:hint="eastAsia" w:ascii="Times New Roman" w:hAnsi="Times New Roman" w:eastAsia="宋体" w:cs="Times New Roman"/>
                <w:b w:val="0"/>
                <w:bCs w:val="0"/>
                <w:color w:val="auto"/>
                <w:sz w:val="18"/>
                <w:szCs w:val="18"/>
                <w:highlight w:val="none"/>
                <w:lang w:val="en-US" w:eastAsia="zh-CN"/>
              </w:rPr>
              <w:t>⑵</w:t>
            </w:r>
            <w:r>
              <w:rPr>
                <w:rFonts w:hint="eastAsia" w:ascii="Times New Roman" w:hAnsi="Times New Roman" w:eastAsia="宋体" w:cs="Times New Roman"/>
                <w:b w:val="0"/>
                <w:bCs w:val="0"/>
                <w:color w:val="auto"/>
                <w:sz w:val="18"/>
                <w:szCs w:val="18"/>
                <w:highlight w:val="none"/>
                <w:lang w:val="en-US" w:eastAsia="zh-CN"/>
              </w:rPr>
              <w:fldChar w:fldCharType="end"/>
            </w:r>
            <w:r>
              <w:rPr>
                <w:rFonts w:hint="eastAsia" w:ascii="Times New Roman" w:hAnsi="Times New Roman" w:eastAsia="宋体" w:cs="Times New Roman"/>
                <w:b w:val="0"/>
                <w:bCs w:val="0"/>
                <w:color w:val="auto"/>
                <w:sz w:val="18"/>
                <w:szCs w:val="18"/>
                <w:highlight w:val="none"/>
                <w:lang w:val="en-US" w:eastAsia="zh-CN"/>
              </w:rPr>
              <w:t>避免在大风日以及夏季暴雨时节施工，尽可能缩短施工时间，提高施工效率，减少地表裸露的时间，遇有大风天气时，避免进行挖掘、回填等大土方量作业或采取洒水抑尘措施。</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fldChar w:fldCharType="begin"/>
            </w:r>
            <w:r>
              <w:rPr>
                <w:rFonts w:hint="eastAsia" w:ascii="Times New Roman" w:hAnsi="Times New Roman" w:eastAsia="宋体" w:cs="Times New Roman"/>
                <w:b w:val="0"/>
                <w:bCs w:val="0"/>
                <w:color w:val="auto"/>
                <w:sz w:val="18"/>
                <w:szCs w:val="18"/>
                <w:highlight w:val="none"/>
                <w:lang w:val="en-US" w:eastAsia="zh-CN"/>
              </w:rPr>
              <w:instrText xml:space="preserve"> = 3 \* GB2 \* MERGEFORMAT </w:instrText>
            </w:r>
            <w:r>
              <w:rPr>
                <w:rFonts w:hint="eastAsia" w:ascii="Times New Roman" w:hAnsi="Times New Roman" w:eastAsia="宋体" w:cs="Times New Roman"/>
                <w:b w:val="0"/>
                <w:bCs w:val="0"/>
                <w:color w:val="auto"/>
                <w:sz w:val="18"/>
                <w:szCs w:val="18"/>
                <w:highlight w:val="none"/>
                <w:lang w:val="en-US" w:eastAsia="zh-CN"/>
              </w:rPr>
              <w:fldChar w:fldCharType="separate"/>
            </w:r>
            <w:r>
              <w:rPr>
                <w:rFonts w:hint="eastAsia" w:ascii="Times New Roman" w:hAnsi="Times New Roman" w:eastAsia="宋体" w:cs="Times New Roman"/>
                <w:b w:val="0"/>
                <w:bCs w:val="0"/>
                <w:color w:val="auto"/>
                <w:sz w:val="18"/>
                <w:szCs w:val="18"/>
                <w:highlight w:val="none"/>
                <w:lang w:val="en-US" w:eastAsia="zh-CN"/>
              </w:rPr>
              <w:t>⑶</w:t>
            </w:r>
            <w:r>
              <w:rPr>
                <w:rFonts w:hint="eastAsia" w:ascii="Times New Roman" w:hAnsi="Times New Roman" w:eastAsia="宋体" w:cs="Times New Roman"/>
                <w:b w:val="0"/>
                <w:bCs w:val="0"/>
                <w:color w:val="auto"/>
                <w:sz w:val="18"/>
                <w:szCs w:val="18"/>
                <w:highlight w:val="none"/>
                <w:lang w:val="en-US" w:eastAsia="zh-CN"/>
              </w:rPr>
              <w:fldChar w:fldCharType="end"/>
            </w:r>
            <w:r>
              <w:rPr>
                <w:rFonts w:hint="eastAsia" w:ascii="Times New Roman" w:hAnsi="Times New Roman" w:eastAsia="宋体" w:cs="Times New Roman"/>
                <w:b w:val="0"/>
                <w:bCs w:val="0"/>
                <w:color w:val="auto"/>
                <w:sz w:val="18"/>
                <w:szCs w:val="18"/>
                <w:highlight w:val="none"/>
                <w:lang w:val="en-US" w:eastAsia="zh-CN"/>
              </w:rPr>
              <w:t>施工单位必须加强施工区的规划管理</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fldChar w:fldCharType="begin"/>
            </w:r>
            <w:r>
              <w:rPr>
                <w:rFonts w:hint="eastAsia" w:ascii="Times New Roman" w:hAnsi="Times New Roman" w:eastAsia="宋体" w:cs="Times New Roman"/>
                <w:b w:val="0"/>
                <w:bCs w:val="0"/>
                <w:color w:val="auto"/>
                <w:sz w:val="18"/>
                <w:szCs w:val="18"/>
                <w:highlight w:val="none"/>
                <w:lang w:val="en-US" w:eastAsia="zh-CN"/>
              </w:rPr>
              <w:instrText xml:space="preserve"> = 4 \* GB2 \* MERGEFORMAT </w:instrText>
            </w:r>
            <w:r>
              <w:rPr>
                <w:rFonts w:hint="eastAsia" w:ascii="Times New Roman" w:hAnsi="Times New Roman" w:eastAsia="宋体" w:cs="Times New Roman"/>
                <w:b w:val="0"/>
                <w:bCs w:val="0"/>
                <w:color w:val="auto"/>
                <w:sz w:val="18"/>
                <w:szCs w:val="18"/>
                <w:highlight w:val="none"/>
                <w:lang w:val="en-US" w:eastAsia="zh-CN"/>
              </w:rPr>
              <w:fldChar w:fldCharType="separate"/>
            </w:r>
            <w:r>
              <w:rPr>
                <w:rFonts w:hint="eastAsia" w:ascii="Times New Roman" w:hAnsi="Times New Roman" w:eastAsia="宋体" w:cs="Times New Roman"/>
                <w:b w:val="0"/>
                <w:bCs w:val="0"/>
                <w:color w:val="auto"/>
                <w:sz w:val="18"/>
                <w:szCs w:val="18"/>
                <w:highlight w:val="none"/>
                <w:lang w:val="en-US" w:eastAsia="zh-CN"/>
              </w:rPr>
              <w:t>⑷</w:t>
            </w:r>
            <w:r>
              <w:rPr>
                <w:rFonts w:hint="eastAsia" w:ascii="Times New Roman" w:hAnsi="Times New Roman" w:eastAsia="宋体" w:cs="Times New Roman"/>
                <w:b w:val="0"/>
                <w:bCs w:val="0"/>
                <w:color w:val="auto"/>
                <w:sz w:val="18"/>
                <w:szCs w:val="18"/>
                <w:highlight w:val="none"/>
                <w:lang w:val="en-US" w:eastAsia="zh-CN"/>
              </w:rPr>
              <w:fldChar w:fldCharType="end"/>
            </w:r>
            <w:r>
              <w:rPr>
                <w:rFonts w:hint="eastAsia" w:ascii="Times New Roman" w:hAnsi="Times New Roman" w:eastAsia="宋体" w:cs="Times New Roman"/>
                <w:b w:val="0"/>
                <w:bCs w:val="0"/>
                <w:color w:val="auto"/>
                <w:sz w:val="18"/>
                <w:szCs w:val="18"/>
                <w:highlight w:val="none"/>
                <w:lang w:val="en-US" w:eastAsia="zh-CN"/>
              </w:rPr>
              <w:t>用汽车运输易起尘的物料时，要加盖蓬布、控制车速，防止物料洒落和产生扬尘；卸车时应尽量减少落差，减少扬尘；运输车辆进出的主干道应定期洒水清扫，保持车辆出入口路面清洁、润湿，并尽量要求运输车辆放慢行车速度，以减少地面扬尘污染。</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fldChar w:fldCharType="begin"/>
            </w:r>
            <w:r>
              <w:rPr>
                <w:rFonts w:hint="eastAsia" w:ascii="Times New Roman" w:hAnsi="Times New Roman" w:eastAsia="宋体" w:cs="Times New Roman"/>
                <w:b w:val="0"/>
                <w:bCs w:val="0"/>
                <w:color w:val="auto"/>
                <w:sz w:val="18"/>
                <w:szCs w:val="18"/>
                <w:highlight w:val="none"/>
                <w:lang w:val="en-US" w:eastAsia="zh-CN"/>
              </w:rPr>
              <w:instrText xml:space="preserve"> = 5 \* GB2 \* MERGEFORMAT </w:instrText>
            </w:r>
            <w:r>
              <w:rPr>
                <w:rFonts w:hint="eastAsia" w:ascii="Times New Roman" w:hAnsi="Times New Roman" w:eastAsia="宋体" w:cs="Times New Roman"/>
                <w:b w:val="0"/>
                <w:bCs w:val="0"/>
                <w:color w:val="auto"/>
                <w:sz w:val="18"/>
                <w:szCs w:val="18"/>
                <w:highlight w:val="none"/>
                <w:lang w:val="en-US" w:eastAsia="zh-CN"/>
              </w:rPr>
              <w:fldChar w:fldCharType="separate"/>
            </w:r>
            <w:r>
              <w:rPr>
                <w:rFonts w:hint="eastAsia" w:ascii="Times New Roman" w:hAnsi="Times New Roman" w:eastAsia="宋体" w:cs="Times New Roman"/>
                <w:b w:val="0"/>
                <w:bCs w:val="0"/>
                <w:color w:val="auto"/>
                <w:sz w:val="18"/>
                <w:szCs w:val="18"/>
                <w:highlight w:val="none"/>
                <w:lang w:val="en-US" w:eastAsia="zh-CN"/>
              </w:rPr>
              <w:t>⑸</w:t>
            </w:r>
            <w:r>
              <w:rPr>
                <w:rFonts w:hint="eastAsia" w:ascii="Times New Roman" w:hAnsi="Times New Roman" w:eastAsia="宋体" w:cs="Times New Roman"/>
                <w:b w:val="0"/>
                <w:bCs w:val="0"/>
                <w:color w:val="auto"/>
                <w:sz w:val="18"/>
                <w:szCs w:val="18"/>
                <w:highlight w:val="none"/>
                <w:lang w:val="en-US" w:eastAsia="zh-CN"/>
              </w:rPr>
              <w:fldChar w:fldCharType="end"/>
            </w:r>
            <w:r>
              <w:rPr>
                <w:rFonts w:hint="eastAsia" w:ascii="Times New Roman" w:hAnsi="Times New Roman" w:eastAsia="宋体" w:cs="Times New Roman"/>
                <w:b w:val="0"/>
                <w:bCs w:val="0"/>
                <w:color w:val="auto"/>
                <w:sz w:val="18"/>
                <w:szCs w:val="18"/>
                <w:highlight w:val="none"/>
                <w:lang w:val="en-US" w:eastAsia="zh-CN"/>
              </w:rPr>
              <w:t>加强对施工机械、车辆的维修保养。</w:t>
            </w:r>
          </w:p>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fldChar w:fldCharType="begin"/>
            </w:r>
            <w:r>
              <w:rPr>
                <w:rFonts w:hint="eastAsia" w:ascii="Times New Roman" w:hAnsi="Times New Roman" w:eastAsia="宋体" w:cs="Times New Roman"/>
                <w:b w:val="0"/>
                <w:bCs w:val="0"/>
                <w:color w:val="auto"/>
                <w:sz w:val="18"/>
                <w:szCs w:val="18"/>
                <w:highlight w:val="none"/>
                <w:lang w:val="en-US" w:eastAsia="zh-CN"/>
              </w:rPr>
              <w:instrText xml:space="preserve"> = 6 \* GB2 \* MERGEFORMAT </w:instrText>
            </w:r>
            <w:r>
              <w:rPr>
                <w:rFonts w:hint="eastAsia" w:ascii="Times New Roman" w:hAnsi="Times New Roman" w:eastAsia="宋体" w:cs="Times New Roman"/>
                <w:b w:val="0"/>
                <w:bCs w:val="0"/>
                <w:color w:val="auto"/>
                <w:sz w:val="18"/>
                <w:szCs w:val="18"/>
                <w:highlight w:val="none"/>
                <w:lang w:val="en-US" w:eastAsia="zh-CN"/>
              </w:rPr>
              <w:fldChar w:fldCharType="separate"/>
            </w:r>
            <w:r>
              <w:rPr>
                <w:rFonts w:hint="eastAsia" w:ascii="Times New Roman" w:hAnsi="Times New Roman" w:eastAsia="宋体" w:cs="Times New Roman"/>
                <w:b w:val="0"/>
                <w:bCs w:val="0"/>
                <w:color w:val="auto"/>
                <w:sz w:val="18"/>
                <w:szCs w:val="18"/>
                <w:highlight w:val="none"/>
                <w:lang w:val="en-US" w:eastAsia="zh-CN"/>
              </w:rPr>
              <w:t>⑹</w:t>
            </w:r>
            <w:r>
              <w:rPr>
                <w:rFonts w:hint="eastAsia" w:ascii="Times New Roman" w:hAnsi="Times New Roman" w:eastAsia="宋体" w:cs="Times New Roman"/>
                <w:b w:val="0"/>
                <w:bCs w:val="0"/>
                <w:color w:val="auto"/>
                <w:sz w:val="18"/>
                <w:szCs w:val="18"/>
                <w:highlight w:val="none"/>
                <w:lang w:val="en-US" w:eastAsia="zh-CN"/>
              </w:rPr>
              <w:fldChar w:fldCharType="end"/>
            </w:r>
            <w:r>
              <w:rPr>
                <w:rFonts w:hint="eastAsia" w:ascii="Times New Roman" w:hAnsi="Times New Roman" w:eastAsia="宋体" w:cs="Times New Roman"/>
                <w:b w:val="0"/>
                <w:bCs w:val="0"/>
                <w:color w:val="auto"/>
                <w:sz w:val="18"/>
                <w:szCs w:val="18"/>
                <w:highlight w:val="none"/>
                <w:lang w:val="en-US" w:eastAsia="zh-CN"/>
              </w:rPr>
              <w:t>汽车进入施工区内应限速行驶。</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定期对本工程施工期大气环境进行现状监测，减小对周围敏感点的影响；</w:t>
            </w:r>
            <w:r>
              <w:rPr>
                <w:rFonts w:hint="default" w:ascii="Times New Roman" w:hAnsi="Times New Roman" w:eastAsia="宋体" w:cs="Times New Roman"/>
                <w:b w:val="0"/>
                <w:bCs w:val="0"/>
                <w:color w:val="auto"/>
                <w:sz w:val="18"/>
                <w:szCs w:val="18"/>
                <w:highlight w:val="none"/>
                <w:lang w:val="en-US" w:eastAsia="zh-CN"/>
              </w:rPr>
              <w:t>大气环境现状达到《环境空气质量标准》（GB3095-2012）二级标准</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cs="Times New Roman"/>
                <w:b w:val="0"/>
                <w:bCs w:val="0"/>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固体废物</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生活垃圾设立垃圾桶收集，定期运送至附近垃圾中转站由环卫部门处置；施工废渣及时转运至政府指定地点处置</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施工期结束后不得在施工现场遗留建筑垃圾、生活垃圾。</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cs="Times New Roman"/>
                <w:b w:val="0"/>
                <w:bCs w:val="0"/>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电磁环境</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环境风险</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环境监测</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对</w:t>
            </w:r>
            <w:r>
              <w:rPr>
                <w:rFonts w:hint="eastAsia" w:ascii="Times New Roman" w:hAnsi="Times New Roman" w:eastAsia="宋体" w:cs="Times New Roman"/>
                <w:b w:val="0"/>
                <w:bCs w:val="0"/>
                <w:color w:val="auto"/>
                <w:sz w:val="18"/>
                <w:szCs w:val="18"/>
                <w:highlight w:val="none"/>
                <w:lang w:val="en-US" w:eastAsia="zh-CN"/>
              </w:rPr>
              <w:t>施工区边界开展</w:t>
            </w:r>
            <w:r>
              <w:rPr>
                <w:rFonts w:hint="default" w:ascii="Times New Roman" w:hAnsi="Times New Roman" w:eastAsia="宋体" w:cs="Times New Roman"/>
                <w:b w:val="0"/>
                <w:bCs w:val="0"/>
                <w:color w:val="auto"/>
                <w:sz w:val="18"/>
                <w:szCs w:val="18"/>
                <w:highlight w:val="none"/>
                <w:lang w:val="en-US" w:eastAsia="zh-CN"/>
              </w:rPr>
              <w:t>声环境和大气环境质量监测</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声环境现状达到《声环境质量标准》（GB3096-2008）</w:t>
            </w:r>
            <w:r>
              <w:rPr>
                <w:rFonts w:hint="eastAsia" w:ascii="Times New Roman" w:hAnsi="Times New Roman" w:eastAsia="宋体" w:cs="Times New Roman"/>
                <w:b w:val="0"/>
                <w:bCs w:val="0"/>
                <w:color w:val="auto"/>
                <w:sz w:val="18"/>
                <w:szCs w:val="18"/>
                <w:highlight w:val="none"/>
                <w:lang w:val="en-US" w:eastAsia="zh-CN"/>
              </w:rPr>
              <w:t>2</w:t>
            </w:r>
            <w:r>
              <w:rPr>
                <w:rFonts w:hint="default" w:ascii="Times New Roman" w:hAnsi="Times New Roman" w:eastAsia="宋体" w:cs="Times New Roman"/>
                <w:b w:val="0"/>
                <w:bCs w:val="0"/>
                <w:color w:val="auto"/>
                <w:sz w:val="18"/>
                <w:szCs w:val="18"/>
                <w:highlight w:val="none"/>
                <w:lang w:val="en-US" w:eastAsia="zh-CN"/>
              </w:rPr>
              <w:t>类；大气环境现状达到《环境空气质量标准》（GB3095-2012）二级标准</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对各施工临时占地原用地为林草地的区域采取撒播草籽的措施进行植被恢复，原耕地区域恢复耕种。</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施工前监测一次、施工后三年内每年各监测一次确保生态恢复措施达到预期效果。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jc w:val="both"/>
              <w:textAlignment w:val="auto"/>
              <w:rPr>
                <w:rFonts w:hint="eastAsia"/>
                <w:color w:val="auto"/>
                <w:sz w:val="18"/>
                <w:szCs w:val="18"/>
                <w:highlight w:val="none"/>
              </w:rPr>
            </w:pPr>
            <w:r>
              <w:rPr>
                <w:rFonts w:hint="eastAsia"/>
                <w:b/>
                <w:bCs/>
                <w:color w:val="auto"/>
                <w:sz w:val="18"/>
                <w:szCs w:val="18"/>
                <w:highlight w:val="none"/>
              </w:rPr>
              <w:t>其他</w:t>
            </w:r>
          </w:p>
        </w:tc>
        <w:tc>
          <w:tcPr>
            <w:tcW w:w="411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color w:val="auto"/>
                <w:sz w:val="18"/>
                <w:szCs w:val="18"/>
                <w:highlight w:val="none"/>
              </w:rPr>
            </w:pPr>
            <w:r>
              <w:rPr>
                <w:rFonts w:hint="eastAsia"/>
                <w:color w:val="auto"/>
                <w:sz w:val="18"/>
                <w:szCs w:val="18"/>
                <w:highlight w:val="none"/>
                <w:lang w:val="en-US" w:eastAsia="zh-CN"/>
              </w:rPr>
              <w:t>/</w:t>
            </w:r>
          </w:p>
        </w:tc>
        <w:tc>
          <w:tcPr>
            <w:tcW w:w="293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color w:val="auto"/>
                <w:sz w:val="18"/>
                <w:szCs w:val="18"/>
                <w:highlight w:val="none"/>
              </w:rPr>
            </w:pPr>
            <w:r>
              <w:rPr>
                <w:rFonts w:hint="eastAsia"/>
                <w:color w:val="auto"/>
                <w:sz w:val="18"/>
                <w:szCs w:val="18"/>
                <w:highlight w:val="none"/>
                <w:lang w:val="en-US" w:eastAsia="zh-CN"/>
              </w:rPr>
              <w:t>/</w:t>
            </w:r>
          </w:p>
        </w:tc>
        <w:tc>
          <w:tcPr>
            <w:tcW w:w="394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color w:val="auto"/>
                <w:sz w:val="18"/>
                <w:szCs w:val="18"/>
                <w:highlight w:val="none"/>
              </w:rPr>
            </w:pPr>
            <w:r>
              <w:rPr>
                <w:rFonts w:hint="eastAsia"/>
                <w:color w:val="auto"/>
                <w:sz w:val="18"/>
                <w:szCs w:val="18"/>
                <w:highlight w:val="none"/>
                <w:lang w:val="en-US" w:eastAsia="zh-CN"/>
              </w:rPr>
              <w:t>/</w:t>
            </w:r>
          </w:p>
        </w:tc>
        <w:tc>
          <w:tcPr>
            <w:tcW w:w="22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eastAsia"/>
                <w:color w:val="auto"/>
                <w:sz w:val="18"/>
                <w:szCs w:val="18"/>
                <w:highlight w:val="none"/>
              </w:rPr>
            </w:pPr>
            <w:r>
              <w:rPr>
                <w:rFonts w:hint="eastAsia"/>
                <w:color w:val="auto"/>
                <w:sz w:val="18"/>
                <w:szCs w:val="18"/>
                <w:highlight w:val="none"/>
                <w:lang w:val="en-US" w:eastAsia="zh-CN"/>
              </w:rPr>
              <w:t>/</w:t>
            </w:r>
          </w:p>
        </w:tc>
      </w:tr>
    </w:tbl>
    <w:p>
      <w:pPr>
        <w:pStyle w:val="21"/>
        <w:jc w:val="center"/>
        <w:outlineLvl w:val="0"/>
        <w:rPr>
          <w:rFonts w:hint="eastAsia" w:ascii="黑体" w:hAnsi="黑体" w:eastAsia="黑体"/>
          <w:snapToGrid w:val="0"/>
          <w:color w:val="auto"/>
          <w:sz w:val="30"/>
          <w:szCs w:val="30"/>
          <w:highlight w:val="none"/>
          <w:lang w:eastAsia="zh-CN"/>
        </w:rPr>
        <w:sectPr>
          <w:pgSz w:w="16838" w:h="11906" w:orient="landscape"/>
          <w:pgMar w:top="1417" w:right="1701" w:bottom="1417"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21"/>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lang w:eastAsia="zh-CN"/>
        </w:rPr>
        <w:t>七</w:t>
      </w:r>
      <w:r>
        <w:rPr>
          <w:rFonts w:hint="eastAsia" w:ascii="黑体" w:hAnsi="黑体" w:eastAsia="黑体"/>
          <w:snapToGrid w:val="0"/>
          <w:color w:val="auto"/>
          <w:sz w:val="30"/>
          <w:szCs w:val="30"/>
          <w:highlight w:val="none"/>
        </w:rPr>
        <w:t>、结论</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tcPr>
          <w:p>
            <w:pPr>
              <w:spacing w:line="360" w:lineRule="auto"/>
              <w:ind w:firstLine="480" w:firstLineChars="200"/>
              <w:rPr>
                <w:rFonts w:ascii="仿宋_GB2312" w:hAnsi="仿宋_GB2312" w:eastAsia="仿宋_GB2312" w:cs="仿宋_GB2312"/>
                <w:color w:val="auto"/>
                <w:sz w:val="24"/>
                <w:highlight w:val="none"/>
              </w:rPr>
            </w:pPr>
            <w:r>
              <w:rPr>
                <w:rFonts w:hint="default" w:ascii="Times New Roman" w:hAnsi="Times New Roman" w:eastAsia="仿宋_GB2312" w:cs="Times New Roman"/>
                <w:color w:val="auto"/>
                <w:sz w:val="24"/>
                <w:szCs w:val="24"/>
                <w:highlight w:val="none"/>
                <w:lang w:val="en-US" w:eastAsia="zh-CN"/>
              </w:rPr>
              <w:t>建设单位通过加强运营期管理，严格遵循环保“三同时”制度，在切实落实本报告提出的各项污染防治措施及生态保护与恢复措施前提下，项目对周围环境的影响可以控制在国家有关标准和要求的允许范围以内。因此，从环境保护角度分析，本工程建设总体可行</w:t>
            </w:r>
          </w:p>
        </w:tc>
      </w:tr>
    </w:tbl>
    <w:p>
      <w:pPr>
        <w:rPr>
          <w:rFonts w:ascii="宋体" w:hAnsi="宋体" w:eastAsia="黑体"/>
          <w:color w:val="auto"/>
          <w:highlight w:val="none"/>
        </w:rPr>
      </w:pPr>
    </w:p>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Arial Black">
    <w:panose1 w:val="020B0A04020102020204"/>
    <w:charset w:val="00"/>
    <w:family w:val="swiss"/>
    <w:pitch w:val="default"/>
    <w:sig w:usb0="00000287" w:usb1="00000000" w:usb2="00000000" w:usb3="00000000" w:csb0="2000009F" w:csb1="DFD7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8"/>
      </w:rPr>
    </w:pPr>
    <w:r>
      <w:fldChar w:fldCharType="begin"/>
    </w:r>
    <w:r>
      <w:rPr>
        <w:rStyle w:val="28"/>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86B666"/>
    <w:multiLevelType w:val="singleLevel"/>
    <w:tmpl w:val="AA86B666"/>
    <w:lvl w:ilvl="0" w:tentative="0">
      <w:start w:val="1"/>
      <w:numFmt w:val="decimal"/>
      <w:suff w:val="space"/>
      <w:lvlText w:val="%1."/>
      <w:lvlJc w:val="left"/>
    </w:lvl>
  </w:abstractNum>
  <w:abstractNum w:abstractNumId="1">
    <w:nsid w:val="66F83211"/>
    <w:multiLevelType w:val="singleLevel"/>
    <w:tmpl w:val="66F83211"/>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hMDg0MjcxM2JmZTJlODJiYzQwZWM4MjFkMjQ1NjMifQ=="/>
  </w:docVars>
  <w:rsids>
    <w:rsidRoot w:val="00172A27"/>
    <w:rsid w:val="000060B3"/>
    <w:rsid w:val="000276DA"/>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E546E"/>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967C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52A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19E0"/>
    <w:rsid w:val="002C2B17"/>
    <w:rsid w:val="002D3DD0"/>
    <w:rsid w:val="002E1F3A"/>
    <w:rsid w:val="002E298A"/>
    <w:rsid w:val="00301978"/>
    <w:rsid w:val="0030332C"/>
    <w:rsid w:val="003051C2"/>
    <w:rsid w:val="00312296"/>
    <w:rsid w:val="00314F0E"/>
    <w:rsid w:val="00321D8E"/>
    <w:rsid w:val="00325094"/>
    <w:rsid w:val="00325928"/>
    <w:rsid w:val="00332863"/>
    <w:rsid w:val="0033684D"/>
    <w:rsid w:val="00337B42"/>
    <w:rsid w:val="00340BB7"/>
    <w:rsid w:val="00341B42"/>
    <w:rsid w:val="0034348F"/>
    <w:rsid w:val="00356653"/>
    <w:rsid w:val="0035680E"/>
    <w:rsid w:val="0035743F"/>
    <w:rsid w:val="00357BE2"/>
    <w:rsid w:val="0036170C"/>
    <w:rsid w:val="00366E0F"/>
    <w:rsid w:val="00381A72"/>
    <w:rsid w:val="00384676"/>
    <w:rsid w:val="00385155"/>
    <w:rsid w:val="00390857"/>
    <w:rsid w:val="003918F2"/>
    <w:rsid w:val="003A4BF3"/>
    <w:rsid w:val="003B420D"/>
    <w:rsid w:val="003C6C16"/>
    <w:rsid w:val="003D794D"/>
    <w:rsid w:val="003E3058"/>
    <w:rsid w:val="003E76A9"/>
    <w:rsid w:val="003F03C3"/>
    <w:rsid w:val="003F0809"/>
    <w:rsid w:val="003F6A8C"/>
    <w:rsid w:val="003F755C"/>
    <w:rsid w:val="00406F01"/>
    <w:rsid w:val="00416D50"/>
    <w:rsid w:val="00416FD5"/>
    <w:rsid w:val="00417772"/>
    <w:rsid w:val="00420E6A"/>
    <w:rsid w:val="00425A9E"/>
    <w:rsid w:val="00426D6B"/>
    <w:rsid w:val="00431E6C"/>
    <w:rsid w:val="00433CE7"/>
    <w:rsid w:val="00443D14"/>
    <w:rsid w:val="0044415B"/>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0A7E"/>
    <w:rsid w:val="005401AE"/>
    <w:rsid w:val="00542E07"/>
    <w:rsid w:val="00545424"/>
    <w:rsid w:val="00554A7B"/>
    <w:rsid w:val="0055572C"/>
    <w:rsid w:val="0056106A"/>
    <w:rsid w:val="005720AE"/>
    <w:rsid w:val="00594D77"/>
    <w:rsid w:val="005969E4"/>
    <w:rsid w:val="005A06B7"/>
    <w:rsid w:val="005A1759"/>
    <w:rsid w:val="005A64C9"/>
    <w:rsid w:val="005A68A7"/>
    <w:rsid w:val="005B5FC5"/>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2C97"/>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5CE6"/>
    <w:rsid w:val="008F60D8"/>
    <w:rsid w:val="00902727"/>
    <w:rsid w:val="0090312B"/>
    <w:rsid w:val="0091736D"/>
    <w:rsid w:val="0093037A"/>
    <w:rsid w:val="0094154D"/>
    <w:rsid w:val="00947AAF"/>
    <w:rsid w:val="0095155F"/>
    <w:rsid w:val="00954429"/>
    <w:rsid w:val="009563CE"/>
    <w:rsid w:val="0097629E"/>
    <w:rsid w:val="00976328"/>
    <w:rsid w:val="0097680D"/>
    <w:rsid w:val="00982438"/>
    <w:rsid w:val="0098404C"/>
    <w:rsid w:val="00985283"/>
    <w:rsid w:val="00995992"/>
    <w:rsid w:val="00996A00"/>
    <w:rsid w:val="009A03E5"/>
    <w:rsid w:val="009A0F3B"/>
    <w:rsid w:val="009A1BB4"/>
    <w:rsid w:val="009A2628"/>
    <w:rsid w:val="009A3200"/>
    <w:rsid w:val="009B0897"/>
    <w:rsid w:val="009B7BD9"/>
    <w:rsid w:val="009C2C7F"/>
    <w:rsid w:val="009C7DD5"/>
    <w:rsid w:val="009E227D"/>
    <w:rsid w:val="009E5019"/>
    <w:rsid w:val="00A04F1B"/>
    <w:rsid w:val="00A0501B"/>
    <w:rsid w:val="00A14947"/>
    <w:rsid w:val="00A32A83"/>
    <w:rsid w:val="00A368DB"/>
    <w:rsid w:val="00A423AA"/>
    <w:rsid w:val="00A53EC6"/>
    <w:rsid w:val="00A55C0F"/>
    <w:rsid w:val="00A73A39"/>
    <w:rsid w:val="00A74CF7"/>
    <w:rsid w:val="00A8713F"/>
    <w:rsid w:val="00A90BA1"/>
    <w:rsid w:val="00A97A9A"/>
    <w:rsid w:val="00AA0671"/>
    <w:rsid w:val="00AA2531"/>
    <w:rsid w:val="00AA5870"/>
    <w:rsid w:val="00AB1E09"/>
    <w:rsid w:val="00AB5330"/>
    <w:rsid w:val="00AB7747"/>
    <w:rsid w:val="00AC14CE"/>
    <w:rsid w:val="00AC2A56"/>
    <w:rsid w:val="00AD055E"/>
    <w:rsid w:val="00AD47A7"/>
    <w:rsid w:val="00AF0CBF"/>
    <w:rsid w:val="00AF257F"/>
    <w:rsid w:val="00AF33CF"/>
    <w:rsid w:val="00AF4D50"/>
    <w:rsid w:val="00AF6179"/>
    <w:rsid w:val="00B073B0"/>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C7EBC"/>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718B"/>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0C67"/>
    <w:rsid w:val="00E412D0"/>
    <w:rsid w:val="00E56322"/>
    <w:rsid w:val="00E60982"/>
    <w:rsid w:val="00E610FC"/>
    <w:rsid w:val="00E62C62"/>
    <w:rsid w:val="00E654C1"/>
    <w:rsid w:val="00E65D97"/>
    <w:rsid w:val="00E72A5A"/>
    <w:rsid w:val="00E73354"/>
    <w:rsid w:val="00E75F6B"/>
    <w:rsid w:val="00E9242D"/>
    <w:rsid w:val="00EA7B87"/>
    <w:rsid w:val="00EB2B85"/>
    <w:rsid w:val="00EB5255"/>
    <w:rsid w:val="00EB5C47"/>
    <w:rsid w:val="00EC599E"/>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4C6E"/>
    <w:rsid w:val="01290F7E"/>
    <w:rsid w:val="015D1E09"/>
    <w:rsid w:val="0210576C"/>
    <w:rsid w:val="02697903"/>
    <w:rsid w:val="02EF2D80"/>
    <w:rsid w:val="02F96569"/>
    <w:rsid w:val="03EA7B21"/>
    <w:rsid w:val="047346B0"/>
    <w:rsid w:val="048E79EB"/>
    <w:rsid w:val="049F436D"/>
    <w:rsid w:val="05CF17C3"/>
    <w:rsid w:val="05F83EAE"/>
    <w:rsid w:val="063E7D85"/>
    <w:rsid w:val="067D08E8"/>
    <w:rsid w:val="06EC65D1"/>
    <w:rsid w:val="07293586"/>
    <w:rsid w:val="07295285"/>
    <w:rsid w:val="0746370A"/>
    <w:rsid w:val="07636392"/>
    <w:rsid w:val="07737303"/>
    <w:rsid w:val="07770C56"/>
    <w:rsid w:val="08F1233F"/>
    <w:rsid w:val="092217DD"/>
    <w:rsid w:val="093A7294"/>
    <w:rsid w:val="0A263993"/>
    <w:rsid w:val="0A2D3AC2"/>
    <w:rsid w:val="0A410EC9"/>
    <w:rsid w:val="0A4F48B5"/>
    <w:rsid w:val="0AA755DF"/>
    <w:rsid w:val="0B120D44"/>
    <w:rsid w:val="0B6C2585"/>
    <w:rsid w:val="0BD27BF6"/>
    <w:rsid w:val="0C3B3C7D"/>
    <w:rsid w:val="0CAB2EAE"/>
    <w:rsid w:val="0D621C7D"/>
    <w:rsid w:val="0E211365"/>
    <w:rsid w:val="0E73034D"/>
    <w:rsid w:val="0F13775A"/>
    <w:rsid w:val="0F5F45FE"/>
    <w:rsid w:val="0F9A112B"/>
    <w:rsid w:val="0FA17A7C"/>
    <w:rsid w:val="106D2F64"/>
    <w:rsid w:val="10B63710"/>
    <w:rsid w:val="10F10820"/>
    <w:rsid w:val="111C2F7A"/>
    <w:rsid w:val="11665CA1"/>
    <w:rsid w:val="1279748D"/>
    <w:rsid w:val="13691DD8"/>
    <w:rsid w:val="13951726"/>
    <w:rsid w:val="14396509"/>
    <w:rsid w:val="14DD2C3C"/>
    <w:rsid w:val="16087E1D"/>
    <w:rsid w:val="16BF5AEC"/>
    <w:rsid w:val="17701D14"/>
    <w:rsid w:val="17735226"/>
    <w:rsid w:val="17FA594C"/>
    <w:rsid w:val="18746085"/>
    <w:rsid w:val="189659FF"/>
    <w:rsid w:val="189F624C"/>
    <w:rsid w:val="1A1C66C0"/>
    <w:rsid w:val="1A42393B"/>
    <w:rsid w:val="1AAD45DE"/>
    <w:rsid w:val="1B046F80"/>
    <w:rsid w:val="1B174E3A"/>
    <w:rsid w:val="1B3267B5"/>
    <w:rsid w:val="1B40161D"/>
    <w:rsid w:val="1B441859"/>
    <w:rsid w:val="1B484B32"/>
    <w:rsid w:val="1B6606B1"/>
    <w:rsid w:val="1B964E9C"/>
    <w:rsid w:val="1BA063CD"/>
    <w:rsid w:val="1C5E7925"/>
    <w:rsid w:val="1CFD070F"/>
    <w:rsid w:val="1D5F6196"/>
    <w:rsid w:val="1D6132A5"/>
    <w:rsid w:val="1D8E56D5"/>
    <w:rsid w:val="1DCC1A4F"/>
    <w:rsid w:val="1DE7541A"/>
    <w:rsid w:val="1E7A43DA"/>
    <w:rsid w:val="1FDB5AA2"/>
    <w:rsid w:val="1FE7539E"/>
    <w:rsid w:val="20671BE0"/>
    <w:rsid w:val="20963CB8"/>
    <w:rsid w:val="20A81A1B"/>
    <w:rsid w:val="20B07FB6"/>
    <w:rsid w:val="20B646FB"/>
    <w:rsid w:val="213B74B1"/>
    <w:rsid w:val="215A2310"/>
    <w:rsid w:val="21DE318A"/>
    <w:rsid w:val="21EF5B80"/>
    <w:rsid w:val="22576990"/>
    <w:rsid w:val="22D8597A"/>
    <w:rsid w:val="22F47480"/>
    <w:rsid w:val="23C54BB2"/>
    <w:rsid w:val="23DE1C48"/>
    <w:rsid w:val="240210CD"/>
    <w:rsid w:val="246D27B7"/>
    <w:rsid w:val="24BF09F7"/>
    <w:rsid w:val="252D53FE"/>
    <w:rsid w:val="25EC2D81"/>
    <w:rsid w:val="26D7601D"/>
    <w:rsid w:val="26EC646C"/>
    <w:rsid w:val="277057A2"/>
    <w:rsid w:val="27BC5E55"/>
    <w:rsid w:val="290E1520"/>
    <w:rsid w:val="29206EB8"/>
    <w:rsid w:val="29595666"/>
    <w:rsid w:val="296D037D"/>
    <w:rsid w:val="29874881"/>
    <w:rsid w:val="29E325E0"/>
    <w:rsid w:val="2A452503"/>
    <w:rsid w:val="2B404D34"/>
    <w:rsid w:val="2BA936A8"/>
    <w:rsid w:val="2BDA3485"/>
    <w:rsid w:val="2C315A5A"/>
    <w:rsid w:val="2C4B1C25"/>
    <w:rsid w:val="2C8851AD"/>
    <w:rsid w:val="2CAB4A8D"/>
    <w:rsid w:val="2D68116A"/>
    <w:rsid w:val="2D9E56F5"/>
    <w:rsid w:val="2DA510B5"/>
    <w:rsid w:val="2DA5538E"/>
    <w:rsid w:val="2E667F96"/>
    <w:rsid w:val="2E8226AB"/>
    <w:rsid w:val="2FD065E6"/>
    <w:rsid w:val="2FD96870"/>
    <w:rsid w:val="30580BC9"/>
    <w:rsid w:val="3069765E"/>
    <w:rsid w:val="30CF406E"/>
    <w:rsid w:val="311E2ED7"/>
    <w:rsid w:val="315619EE"/>
    <w:rsid w:val="315C449C"/>
    <w:rsid w:val="316916AD"/>
    <w:rsid w:val="31B21721"/>
    <w:rsid w:val="31B82709"/>
    <w:rsid w:val="31D05482"/>
    <w:rsid w:val="32400B34"/>
    <w:rsid w:val="329E6876"/>
    <w:rsid w:val="333015F2"/>
    <w:rsid w:val="3344279D"/>
    <w:rsid w:val="334B6320"/>
    <w:rsid w:val="335E1A00"/>
    <w:rsid w:val="33D934D4"/>
    <w:rsid w:val="33FE2F6A"/>
    <w:rsid w:val="340E07E5"/>
    <w:rsid w:val="34235BF7"/>
    <w:rsid w:val="34EB24D6"/>
    <w:rsid w:val="352C6C95"/>
    <w:rsid w:val="358C5FA8"/>
    <w:rsid w:val="35C15DF1"/>
    <w:rsid w:val="36074A7F"/>
    <w:rsid w:val="36923549"/>
    <w:rsid w:val="36B75FBF"/>
    <w:rsid w:val="36BD0C45"/>
    <w:rsid w:val="37E00298"/>
    <w:rsid w:val="38B302F9"/>
    <w:rsid w:val="38F12CD3"/>
    <w:rsid w:val="38F94775"/>
    <w:rsid w:val="392971ED"/>
    <w:rsid w:val="39325651"/>
    <w:rsid w:val="39343F1A"/>
    <w:rsid w:val="39CD3503"/>
    <w:rsid w:val="3A872856"/>
    <w:rsid w:val="3AC57421"/>
    <w:rsid w:val="3AE20944"/>
    <w:rsid w:val="3B3763D1"/>
    <w:rsid w:val="3C0841C8"/>
    <w:rsid w:val="3C2F6E1E"/>
    <w:rsid w:val="3C4F64BA"/>
    <w:rsid w:val="3CDA245A"/>
    <w:rsid w:val="3D1E06B7"/>
    <w:rsid w:val="3E1C58D1"/>
    <w:rsid w:val="3EAB6156"/>
    <w:rsid w:val="3EDA0523"/>
    <w:rsid w:val="407A6407"/>
    <w:rsid w:val="41151A49"/>
    <w:rsid w:val="41360801"/>
    <w:rsid w:val="4200449D"/>
    <w:rsid w:val="423A3BCC"/>
    <w:rsid w:val="424E57D2"/>
    <w:rsid w:val="42B26C49"/>
    <w:rsid w:val="433A6FE6"/>
    <w:rsid w:val="43480868"/>
    <w:rsid w:val="4350713C"/>
    <w:rsid w:val="436653E0"/>
    <w:rsid w:val="43C4431A"/>
    <w:rsid w:val="44B951CC"/>
    <w:rsid w:val="44CD14E0"/>
    <w:rsid w:val="44F20B0B"/>
    <w:rsid w:val="452731C1"/>
    <w:rsid w:val="452E5F4C"/>
    <w:rsid w:val="45612018"/>
    <w:rsid w:val="458946E9"/>
    <w:rsid w:val="45A47C0E"/>
    <w:rsid w:val="46002E19"/>
    <w:rsid w:val="46577FD6"/>
    <w:rsid w:val="46D955A7"/>
    <w:rsid w:val="47133957"/>
    <w:rsid w:val="476953E6"/>
    <w:rsid w:val="47A07E0C"/>
    <w:rsid w:val="47FC7D62"/>
    <w:rsid w:val="4870272E"/>
    <w:rsid w:val="49DC7715"/>
    <w:rsid w:val="49F2096D"/>
    <w:rsid w:val="4A023139"/>
    <w:rsid w:val="4A7B576F"/>
    <w:rsid w:val="4ABE4879"/>
    <w:rsid w:val="4AF561A9"/>
    <w:rsid w:val="4B0616EB"/>
    <w:rsid w:val="4B1C6700"/>
    <w:rsid w:val="4BAB4546"/>
    <w:rsid w:val="4C4A0649"/>
    <w:rsid w:val="4C7E5ECA"/>
    <w:rsid w:val="4C876AA5"/>
    <w:rsid w:val="4D0E00FB"/>
    <w:rsid w:val="4D176606"/>
    <w:rsid w:val="4D4D12C8"/>
    <w:rsid w:val="4DEC4FB0"/>
    <w:rsid w:val="4E075D8A"/>
    <w:rsid w:val="4EC00FAD"/>
    <w:rsid w:val="4EF5557C"/>
    <w:rsid w:val="4F5F2ED9"/>
    <w:rsid w:val="4F9843DC"/>
    <w:rsid w:val="4FC62A8C"/>
    <w:rsid w:val="4FE20F0D"/>
    <w:rsid w:val="4FE51552"/>
    <w:rsid w:val="50504C4B"/>
    <w:rsid w:val="509C6E7C"/>
    <w:rsid w:val="50BB0F4B"/>
    <w:rsid w:val="513C510C"/>
    <w:rsid w:val="5162104E"/>
    <w:rsid w:val="52D5782C"/>
    <w:rsid w:val="532C52C8"/>
    <w:rsid w:val="536665A1"/>
    <w:rsid w:val="53A039CC"/>
    <w:rsid w:val="53A1505A"/>
    <w:rsid w:val="54063E08"/>
    <w:rsid w:val="543437E8"/>
    <w:rsid w:val="54F73313"/>
    <w:rsid w:val="54F80955"/>
    <w:rsid w:val="55093F37"/>
    <w:rsid w:val="555170A7"/>
    <w:rsid w:val="5587536D"/>
    <w:rsid w:val="559B174B"/>
    <w:rsid w:val="55CA3B75"/>
    <w:rsid w:val="55CE0CF4"/>
    <w:rsid w:val="569D7AB8"/>
    <w:rsid w:val="56B22A9C"/>
    <w:rsid w:val="57642BC7"/>
    <w:rsid w:val="57B72A76"/>
    <w:rsid w:val="57C3426C"/>
    <w:rsid w:val="57CE1F93"/>
    <w:rsid w:val="58157A78"/>
    <w:rsid w:val="588743D1"/>
    <w:rsid w:val="5887701A"/>
    <w:rsid w:val="59C0439F"/>
    <w:rsid w:val="5ABC6740"/>
    <w:rsid w:val="5ABE2233"/>
    <w:rsid w:val="5BDF5D95"/>
    <w:rsid w:val="5BFE7528"/>
    <w:rsid w:val="5C743E1E"/>
    <w:rsid w:val="5CCC33F6"/>
    <w:rsid w:val="5E2467F1"/>
    <w:rsid w:val="5F106403"/>
    <w:rsid w:val="5F1A2B43"/>
    <w:rsid w:val="5FB837BB"/>
    <w:rsid w:val="60146B05"/>
    <w:rsid w:val="60CC405A"/>
    <w:rsid w:val="616A1AA2"/>
    <w:rsid w:val="61E215D8"/>
    <w:rsid w:val="621B3775"/>
    <w:rsid w:val="62364782"/>
    <w:rsid w:val="631849D2"/>
    <w:rsid w:val="6394356A"/>
    <w:rsid w:val="63C61B2C"/>
    <w:rsid w:val="63D40BE9"/>
    <w:rsid w:val="64102431"/>
    <w:rsid w:val="64A5243A"/>
    <w:rsid w:val="64F531DE"/>
    <w:rsid w:val="65241792"/>
    <w:rsid w:val="65373578"/>
    <w:rsid w:val="6607271F"/>
    <w:rsid w:val="666B7686"/>
    <w:rsid w:val="671F124A"/>
    <w:rsid w:val="677A33C6"/>
    <w:rsid w:val="681F6961"/>
    <w:rsid w:val="68610A2F"/>
    <w:rsid w:val="686D2352"/>
    <w:rsid w:val="68805514"/>
    <w:rsid w:val="690C653C"/>
    <w:rsid w:val="69316E2F"/>
    <w:rsid w:val="694E2071"/>
    <w:rsid w:val="69766163"/>
    <w:rsid w:val="697A3B33"/>
    <w:rsid w:val="69D44760"/>
    <w:rsid w:val="6A520EC7"/>
    <w:rsid w:val="6AF87E20"/>
    <w:rsid w:val="6B322639"/>
    <w:rsid w:val="6C636C38"/>
    <w:rsid w:val="6CD5531A"/>
    <w:rsid w:val="6DB34098"/>
    <w:rsid w:val="6DB545B6"/>
    <w:rsid w:val="6DE02FB4"/>
    <w:rsid w:val="6E514CED"/>
    <w:rsid w:val="6EA34C0D"/>
    <w:rsid w:val="6EA746DE"/>
    <w:rsid w:val="6EB563D5"/>
    <w:rsid w:val="6ED92677"/>
    <w:rsid w:val="6F225983"/>
    <w:rsid w:val="6F2B776F"/>
    <w:rsid w:val="6F8714CD"/>
    <w:rsid w:val="6FFC5590"/>
    <w:rsid w:val="706D1DD0"/>
    <w:rsid w:val="70856B87"/>
    <w:rsid w:val="70D527EE"/>
    <w:rsid w:val="715B5300"/>
    <w:rsid w:val="71D27F8A"/>
    <w:rsid w:val="72553024"/>
    <w:rsid w:val="72921A0A"/>
    <w:rsid w:val="729E5DF6"/>
    <w:rsid w:val="72B94560"/>
    <w:rsid w:val="73122968"/>
    <w:rsid w:val="731F5D5E"/>
    <w:rsid w:val="73743F33"/>
    <w:rsid w:val="73C51AD5"/>
    <w:rsid w:val="74062323"/>
    <w:rsid w:val="741E793C"/>
    <w:rsid w:val="745E3944"/>
    <w:rsid w:val="74D50CA0"/>
    <w:rsid w:val="74E61BA3"/>
    <w:rsid w:val="7635099D"/>
    <w:rsid w:val="76DF30F6"/>
    <w:rsid w:val="77762421"/>
    <w:rsid w:val="778B33D6"/>
    <w:rsid w:val="77B56B1F"/>
    <w:rsid w:val="780F09F4"/>
    <w:rsid w:val="7827252A"/>
    <w:rsid w:val="78A90480"/>
    <w:rsid w:val="7909605B"/>
    <w:rsid w:val="7A364017"/>
    <w:rsid w:val="7A8265E1"/>
    <w:rsid w:val="7B686D42"/>
    <w:rsid w:val="7B841746"/>
    <w:rsid w:val="7BD55A85"/>
    <w:rsid w:val="7C6C5AC7"/>
    <w:rsid w:val="7CC6544B"/>
    <w:rsid w:val="7D0239FF"/>
    <w:rsid w:val="7D5E40CD"/>
    <w:rsid w:val="7DCD56F2"/>
    <w:rsid w:val="7E1162DD"/>
    <w:rsid w:val="7F001CE7"/>
    <w:rsid w:val="7F20025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260" w:beforeLines="0" w:after="260" w:afterLines="0" w:line="415" w:lineRule="auto"/>
      <w:outlineLvl w:val="1"/>
    </w:pPr>
    <w:rPr>
      <w:rFonts w:ascii="Arial" w:hAnsi="Arial" w:eastAsia="黑体"/>
      <w:b/>
      <w:bCs/>
      <w:sz w:val="32"/>
      <w:szCs w:val="32"/>
    </w:rPr>
  </w:style>
  <w:style w:type="paragraph" w:styleId="5">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locked/>
    <w:uiPriority w:val="99"/>
    <w:pPr>
      <w:ind w:firstLine="420" w:firstLineChars="100"/>
    </w:pPr>
  </w:style>
  <w:style w:type="paragraph" w:styleId="6">
    <w:name w:val="Normal Indent"/>
    <w:basedOn w:val="1"/>
    <w:next w:val="3"/>
    <w:qFormat/>
    <w:locked/>
    <w:uiPriority w:val="0"/>
    <w:pPr>
      <w:ind w:firstLine="420" w:firstLineChars="200"/>
    </w:pPr>
  </w:style>
  <w:style w:type="paragraph" w:styleId="7">
    <w:name w:val="caption"/>
    <w:basedOn w:val="1"/>
    <w:next w:val="1"/>
    <w:qFormat/>
    <w:locked/>
    <w:uiPriority w:val="0"/>
    <w:pPr>
      <w:jc w:val="center"/>
    </w:pPr>
    <w:rPr>
      <w:rFonts w:eastAsia="黑体"/>
      <w:szCs w:val="21"/>
    </w:rPr>
  </w:style>
  <w:style w:type="paragraph" w:styleId="8">
    <w:name w:val="annotation text"/>
    <w:basedOn w:val="1"/>
    <w:link w:val="41"/>
    <w:semiHidden/>
    <w:qFormat/>
    <w:uiPriority w:val="0"/>
    <w:pPr>
      <w:jc w:val="left"/>
    </w:pPr>
    <w:rPr>
      <w:kern w:val="0"/>
      <w:sz w:val="24"/>
      <w:szCs w:val="20"/>
    </w:rPr>
  </w:style>
  <w:style w:type="paragraph" w:styleId="9">
    <w:name w:val="Body Text"/>
    <w:basedOn w:val="1"/>
    <w:next w:val="10"/>
    <w:link w:val="39"/>
    <w:qFormat/>
    <w:uiPriority w:val="0"/>
    <w:pPr>
      <w:widowControl/>
      <w:snapToGrid w:val="0"/>
      <w:spacing w:before="60" w:after="160" w:line="259" w:lineRule="auto"/>
      <w:ind w:right="113"/>
    </w:pPr>
    <w:rPr>
      <w:kern w:val="0"/>
      <w:sz w:val="18"/>
      <w:szCs w:val="20"/>
    </w:rPr>
  </w:style>
  <w:style w:type="paragraph" w:customStyle="1" w:styleId="10">
    <w:name w:val="Date1"/>
    <w:basedOn w:val="1"/>
    <w:next w:val="1"/>
    <w:qFormat/>
    <w:uiPriority w:val="0"/>
    <w:pPr>
      <w:adjustRightInd w:val="0"/>
      <w:jc w:val="left"/>
      <w:textAlignment w:val="baseline"/>
    </w:pPr>
    <w:rPr>
      <w:rFonts w:ascii="宋体" w:hAnsi="宋体"/>
      <w:sz w:val="28"/>
      <w:szCs w:val="20"/>
    </w:rPr>
  </w:style>
  <w:style w:type="paragraph" w:styleId="11">
    <w:name w:val="Body Text Indent"/>
    <w:basedOn w:val="1"/>
    <w:next w:val="1"/>
    <w:link w:val="42"/>
    <w:qFormat/>
    <w:uiPriority w:val="0"/>
    <w:pPr>
      <w:spacing w:after="120"/>
      <w:ind w:left="420" w:leftChars="200"/>
    </w:pPr>
    <w:rPr>
      <w:kern w:val="0"/>
      <w:sz w:val="24"/>
      <w:szCs w:val="20"/>
    </w:rPr>
  </w:style>
  <w:style w:type="paragraph" w:styleId="12">
    <w:name w:val="Plain Text"/>
    <w:basedOn w:val="1"/>
    <w:next w:val="1"/>
    <w:qFormat/>
    <w:locked/>
    <w:uiPriority w:val="0"/>
    <w:rPr>
      <w:rFonts w:ascii="宋体" w:hAnsi="Courier New"/>
    </w:rPr>
  </w:style>
  <w:style w:type="paragraph" w:styleId="13">
    <w:name w:val="Date"/>
    <w:basedOn w:val="1"/>
    <w:next w:val="1"/>
    <w:link w:val="48"/>
    <w:qFormat/>
    <w:uiPriority w:val="0"/>
    <w:pPr>
      <w:ind w:left="100" w:leftChars="2500"/>
    </w:pPr>
    <w:rPr>
      <w:kern w:val="0"/>
      <w:sz w:val="24"/>
      <w:szCs w:val="20"/>
    </w:rPr>
  </w:style>
  <w:style w:type="paragraph" w:styleId="14">
    <w:name w:val="Balloon Text"/>
    <w:basedOn w:val="1"/>
    <w:link w:val="47"/>
    <w:semiHidden/>
    <w:qFormat/>
    <w:uiPriority w:val="0"/>
    <w:rPr>
      <w:kern w:val="0"/>
      <w:sz w:val="18"/>
      <w:szCs w:val="20"/>
    </w:rPr>
  </w:style>
  <w:style w:type="paragraph" w:styleId="15">
    <w:name w:val="footer"/>
    <w:basedOn w:val="1"/>
    <w:next w:val="1"/>
    <w:link w:val="44"/>
    <w:qFormat/>
    <w:uiPriority w:val="99"/>
    <w:pPr>
      <w:tabs>
        <w:tab w:val="center" w:pos="4153"/>
        <w:tab w:val="right" w:pos="8306"/>
      </w:tabs>
      <w:snapToGrid w:val="0"/>
      <w:jc w:val="left"/>
    </w:pPr>
    <w:rPr>
      <w:kern w:val="0"/>
      <w:sz w:val="18"/>
      <w:szCs w:val="20"/>
    </w:rPr>
  </w:style>
  <w:style w:type="paragraph" w:styleId="16">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index heading"/>
    <w:basedOn w:val="1"/>
    <w:next w:val="18"/>
    <w:qFormat/>
    <w:locked/>
    <w:uiPriority w:val="99"/>
    <w:rPr>
      <w:rFonts w:ascii="Arial" w:hAnsi="Arial"/>
      <w:b/>
    </w:rPr>
  </w:style>
  <w:style w:type="paragraph" w:styleId="18">
    <w:name w:val="index 1"/>
    <w:basedOn w:val="1"/>
    <w:next w:val="1"/>
    <w:qFormat/>
    <w:locked/>
    <w:uiPriority w:val="99"/>
  </w:style>
  <w:style w:type="paragraph" w:styleId="19">
    <w:name w:val="List"/>
    <w:basedOn w:val="1"/>
    <w:qFormat/>
    <w:locked/>
    <w:uiPriority w:val="0"/>
    <w:pPr>
      <w:ind w:left="200" w:hanging="200" w:hangingChars="200"/>
    </w:pPr>
  </w:style>
  <w:style w:type="paragraph" w:styleId="20">
    <w:name w:val="Body Text 2"/>
    <w:basedOn w:val="1"/>
    <w:qFormat/>
    <w:locked/>
    <w:uiPriority w:val="0"/>
    <w:pPr>
      <w:spacing w:after="120" w:line="480" w:lineRule="auto"/>
    </w:pPr>
  </w:style>
  <w:style w:type="paragraph" w:styleId="21">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8"/>
    <w:next w:val="8"/>
    <w:link w:val="45"/>
    <w:semiHidden/>
    <w:qFormat/>
    <w:uiPriority w:val="0"/>
    <w:rPr>
      <w:b/>
    </w:rPr>
  </w:style>
  <w:style w:type="paragraph" w:styleId="23">
    <w:name w:val="Body Text First Indent 2"/>
    <w:basedOn w:val="11"/>
    <w:next w:val="1"/>
    <w:qFormat/>
    <w:locked/>
    <w:uiPriority w:val="0"/>
    <w:pPr>
      <w:ind w:firstLine="420"/>
    </w:pPr>
    <w:rPr>
      <w:kern w:val="2"/>
      <w:sz w:val="21"/>
      <w:szCs w:val="24"/>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locked/>
    <w:uiPriority w:val="0"/>
    <w:rPr>
      <w:b/>
    </w:rPr>
  </w:style>
  <w:style w:type="character" w:styleId="28">
    <w:name w:val="page number"/>
    <w:basedOn w:val="26"/>
    <w:qFormat/>
    <w:locked/>
    <w:uiPriority w:val="0"/>
  </w:style>
  <w:style w:type="character" w:styleId="29">
    <w:name w:val="Hyperlink"/>
    <w:basedOn w:val="26"/>
    <w:qFormat/>
    <w:locked/>
    <w:uiPriority w:val="0"/>
    <w:rPr>
      <w:color w:val="0000FF"/>
      <w:u w:val="single"/>
    </w:rPr>
  </w:style>
  <w:style w:type="character" w:styleId="30">
    <w:name w:val="annotation reference"/>
    <w:semiHidden/>
    <w:qFormat/>
    <w:uiPriority w:val="0"/>
    <w:rPr>
      <w:sz w:val="21"/>
    </w:rPr>
  </w:style>
  <w:style w:type="paragraph" w:customStyle="1" w:styleId="31">
    <w:name w:val="Default"/>
    <w:next w:val="20"/>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2">
    <w:name w:val="正文（首行缩进两字）"/>
    <w:basedOn w:val="1"/>
    <w:qFormat/>
    <w:uiPriority w:val="0"/>
    <w:pPr>
      <w:ind w:firstLine="420" w:firstLineChars="200"/>
    </w:pPr>
    <w:rPr>
      <w:szCs w:val="21"/>
    </w:rPr>
  </w:style>
  <w:style w:type="paragraph" w:customStyle="1" w:styleId="33">
    <w:name w:val="表头"/>
    <w:basedOn w:val="19"/>
    <w:next w:val="1"/>
    <w:qFormat/>
    <w:uiPriority w:val="0"/>
    <w:pPr>
      <w:snapToGrid w:val="0"/>
      <w:spacing w:before="60" w:beforeLines="25"/>
    </w:pPr>
    <w:rPr>
      <w:rFonts w:hAnsi="宋体" w:eastAsia="仿宋_GB2312"/>
      <w:b/>
      <w:sz w:val="28"/>
      <w:szCs w:val="28"/>
    </w:rPr>
  </w:style>
  <w:style w:type="paragraph" w:customStyle="1" w:styleId="34">
    <w:name w:val="表格"/>
    <w:basedOn w:val="6"/>
    <w:next w:val="1"/>
    <w:link w:val="43"/>
    <w:qFormat/>
    <w:uiPriority w:val="0"/>
    <w:pPr>
      <w:adjustRightInd w:val="0"/>
      <w:snapToGrid w:val="0"/>
      <w:spacing w:beforeLines="10" w:afterLines="10" w:line="259" w:lineRule="auto"/>
      <w:jc w:val="center"/>
    </w:pPr>
    <w:rPr>
      <w:rFonts w:ascii="宋体"/>
      <w:kern w:val="0"/>
      <w:szCs w:val="20"/>
    </w:rPr>
  </w:style>
  <w:style w:type="paragraph" w:customStyle="1" w:styleId="3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37">
    <w:name w:val="页眉 字符"/>
    <w:link w:val="16"/>
    <w:qFormat/>
    <w:locked/>
    <w:uiPriority w:val="0"/>
    <w:rPr>
      <w:sz w:val="18"/>
    </w:rPr>
  </w:style>
  <w:style w:type="character" w:customStyle="1" w:styleId="38">
    <w:name w:val="正文文本 字符1"/>
    <w:semiHidden/>
    <w:qFormat/>
    <w:uiPriority w:val="0"/>
    <w:rPr>
      <w:rFonts w:ascii="Times New Roman" w:hAnsi="Times New Roman" w:eastAsia="宋体"/>
      <w:sz w:val="24"/>
    </w:rPr>
  </w:style>
  <w:style w:type="character" w:customStyle="1" w:styleId="39">
    <w:name w:val="正文文本 字符"/>
    <w:link w:val="9"/>
    <w:qFormat/>
    <w:locked/>
    <w:uiPriority w:val="0"/>
    <w:rPr>
      <w:sz w:val="18"/>
    </w:rPr>
  </w:style>
  <w:style w:type="character" w:customStyle="1" w:styleId="40">
    <w:name w:val="普通(网站) 字符"/>
    <w:link w:val="21"/>
    <w:qFormat/>
    <w:locked/>
    <w:uiPriority w:val="0"/>
    <w:rPr>
      <w:rFonts w:ascii="宋体" w:hAnsi="宋体" w:eastAsia="宋体"/>
      <w:sz w:val="24"/>
    </w:rPr>
  </w:style>
  <w:style w:type="character" w:customStyle="1" w:styleId="41">
    <w:name w:val="批注文字 字符"/>
    <w:link w:val="8"/>
    <w:qFormat/>
    <w:locked/>
    <w:uiPriority w:val="0"/>
    <w:rPr>
      <w:rFonts w:ascii="Times New Roman" w:hAnsi="Times New Roman" w:eastAsia="宋体"/>
      <w:sz w:val="24"/>
    </w:rPr>
  </w:style>
  <w:style w:type="character" w:customStyle="1" w:styleId="42">
    <w:name w:val="正文文本缩进 字符"/>
    <w:link w:val="11"/>
    <w:semiHidden/>
    <w:qFormat/>
    <w:locked/>
    <w:uiPriority w:val="0"/>
    <w:rPr>
      <w:rFonts w:ascii="Times New Roman" w:hAnsi="Times New Roman" w:eastAsia="宋体"/>
      <w:sz w:val="24"/>
    </w:rPr>
  </w:style>
  <w:style w:type="character" w:customStyle="1" w:styleId="43">
    <w:name w:val="表格 Char"/>
    <w:link w:val="34"/>
    <w:qFormat/>
    <w:locked/>
    <w:uiPriority w:val="0"/>
    <w:rPr>
      <w:rFonts w:ascii="宋体"/>
      <w:sz w:val="21"/>
    </w:rPr>
  </w:style>
  <w:style w:type="character" w:customStyle="1" w:styleId="44">
    <w:name w:val="页脚 字符1"/>
    <w:link w:val="15"/>
    <w:qFormat/>
    <w:locked/>
    <w:uiPriority w:val="99"/>
    <w:rPr>
      <w:sz w:val="18"/>
    </w:rPr>
  </w:style>
  <w:style w:type="character" w:customStyle="1" w:styleId="45">
    <w:name w:val="批注主题 字符"/>
    <w:link w:val="22"/>
    <w:semiHidden/>
    <w:qFormat/>
    <w:locked/>
    <w:uiPriority w:val="0"/>
    <w:rPr>
      <w:rFonts w:ascii="Times New Roman" w:hAnsi="Times New Roman" w:eastAsia="宋体"/>
      <w:b/>
      <w:kern w:val="2"/>
      <w:sz w:val="24"/>
    </w:rPr>
  </w:style>
  <w:style w:type="character" w:customStyle="1" w:styleId="46">
    <w:name w:val="页脚 字符"/>
    <w:basedOn w:val="26"/>
    <w:qFormat/>
    <w:uiPriority w:val="99"/>
  </w:style>
  <w:style w:type="character" w:customStyle="1" w:styleId="47">
    <w:name w:val="批注框文本 字符"/>
    <w:link w:val="14"/>
    <w:semiHidden/>
    <w:qFormat/>
    <w:locked/>
    <w:uiPriority w:val="0"/>
    <w:rPr>
      <w:rFonts w:ascii="Times New Roman" w:hAnsi="Times New Roman" w:eastAsia="宋体"/>
      <w:sz w:val="18"/>
    </w:rPr>
  </w:style>
  <w:style w:type="character" w:customStyle="1" w:styleId="48">
    <w:name w:val="日期 字符1"/>
    <w:link w:val="13"/>
    <w:qFormat/>
    <w:locked/>
    <w:uiPriority w:val="0"/>
    <w:rPr>
      <w:rFonts w:ascii="Times New Roman" w:hAnsi="Times New Roman" w:eastAsia="宋体"/>
      <w:sz w:val="24"/>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日期 字符"/>
    <w:semiHidden/>
    <w:qFormat/>
    <w:uiPriority w:val="0"/>
    <w:rPr>
      <w:rFonts w:ascii="Times New Roman" w:hAnsi="Times New Roman" w:eastAsia="宋体"/>
      <w:sz w:val="24"/>
    </w:rPr>
  </w:style>
  <w:style w:type="paragraph" w:customStyle="1" w:styleId="51">
    <w:name w:val="正文（缩进）"/>
    <w:basedOn w:val="1"/>
    <w:next w:val="1"/>
    <w:qFormat/>
    <w:uiPriority w:val="99"/>
    <w:pPr>
      <w:spacing w:line="360" w:lineRule="auto"/>
      <w:ind w:firstLine="480" w:firstLineChars="200"/>
    </w:pPr>
    <w:rPr>
      <w:sz w:val="24"/>
    </w:rPr>
  </w:style>
  <w:style w:type="paragraph" w:customStyle="1" w:styleId="52">
    <w:name w:val="正文缩近"/>
    <w:basedOn w:val="1"/>
    <w:qFormat/>
    <w:uiPriority w:val="0"/>
    <w:pPr>
      <w:spacing w:line="360" w:lineRule="auto"/>
      <w:ind w:firstLine="560" w:firstLineChars="200"/>
    </w:pPr>
    <w:rPr>
      <w:sz w:val="28"/>
    </w:rPr>
  </w:style>
  <w:style w:type="paragraph" w:customStyle="1" w:styleId="53">
    <w:name w:val="Table Paragraph"/>
    <w:basedOn w:val="1"/>
    <w:qFormat/>
    <w:uiPriority w:val="1"/>
    <w:pPr>
      <w:jc w:val="center"/>
    </w:pPr>
    <w:rPr>
      <w:rFonts w:eastAsia="Times New Roman"/>
      <w:lang w:val="zh-CN" w:bidi="zh-CN"/>
    </w:rPr>
  </w:style>
  <w:style w:type="paragraph" w:customStyle="1" w:styleId="54">
    <w:name w:val="表 正文"/>
    <w:basedOn w:val="1"/>
    <w:qFormat/>
    <w:uiPriority w:val="0"/>
    <w:pPr>
      <w:snapToGrid w:val="0"/>
      <w:spacing w:line="360" w:lineRule="auto"/>
      <w:ind w:firstLine="200" w:firstLineChars="200"/>
    </w:pPr>
    <w:rPr>
      <w:kern w:val="44"/>
      <w:sz w:val="24"/>
    </w:rPr>
  </w:style>
  <w:style w:type="paragraph" w:styleId="55">
    <w:name w:val="List Paragraph"/>
    <w:basedOn w:val="1"/>
    <w:unhideWhenUsed/>
    <w:qFormat/>
    <w:uiPriority w:val="99"/>
    <w:pPr>
      <w:ind w:firstLine="420" w:firstLineChars="200"/>
    </w:pPr>
  </w:style>
  <w:style w:type="paragraph" w:customStyle="1" w:styleId="56">
    <w:name w:val="正文文本 (2)1"/>
    <w:basedOn w:val="1"/>
    <w:qFormat/>
    <w:uiPriority w:val="0"/>
    <w:pPr>
      <w:shd w:val="clear" w:color="auto" w:fill="FFFFFF"/>
      <w:spacing w:line="374" w:lineRule="exact"/>
      <w:jc w:val="distribute"/>
    </w:pPr>
    <w:rPr>
      <w:rFonts w:ascii="MingLiU" w:eastAsia="MingLiU"/>
      <w:spacing w:val="-10"/>
      <w:sz w:val="20"/>
    </w:rPr>
  </w:style>
  <w:style w:type="character" w:customStyle="1" w:styleId="57">
    <w:name w:val="正文文本 (2) + 9 pt"/>
    <w:qFormat/>
    <w:uiPriority w:val="0"/>
    <w:rPr>
      <w:rFonts w:hint="eastAsia" w:ascii="MingLiU" w:hAnsi="MingLiU" w:eastAsia="MingLiU" w:cs="MingLiU"/>
      <w:color w:val="000000"/>
      <w:spacing w:val="10"/>
      <w:w w:val="100"/>
      <w:position w:val="0"/>
      <w:sz w:val="18"/>
      <w:szCs w:val="18"/>
      <w:lang w:val="zh-TW" w:eastAsia="zh-TW" w:bidi="zh-TW"/>
    </w:rPr>
  </w:style>
  <w:style w:type="paragraph" w:customStyle="1" w:styleId="58">
    <w:name w:val="表字1"/>
    <w:basedOn w:val="1"/>
    <w:qFormat/>
    <w:uiPriority w:val="0"/>
    <w:pPr>
      <w:adjustRightInd w:val="0"/>
      <w:spacing w:line="360" w:lineRule="auto"/>
      <w:jc w:val="center"/>
      <w:textAlignment w:val="baseline"/>
    </w:pPr>
    <w:rPr>
      <w:rFonts w:ascii="宋体"/>
      <w:kern w:val="0"/>
      <w:szCs w:val="20"/>
    </w:rPr>
  </w:style>
  <w:style w:type="paragraph" w:customStyle="1" w:styleId="59">
    <w:name w:val="书 正文"/>
    <w:basedOn w:val="1"/>
    <w:qFormat/>
    <w:uiPriority w:val="0"/>
    <w:pPr>
      <w:adjustRightInd w:val="0"/>
      <w:snapToGrid w:val="0"/>
      <w:spacing w:line="360" w:lineRule="auto"/>
      <w:ind w:firstLine="200" w:firstLineChars="200"/>
      <w:jc w:val="left"/>
    </w:pPr>
    <w:rPr>
      <w:rFonts w:ascii="Times New Roman" w:hAnsi="Times New Roman" w:eastAsia="仿宋_GB2312" w:cs="Times New Roman"/>
      <w:kern w:val="24"/>
      <w:sz w:val="24"/>
      <w:szCs w:val="24"/>
    </w:rPr>
  </w:style>
  <w:style w:type="paragraph" w:customStyle="1" w:styleId="60">
    <w:name w:val="小标题"/>
    <w:basedOn w:val="1"/>
    <w:qFormat/>
    <w:uiPriority w:val="0"/>
    <w:pPr>
      <w:spacing w:line="240" w:lineRule="auto"/>
      <w:ind w:firstLine="0" w:firstLineChars="0"/>
      <w:jc w:val="center"/>
    </w:pPr>
    <w:rPr>
      <w:rFonts w:hint="eastAsia" w:cs="Times New Roman"/>
      <w:b/>
      <w:sz w:val="21"/>
    </w:rPr>
  </w:style>
  <w:style w:type="paragraph" w:customStyle="1" w:styleId="61">
    <w:name w:val="表格文字"/>
    <w:basedOn w:val="12"/>
    <w:next w:val="1"/>
    <w:qFormat/>
    <w:uiPriority w:val="0"/>
    <w:pPr>
      <w:jc w:val="center"/>
    </w:pPr>
    <w:rPr>
      <w:rFonts w:ascii="仿宋_GB2312" w:hAnsi="Arial Black" w:eastAsia="仿宋_GB2312"/>
      <w:kern w:val="44"/>
    </w:rPr>
  </w:style>
  <w:style w:type="table" w:customStyle="1" w:styleId="62">
    <w:name w:val="表格主题1"/>
    <w:basedOn w:val="24"/>
    <w:qFormat/>
    <w:uiPriority w:val="0"/>
    <w:pPr>
      <w:widowControl w:val="0"/>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tblStylePr w:type="firstRow">
      <w:pPr>
        <w:wordWrap/>
        <w:spacing w:before="0" w:beforeLines="0" w:beforeAutospacing="0" w:after="0" w:afterLines="0" w:afterAutospacing="0"/>
        <w:ind w:left="0" w:leftChars="0" w:right="0" w:rightChars="0"/>
      </w:pPr>
      <w:rPr>
        <w:b/>
        <w:sz w:val="21"/>
      </w:rPr>
    </w:tblStylePr>
  </w:style>
  <w:style w:type="paragraph" w:customStyle="1" w:styleId="63">
    <w:name w:val="报告正文"/>
    <w:basedOn w:val="1"/>
    <w:qFormat/>
    <w:uiPriority w:val="0"/>
    <w:pPr>
      <w:spacing w:line="400" w:lineRule="exact"/>
    </w:pPr>
    <w:rPr>
      <w:sz w:val="24"/>
      <w:szCs w:val="20"/>
    </w:rPr>
  </w:style>
  <w:style w:type="paragraph" w:customStyle="1" w:styleId="64">
    <w:name w:val="报告表正文"/>
    <w:basedOn w:val="1"/>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 w:type="paragraph" w:customStyle="1" w:styleId="65">
    <w:name w:val="正文1"/>
    <w:basedOn w:val="1"/>
    <w:next w:val="1"/>
    <w:semiHidden/>
    <w:qFormat/>
    <w:uiPriority w:val="0"/>
    <w:pPr>
      <w:widowControl w:val="0"/>
      <w:adjustRightInd w:val="0"/>
      <w:snapToGrid w:val="0"/>
      <w:spacing w:line="360" w:lineRule="auto"/>
    </w:pPr>
    <w:rPr>
      <w:kern w:val="0"/>
      <w:sz w:val="28"/>
      <w:szCs w:val="32"/>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表格1123"/>
    <w:basedOn w:val="2"/>
    <w:qFormat/>
    <w:uiPriority w:val="0"/>
    <w:pPr>
      <w:ind w:firstLine="0" w:firstLineChars="0"/>
      <w:jc w:val="center"/>
    </w:pPr>
    <w:rPr>
      <w:rFonts w:ascii="Times New Roman" w:hAnsi="Times New Roman" w:eastAsia="宋体"/>
      <w:sz w:val="18"/>
    </w:rPr>
  </w:style>
  <w:style w:type="paragraph" w:customStyle="1" w:styleId="68">
    <w:name w:val="报告表小标题"/>
    <w:basedOn w:val="1"/>
    <w:qFormat/>
    <w:uiPriority w:val="0"/>
    <w:pPr>
      <w:spacing w:line="360" w:lineRule="auto"/>
    </w:pPr>
    <w:rPr>
      <w:b/>
      <w:sz w:val="24"/>
    </w:rPr>
  </w:style>
  <w:style w:type="paragraph" w:customStyle="1" w:styleId="69">
    <w:name w:val="表一级标题"/>
    <w:basedOn w:val="1"/>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C6182E-FC0C-4C30-809D-EC99C9BF665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33610</Words>
  <Characters>37262</Characters>
  <Lines>160</Lines>
  <Paragraphs>45</Paragraphs>
  <TotalTime>14</TotalTime>
  <ScaleCrop>false</ScaleCrop>
  <LinksUpToDate>false</LinksUpToDate>
  <CharactersWithSpaces>37701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陈浩男</cp:lastModifiedBy>
  <cp:lastPrinted>2020-12-29T02:43:00Z</cp:lastPrinted>
  <dcterms:modified xsi:type="dcterms:W3CDTF">2022-08-17T00:50:18Z</dcterms:modified>
  <dc:title>附件2</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D8593D86471B4F2E89C9B0D830BBD8DB</vt:lpwstr>
  </property>
</Properties>
</file>