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1108"/>
        <w:tblOverlap w:val="never"/>
        <w:tblW w:w="14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00"/>
        <w:gridCol w:w="735"/>
        <w:gridCol w:w="990"/>
        <w:gridCol w:w="810"/>
        <w:gridCol w:w="1695"/>
        <w:gridCol w:w="2775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环评类别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环境影响评价机构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建设项目概况</w:t>
            </w: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主要环境影响及预防或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夏海通达实业有限公司商品猪育肥场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环境影响报告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中卫市沙坡头区镇罗镇北山井梁子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宁夏海通达实业有限公司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汇岩达环保节能咨询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建设地址位于中卫市沙坡头区镇罗镇，总占地面积2766亩，其中养殖区占地面积713.57亩，饲草地种植区占地面积2052.43亩。项目建成后年出栏商品猪10万头，存栏猪5万头（均为保育猪和育肥猪）。主要建设标准化猪舍106栋（其中保育圈舍26栋，育肥圈舍80栋），配套建设污水处理站、堆粪场、管理用房、医疗废物暂存间等附属设施。项目总投资9000万元，其中环保投资358万元，占总投资的3.98%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（一）严格落实《报告书》提出的废气防治措施。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加强场区饲养环境卫生，猪舍及时通风消毒，粪便日产日清，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科学设计日粮，提高饲料利用率，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设施间、堆粪场及时通风消毒，定期喷洒除臭剂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；对地埋式污水处理站各处单元进行加盖密闭，场区其它设施间种植绿化带、科学管理、运输道路硬化、及时清扫、定期洒水抑尘等措施治理恶臭，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场界氨、硫化氢无组织排放浓度须满足《恶臭污染物排放标准》（GB14554-93）表1中新扩改建二级标准，臭气浓度须满足《畜禽养殖业污染物排放标准》（GB18596-2001）排放限值。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（二）严格落实《报告书》提出的废水防治措施。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43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生活污水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化粪池预处理后与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猪尿液、猪舍冲洗废水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同进入污水处理站处理，出水水质满足《农田灌溉水质标准》（GB5084-2021)（旱地作物）、《畜禽养殖业污染物排放标准》（GB18596-2001）要求后，进入尾水收集池，通过滴灌带用于项目饲草地种植区灌溉，冬季在尾水收集池储存，待春季用于项目饲草地种植区灌溉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（三）严格落实《报告书》提出的固废防治措施。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粪便采取干清粪方式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清出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存放于堆粪场临时堆存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，与饲料残渣、污水处理站污泥一同定期交由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宁夏阜康生物科技有限公司进行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有机肥生产；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30"/>
                <w:szCs w:val="30"/>
                <w:lang w:val="en-US" w:eastAsia="zh-CN"/>
              </w:rPr>
              <w:t>病死猪临时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30"/>
                <w:szCs w:val="30"/>
              </w:rPr>
              <w:t>采用安全填埋井处理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30"/>
                <w:szCs w:val="30"/>
                <w:lang w:eastAsia="zh-CN"/>
              </w:rPr>
              <w:t>，后期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交由中卫市风云生物科技有限公司无害化处理；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各类医疗废物经消毒、分类打包密封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暂存于医疗废物暂存间，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定期交由有资质单位进行安全处置；生活垃圾集中收集后交由环卫部门处理。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（四）严格落实《报告书》提出的噪声防治措施。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选用低噪声设备，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合理布局，定期进行维护和保养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加强运输车辆管理，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减速慢行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、禁止鸣笛，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0"/>
                <w:szCs w:val="30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消声、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基础减震、隔声、距离衰减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及绿化等措施后，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界噪声须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《工业企业厂界环境噪声排放标准》(GB12348-2008)中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（五）严格落实《报告书》提出的防渗措施。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z w:val="30"/>
                <w:szCs w:val="30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分区防渗，重点防渗区包括污水站池体、填埋井、堆粪场等，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防渗要求为等效粘土防渗层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Mb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6m，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渗透系数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cm/s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医疗废物暂存间作为重点防渗区，严格按照《危险废物贮存污染控制标准》（GB18597-2001）及2013年修改单要求采取相应的防渗措施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z w:val="30"/>
                <w:szCs w:val="30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；一般防渗区为猪舍，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防渗要求为等效粘土防渗层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Mb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1.5m，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渗透系数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cm/s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sz w:val="30"/>
                <w:szCs w:val="30"/>
                <w:highlight w:val="none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；简单防渗区为办公生活区，采取地面硬化处理。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（六）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严格落实《报告书》提出的环境管理措施与环境监测计划。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00" w:firstLineChars="200"/>
              <w:textAlignment w:val="auto"/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建立健全环境管理制度，制定企业环境保护计划，做好环境管理台账记录；严格落实《报告书》中提出的风险防范措施，编制企业突发环境事件应急预案，定期开展教育培训、操作演练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确保环境安全；落实环保措施，做好排污口的规范化工作，并严格按照项目运营期环境监测计划一览表定期进行监测。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区下游布设地下水监测井1眼，建立监测计划和制度进行地下水监控。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GY0YmU5ZTYxMWI5ODI4MzJhMzk2YjAzYTdkYjYifQ=="/>
  </w:docVars>
  <w:rsids>
    <w:rsidRoot w:val="34F26FE8"/>
    <w:rsid w:val="00907702"/>
    <w:rsid w:val="01977413"/>
    <w:rsid w:val="020D3871"/>
    <w:rsid w:val="02EE3499"/>
    <w:rsid w:val="035902E9"/>
    <w:rsid w:val="04811782"/>
    <w:rsid w:val="0557490A"/>
    <w:rsid w:val="055B6402"/>
    <w:rsid w:val="066352CE"/>
    <w:rsid w:val="06693D01"/>
    <w:rsid w:val="069E4E1B"/>
    <w:rsid w:val="06FD4865"/>
    <w:rsid w:val="0760588E"/>
    <w:rsid w:val="07AE141F"/>
    <w:rsid w:val="09992D89"/>
    <w:rsid w:val="09A62AD4"/>
    <w:rsid w:val="09BA2701"/>
    <w:rsid w:val="0B6C0FD1"/>
    <w:rsid w:val="0D165B9F"/>
    <w:rsid w:val="0E0764FF"/>
    <w:rsid w:val="0E8826AD"/>
    <w:rsid w:val="0F104CEB"/>
    <w:rsid w:val="0F687C02"/>
    <w:rsid w:val="0F8F5D51"/>
    <w:rsid w:val="0FE03CE6"/>
    <w:rsid w:val="12415CEB"/>
    <w:rsid w:val="128134BF"/>
    <w:rsid w:val="12CC7BC5"/>
    <w:rsid w:val="12E6616C"/>
    <w:rsid w:val="130231FA"/>
    <w:rsid w:val="13D148D3"/>
    <w:rsid w:val="147E1A93"/>
    <w:rsid w:val="148F142E"/>
    <w:rsid w:val="14BC1F34"/>
    <w:rsid w:val="16B2369D"/>
    <w:rsid w:val="16DF5EDC"/>
    <w:rsid w:val="171A1540"/>
    <w:rsid w:val="17685603"/>
    <w:rsid w:val="19A83F9E"/>
    <w:rsid w:val="19D23E96"/>
    <w:rsid w:val="1AA32E0D"/>
    <w:rsid w:val="1ACF5D3D"/>
    <w:rsid w:val="1B487F31"/>
    <w:rsid w:val="1D3A2B25"/>
    <w:rsid w:val="1D5A6E1C"/>
    <w:rsid w:val="1D7440AA"/>
    <w:rsid w:val="1F1A746F"/>
    <w:rsid w:val="204C29A0"/>
    <w:rsid w:val="209E791B"/>
    <w:rsid w:val="20A0579D"/>
    <w:rsid w:val="215F3C1B"/>
    <w:rsid w:val="21FB79D4"/>
    <w:rsid w:val="22DD2570"/>
    <w:rsid w:val="23576CFB"/>
    <w:rsid w:val="248C3262"/>
    <w:rsid w:val="24AD1486"/>
    <w:rsid w:val="25D01A77"/>
    <w:rsid w:val="26FD1F37"/>
    <w:rsid w:val="27D51A97"/>
    <w:rsid w:val="27EC6201"/>
    <w:rsid w:val="28503734"/>
    <w:rsid w:val="287D475E"/>
    <w:rsid w:val="294E1C48"/>
    <w:rsid w:val="2BAC6E14"/>
    <w:rsid w:val="2C666077"/>
    <w:rsid w:val="2CBC5ED2"/>
    <w:rsid w:val="2CD935E2"/>
    <w:rsid w:val="2D6C4AD7"/>
    <w:rsid w:val="2DA72631"/>
    <w:rsid w:val="2DBB2E42"/>
    <w:rsid w:val="2F7C5A5D"/>
    <w:rsid w:val="301D62BF"/>
    <w:rsid w:val="308B06ED"/>
    <w:rsid w:val="32266D1E"/>
    <w:rsid w:val="3230232C"/>
    <w:rsid w:val="325B0D62"/>
    <w:rsid w:val="32C861D6"/>
    <w:rsid w:val="34F26FE8"/>
    <w:rsid w:val="351F2803"/>
    <w:rsid w:val="35BC4B46"/>
    <w:rsid w:val="3633464F"/>
    <w:rsid w:val="368C0EAE"/>
    <w:rsid w:val="36E711CA"/>
    <w:rsid w:val="37485FCA"/>
    <w:rsid w:val="378332AD"/>
    <w:rsid w:val="37A96833"/>
    <w:rsid w:val="37B95F7A"/>
    <w:rsid w:val="382174F0"/>
    <w:rsid w:val="38CF3B52"/>
    <w:rsid w:val="39646D5D"/>
    <w:rsid w:val="39EF6D0B"/>
    <w:rsid w:val="3A3E3410"/>
    <w:rsid w:val="3A941AAE"/>
    <w:rsid w:val="3AD413C5"/>
    <w:rsid w:val="3B2A389F"/>
    <w:rsid w:val="3B436316"/>
    <w:rsid w:val="3C1F09B0"/>
    <w:rsid w:val="3D153BD8"/>
    <w:rsid w:val="3D6466F9"/>
    <w:rsid w:val="3D827D7F"/>
    <w:rsid w:val="42616FB6"/>
    <w:rsid w:val="42DA02CE"/>
    <w:rsid w:val="436A4B29"/>
    <w:rsid w:val="44511355"/>
    <w:rsid w:val="44A82AFB"/>
    <w:rsid w:val="45927197"/>
    <w:rsid w:val="45BD4E21"/>
    <w:rsid w:val="45BE44EE"/>
    <w:rsid w:val="46DD674E"/>
    <w:rsid w:val="47476ADD"/>
    <w:rsid w:val="47F15329"/>
    <w:rsid w:val="48611E55"/>
    <w:rsid w:val="487E74FE"/>
    <w:rsid w:val="48FD73F3"/>
    <w:rsid w:val="4C0C12DD"/>
    <w:rsid w:val="4C4D2F43"/>
    <w:rsid w:val="4CAC7CAA"/>
    <w:rsid w:val="4D525AC0"/>
    <w:rsid w:val="4D9E1367"/>
    <w:rsid w:val="4DB7251F"/>
    <w:rsid w:val="4DC0429E"/>
    <w:rsid w:val="4DD40617"/>
    <w:rsid w:val="4E4C0A68"/>
    <w:rsid w:val="4E7310AB"/>
    <w:rsid w:val="4E8F423A"/>
    <w:rsid w:val="4ECA2FB5"/>
    <w:rsid w:val="4ED866D6"/>
    <w:rsid w:val="4EFA0F67"/>
    <w:rsid w:val="513737E2"/>
    <w:rsid w:val="513E478E"/>
    <w:rsid w:val="51700341"/>
    <w:rsid w:val="51CC6EC1"/>
    <w:rsid w:val="54C24E95"/>
    <w:rsid w:val="54DD22F6"/>
    <w:rsid w:val="55C22555"/>
    <w:rsid w:val="55EC0170"/>
    <w:rsid w:val="56E67FFC"/>
    <w:rsid w:val="56EA7D93"/>
    <w:rsid w:val="573E1C0D"/>
    <w:rsid w:val="58317352"/>
    <w:rsid w:val="587D5821"/>
    <w:rsid w:val="588E1CBB"/>
    <w:rsid w:val="5ACF5CC4"/>
    <w:rsid w:val="5C222CA6"/>
    <w:rsid w:val="5CB749BC"/>
    <w:rsid w:val="5CD15E21"/>
    <w:rsid w:val="5CFC1658"/>
    <w:rsid w:val="5D5F43EF"/>
    <w:rsid w:val="5E6C1861"/>
    <w:rsid w:val="5EBA108B"/>
    <w:rsid w:val="5ED372FB"/>
    <w:rsid w:val="5F2275C5"/>
    <w:rsid w:val="5F445625"/>
    <w:rsid w:val="5F715882"/>
    <w:rsid w:val="5F8C2C3A"/>
    <w:rsid w:val="60875AA0"/>
    <w:rsid w:val="60890469"/>
    <w:rsid w:val="60C72AAD"/>
    <w:rsid w:val="60CF51DF"/>
    <w:rsid w:val="61913B54"/>
    <w:rsid w:val="61CE508D"/>
    <w:rsid w:val="621A4583"/>
    <w:rsid w:val="63305B9F"/>
    <w:rsid w:val="63897EDA"/>
    <w:rsid w:val="64B96E71"/>
    <w:rsid w:val="64EF7314"/>
    <w:rsid w:val="65096757"/>
    <w:rsid w:val="651F1636"/>
    <w:rsid w:val="65634EC4"/>
    <w:rsid w:val="66774239"/>
    <w:rsid w:val="6714083F"/>
    <w:rsid w:val="68552394"/>
    <w:rsid w:val="6A07719C"/>
    <w:rsid w:val="6A3D18F3"/>
    <w:rsid w:val="6A5B488F"/>
    <w:rsid w:val="6AC30FE4"/>
    <w:rsid w:val="6B982B45"/>
    <w:rsid w:val="6C3A0656"/>
    <w:rsid w:val="6CAC61C2"/>
    <w:rsid w:val="6D580D3A"/>
    <w:rsid w:val="6F4216DC"/>
    <w:rsid w:val="702324A5"/>
    <w:rsid w:val="70235CAC"/>
    <w:rsid w:val="723E111D"/>
    <w:rsid w:val="72E57503"/>
    <w:rsid w:val="731437B8"/>
    <w:rsid w:val="736102C3"/>
    <w:rsid w:val="73FE2024"/>
    <w:rsid w:val="76C450FA"/>
    <w:rsid w:val="76EB4163"/>
    <w:rsid w:val="77D623AA"/>
    <w:rsid w:val="785E75C1"/>
    <w:rsid w:val="787578B0"/>
    <w:rsid w:val="787C5C9A"/>
    <w:rsid w:val="78A552D4"/>
    <w:rsid w:val="790D4A2F"/>
    <w:rsid w:val="79877399"/>
    <w:rsid w:val="7A7579C6"/>
    <w:rsid w:val="7B1342CC"/>
    <w:rsid w:val="7C080A39"/>
    <w:rsid w:val="7E3E035F"/>
    <w:rsid w:val="7FD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qFormat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napToGrid w:val="0"/>
      <w:spacing w:before="120" w:line="360" w:lineRule="atLeast"/>
      <w:ind w:firstLine="539"/>
    </w:pPr>
  </w:style>
  <w:style w:type="paragraph" w:styleId="6">
    <w:name w:val="Normal Indent"/>
    <w:basedOn w:val="1"/>
    <w:next w:val="2"/>
    <w:qFormat/>
    <w:uiPriority w:val="0"/>
    <w:pPr>
      <w:ind w:firstLine="420" w:firstLineChars="200"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rFonts w:cs="Times New Roman"/>
      <w:b/>
    </w:rPr>
  </w:style>
  <w:style w:type="paragraph" w:customStyle="1" w:styleId="14">
    <w:name w:val="表格"/>
    <w:basedOn w:val="6"/>
    <w:next w:val="1"/>
    <w:qFormat/>
    <w:uiPriority w:val="0"/>
    <w:pPr>
      <w:spacing w:line="240" w:lineRule="atLeast"/>
      <w:jc w:val="center"/>
    </w:pPr>
  </w:style>
  <w:style w:type="paragraph" w:customStyle="1" w:styleId="15">
    <w:name w:val="正文（缩进）"/>
    <w:basedOn w:val="16"/>
    <w:next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6">
    <w:name w:val="正文(首行缩进)"/>
    <w:basedOn w:val="1"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customStyle="1" w:styleId="17">
    <w:name w:val="表格2"/>
    <w:next w:val="8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1675</Words>
  <Characters>1856</Characters>
  <Lines>0</Lines>
  <Paragraphs>0</Paragraphs>
  <TotalTime>2</TotalTime>
  <ScaleCrop>false</ScaleCrop>
  <LinksUpToDate>false</LinksUpToDate>
  <CharactersWithSpaces>1878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2020-08-05T07:22:00Z</dcterms:created>
  <dc:creator>鱼儿</dc:creator>
  <cp:lastModifiedBy> 让往事都随风 </cp:lastModifiedBy>
  <cp:lastPrinted>2021-09-03T07:47:00Z</cp:lastPrinted>
  <dcterms:modified xsi:type="dcterms:W3CDTF">2022-05-11T07:37:43Z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520C81DA3F364CB98B7175746C5928F2</vt:lpwstr>
  </property>
</Properties>
</file>