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overflowPunct/>
        <w:topLinePunct w:val="0"/>
        <w:autoSpaceDE/>
        <w:autoSpaceDN/>
        <w:bidi w:val="0"/>
        <w:spacing w:line="560" w:lineRule="exact"/>
        <w:jc w:val="left"/>
        <w:textAlignment w:val="center"/>
        <w:rPr>
          <w:rFonts w:hint="default" w:ascii="Times New Roman" w:hAnsi="Times New Roman" w:eastAsia="黑体" w:cs="Times New Roman"/>
          <w:i w:val="0"/>
          <w:iCs w:val="0"/>
          <w:color w:val="000000"/>
          <w:kern w:val="0"/>
          <w:sz w:val="32"/>
          <w:szCs w:val="32"/>
          <w:u w:val="none"/>
          <w:lang w:val="en-US" w:eastAsia="zh-CN" w:bidi="ar"/>
        </w:rPr>
      </w:pPr>
    </w:p>
    <w:tbl>
      <w:tblPr>
        <w:tblStyle w:val="7"/>
        <w:tblW w:w="137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8"/>
        <w:gridCol w:w="2250"/>
        <w:gridCol w:w="3435"/>
        <w:gridCol w:w="2295"/>
        <w:gridCol w:w="4230"/>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3703" w:type="dxa"/>
            <w:gridSpan w:val="6"/>
            <w:tcBorders>
              <w:top w:val="nil"/>
              <w:left w:val="nil"/>
              <w:bottom w:val="nil"/>
              <w:right w:val="nil"/>
            </w:tcBorders>
            <w:noWrap/>
            <w:vAlign w:val="center"/>
          </w:tcPr>
          <w:p>
            <w:pPr>
              <w:keepNext w:val="0"/>
              <w:keepLines w:val="0"/>
              <w:pageBreakBefore w:val="0"/>
              <w:widowControl/>
              <w:suppressLineNumbers w:val="0"/>
              <w:kinsoku/>
              <w:overflowPunct/>
              <w:topLinePunct w:val="0"/>
              <w:autoSpaceDE/>
              <w:autoSpaceDN/>
              <w:bidi w:val="0"/>
              <w:spacing w:line="560" w:lineRule="exact"/>
              <w:jc w:val="left"/>
              <w:textAlignment w:val="center"/>
              <w:rPr>
                <w:rFonts w:hint="default" w:ascii="Times New Roman" w:hAnsi="Times New Roman" w:eastAsia="黑体" w:cs="Times New Roman"/>
                <w:i w:val="0"/>
                <w:iCs w:val="0"/>
                <w:color w:val="000000"/>
                <w:sz w:val="32"/>
                <w:szCs w:val="32"/>
                <w:u w:val="none"/>
              </w:rPr>
            </w:pPr>
            <w:r>
              <w:rPr>
                <w:rFonts w:hint="default" w:ascii="Times New Roman" w:hAnsi="Times New Roman" w:eastAsia="黑体" w:cs="Times New Roman"/>
                <w:i w:val="0"/>
                <w:iCs w:val="0"/>
                <w:color w:val="000000"/>
                <w:kern w:val="0"/>
                <w:sz w:val="32"/>
                <w:szCs w:val="32"/>
                <w:u w:val="none"/>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jc w:val="center"/>
        </w:trPr>
        <w:tc>
          <w:tcPr>
            <w:tcW w:w="13703" w:type="dxa"/>
            <w:gridSpan w:val="6"/>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方正小标宋_GBK" w:cs="Times New Roman"/>
                <w:i w:val="0"/>
                <w:iCs w:val="0"/>
                <w:color w:val="000000"/>
                <w:kern w:val="0"/>
                <w:sz w:val="44"/>
                <w:szCs w:val="44"/>
                <w:u w:val="none"/>
                <w:lang w:val="en-US" w:eastAsia="zh-CN" w:bidi="ar"/>
              </w:rPr>
            </w:pPr>
          </w:p>
          <w:p>
            <w:pPr>
              <w:keepNext w:val="0"/>
              <w:keepLines w:val="0"/>
              <w:pageBreakBefore w:val="0"/>
              <w:widowControl/>
              <w:suppressLineNumbers w:val="0"/>
              <w:kinsoku/>
              <w:overflowPunct/>
              <w:topLinePunct w:val="0"/>
              <w:autoSpaceDE/>
              <w:autoSpaceDN/>
              <w:bidi w:val="0"/>
              <w:spacing w:line="560" w:lineRule="exact"/>
              <w:jc w:val="center"/>
              <w:textAlignment w:val="center"/>
              <w:rPr>
                <w:rFonts w:hint="default" w:ascii="Times New Roman" w:hAnsi="Times New Roman" w:eastAsia="方正小标宋_GBK" w:cs="Times New Roman"/>
                <w:i w:val="0"/>
                <w:iCs w:val="0"/>
                <w:color w:val="000000"/>
                <w:kern w:val="0"/>
                <w:sz w:val="44"/>
                <w:szCs w:val="44"/>
                <w:u w:val="none"/>
                <w:lang w:val="en-US" w:eastAsia="zh-CN" w:bidi="ar"/>
              </w:rPr>
            </w:pPr>
            <w:r>
              <w:rPr>
                <w:rFonts w:hint="default" w:ascii="Times New Roman" w:hAnsi="Times New Roman" w:eastAsia="方正小标宋_GBK" w:cs="Times New Roman"/>
                <w:i w:val="0"/>
                <w:iCs w:val="0"/>
                <w:color w:val="000000"/>
                <w:kern w:val="0"/>
                <w:sz w:val="44"/>
                <w:szCs w:val="44"/>
                <w:u w:val="none"/>
                <w:lang w:val="en-US" w:eastAsia="zh-CN" w:bidi="ar"/>
              </w:rPr>
              <w:t>沙坡头区行政许可事项清单（2023年版）</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p>
        </w:tc>
        <w:tc>
          <w:tcPr>
            <w:tcW w:w="225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沙坡头区发展和改革局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新建不能满足管道保护要求的石油天然气管道防护方案审批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沙坡头区发展和改革局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《中华人民共和国石油天然气管道保护法》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25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沙坡头区发展和改革局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可能影响石油天然气管道保护的施工作业审批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沙坡头区发展和改革局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《中华人民共和国石油天然气管道保护法》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沙坡头区教育局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民办、中外合作开办中等及以下学校和其他教育机构筹设审批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沙坡头区教育局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《中华人民共和国民办教育促进法》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《中华人民共和国中外合作办学条例》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《国务院关于当前发展学前教育的若干意见》（国发〔2010〕41号）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沙坡头区教育局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中等及以下学校和其他教育机构设置审批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沙坡头区教育局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《中华人民共和国教育法》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《中华人民共和国民办教育促进法》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《中华人民共和国民办教育促进法实施条例》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《中华人民共和国中外合作办学条例》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《国务院关于当前发展学前教育的若干意见》（国发〔2010〕41号）</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《国务院办公厅关于规范校外培训机构发展的意见》（国办发〔2018〕80号）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沙坡头区教育局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从事文艺、体育等专业训练的社会组织自行实施义务教育审批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沙坡头区教育局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《中华人民共和国义务教育法》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沙坡头区教育局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教师资格认定</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沙坡头区教育局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《中华人民共和国教师法》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《教师资格条例》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《国家职业资格目录（2021年版）》</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728"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w:t>
            </w:r>
          </w:p>
        </w:tc>
        <w:tc>
          <w:tcPr>
            <w:tcW w:w="22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沙坡头区教育局</w:t>
            </w:r>
          </w:p>
        </w:tc>
        <w:tc>
          <w:tcPr>
            <w:tcW w:w="343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适龄儿童、少年因身体状况需要延缓入学或者休学审批</w:t>
            </w:r>
          </w:p>
        </w:tc>
        <w:tc>
          <w:tcPr>
            <w:tcW w:w="229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沙坡头区教育局；乡镇人民政府</w:t>
            </w:r>
          </w:p>
        </w:tc>
        <w:tc>
          <w:tcPr>
            <w:tcW w:w="4230" w:type="dxa"/>
            <w:tcBorders>
              <w:top w:val="single" w:color="000000" w:sz="4" w:space="0"/>
              <w:left w:val="single" w:color="000000" w:sz="4" w:space="0"/>
              <w:bottom w:val="single" w:color="auto"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《中华人民共和国义务教育法》</w:t>
            </w:r>
          </w:p>
        </w:tc>
        <w:tc>
          <w:tcPr>
            <w:tcW w:w="76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民族宗教事务局</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宗教活动场所筹备设立审批</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沙坡头区民族宗教事务局（初审中卫市民族宗教事务局审批事项）</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《宗教事务条例》</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民族宗教事务局</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宗教活动场所设立、变更、注销登记</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沙坡头区民族宗教</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事务局</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《宗教事务条例》</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区民族宗教事务局</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宗教活动场所内改建或者新建建筑物许可</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沙坡头区民族宗教事务局（初审中卫市民族宗教事务局审批事项）</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《宗教事务条例》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《宗教事务部分行政许可项目实施办法》（国宗发〔2018〕11号）</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民族宗教事务局</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宗教临时活动地点审批</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沙坡头区民族宗教</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事务局</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《宗教事务条例》</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8"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民族宗教事务局</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宗教团体、宗教院校、宗教活动场所接受境外捐赠审批</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沙坡头区民族宗教</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事务局</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《宗教事务条例》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《宗教事务部分行政许可项目实施办法》（国宗发〔2018〕11号）</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13</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民族宗教事务局</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清真食品准营证核发</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沙坡头区民族宗教</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事务局</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《宁夏回族自治区清真食品管理条例》（2021年修正版）</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5" w:hRule="atLeast"/>
          <w:jc w:val="center"/>
        </w:trPr>
        <w:tc>
          <w:tcPr>
            <w:tcW w:w="728"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w:t>
            </w:r>
          </w:p>
        </w:tc>
        <w:tc>
          <w:tcPr>
            <w:tcW w:w="22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民族宗教事务局</w:t>
            </w:r>
          </w:p>
        </w:tc>
        <w:tc>
          <w:tcPr>
            <w:tcW w:w="343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华侨回国定居审批</w:t>
            </w:r>
          </w:p>
        </w:tc>
        <w:tc>
          <w:tcPr>
            <w:tcW w:w="229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沙坡头区民族宗教事务局（初审）</w:t>
            </w:r>
          </w:p>
        </w:tc>
        <w:tc>
          <w:tcPr>
            <w:tcW w:w="4230" w:type="dxa"/>
            <w:tcBorders>
              <w:top w:val="single" w:color="auto"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《中华人民共和国出境入境管理法》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《国务院侨办 公安部 外交部关于印发〈华侨回国定居办理工作规定〉的通知》（国侨发〔2013〕18号）</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《宁夏回族自治区华侨来宁定居办理工作暂行办法》（宁侨办发〔2014〕6号）</w:t>
            </w:r>
          </w:p>
        </w:tc>
        <w:tc>
          <w:tcPr>
            <w:tcW w:w="76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中卫市公安局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举行集会游行示威许可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中卫市公安局沙坡头区分局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《中华人民共和国集会游行示威法》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《中华人民共和国集会游行示威法实施条例》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16</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中卫市公安局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大型群众性活动安全许可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中卫市公安局沙坡头区分局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《中华人民共和国消防法》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《大型群众性活动安全管理条例》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17</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中卫市公安局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公章刻制业特种行业许可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中卫市公安局沙坡头区分局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《印铸刻字业暂行管理规则》</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《国务院对确需保留的行政审批项目设定行政许可的决定》</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《国务院关于第三批取消和调整行政审批项目的决定》（国发〔2004〕16号）</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《国务院关于取消和调整一批行政审批项目等事项的决定》（国发〔2015〕11号）</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《公安部关于深化娱乐服务场所和特种行业治安管理改革进一步依法加强事中事后监管的工作意见》（公治〔2017〕529号）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2"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中卫市公安局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旅馆业特种行业许可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中卫市公安局沙坡头区分局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《旅馆业治安管理办法》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《国务院对确需保留的行政审批项目设定行政许可的决定》</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《国务院关于取消和调整一批行政审批项目等事项的决定》（国发〔2015〕11号）</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《公安部关于深化娱乐服务场所和特种行业治安管理改革进一步依法加强事中事后监管的工作意见》（公治〔2017〕529号）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19</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中卫市公安局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互联网上网服务营业场所信息网络安全审核</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中卫市公安局沙坡头区分局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《互联网上网服务营业场所管理条例》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中卫市公安局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举办焰火晚会及其他大型焰火燃放活动许可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中卫市公安局沙坡头区分局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《烟花爆竹安全管理条例》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《公安部办公厅关于贯彻执行〈大型焰火燃放作业人员资格条件及管理〉和〈大型焰火燃放作业单位资质条件及管理〉有关事项的通知》（公治〔2010〕592号）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21</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中卫市公安局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烟花爆竹道路运输许可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中卫市公安局沙坡头区分局（运达地或者启运地）</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《烟花爆竹安全管理条例》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《关于优化烟花爆竹道路运输许可审批进一步深化烟花爆竹“放管服”改革工作的通知》（公治安明发〔2019〕218号）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中卫市公安局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民用爆炸物品购买许可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中卫市公安局沙坡头区分局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《民用爆炸物品安全管理条例》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7"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中卫市公安局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民用爆炸物品运输许可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中卫市公安局沙坡头区分局（运达地）</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《民用爆炸物品安全管理条例》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24</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中卫市公安局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剧毒化学品购买许可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中卫市公安局沙坡头区分局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《危险化学品安全管理条例》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25</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中卫市公安局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易制毒化学品购买许可（除第一类中的药品类易制毒化学品外）</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中卫市公安局沙坡头区分局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《中华人民共和国禁毒法》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《易制毒化学品管理条例》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26</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中卫市公安局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易制毒化学品运输许可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中卫市公安局沙坡头区分局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《中华人民共和国禁毒法》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《易制毒化学品管理条例》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27</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中卫市公安局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户口迁移审批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中卫市公安局沙坡头区分局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《中华人民共和国户口登记条例》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6"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28</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中卫市公安局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边境管理区通行证核发</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中卫市公安局沙坡头区分局（含指定的公安派出所）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《国务院对确需保留的行政审批项目设定行政许可的决定》</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《中华人民共和国边境管理区通行证管理办法》（公安部令第42号）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7"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29</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民政和社会保障局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社会团体成立、变更、注销登记及修改章程核准</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沙坡头区民政和社会保障局（实行登记管理机关和业务主管单位双重负责管理体制的，由有关业务主管单位实施前置审查）</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《社会团体登记管理条例》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30</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民政和社会保障局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民办非企业单位成立、变更、注销登记及修改章程核准</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沙坡头区民政和社会保障局（实行登记管理机关和业务主管单位双重负责管理体制的，由有关业务主管单位实施前置审查）</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《民办非企业单位登记管理暂行条例》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31</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民政和社会保障局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宗教活动场所法人成立、变更、注销登记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沙坡头区民政和社会保障局（由区民族宗教事务局实施前置审查）</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《宗教事务条例》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32</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民政和社会保障局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慈善组织公开募捐资格审批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沙坡头区民政和社会保障局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《中华人民共和国慈善法》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33</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民政和社会保障局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殡葬设施建设审批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沙坡头区政府（由沙坡头区民政和社会保障局承办）；沙坡头区民政和社会保障局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《殡葬管理条例》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34</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民政和社会保障局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地名命名、更名审批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沙坡头区民政和社会保障局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《地名管理条例》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7"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35</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沙坡头区财政局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中介机构从事代理记账业务审批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沙坡头区财政局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《中华人民共和国会计法》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《代理记账管理办法》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《国务院关于取消和下放一批行政审批项目的决定》（国发〔2013〕44号）</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《宁夏回族自治区财政厅关于贯彻落实中华人民共和国财政部令第80号的通知》</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36</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沙坡头区自然资源局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乡（镇）村企业使用集体建设</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用地审批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沙坡头区政府（由沙坡头区自然资源局承办）</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《中华人民共和国土地管理法》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37</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沙坡头区自然资源局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乡（镇）村公共设施、公益事业使用集体建设用地审批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沙坡头区政府（由沙坡头区自然资源局承办）</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《中华人民共和国土地管理法》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38</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沙坡头区自然资源局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开采矿产资源审批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沙坡头区自然资源局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《中华人民共和国矿产资源法》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《中华人民共和国矿产资源法实施细则》</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《矿产资源开采登记管理办法》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《宁夏回族自治区矿产资源管理条例》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39</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沙坡头区自然资源局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临时用地审批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沙坡头区自然资源局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《中华人民共和国土地管理法》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40</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沙坡头区自然资源局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开发未确定使用权的国有荒山、荒地、荒滩从事生产审查</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沙坡头区政府（由沙坡头区自然资源局承办）</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《中华人民共和国土地管理法》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《中华人民共和国土地管理法实施条例》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41</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沙坡头区自然资源局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乡村建设规划许可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沙坡头区自然资源局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《中华人民共和国城乡规划法》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《宁夏回族自治区实施&lt;中华人民共和国城乡规划法&gt;办法》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42</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从事营利性治沙活动许可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《中华人民共和国防沙治沙法》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《营利性治沙管理办法》（国家林业局令</w:t>
            </w:r>
          </w:p>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第11号）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43</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工商企业等社会资本通过流转取得林地经营权审批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沙坡头区政府（由沙坡头区林业和草原局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承办）</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《中华人民共和国农村土地承包法》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《农村土地经营权流转管理办法》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44</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林草种子生产经营许可证核发</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《中华人民共和国种子法》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45</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林草植物检疫证书核发</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《植物检疫条例》                                   </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《植物检疫条例实施细则（林业部分）》</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9"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46</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建设项目使用林地及在森林和野生动物类型国家级自然保护区建设审批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《中华人民共和国森林法》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《中华人民共和国森林法实施条例》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《森林和野生动物类型自然保护区管理办法》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《建设项目使用林地审核审批管理办法》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4"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47</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建设项目使用草原审批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《中华人民共和国草原法》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《国务院关于取消和下放一批行政审批项目的决定》（国发〔2014〕5号）</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《草原征占用审核审批管理规范》（林草规〔2020〕2号）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48</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林木采伐许可证核发</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《中华人民共和国森林法》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《中华人民共和国森林法实施条例》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49</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猎捕陆生野生动物审批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《中华人民共和国野生动物保护法》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《中华人民共和国陆生野生动物保护实施</w:t>
            </w:r>
          </w:p>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50</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森林草原防火期内在森林草原防火区野外用火审批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沙坡头区政府（由沙坡头区林业和草原局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承办）</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《森林防火条例》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《草原防火条例》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51</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森林草原防火期内在森林草原防火区爆破、勘察和施工等活动审批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《森林防火条例》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《草原防火条例》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52</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进入森林高火险区、草原防火管制区审批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沙坡头区政府（由沙坡头区林业和草原局承办）；沙坡头区自然资源局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《森林防火条例》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《草原防火条例》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53</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利用湿地资源从事生产经营或者开展生态旅游活动的审批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沙坡头区林业和草原局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《宁夏回族自治区湿地保护条例》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《宁夏回族自治区湿地公园管理办法（试行）》（宁林规发〔2019〕</w:t>
            </w:r>
            <w:r>
              <w:rPr>
                <w:rStyle w:val="12"/>
                <w:rFonts w:hint="default" w:ascii="Times New Roman" w:hAnsi="Times New Roman" w:cs="Times New Roman"/>
                <w:sz w:val="20"/>
                <w:szCs w:val="20"/>
                <w:lang w:val="en-US" w:eastAsia="zh-CN" w:bidi="ar"/>
              </w:rPr>
              <w:t>1号）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54</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中卫市生态环境局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一般建设项目环境影响评价审批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中卫市生态环境局沙坡头区分局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《中华人民共和国环境保护法》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《中华人民共和国环境影响评价法》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《中华人民共和国水污染防治法》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《中华人民共和国大气污染防治法》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《中华人民共和国土壤污染防治法》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《中华人民共和国固体废物污染环境防治法》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《中华人民共和国环境噪声污染防治法》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《建设项目环境保护管理条例》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7"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55</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中卫市生态环境局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江河、湖泊新建、改建或者扩大排污口审批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中卫市生态环境局沙坡头区分局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《中华人民共和国水法》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《中华人民共和国水污染防治法》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《中华人民共和国黄河保护法》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《中央编办关于生态环境部流域生态环境监管机构设置有关事项的通知》（中编办发〔2019〕26号）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56</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中卫市生态环境局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危险废物经营许可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中卫市生态环境局沙坡头区分局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《中华人民共和国固体废物污染环境防治法》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《危险废物经营许可证管理办法》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57</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中卫市生态环境局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放射性核素排放许可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中卫市生态环境局沙坡头区分局</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《中华人民共和国放射性污染防治法》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58</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lang w:val="en-US"/>
              </w:rPr>
            </w:pPr>
            <w:r>
              <w:rPr>
                <w:rFonts w:hint="default" w:ascii="Times New Roman" w:hAnsi="Times New Roman" w:eastAsia="仿宋_GB2312" w:cs="Times New Roman"/>
                <w:i w:val="0"/>
                <w:iCs w:val="0"/>
                <w:color w:val="000000"/>
                <w:kern w:val="0"/>
                <w:sz w:val="20"/>
                <w:szCs w:val="20"/>
                <w:u w:val="none"/>
                <w:lang w:val="en-US" w:eastAsia="zh-CN" w:bidi="ar"/>
              </w:rPr>
              <w:t>住房城乡建设和交通局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建筑工程施工许可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沙坡头区住建和交通局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《中华人民共和国建筑法》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《建筑工程施工许可管理办法》（住房城乡建设部令18号公布，住房城乡建设部令第52号修正）</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《自治区人民政府办公厅关于深化自治区本级建设项目行政审批改革的实施意见》（宁政办发〔2017〕189号）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2"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59</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住房城乡建设和交通局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建设工程消防设计审查</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沙坡头区住建和交通局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《中华人民共和国消防法》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《建设工程消防设计审查验收管理暂行规定》（住房城乡建设部令第51号）</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《关于印发宁夏回族自治区建设工程消防设计审查验收管理实施细则（暂行）的通知》（宁建规发〔2021〕4号）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60</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住房城乡建设和交通局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建设工程消防验收</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沙坡头区住建和交通局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《中华人民共和国消防法》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《建设工程消防设计审查验收管理暂行规定》（住房城乡建设部令第51号）</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《关于印发宁夏回族自治区建设工程消防设计审查验收管理实施细则（暂行）的通知》（宁建规发〔2021〕4号）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61</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住房城乡建设和交通局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在村庄、集镇规划区内公共场所修建临时建筑等设施审批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乡镇人民政府</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《村庄和集镇规划建设管理条例》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62</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住房城乡建设和交通局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建筑起重机械使用登记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沙坡头区住建和交通局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《中华人民共和国特种设备安全法》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《建设工程安全生产管理条例》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63</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住房城乡建设和交通局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涉路施工许可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沙坡头区住建和交通局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《中华人民共和国公路法》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《公路安全保护条例》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《路政管理规定》</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64</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住房城乡建设和交通局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更新采伐护路林审批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沙坡头区住建和交通局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《中华人民共和国公路法》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《公路安全保护条例》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《路政管理规定》</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65</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住房城乡建设和交通局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设置或者撤销内河渡口审批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沙坡头区政府（由沙坡头区住建和交通局</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承办）</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《中华人民共和国内河交通安全管理条例》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66</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沙坡头区综合执法局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关闭、闲置、拆除城市环境卫生设施许可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沙坡头区综合执法局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《中华人民共和国固体废物污染环境防治法》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67</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沙坡头区综合执法局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拆除环境卫生设施许可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沙坡头区综合执法局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《城市市容和环境卫生管理条例》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《宁夏回族自治区市容环境卫生管理条例》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68</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沙坡头区综合执法局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从事城市生活垃圾经营性清扫、收集、运输、处理服务审批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沙坡头区综合执法局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《国务院对确需保留的行政审批项目设定行政许可的决定》</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《城市生活垃圾管理办法》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7"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69</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沙坡头区综合执法局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城市建筑垃圾处置核准</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沙坡头区综合执法局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《国务院对确需保留的行政审批项目设定行政许可的决定》</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70</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沙坡头区综合执法局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市政设施建设类审批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沙坡头区综合执法局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《城市道路管理条例》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《国务院关于印发清理规范投资项目报建审批事项实施方案的通知》(国发〔2016〕29号)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71</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沙坡头区综合执法局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特殊车辆在城市道路上行驶审批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沙坡头区综合执法局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《城市道路管理条例》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72</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沙坡头区综合执法局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设置大型户外广告及在城市建筑物、设施上悬挂、张贴宣传品审批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沙坡头综合执法局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《城市市容和环境卫生管理条例》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73</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沙坡头区综合执法局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临时性建筑物搭建、堆放物料、占道施工审批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沙坡头综合执法局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《城市市容和环境卫生管理条例》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74</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水利基建项目初步设计文件审批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《国务院对确需保留的行政审批项目设定行政许可的决定》</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75</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取水许可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《中华人民共和国水法》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《取水许可和水资源费征收管理条例》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6"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76</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洪水影响评价类审批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《中华人民共和国水法》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《中华人民共和国防洪法》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《中华人民共和国河道管理条例》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《中华人民共和国水文条例》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77</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河道管理范围内特定活动审批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《中华人民共和国河道管理条例》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78</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河道采砂许可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《中华人民共和国水法》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《中华人民共和国河道管理条例》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79</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生产建设项目水土保持方案审批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《中华人民共和国水土保持法》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80</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农村集体经济组织修建水库审批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《中华人民共和国水法》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81</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城市建设填堵水域、废除围堤审批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沙坡头区政府（由沙坡头区水务局承办）</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《中华人民共和国防洪法》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6"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82</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占用农业灌溉水源、灌排工程设施</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《国务院对确需保留的行政审批项目设定行政许可的决定》</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《国务院关于取消和下放一批行政审批项目的决定》（国发〔2014〕5号）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83</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利用堤顶、戗台兼做公路审批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《中华人民共和国河道管理条例》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84</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坝顶兼做公路审批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《水库大坝安全管理条例》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85</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蓄滞洪区避洪设施建设审批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《国务院对确需保留的行政审批项目设定行政许可的决定》</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86</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大坝管理和保护范围内修建码头、渔塘许可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《水库大坝安全管理条例》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87</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修建跨河、跨渠（沟）、临河、临渠（沟）工程建设方案审查</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沙坡头区水务局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《宁夏回族自治区引黄古灌区世界灌溉工程遗产保护条例》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《宁夏回族自治区水工程管理条例》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bookmarkStart w:id="0" w:name="_GoBack" w:colFirst="0" w:colLast="0"/>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88</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农药经营许可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《农药管理条例》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《农药经营许可管理办法》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89</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兽药经营许可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《兽药管理条例》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90</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农作物种子生产经营许可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《中华人民共和国种子法》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《农业转基因生物安全管理条例》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《农作物种子生产经营许可管理办法》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91</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食用菌菌种生产经营许可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《中华人民共和国种子法》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《食用菌菌种管理办法》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92</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使用低于国家或地方规定的种用标准的农作物种子审批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沙坡头区政府（由沙坡头区农业农村局承办）</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《中华人民共和国种子法》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93</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种畜禽生产经营许可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《中华人民共和国畜牧法》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《农业转基因生物安全管理条例》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《养蜂管理办法（试行）》（农业部公告</w:t>
            </w:r>
          </w:p>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第1692号）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94</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蚕种生产经营许可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沙坡头区农业农村局（受理自治区农业农村厅审批事项）</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《中华人民共和国畜牧法》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《蚕种管理办法》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95</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农业植物检疫证书核发</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《植物检疫条例》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96</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农业植物产地检疫合格证签发</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《植物检疫条例》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《宁夏回族自治区人民政府关于取消和调整一批行政审批事项的决定》（宁政发〔2014〕</w:t>
            </w:r>
          </w:p>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16号）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97</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农业野生植物采集、出售、收购、野外考察审批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沙坡头区农业农村局(受理自治区农业农村厅采集国家二级保护野生植物的审批事项)</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《中华人民共和国野生植物保护条例》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98</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动物及动物产品检疫合格证核发</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《中华人民共和国动物防疫法》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《动物检疫管理办法》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99</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动物防疫条件合格证核发</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《中华人民共和国动物防疫法》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《动物防疫条件审查办法》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100</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动物诊疗许可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《中华人民共和国动物防疫法》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《动物诊疗机构管理办法》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101</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向无规定动物疫病区输入易感动物、动物产品的检疫审批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《中华人民共和国动物防疫法》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《动物检疫管理办法》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102</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生鲜乳收购站许可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《乳品质量安全监督管理条例》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103</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生鲜乳准运证明核发</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《乳品质量安全监督管理条例》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104</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拖拉机和联合收割机驾驶证核发</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《中华人民共和国道路交通安全法》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《农业机械安全监督管理条例》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105</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拖拉机和联合收割机登记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《中华人民共和国道路交通安全法》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《农业机械安全监督管理条例》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106</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工商企业等社会资本通过流转取得土地经营权审批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沙坡头区政府（由沙坡头区农业农村局承办）；乡镇人民政府</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《中华人民共和国农村土地承包法》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《农村土地经营权流转管理办法》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107</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农村村民宅基地审批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乡镇人民政府</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《中华人民共和国土地管理法》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108</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渔业船舶船员证书核发</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《中华人民共和国渔港水域交通安全管理条例》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《中华人民共和国渔业船员管理办法》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《国家职业资格目录（2021年版）》</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109</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水产苗种生产经营审批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《中华人民共和国渔业法》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《农业转基因生物安全管理条例》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《水产苗种管理办法》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110</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水域滩涂养殖证核发</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沙坡头区政府（由沙坡头区农业农村局承办）</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《中华人民共和国渔业法》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111</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渔业捕捞许可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《中华人民共和国渔业法》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《中华人民共和国渔业法实施细则》</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《渔业捕捞许可管理规定》</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112</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渔业船舶国籍登记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沙坡头区农业农村局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《中华人民共和国船舶登记条例》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《中华人民共和国渔港水域交通安全管理条例》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《中华人民共和国渔业船舶登记办法》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113</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体育广电局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文艺表演团体设立审批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沙坡头区旅游和文化体育广电局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《营业性演出管理条例》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114</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体育广电局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营业性演出审批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沙坡头区旅游和文化体育广电局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《营业性演出管理条例》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《营业性演出管理条例实施细则》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115</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体育广电局局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娱乐场所经营活动审批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沙坡头区旅游和文化体育广电局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《娱乐场所管理条例》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116</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体育广电局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互联网上网服务营业场所筹建审批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沙坡头区旅游和文化体育广电局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《互联网上网服务营业场所管理条例》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117</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体育广电局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互联网上网服务经营活动审批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沙坡头区旅游和文化体育广电局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《互联网上网服务营业场所管理条例》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6"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118</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体育广电局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广播电视专用频段频率使用许可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沙坡头区旅游和文化体育广电局（受理广电总局审批事项并逐级</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上报）</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《广播电视管理条例》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119</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体育广电局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乡镇设立广播电视站和机关、部队、团体、企业事业单位设立有线广播电视站审批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沙坡头区旅游和文化体育广电局（初审）</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《广播电视管理条例》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《广播电视站审批管理暂行规定》</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120</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体育广电局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广播电台、电视台设立、终止审批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沙坡头区旅游和文化体育广电局（受理地方广播电台、电视台设立、终止审批事项并逐级</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上报）</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《广播电视管理条例》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121</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体育广电局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有线广播电视传输覆盖网工程验收</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审核</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沙坡头区旅游和文化体育广电局</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《广播电视管理条例》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4"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122</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体育广电局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广播电台、电视台变更台名、台标、节目设置范围或节目套数审批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沙坡头区旅游和文化体育广电局（受理广电总局审批事项并逐级</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上报）</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《广播电视管理条例》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123</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体育广电局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卫星电视广播地面接收设施安装服务许可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沙坡头区旅游和文化体育广电局（初审）</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《卫星电视广播地面接收设施管理规定》</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《卫星电视广播地面接收设施安装服务暂行</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办法》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《广电总局关于设立卫星地面接收设施安装服务机构审批事项的通知》（广发〔2010〕24号）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124</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体育广电局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设置卫星电视广播地面接收设施审批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沙坡头区旅游和文化体育广电局（初审）</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《广播电视管理条例》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《卫星电视广播地面接收设施管理规定》</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125</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体育广电局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举办健身气功活动及设立站点审批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沙坡头区旅游和文化体育广电局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《国务院对确需保留的行政审批项目设定行政许可的决定》</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《国务院关于第五批取消和下放管理层级行政审批项目的决定》（国发〔2010〕21号）</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《健身气功管理办法》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126</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体育广电局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高危险性体育项目经营许可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沙坡头区旅游和文化体育广电局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《中华人民共和国体育法》《全民健身条例》《宁夏回族自治区人民政府关于第九批取消和调整行政审批项目等事项的决定》（宁政发〔2013〕84号）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127</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体育广电局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临时占用公共体育场地设施审批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沙坡头区旅游和文化体育广电局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《中华人民共和国体育法》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《宁夏回族自治区人民政府关于第九批取消和调整行政审批项目等事项的决定》（宁政发〔2013〕84号）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128</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体育广电局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举办高危险性体育赛事活动许可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沙坡头区旅游和文化体育广电局</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《中华人民共和国体育法》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129</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沙坡头区卫生健康局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医疗机构执业登记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沙坡头区卫生健康局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《医疗机构管理条例》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《国务院关于深化“证照分离”改革进一步激发市场主体发展活力的通知》（国发〔2021〕</w:t>
            </w:r>
          </w:p>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130</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沙坡头区卫生健康局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母婴保健技术服务机构执业许可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沙坡头区卫生健康局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《中华人民共和国母婴保健法》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《中华人民共和国母婴保健法实施办法》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《国务院关于深化“证照分离”改革进一步激发市场主体发展活力的通知》（国发〔2021〕</w:t>
            </w:r>
          </w:p>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7号）</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《母婴保健专项技术服务许可及人员资格管理办法》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131</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沙坡头区卫生健康局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放射源诊疗技术和医用辐射机构许可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沙坡头区卫生健康局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《放射性同位素与射线装置安全和防护条例》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《放射诊疗管理规定》</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132</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沙坡头区卫生健康局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医师执业注册</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沙坡头区卫生健康局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《中华人民共和国医师法》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《医师执业注册管理办法》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133</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沙坡头区卫生健康局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乡村医生执业注册</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沙坡头区卫生健康局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《乡村医生从业管理条例》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4"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134</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沙坡头区卫生健康局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母婴保健服务人员资格认定</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沙坡头区卫生健康局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《中华人民共和国母婴保健法》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《中华人民共和国母婴保健法实施办法》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《母婴保健专项技术服务许可及人员资格管理办法》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《国家职业资格目录（2021年版）》</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135</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沙坡头区卫生健康局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护士执业注册</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沙坡头区卫生健康局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《护士条例》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《国家职业资格目录（2021年版）》</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136</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沙坡头区卫生健康局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确有专长的中医医师执业注册</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沙坡头区卫生健康局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《中华人民共和国中医药法》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《医疗机构管理条例》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《中医医术确有专长人员医师资格考核注册管理暂行办法》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137</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沙坡头区应急管理局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危险化学品经营许可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沙坡头区应急管理局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《危险化学品安全管理条例》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《危险化学品经营许可证管理办法》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138</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沙坡头区应急管理局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烟花爆竹经营许可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沙坡头区应急管理局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《烟花爆竹安全管理条例》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《烟花爆竹经营许可实施办法》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139</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沙坡头区应急管理局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生产、储存烟花爆竹建设项目安全设施设计审查</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沙坡头区应急管理局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《中华人民共和国安全生产法》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《建设项目安全设施“三同时”监督管理办法》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140</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食品生产许可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《中华人民共和国食品安全法》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《食品生产许可管理办法》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141</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食品添加剂生产许可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《中华人民共和国食品安全法》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《食品生产许可管理办法》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142</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食品经营许可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《中华人民共和国食品安全法》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《食品生产许可管理办法》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143</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特种设备安全管理和作业人员资格</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认定</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《中华人民共和国特种设备安全法》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《特种设备安全监察条例》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《特种设备作业人员监督管理办法》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《国家职业资格目录（2021年版）》</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144</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计量标准器具核准</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《中华人民共和国计量法》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《中华人民共和国计量法实施细则》</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《计量标准考核办法》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145</w:t>
            </w:r>
          </w:p>
        </w:tc>
        <w:tc>
          <w:tcPr>
            <w:tcW w:w="22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承担国家法定计量检定机构任务授权</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《中华人民共和国计量法》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《中华人民共和国计量法实施细则》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8" w:hRule="atLeast"/>
          <w:jc w:val="center"/>
        </w:trPr>
        <w:tc>
          <w:tcPr>
            <w:tcW w:w="728"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146</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343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企业登记注册</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《中华人民共和国公司法》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《中华人民共和国合伙企业法》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《中华人民共和国个人独资企业法》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《中华人民共和国外商投资法》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《中华人民共和国外商投资法实施条例》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《中华人民共和国市场主体登记管理条例》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《中华人民共和国市场主体登记管理条例实施规则》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6" w:hRule="atLeast"/>
          <w:jc w:val="center"/>
        </w:trPr>
        <w:tc>
          <w:tcPr>
            <w:tcW w:w="728"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147</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343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个体工商户登记注册</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《中华人民共和国市场主体登记管理条例》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《促进个体工商户发展条例》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《中华人民共和国市场主体登记管理条例实施规则》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1"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148</w:t>
            </w:r>
          </w:p>
        </w:tc>
        <w:tc>
          <w:tcPr>
            <w:tcW w:w="22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农民专业合作社登记注册</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《中华人民共和国农民专业合作社法》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《中华人民共和国市场主体登记管理条例》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《中华人民共和国市场主体登记管理条例实施规则》</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149</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药品零售企业筹建审批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《中华人民共和国药品管理法》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《中华人民共和国药品管理法实施条例》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《中共中央办公厅 国务院办公厅关于印发〈国家药品监督管理局职能配置、内设机构和人员编制规定〉的通知》（厅字〔2018〕53号）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150</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药品零售企业经营许可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《中华人民共和国药品管理法》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《中华人民共和国药品管理法实施条例》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《中共中央办公厅 国务院办公厅关于印发〈国家药品监督管理局职能配置、内设机构和人员编制规定〉的通知》（厅字〔2018〕53号）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151</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科研和教学用毒性药品购买审批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中卫市市场监督管理局沙坡头区分局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《医疗用毒性药品管理办法》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152</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国家税务总局中卫市</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沙坡头区税务局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增值税防伪税控系统最高开票限额</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国家税务总局沙坡头区税务局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《国务院对确需保留的行政审批项目设定行政许可的决定》</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153</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沙坡头区烟草专卖局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烟草专卖零售许可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沙坡头区烟草专卖局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《中华人民共和国烟草专卖法》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《中华人民共和国烟草专卖法实施条例》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《电子烟管理办法》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8"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主管部门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事项名称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实施机关</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设定和实施依据</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黑体" w:cs="Times New Roman"/>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0"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154</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沙坡头区消防救援大队</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公众聚集场所投入使用、营业前消防安全检查</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沙坡头区消防救援大队</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《中华人民共和国消防法》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《消防监督检查规定》</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《应急管理部关于贯彻实施新修改&lt;中华人民共和国消防法&gt;全面实行公众聚集场所投入使用营业前消防安全检查告知承诺管理的通知》(应急〔2021〕34号)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155</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沙坡头区档案局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延期移交档案审批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沙坡头区档案局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《中华人民共和国档案法实施办法》</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156</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沙坡头区新闻出版局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出版物零售业务经营许可</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沙坡头区新闻出版局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《出版管理条例》</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5"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157</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沙坡头区新闻出版局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电影放映单位设立审批</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沙坡头区新闻出版局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《中华人民共和国电影产业促进法》</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《电影管理条例》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《外商投资电影院暂行规定》</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3" w:hRule="atLeast"/>
          <w:jc w:val="center"/>
        </w:trPr>
        <w:tc>
          <w:tcPr>
            <w:tcW w:w="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158</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沙坡头区</w:t>
            </w:r>
          </w:p>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事业单位登记管理局</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事业单位登记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沙坡头区事业单位登记管理局</w:t>
            </w:r>
          </w:p>
        </w:tc>
        <w:tc>
          <w:tcPr>
            <w:tcW w:w="423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《事业单位登记管理暂行条例》</w:t>
            </w:r>
            <w:r>
              <w:rPr>
                <w:rFonts w:hint="default" w:ascii="Times New Roman" w:hAnsi="Times New Roman" w:eastAsia="仿宋_GB2312" w:cs="Times New Roman"/>
                <w:i w:val="0"/>
                <w:iCs w:val="0"/>
                <w:color w:val="000000"/>
                <w:kern w:val="0"/>
                <w:sz w:val="20"/>
                <w:szCs w:val="20"/>
                <w:u w:val="none"/>
                <w:lang w:val="en-US" w:eastAsia="zh-CN" w:bidi="ar"/>
              </w:rPr>
              <w:br w:type="textWrapping"/>
            </w:r>
            <w:r>
              <w:rPr>
                <w:rFonts w:hint="default" w:ascii="Times New Roman" w:hAnsi="Times New Roman" w:eastAsia="仿宋_GB2312" w:cs="Times New Roman"/>
                <w:i w:val="0"/>
                <w:iCs w:val="0"/>
                <w:color w:val="000000"/>
                <w:kern w:val="0"/>
                <w:sz w:val="20"/>
                <w:szCs w:val="20"/>
                <w:u w:val="none"/>
                <w:lang w:val="en-US" w:eastAsia="zh-CN" w:bidi="ar"/>
              </w:rPr>
              <w:t>《事业单位登记管理暂行条例实施细则》（中央编办发〔2014〕4号）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280" w:lineRule="exact"/>
              <w:jc w:val="center"/>
              <w:rPr>
                <w:rFonts w:hint="default" w:ascii="Times New Roman" w:hAnsi="Times New Roman" w:eastAsia="仿宋_GB2312" w:cs="Times New Roman"/>
                <w:i w:val="0"/>
                <w:iCs w:val="0"/>
                <w:color w:val="000000"/>
                <w:sz w:val="20"/>
                <w:szCs w:val="20"/>
                <w:u w:val="none"/>
              </w:rPr>
            </w:pPr>
          </w:p>
        </w:tc>
      </w:tr>
    </w:tbl>
    <w:p>
      <w:pPr>
        <w:bidi w:val="0"/>
        <w:jc w:val="left"/>
        <w:rPr>
          <w:rFonts w:hint="default"/>
        </w:rPr>
      </w:pPr>
    </w:p>
    <w:sectPr>
      <w:footerReference r:id="rId5" w:type="default"/>
      <w:pgSz w:w="16838" w:h="11906" w:orient="landscape"/>
      <w:pgMar w:top="1587" w:right="2098" w:bottom="1474" w:left="1984" w:header="0" w:footer="1417" w:gutter="0"/>
      <w:pgNumType w:fmt="numberInDash"/>
      <w:cols w:equalWidth="0" w:num="1">
        <w:col w:w="9742"/>
      </w:cols>
      <w:rtlGutter w:val="0"/>
      <w:docGrid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liss Light">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OTNhNjIyMDU3NmMzMmQxMzNhZjQwY2VjZTk3MDMifQ=="/>
  </w:docVars>
  <w:rsids>
    <w:rsidRoot w:val="6C962F89"/>
    <w:rsid w:val="02CB0EF7"/>
    <w:rsid w:val="0A7256A0"/>
    <w:rsid w:val="0CFF215F"/>
    <w:rsid w:val="10B01233"/>
    <w:rsid w:val="11B92696"/>
    <w:rsid w:val="14E629D8"/>
    <w:rsid w:val="19A61457"/>
    <w:rsid w:val="1DA4404E"/>
    <w:rsid w:val="1FAB4C3B"/>
    <w:rsid w:val="1FAF67D1"/>
    <w:rsid w:val="2A095928"/>
    <w:rsid w:val="2A756920"/>
    <w:rsid w:val="2E9372BE"/>
    <w:rsid w:val="327B2543"/>
    <w:rsid w:val="33A7137B"/>
    <w:rsid w:val="3B512382"/>
    <w:rsid w:val="3CC73FC0"/>
    <w:rsid w:val="3E907376"/>
    <w:rsid w:val="42CE5E02"/>
    <w:rsid w:val="457D64A8"/>
    <w:rsid w:val="45DB050C"/>
    <w:rsid w:val="520D01B1"/>
    <w:rsid w:val="62D448DC"/>
    <w:rsid w:val="67654CAC"/>
    <w:rsid w:val="6C962F89"/>
    <w:rsid w:val="7A447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adjustRightInd/>
      <w:snapToGrid w:val="0"/>
      <w:spacing w:line="360" w:lineRule="auto"/>
      <w:contextualSpacing/>
      <w:jc w:val="left"/>
    </w:pPr>
    <w:rPr>
      <w:rFonts w:ascii="宋体" w:hAnsi="宋体" w:eastAsia="宋体" w:cstheme="minorBidi"/>
      <w:bCs/>
      <w:kern w:val="30"/>
      <w:sz w:val="24"/>
      <w:szCs w:val="3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Body Text"/>
    <w:basedOn w:val="1"/>
    <w:qFormat/>
    <w:uiPriority w:val="99"/>
    <w:pPr>
      <w:spacing w:after="120"/>
    </w:pPr>
  </w:style>
  <w:style w:type="paragraph" w:styleId="4">
    <w:name w:val="Body Text Indent"/>
    <w:basedOn w:val="1"/>
    <w:qFormat/>
    <w:uiPriority w:val="0"/>
    <w:pPr>
      <w:spacing w:line="600" w:lineRule="auto"/>
      <w:ind w:left="152" w:firstLine="640" w:firstLineChars="200"/>
    </w:pPr>
    <w:rPr>
      <w:rFonts w:ascii="宋体" w:hAnsi="宋体"/>
      <w:sz w:val="32"/>
      <w:szCs w:val="32"/>
    </w:rPr>
  </w:style>
  <w:style w:type="paragraph" w:styleId="5">
    <w:name w:val="header"/>
    <w:basedOn w:val="1"/>
    <w:next w:val="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Hyperlink"/>
    <w:basedOn w:val="8"/>
    <w:qFormat/>
    <w:uiPriority w:val="0"/>
    <w:rPr>
      <w:color w:val="0088CC"/>
      <w:u w:val="none"/>
    </w:rPr>
  </w:style>
  <w:style w:type="paragraph" w:customStyle="1" w:styleId="10">
    <w:name w:val="KM_Text"/>
    <w:qFormat/>
    <w:uiPriority w:val="99"/>
    <w:pPr>
      <w:spacing w:line="284" w:lineRule="exact"/>
    </w:pPr>
    <w:rPr>
      <w:rFonts w:ascii="Bliss Light" w:hAnsi="Bliss Light" w:eastAsia="宋体" w:cs="Times New Roman"/>
      <w:sz w:val="22"/>
      <w:szCs w:val="22"/>
      <w:lang w:val="de-DE" w:eastAsia="de-DE" w:bidi="ar-SA"/>
    </w:rPr>
  </w:style>
  <w:style w:type="character" w:customStyle="1" w:styleId="11">
    <w:name w:val="font11"/>
    <w:basedOn w:val="8"/>
    <w:qFormat/>
    <w:uiPriority w:val="0"/>
    <w:rPr>
      <w:rFonts w:hint="eastAsia" w:ascii="宋体" w:hAnsi="宋体" w:eastAsia="宋体" w:cs="宋体"/>
      <w:color w:val="000000"/>
      <w:sz w:val="22"/>
      <w:szCs w:val="22"/>
      <w:u w:val="none"/>
    </w:rPr>
  </w:style>
  <w:style w:type="character" w:customStyle="1" w:styleId="12">
    <w:name w:val="font71"/>
    <w:basedOn w:val="8"/>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13572</Words>
  <Characters>14005</Characters>
  <Lines>0</Lines>
  <Paragraphs>0</Paragraphs>
  <TotalTime>15</TotalTime>
  <ScaleCrop>false</ScaleCrop>
  <LinksUpToDate>false</LinksUpToDate>
  <CharactersWithSpaces>14063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2023-02-28T02:03:00Z</dcterms:created>
  <dc:creator>CLOWN</dc:creator>
  <cp:lastModifiedBy>刘辉</cp:lastModifiedBy>
  <cp:lastPrinted>2023-09-11T03:27:00Z</cp:lastPrinted>
  <dcterms:modified xsi:type="dcterms:W3CDTF">2023-09-11T03:48:07Z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2E325C466B624A4EAE8885B6658A9BBB_13</vt:lpwstr>
  </property>
</Properties>
</file>