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textAlignment w:val="baseline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pStyle w:val="2"/>
        <w:spacing w:line="58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报表目录</w:t>
      </w:r>
    </w:p>
    <w:p>
      <w:pPr>
        <w:pStyle w:val="2"/>
        <w:spacing w:line="44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tbl>
      <w:tblPr>
        <w:tblStyle w:val="4"/>
        <w:tblW w:w="100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691"/>
        <w:gridCol w:w="1125"/>
        <w:gridCol w:w="2703"/>
        <w:gridCol w:w="2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表号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表名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报告</w:t>
            </w:r>
          </w:p>
          <w:p>
            <w:pPr>
              <w:pStyle w:val="5"/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期别</w:t>
            </w:r>
          </w:p>
        </w:tc>
        <w:tc>
          <w:tcPr>
            <w:tcW w:w="2703" w:type="dxa"/>
            <w:vAlign w:val="center"/>
          </w:tcPr>
          <w:p>
            <w:pPr>
              <w:pStyle w:val="5"/>
              <w:spacing w:line="240" w:lineRule="exact"/>
            </w:pPr>
            <w:r>
              <w:rPr>
                <w:rFonts w:hint="eastAsia"/>
                <w:color w:val="000000"/>
                <w:szCs w:val="18"/>
              </w:rPr>
              <w:t>报送时限及方式</w:t>
            </w:r>
          </w:p>
        </w:tc>
        <w:tc>
          <w:tcPr>
            <w:tcW w:w="2140" w:type="dxa"/>
            <w:vAlign w:val="center"/>
          </w:tcPr>
          <w:p>
            <w:pPr>
              <w:pStyle w:val="5"/>
              <w:spacing w:line="24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统计范围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32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32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基1表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32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公共机构基本信息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32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03" w:type="dxa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各公共机构于每年12月30日前网络报送。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沙坡头区所有公共机构（国家机关、事业单位、团体组织）。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基2表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公共机构能源资源消费状况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半年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各公共机构于当年6月20日前和12月30日前网络报送。</w:t>
            </w:r>
          </w:p>
        </w:tc>
        <w:tc>
          <w:tcPr>
            <w:tcW w:w="2140" w:type="dxa"/>
            <w:vMerge w:val="continue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基3表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数据中心机房能源消费状况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半年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基4表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公共机构采暖能源资源</w:t>
            </w:r>
          </w:p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消费状况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半年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综1表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公共机构能源资源消费统计分级汇总情况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机关事务局于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szCs w:val="21"/>
              </w:rPr>
              <w:t>次年2月20日前分别以</w:t>
            </w:r>
            <w:r>
              <w:rPr>
                <w:rFonts w:hint="eastAsia" w:ascii="宋体" w:hAnsi="宋体" w:eastAsia="仿宋_GB2312" w:cs="仿宋_GB2312"/>
                <w:bCs/>
                <w:szCs w:val="21"/>
              </w:rPr>
              <w:t>网络和纸质方式报送。</w:t>
            </w:r>
            <w:bookmarkStart w:id="0" w:name="_GoBack"/>
            <w:bookmarkEnd w:id="0"/>
          </w:p>
        </w:tc>
        <w:tc>
          <w:tcPr>
            <w:tcW w:w="2140" w:type="dxa"/>
            <w:vMerge w:val="restart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沙坡头区。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综2表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公共机构能源资源消费统计分类汇总情况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综3表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公共机构数据中心机房能源消费统计汇总情况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81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国管节能</w:t>
            </w:r>
          </w:p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综4表</w:t>
            </w:r>
          </w:p>
        </w:tc>
        <w:tc>
          <w:tcPr>
            <w:tcW w:w="2691" w:type="dxa"/>
            <w:vAlign w:val="center"/>
          </w:tcPr>
          <w:p>
            <w:pPr>
              <w:pStyle w:val="5"/>
              <w:spacing w:line="240" w:lineRule="exact"/>
              <w:jc w:val="lef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公共机构采暖能源资源消费统计汇总情况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line="240" w:lineRule="exact"/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b w:val="0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_GB2312" w:cs="仿宋_GB2312"/>
                <w:bCs/>
                <w:color w:val="000000"/>
                <w:szCs w:val="21"/>
              </w:rPr>
            </w:pPr>
          </w:p>
        </w:tc>
      </w:tr>
    </w:tbl>
    <w:p>
      <w:pPr>
        <w:pStyle w:val="2"/>
        <w:spacing w:line="440" w:lineRule="exact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pStyle w:val="2"/>
        <w:spacing w:line="360" w:lineRule="exact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pStyle w:val="2"/>
        <w:spacing w:line="360" w:lineRule="exact"/>
        <w:rPr>
          <w:rFonts w:hint="eastAsia" w:ascii="宋体" w:hAnsi="宋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5">
    <w:name w:val="样式 (西文) 宋体 小五 加粗 居中"/>
    <w:basedOn w:val="1"/>
    <w:qFormat/>
    <w:uiPriority w:val="0"/>
    <w:pPr>
      <w:jc w:val="center"/>
    </w:pPr>
    <w:rPr>
      <w:rFonts w:ascii="宋体" w:hAnsi="宋体" w:cs="宋体"/>
      <w:b/>
      <w:bCs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