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horzAnchor="page" w:tblpXSpec="center" w:tblpY="568"/>
        <w:tblOverlap w:val="never"/>
        <w:tblW w:w="9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836"/>
        <w:gridCol w:w="1555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31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eastAsia="zh-CN"/>
              </w:rPr>
              <w:t>沙坡头区城乡公益性公墓（逝安园）墓位申请登记表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申请时间</w:t>
            </w:r>
          </w:p>
        </w:tc>
        <w:tc>
          <w:tcPr>
            <w:tcW w:w="283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登记编号</w:t>
            </w:r>
          </w:p>
        </w:tc>
        <w:tc>
          <w:tcPr>
            <w:tcW w:w="310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640502（2023）第000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号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与逝者关系</w:t>
            </w:r>
          </w:p>
        </w:tc>
        <w:tc>
          <w:tcPr>
            <w:tcW w:w="310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8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1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安葬时间</w:t>
            </w:r>
          </w:p>
        </w:tc>
        <w:tc>
          <w:tcPr>
            <w:tcW w:w="28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办丧规模</w:t>
            </w:r>
          </w:p>
        </w:tc>
        <w:tc>
          <w:tcPr>
            <w:tcW w:w="31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特殊情况说明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逝者姓名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106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死亡时间</w:t>
            </w:r>
          </w:p>
        </w:tc>
        <w:tc>
          <w:tcPr>
            <w:tcW w:w="28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死亡原因</w:t>
            </w:r>
          </w:p>
        </w:tc>
        <w:tc>
          <w:tcPr>
            <w:tcW w:w="3106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2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户籍地址</w:t>
            </w:r>
          </w:p>
        </w:tc>
        <w:tc>
          <w:tcPr>
            <w:tcW w:w="28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墓区（墓位）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31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8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城乡公益性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公墓（逝安园）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办公室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49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经办人：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82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主管单位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（部门）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意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497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单位（盖章）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经办人：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2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说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明</w:t>
            </w:r>
          </w:p>
        </w:tc>
        <w:tc>
          <w:tcPr>
            <w:tcW w:w="7497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1.此表由城乡公益性公墓（逝安园）办公室根据申请人提供信息录入，不得手工填写。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2.此表自申请之日起2日内必须办结，没有签字和盖章的视为无效。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3.此表“墓位（墓区）编号”由城乡公益性公墓（逝安园）管理员负责填写。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4.此表使用A4纸打印，一式三份，一份管理单位留档，一份逝者家属留存，一份城乡公益性公墓（逝安园）管理员存根。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81CFA"/>
    <w:rsid w:val="58A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2024-04-15T02:09:00Z</dcterms:created>
  <dc:creator>Administrator</dc:creator>
  <cp:lastModifiedBy>Administrator</cp:lastModifiedBy>
  <dcterms:modified xsi:type="dcterms:W3CDTF">2024-04-15T02:10:16Z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