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2</w:t>
      </w:r>
    </w:p>
    <w:p>
      <w:pPr>
        <w:widowControl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房屋状况评定解释说明</w:t>
      </w:r>
    </w:p>
    <w:bookmarkEnd w:id="0"/>
    <w:tbl>
      <w:tblPr>
        <w:tblStyle w:val="3"/>
        <w:tblW w:w="918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83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9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1"/>
                <w:sz w:val="18"/>
                <w:szCs w:val="18"/>
                <w:highlight w:val="none"/>
              </w:rPr>
              <w:t xml:space="preserve">  1.结构形式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 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土木结构：指土墙承重、木（楼）屋盖的房屋结构。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 2.砖木结构：指砖墙承重、木（楼）屋盖的房屋结构。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 3.砖土混杂结构：指土墙与砖墙混合承重、木（楼）屋盖的房屋结构。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 4.木结构：指木柱、木构架承重的房屋结构，北方常为抬梁式或三角形屋架，南方常为穿斗。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 5.石木结构：指石墙承重、木（楼）屋盖的房屋结构。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 6.砖混结构：指砖墙承重、混凝土（楼）屋盖的房屋结构。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9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top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1"/>
                <w:sz w:val="18"/>
                <w:szCs w:val="18"/>
                <w:highlight w:val="none"/>
              </w:rPr>
              <w:t xml:space="preserve">  2.</w:t>
            </w:r>
            <w:r>
              <w:rPr>
                <w:rStyle w:val="4"/>
                <w:rFonts w:hint="default" w:ascii="Times New Roman" w:hAnsi="Times New Roman" w:eastAsia="仿宋_GB2312" w:cs="Times New Roman"/>
                <w:kern w:val="21"/>
                <w:highlight w:val="none"/>
              </w:rPr>
              <w:t>危险状况与评价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Ⅰ房屋各组成部分：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承重墙</w:t>
            </w:r>
          </w:p>
        </w:tc>
        <w:tc>
          <w:tcPr>
            <w:tcW w:w="8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1.砌筑质量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良好、一般、很差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的标准可从两方面进行评价：一是看砌筑灰浆强度，抗压强度在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5.0MPa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以上为良好（抠一小块，脚踩不碎），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1.0MPa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以下为很差（手捻即成粉末）；二是看砌筑水平，是否横平竖直，上下错缝，灰浆饱。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2.“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裂缝较多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指平均每片墙上均有受力裂缝出现。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3.“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严重开裂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指至少出现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3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处以上严重裂缝，裂缝宽度超过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10mm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，单条裂缝长度超过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2.0m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4.“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严重歪斜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指墙顶最大相对位移超过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50mm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木柱、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梁、檀</w:t>
            </w:r>
          </w:p>
        </w:tc>
        <w:tc>
          <w:tcPr>
            <w:tcW w:w="8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1.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明显挠曲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指肉眼能轻易观察到的弯曲变形。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2.“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横向裂缝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指由于木材截面尺寸偏小或荷载较大，导致抗弯承载力不足产的横向拉开的裂缝。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3.“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柱础严重错位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指承重木柱柱底有超过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1/4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直径部分已经滑移到柱础支承面之外（部分落空）。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4.“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柱身严重歪斜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指柱顶相对偏移尺寸超过柱平均直径的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2/3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以上。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5.“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拔榫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指榫头从卯口中拔出。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 xml:space="preserve">  6.“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榫卯节点失效</w:t>
            </w:r>
            <w:r>
              <w:rPr>
                <w:rStyle w:val="5"/>
                <w:rFonts w:hint="default" w:ascii="Times New Roman" w:hAnsi="Times New Roman" w:eastAsia="仿宋_GB2312" w:cs="Times New Roman"/>
                <w:kern w:val="21"/>
                <w:szCs w:val="21"/>
                <w:highlight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指榫头折断，或拔榫，或卯口劈裂，已不具备连接或承载。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木屋架</w:t>
            </w:r>
          </w:p>
        </w:tc>
        <w:tc>
          <w:tcPr>
            <w:tcW w:w="8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此处木屋架包括两类形式：一类是三角屋架形式，有木的，钢木组合的，小型钢焊接的，这类多是 80 年代以后做的；另一类是传统的抬梁（柁梁）式，由抬梁（柁梁）与其上瓜柱组成。第一类上下弦杆，腹杆齐全，节点连接与支座支承牢靠，第二类抬梁（柁梁）在端部支承稳固，无转动或移动趋势，满足以上条件可视为“自身稳定性良好”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混凝土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柱、梁</w:t>
            </w:r>
          </w:p>
        </w:tc>
        <w:tc>
          <w:tcPr>
            <w:tcW w:w="8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1.“剥蚀严重”指混凝土表面碳化、风化、或腐蚀严重，部分保护层已经剥落，钢筋外露，构件承载能力严重受损。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2.“严重开裂、变形”指裂缝已接近或超过截面钢筋位置，裂缝处部分钢筋已经屈服。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>屋面</w:t>
            </w:r>
          </w:p>
        </w:tc>
        <w:tc>
          <w:tcPr>
            <w:tcW w:w="8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1.屋面“沉陷”指由于局部檀条、椽子变形，屋面局部出现下沉的现象，但尚未塌落。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2.屋面“塌陷”指由于局部檀条，椽子严重变形或折断，导致屋面局部塌落，形成空洞。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Ⅱ房屋整体：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21"/>
                <w:szCs w:val="21"/>
                <w:highlight w:val="none"/>
              </w:rPr>
              <w:t xml:space="preserve">A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级：各组成部分全部为 a 级。注：土木、砖土混杂结构，及泥浆砌筑的砖木、石木结构，由于材料性能差，施工工艺落后，即使观感完好，但存在原始缺陷很多，存在安全隐患，因此综合考虑，不建议评为 A 级，应进行加固维修。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2.B 级：各组成部分至少有一项达到 b 级。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3.C 级：各组成部分至少有一项达到 c 级，1）中所述混杂结构和泥浆砌筑砖木、石木结构。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4.D 级：各组成部分至少有一项达到 d 级，或全部达到 c 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9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Ⅲ房屋抗震构造措施：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 w:val="18"/>
                <w:szCs w:val="18"/>
                <w:highlight w:val="none"/>
              </w:rPr>
              <w:t xml:space="preserve">  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>抗震构造措施包括：基础有地圈梁；墙体有构造柱、圈梁等抗倒塌措施；木楼屋盖有竖向剪刀撑、纵向水平系杆等稳定措施；楼屋盖与墙体有拉接措施；墙体洞口与洞间墙尺寸符合要求。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1"/>
                <w:szCs w:val="21"/>
                <w:highlight w:val="none"/>
              </w:rPr>
              <w:t xml:space="preserve">  2.一般情况下，近年建造的砖木或砖混结构，抗震构造措施可能“基本完备”其他大部分应为“部分具备”或“完全没有”。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C489E"/>
    <w:rsid w:val="6DE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4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2018-12-20T09:37:00Z</dcterms:created>
  <dc:creator>不明觉厉</dc:creator>
  <cp:lastModifiedBy>不明觉厉</cp:lastModifiedBy>
  <dcterms:modified xsi:type="dcterms:W3CDTF">2018-12-20T09:37:20Z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