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5676" w:type="dxa"/>
        <w:tblInd w:w="-1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795"/>
        <w:gridCol w:w="4095"/>
        <w:gridCol w:w="1785"/>
        <w:gridCol w:w="1170"/>
        <w:gridCol w:w="2130"/>
        <w:gridCol w:w="2130"/>
        <w:gridCol w:w="205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15676"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附件</w:t>
            </w:r>
            <w:r>
              <w:rPr>
                <w:rStyle w:val="16"/>
                <w:rFonts w:eastAsia="黑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6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color w:val="000000"/>
                <w:spacing w:val="-17"/>
                <w:w w:val="95"/>
                <w:kern w:val="0"/>
                <w:sz w:val="44"/>
                <w:szCs w:val="44"/>
                <w:lang w:val="en-US" w:eastAsia="zh-CN"/>
              </w:rPr>
              <w:t>沙坡</w:t>
            </w:r>
            <w:r>
              <w:rPr>
                <w:rFonts w:hint="eastAsia" w:ascii="方正小标宋_GBK" w:hAnsi="方正小标宋_GBK" w:eastAsia="方正小标宋_GBK" w:cs="方正小标宋_GBK"/>
                <w:color w:val="000000"/>
                <w:spacing w:val="-17"/>
                <w:w w:val="95"/>
                <w:kern w:val="0"/>
                <w:sz w:val="44"/>
                <w:szCs w:val="44"/>
                <w:lang w:eastAsia="zh-CN"/>
              </w:rPr>
              <w:t>头区二届人大六次会议代表建议办理工作任务分工方案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序号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建议编号</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案由</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完成时限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责任领导</w:t>
            </w:r>
          </w:p>
        </w:tc>
        <w:tc>
          <w:tcPr>
            <w:tcW w:w="6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责任单位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黑体" w:hAnsi="宋体" w:eastAsia="黑体" w:cs="黑体"/>
                <w:i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黑体" w:hAnsi="宋体" w:eastAsia="黑体" w:cs="黑体"/>
                <w:i w:val="0"/>
                <w:color w:val="000000"/>
                <w:sz w:val="22"/>
                <w:szCs w:val="22"/>
                <w:u w:val="none"/>
              </w:rPr>
            </w:pP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黑体" w:hAnsi="宋体" w:eastAsia="黑体" w:cs="黑体"/>
                <w:i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黑体" w:hAnsi="宋体" w:eastAsia="黑体" w:cs="黑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黑体" w:hAnsi="宋体" w:eastAsia="黑体" w:cs="黑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主办单位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协办单位</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牵头答复单位</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156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一、城市建设类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关于对供电家属楼等老旧小区进行改造的建议（重点建议）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滨河镇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关于实施沙坡头区排水防涝城区内涝积水点改造项目的建议（重点建议）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区综合执法局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文昌镇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滨河镇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区综合执法局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梁 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关于对西园小区、东园小区进行老旧小区改造的建议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文昌镇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56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二、农村基础设施类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关于解决柔远镇莫楼村3、4队雨季巷道泥泞不堪、无法出行问题的建议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柔远镇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5</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关于重建常乐镇马路滩村村部路桥的建议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常乐镇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6</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关于提升改造农村公路的建议（重点建议）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东园镇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宣和镇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7</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关于对红油路等农村公路水毁灾害进行修复的建议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香山乡</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永康镇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8</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关于实施南山台扬水干渠曹家山沟渡槽带桥改造工程的建议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永康镇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10</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关于实施沙坡头区峡门供水工程香山一泵站10KV供电线路维修改造项目的建议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香山乡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14</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关于提升兴仁镇泰和、兴盛、团结村防洪排涝能力，新建防洪排涝设施的建议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龚 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兴仁镇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19</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关于解决柔远镇冯庄村二号路路面破损及7-14队上下水问题的建议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柔远镇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关于提升改造三一支沟雍湖段的建议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柔远镇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21</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关于对沙坡头区三个窑沟进行治理的建议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永康镇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23</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关于修改三眼井村村庄规划的建议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马月芳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香山乡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区自然资源局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香山乡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冯伟明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41</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关于新建兴仁镇街道和洪水河沿线居民生活污水收集处理管网的建议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马月芳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区生态环境分局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兴仁镇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区生态环境分局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44</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关于实施镇罗镇胜金村全民健身设施项目的建议（重点建议）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徐郑应</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区旅游和文化体育广电局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镇罗镇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区旅游和文化体育广电局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156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三、乡村产业振兴类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9</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关于加大沙坡头区农村煤改电力度的建议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区住建和交通局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11</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关于提高日光温室大棚智慧化管理水平的建议（重点建议）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东园镇</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柔远镇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镇罗镇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12</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关于建设香山乡硒砂瓜交易市场的建议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香山乡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13</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关于加强大棚农废无害化处理的建议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15</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关于提升改造柔远镇雍湖村、范庙村高标准农田节水灌溉设施的建议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柔远镇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16</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关于常乐镇盐碱地改良的建议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常乐镇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17</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关于实施滨河镇大板片区高标准农田建设等项目的建议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滨河镇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18</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关于实施迎水桥镇牛滩村高标准农田建设的建议（重点建议）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迎水桥镇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22</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关于实施永康镇彩达村农村人居环境整治提升项目的建议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龚 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永康镇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28</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关于在香山乡建设小茴香、辣椒晾晒场的建议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龚 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香山乡</w:t>
            </w:r>
            <w:r>
              <w:rPr>
                <w:rFonts w:hint="eastAsia" w:ascii="仿宋_GB2312" w:hAnsi="宋体" w:eastAsia="仿宋_GB2312" w:cs="仿宋_GB2312"/>
                <w:i w:val="0"/>
                <w:color w:val="000000"/>
                <w:kern w:val="0"/>
                <w:sz w:val="22"/>
                <w:szCs w:val="22"/>
                <w:u w:val="none"/>
                <w:lang w:val="en-US" w:eastAsia="zh-CN"/>
              </w:rPr>
              <w:br w:type="textWrapping"/>
            </w:r>
            <w:r>
              <w:rPr>
                <w:rFonts w:hint="eastAsia" w:ascii="仿宋_GB2312" w:hAnsi="宋体" w:eastAsia="仿宋_GB2312" w:cs="仿宋_GB2312"/>
                <w:i w:val="0"/>
                <w:color w:val="000000"/>
                <w:kern w:val="0"/>
                <w:sz w:val="22"/>
                <w:szCs w:val="22"/>
                <w:u w:val="none"/>
                <w:lang w:val="en-US" w:eastAsia="zh-CN"/>
              </w:rPr>
              <w:t>区财政局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30</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关于建设香山乡三眼井村枸杞晾晒场的建议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龚 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香山乡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区发改局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31</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关于促进兴仁镇枸杞产业高质量发展的建议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兴仁镇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区农业农村局</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区财政局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王生信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32</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关于进一步推动永康镇旱苹果产业高质量发展的建议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永康镇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王生信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33</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关于加快推进沙坡头区林下经济适度规模发展的建议（重点建议）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区财政局</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各乡镇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王生信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34</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关于宣和镇汪园村蛋鸡养殖配套设施建设项目的建议（重点建议）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宣和镇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35</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关于建设沙坡头区小茴香标准化示范种植基地、仓储加工中心，配套分级保鲜等设施设备的建议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永康镇</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宣和镇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香山乡</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兴仁镇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常乐镇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区农业农村局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36</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关于解决农田林网影响庄稼生长及破坏农田基础设施问题的建议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区水务局</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区农业农村局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区林草局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王生信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40</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关于对清水河入黄口综合治理的建议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李 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仿宋_GB2312"/>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区水务局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陈江波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56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四、社会事业类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24</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关于沙坡头区退役军人慰问金参照自治区、中卫市标准执行的建议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刘福杰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区退役军人事务局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区财政局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区退役军人事务局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万自强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25</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关于进一步加强沙坡头区社会层面家庭教育的建议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沈红菊</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区妇联</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团区委</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区民社局</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区司法局</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各乡镇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区妇联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徐雅芳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26</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关于提高居家社区养老服务设施服务质量的建议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刘福杰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区民社局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文昌镇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滨河镇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区民社局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马海轮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27</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关于持续加强高危行业从业人员安全培训的建议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龚 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区应急管理局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区应急管理局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杨海东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29</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关于高效促进常乐镇劳务输出产业发展的建议（重点点建议）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刘福杰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区民社局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常乐镇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区民社局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马海轮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37</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关于进一步加强未成年人保护工作的建议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张赞军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区委政法委员会</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区公安分局</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区教育局</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区司法局</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区市场监督管理分局</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各乡镇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区委政法委员会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刘文祥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38</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关于进一步加强校园周边儿童和学生用品质量安全监管的建议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徐郑应</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区市场监督管理分局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区教育局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区市场监督管理分局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代福俊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39</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关于加强对流动摊贩诚信经营行为监管、查处的建议（重点建议）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王文忠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区市场监督管理分局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文昌镇</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滨河镇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区综合执法局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区市场监督管理分局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代福俊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43</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关于推动沙坡头区旅游商品发展的建议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徐郑应</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区旅游和文化体育广电局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仿宋_GB2312" w:hAnsi="宋体" w:eastAsia="仿宋_GB2312" w:cs="仿宋_GB2312"/>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区旅游和文化体育广电局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45</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关于加强沙坡头区国有资产管理的建议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龚 涛</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区财政局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各部门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区财政局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赵爱东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46</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关于进一步强化沙坡头区企业主体地位，加快推进</w:t>
            </w:r>
            <w:bookmarkStart w:id="0" w:name="_GoBack"/>
            <w:bookmarkEnd w:id="0"/>
            <w:r>
              <w:rPr>
                <w:rFonts w:hint="eastAsia" w:ascii="仿宋_GB2312" w:hAnsi="宋体" w:eastAsia="仿宋_GB2312" w:cs="仿宋_GB2312"/>
                <w:i w:val="0"/>
                <w:color w:val="000000"/>
                <w:kern w:val="0"/>
                <w:sz w:val="24"/>
                <w:szCs w:val="24"/>
                <w:u w:val="none"/>
                <w:lang w:val="en-US" w:eastAsia="zh-CN"/>
              </w:rPr>
              <w:t>产学研深度融合的建议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吴金霞</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区科技局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r>
              <w:rPr>
                <w:rFonts w:hint="eastAsia" w:hAnsi="宋体" w:cs="仿宋_GB2312"/>
                <w:i w:val="0"/>
                <w:color w:val="000000"/>
                <w:kern w:val="0"/>
                <w:sz w:val="24"/>
                <w:szCs w:val="24"/>
                <w:u w:val="none"/>
                <w:lang w:val="en-US" w:eastAsia="zh-CN"/>
              </w:rPr>
              <w:t>、</w:t>
            </w:r>
            <w:r>
              <w:rPr>
                <w:rFonts w:hint="eastAsia" w:ascii="仿宋_GB2312" w:hAnsi="宋体" w:eastAsia="仿宋_GB2312" w:cs="仿宋_GB2312"/>
                <w:i w:val="0"/>
                <w:color w:val="000000"/>
                <w:kern w:val="0"/>
                <w:sz w:val="24"/>
                <w:szCs w:val="24"/>
                <w:u w:val="none"/>
                <w:lang w:val="en-US" w:eastAsia="zh-CN"/>
              </w:rPr>
              <w:t>各部门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张红涛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47</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关于加强沙坡头区农业科技研发，促进乡村经济可持续发展的建议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吴金霞</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区科技局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各乡镇</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各部门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张红涛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56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五、医疗卫生类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42</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关于实施沙坡头区香山社区托育服务设施建设项目的建议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2025年10月底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马月芳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区卫健局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文昌镇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区卫健局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黄宗玺</w:t>
            </w:r>
          </w:p>
        </w:tc>
      </w:tr>
    </w:tbl>
    <w:p>
      <w:pPr>
        <w:pStyle w:val="2"/>
        <w:rPr>
          <w:rFonts w:hint="default"/>
          <w:lang w:val="en-US" w:eastAsia="zh-CN"/>
        </w:rPr>
      </w:pPr>
    </w:p>
    <w:sectPr>
      <w:headerReference r:id="rId3" w:type="default"/>
      <w:footerReference r:id="rId4" w:type="default"/>
      <w:pgSz w:w="16838" w:h="11906" w:orient="landscape"/>
      <w:pgMar w:top="1587" w:right="2098" w:bottom="1474" w:left="1984" w:header="851" w:footer="1417"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42CBB8-7611-4C50-AB68-656259608C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A8BC183-317D-4043-8E50-2A0225D45E91}"/>
  </w:font>
  <w:font w:name="方正小标宋_GBK">
    <w:panose1 w:val="03000509000000000000"/>
    <w:charset w:val="86"/>
    <w:family w:val="auto"/>
    <w:pitch w:val="default"/>
    <w:sig w:usb0="00000001" w:usb1="080E0000" w:usb2="00000000" w:usb3="00000000" w:csb0="00040000" w:csb1="00000000"/>
    <w:embedRegular r:id="rId3" w:fontKey="{F211D709-4024-4D9E-A690-861B1F2B14AA}"/>
  </w:font>
  <w:font w:name="times">
    <w:altName w:val="Times New Roman"/>
    <w:panose1 w:val="02020603050000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8KQ7agBAAA6AwAADgAA&#10;AAAAAAABACAAAAAfAQAAZHJzL2Uyb0RvYy54bWxQSwUGAAAAAAYABgBZAQAAOQUAAAAA&#10;">
              <v:fill on="f" focussize="0,0"/>
              <v:stroke on="f"/>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0"/>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4BD6"/>
    <w:rsid w:val="254E21DE"/>
    <w:rsid w:val="3B0A4A40"/>
    <w:rsid w:val="492369D4"/>
    <w:rsid w:val="79C4B114"/>
    <w:rsid w:val="7D6F6383"/>
    <w:rsid w:val="7DB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 w:type="character" w:customStyle="1" w:styleId="16">
    <w:name w:val="font01"/>
    <w:basedOn w:val="8"/>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6747</Words>
  <Characters>7295</Characters>
  <Paragraphs>1144</Paragraphs>
  <TotalTime>3</TotalTime>
  <ScaleCrop>false</ScaleCrop>
  <LinksUpToDate>false</LinksUpToDate>
  <CharactersWithSpaces>7487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2023-03-04T01:38:00Z</dcterms:created>
  <dc:creator>王爽</dc:creator>
  <cp:lastModifiedBy>Administrator</cp:lastModifiedBy>
  <cp:lastPrinted>2025-03-07T03:18:00Z</cp:lastPrinted>
  <dcterms:modified xsi:type="dcterms:W3CDTF">2025-03-07T09:55:41Z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947f856b7acd4767a195654d09d94ad7_23</vt:lpwstr>
  </property>
</Properties>
</file>