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baseline"/>
        <w:rPr>
          <w:rStyle w:val="6"/>
          <w:rFonts w:hint="default" w:ascii="Times New Roman" w:hAnsi="Times New Roman" w:eastAsia="黑体" w:cs="Times New Roman"/>
          <w:i w:val="0"/>
          <w:color w:val="auto"/>
          <w:kern w:val="0"/>
          <w:sz w:val="32"/>
          <w:szCs w:val="32"/>
          <w:lang w:val="en-US" w:eastAsia="zh-CN"/>
        </w:rPr>
      </w:pPr>
      <w:r>
        <w:rPr>
          <w:rStyle w:val="6"/>
          <w:rFonts w:hint="default" w:ascii="Times New Roman" w:hAnsi="Times New Roman" w:eastAsia="黑体" w:cs="Times New Roman"/>
          <w:i w:val="0"/>
          <w:color w:val="auto"/>
          <w:kern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baseline"/>
        <w:rPr>
          <w:rStyle w:val="6"/>
          <w:rFonts w:hint="default" w:ascii="Times New Roman" w:hAnsi="Times New Roman" w:eastAsia="方正小标宋_GBK" w:cs="Times New Roman"/>
          <w:i w:val="0"/>
          <w:color w:val="auto"/>
          <w:kern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baseline"/>
        <w:rPr>
          <w:rStyle w:val="6"/>
          <w:rFonts w:hint="default" w:ascii="Times New Roman" w:hAnsi="Times New Roman" w:eastAsia="方正小标宋_GBK" w:cs="Times New Roman"/>
          <w:color w:val="auto"/>
          <w:kern w:val="2"/>
          <w:sz w:val="44"/>
          <w:szCs w:val="44"/>
          <w:lang w:val="en-US" w:eastAsia="zh-CN" w:bidi="ar-SA"/>
        </w:rPr>
      </w:pPr>
      <w:r>
        <w:rPr>
          <w:rStyle w:val="6"/>
          <w:rFonts w:hint="default" w:ascii="Times New Roman" w:hAnsi="Times New Roman" w:eastAsia="方正小标宋_GBK" w:cs="Times New Roman"/>
          <w:i w:val="0"/>
          <w:color w:val="auto"/>
          <w:kern w:val="0"/>
          <w:sz w:val="44"/>
          <w:szCs w:val="44"/>
          <w:lang w:val="en-US" w:eastAsia="zh-CN"/>
        </w:rPr>
        <w:t>沙坡头区×××局</w:t>
      </w:r>
      <w:r>
        <w:rPr>
          <w:rStyle w:val="6"/>
          <w:rFonts w:hint="default" w:ascii="Times New Roman" w:hAnsi="Times New Roman" w:eastAsia="方正小标宋_GBK" w:cs="Times New Roman"/>
          <w:color w:val="auto"/>
          <w:kern w:val="2"/>
          <w:sz w:val="44"/>
          <w:szCs w:val="44"/>
          <w:lang w:val="en-US" w:eastAsia="zh-CN" w:bidi="ar-SA"/>
        </w:rPr>
        <w:t>行政审批授权委托书</w:t>
      </w:r>
    </w:p>
    <w:p>
      <w:pPr>
        <w:keepNext w:val="0"/>
        <w:keepLines w:val="0"/>
        <w:pageBreakBefore w:val="0"/>
        <w:widowControl w:val="0"/>
        <w:kinsoku/>
        <w:wordWrap/>
        <w:overflowPunct/>
        <w:topLinePunct w:val="0"/>
        <w:autoSpaceDE/>
        <w:autoSpaceDN/>
        <w:bidi w:val="0"/>
        <w:adjustRightInd/>
        <w:spacing w:line="560" w:lineRule="exact"/>
        <w:jc w:val="center"/>
        <w:textAlignment w:val="baseline"/>
        <w:rPr>
          <w:rStyle w:val="6"/>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jc w:val="both"/>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沙坡头区政务服务中心：</w:t>
      </w:r>
    </w:p>
    <w:p>
      <w:pPr>
        <w:keepNext w:val="0"/>
        <w:keepLines w:val="0"/>
        <w:pageBreakBefore w:val="0"/>
        <w:widowControl w:val="0"/>
        <w:kinsoku/>
        <w:wordWrap/>
        <w:overflowPunct/>
        <w:topLinePunct w:val="0"/>
        <w:autoSpaceDE/>
        <w:autoSpaceDN/>
        <w:bidi w:val="0"/>
        <w:adjustRightInd/>
        <w:spacing w:line="560" w:lineRule="exact"/>
        <w:ind w:right="23" w:rightChars="11" w:firstLine="645"/>
        <w:jc w:val="left"/>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根据《沙坡头区推进“一窗受理、集成服务”新模式工作方案》（卫沙政服发〔2020〕  号）要求，经我局研究决定，将我局×件即办件审批决定权、×件承诺件的受理权（见附表）及行政审批专用章使用权全部授权给我局驻政务大厅综合窗口受理人员及综合事务审批办公室审批人员，全权办理我局行政审批事项的受理、审批工作。同时，确定×××同志为“B岗”责任人，在原单位上班，负责顶岗和承诺件、上报件的审批转办等事宜。</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479" w:leftChars="228" w:firstLine="160" w:firstLineChars="50"/>
        <w:jc w:val="both"/>
        <w:textAlignment w:val="baseline"/>
        <w:rPr>
          <w:rStyle w:val="6"/>
          <w:rFonts w:hint="default" w:ascii="Times New Roman" w:hAnsi="Times New Roman" w:eastAsia="黑体" w:cs="Times New Roman"/>
          <w:color w:val="auto"/>
          <w:kern w:val="2"/>
          <w:sz w:val="32"/>
          <w:szCs w:val="32"/>
          <w:lang w:val="en-US" w:eastAsia="zh-CN" w:bidi="ar-SA"/>
        </w:rPr>
      </w:pPr>
      <w:r>
        <w:rPr>
          <w:rStyle w:val="6"/>
          <w:rFonts w:hint="default" w:ascii="Times New Roman" w:hAnsi="Times New Roman" w:eastAsia="黑体" w:cs="Times New Roman"/>
          <w:color w:val="auto"/>
          <w:kern w:val="2"/>
          <w:sz w:val="32"/>
          <w:szCs w:val="32"/>
          <w:lang w:val="en-US" w:eastAsia="zh-CN" w:bidi="ar-SA"/>
        </w:rPr>
        <w:t>审批办公室工作人员工作职责</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（一）代表本部门在沙坡头区政务服务中心行使授权范围内的行政审批职权，并对本部门负责；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（二）代表本部门在沙坡头区政务服务中心负责承诺件和上报件</w:t>
      </w:r>
      <w:r>
        <w:rPr>
          <w:rStyle w:val="6"/>
          <w:rFonts w:hint="default" w:ascii="Times New Roman" w:hAnsi="Times New Roman" w:eastAsia="仿宋_GB2312" w:cs="Times New Roman"/>
          <w:color w:val="auto"/>
          <w:kern w:val="0"/>
          <w:sz w:val="32"/>
          <w:szCs w:val="32"/>
          <w:lang w:val="en-US" w:eastAsia="zh-CN" w:bidi="ar-SA"/>
        </w:rPr>
        <w:t>涉及现场勘察、会议研究等内部技术审查</w:t>
      </w:r>
      <w:r>
        <w:rPr>
          <w:rStyle w:val="6"/>
          <w:rFonts w:hint="default" w:ascii="Times New Roman" w:hAnsi="Times New Roman" w:eastAsia="仿宋_GB2312" w:cs="Times New Roman"/>
          <w:color w:val="auto"/>
          <w:kern w:val="2"/>
          <w:sz w:val="32"/>
          <w:szCs w:val="32"/>
          <w:lang w:val="en-US" w:eastAsia="zh-CN" w:bidi="ar-SA"/>
        </w:rPr>
        <w:t>的联络、协调、督促，确保按规定程序和时限办结；代表本部门参与联办件的协调和办理；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（三）负责本部门与自治区、中卫市政务服务中心的联络协调工作，做好本部门和政务服务中心领导安排的相关工作。</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黑体" w:cs="Times New Roman"/>
          <w:color w:val="auto"/>
          <w:kern w:val="2"/>
          <w:sz w:val="32"/>
          <w:szCs w:val="32"/>
          <w:lang w:val="en-US" w:eastAsia="zh-CN" w:bidi="ar-SA"/>
        </w:rPr>
      </w:pPr>
      <w:r>
        <w:rPr>
          <w:rStyle w:val="6"/>
          <w:rFonts w:hint="default" w:ascii="Times New Roman" w:hAnsi="Times New Roman" w:eastAsia="黑体" w:cs="Times New Roman"/>
          <w:color w:val="auto"/>
          <w:kern w:val="2"/>
          <w:sz w:val="32"/>
          <w:szCs w:val="32"/>
          <w:lang w:val="en-US" w:eastAsia="zh-CN" w:bidi="ar-SA"/>
        </w:rPr>
        <w:t>委托事项及代理权限</w:t>
      </w:r>
    </w:p>
    <w:tbl>
      <w:tblPr>
        <w:tblStyle w:val="4"/>
        <w:tblW w:w="8873"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878"/>
        <w:gridCol w:w="3120"/>
        <w:gridCol w:w="1545"/>
        <w:gridCol w:w="1650"/>
        <w:gridCol w:w="16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88" w:hRule="atLeast"/>
        </w:trPr>
        <w:tc>
          <w:tcPr>
            <w:tcW w:w="878"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序号</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委托事项</w:t>
            </w:r>
          </w:p>
        </w:tc>
        <w:tc>
          <w:tcPr>
            <w:tcW w:w="1545"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事项类别</w:t>
            </w:r>
          </w:p>
        </w:tc>
        <w:tc>
          <w:tcPr>
            <w:tcW w:w="165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代理权限</w:t>
            </w: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承诺时限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1</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2</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3</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4</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5</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6</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7</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4" w:hRule="atLeast"/>
        </w:trPr>
        <w:tc>
          <w:tcPr>
            <w:tcW w:w="878"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8</w:t>
            </w:r>
          </w:p>
        </w:tc>
        <w:tc>
          <w:tcPr>
            <w:tcW w:w="312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54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50" w:type="dxa"/>
            <w:tcBorders>
              <w:top w:val="outset" w:color="000000" w:sz="6" w:space="0"/>
              <w:left w:val="outset" w:color="000000" w:sz="6" w:space="0"/>
              <w:bottom w:val="outset" w:color="000000" w:sz="6" w:space="0"/>
              <w:right w:val="outset" w:color="000000" w:sz="6" w:space="0"/>
            </w:tcBorders>
            <w:vAlign w:val="top"/>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c>
          <w:tcPr>
            <w:tcW w:w="1680"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6"/>
                <w:rFonts w:hint="default" w:ascii="Times New Roman" w:hAnsi="Times New Roman" w:eastAsia="仿宋_GB2312" w:cs="Times New Roman"/>
                <w:color w:val="auto"/>
                <w:kern w:val="0"/>
                <w:sz w:val="32"/>
                <w:szCs w:val="32"/>
                <w:lang w:val="en-US" w:eastAsia="zh-CN" w:bidi="ar-SA"/>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985" w:hRule="atLeast"/>
        </w:trPr>
        <w:tc>
          <w:tcPr>
            <w:tcW w:w="878" w:type="dxa"/>
            <w:tcBorders>
              <w:top w:val="outset" w:color="000000" w:sz="6" w:space="0"/>
              <w:left w:val="outset" w:color="000000" w:sz="6" w:space="0"/>
              <w:bottom w:val="outset" w:color="000000" w:sz="6" w:space="0"/>
              <w:right w:val="outset" w:color="000000" w:sz="6" w:space="0"/>
            </w:tcBorders>
            <w:textDirection w:val="tbRlV"/>
            <w:vAlign w:val="center"/>
          </w:tcPr>
          <w:p>
            <w:pPr>
              <w:keepNext w:val="0"/>
              <w:keepLines w:val="0"/>
              <w:pageBreakBefore w:val="0"/>
              <w:widowControl w:val="0"/>
              <w:kinsoku/>
              <w:wordWrap/>
              <w:overflowPunct/>
              <w:topLinePunct w:val="0"/>
              <w:autoSpaceDE/>
              <w:autoSpaceDN/>
              <w:bidi w:val="0"/>
              <w:adjustRightInd/>
              <w:spacing w:line="560" w:lineRule="exact"/>
              <w:ind w:left="113" w:right="113"/>
              <w:jc w:val="center"/>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备注</w:t>
            </w:r>
          </w:p>
        </w:tc>
        <w:tc>
          <w:tcPr>
            <w:tcW w:w="7995" w:type="dxa"/>
            <w:gridSpan w:val="4"/>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1、委托事项为本部门所有的行政审批服务事项；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2、事项类别为即办件、承诺件；</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3、代理权限为受理审批、即时办结、</w:t>
            </w:r>
            <w:r>
              <w:rPr>
                <w:rStyle w:val="6"/>
                <w:rFonts w:hint="default" w:ascii="Times New Roman" w:hAnsi="Times New Roman" w:eastAsia="仿宋_GB2312" w:cs="Times New Roman"/>
                <w:color w:val="auto"/>
                <w:kern w:val="2"/>
                <w:sz w:val="32"/>
                <w:szCs w:val="32"/>
                <w:lang w:val="en-US" w:eastAsia="zh-CN" w:bidi="ar-SA"/>
              </w:rPr>
              <w:t>前置条件的审查、上报审批、缮证发证等事宜；</w:t>
            </w:r>
          </w:p>
          <w:p>
            <w:pPr>
              <w:keepNext w:val="0"/>
              <w:keepLines w:val="0"/>
              <w:pageBreakBefore w:val="0"/>
              <w:widowControl w:val="0"/>
              <w:kinsoku/>
              <w:wordWrap/>
              <w:overflowPunct/>
              <w:topLinePunct w:val="0"/>
              <w:autoSpaceDE/>
              <w:autoSpaceDN/>
              <w:bidi w:val="0"/>
              <w:adjustRightInd/>
              <w:spacing w:line="560" w:lineRule="exact"/>
              <w:jc w:val="both"/>
              <w:textAlignment w:val="auto"/>
              <w:rPr>
                <w:rStyle w:val="6"/>
                <w:rFonts w:hint="default" w:ascii="Times New Roman" w:hAnsi="Times New Roman" w:eastAsia="仿宋_GB2312" w:cs="Times New Roman"/>
                <w:color w:val="auto"/>
                <w:kern w:val="0"/>
                <w:sz w:val="32"/>
                <w:szCs w:val="32"/>
                <w:lang w:val="en-US" w:eastAsia="zh-CN" w:bidi="ar-SA"/>
              </w:rPr>
            </w:pPr>
            <w:r>
              <w:rPr>
                <w:rStyle w:val="6"/>
                <w:rFonts w:hint="default" w:ascii="Times New Roman" w:hAnsi="Times New Roman" w:eastAsia="仿宋_GB2312" w:cs="Times New Roman"/>
                <w:color w:val="auto"/>
                <w:kern w:val="0"/>
                <w:sz w:val="32"/>
                <w:szCs w:val="32"/>
                <w:lang w:val="en-US" w:eastAsia="zh-CN" w:bidi="ar-SA"/>
              </w:rPr>
              <w:t xml:space="preserve">    4、承诺时限为对外公开承诺的办理时限。</w:t>
            </w:r>
          </w:p>
        </w:tc>
      </w:tr>
    </w:tbl>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 xml:space="preserve">                     </w:t>
      </w:r>
      <w:r>
        <w:rPr>
          <w:rStyle w:val="6"/>
          <w:rFonts w:hint="eastAsia" w:ascii="Times New Roman" w:hAnsi="Times New Roman" w:eastAsia="仿宋_GB2312" w:cs="Times New Roman"/>
          <w:color w:val="auto"/>
          <w:kern w:val="2"/>
          <w:sz w:val="32"/>
          <w:szCs w:val="32"/>
          <w:lang w:val="en-US" w:eastAsia="zh-CN" w:bidi="ar-SA"/>
        </w:rPr>
        <w:t xml:space="preserve">        </w:t>
      </w:r>
      <w:r>
        <w:rPr>
          <w:rStyle w:val="6"/>
          <w:rFonts w:hint="default" w:ascii="Times New Roman" w:hAnsi="Times New Roman" w:eastAsia="仿宋_GB2312" w:cs="Times New Roman"/>
          <w:color w:val="auto"/>
          <w:kern w:val="2"/>
          <w:sz w:val="32"/>
          <w:szCs w:val="32"/>
          <w:lang w:val="en-US" w:eastAsia="zh-CN" w:bidi="ar-SA"/>
        </w:rPr>
        <w:t>委托单位：（公章）</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 xml:space="preserve">                   </w:t>
      </w:r>
      <w:r>
        <w:rPr>
          <w:rStyle w:val="6"/>
          <w:rFonts w:hint="eastAsia" w:ascii="Times New Roman" w:hAnsi="Times New Roman" w:eastAsia="仿宋_GB2312" w:cs="Times New Roman"/>
          <w:color w:val="auto"/>
          <w:kern w:val="2"/>
          <w:sz w:val="32"/>
          <w:szCs w:val="32"/>
          <w:lang w:val="en-US" w:eastAsia="zh-CN" w:bidi="ar-SA"/>
        </w:rPr>
        <w:t xml:space="preserve">        </w:t>
      </w:r>
      <w:r>
        <w:rPr>
          <w:rStyle w:val="6"/>
          <w:rFonts w:hint="default" w:ascii="Times New Roman" w:hAnsi="Times New Roman" w:eastAsia="仿宋_GB2312" w:cs="Times New Roman"/>
          <w:color w:val="auto"/>
          <w:kern w:val="2"/>
          <w:sz w:val="32"/>
          <w:szCs w:val="32"/>
          <w:lang w:val="en-US" w:eastAsia="zh-CN" w:bidi="ar-SA"/>
        </w:rPr>
        <w:t>受委托单位：（公章）</w:t>
      </w:r>
    </w:p>
    <w:p>
      <w:pPr>
        <w:keepNext w:val="0"/>
        <w:keepLines w:val="0"/>
        <w:pageBreakBefore w:val="0"/>
        <w:widowControl w:val="0"/>
        <w:kinsoku/>
        <w:wordWrap/>
        <w:overflowPunct/>
        <w:topLinePunct w:val="0"/>
        <w:autoSpaceDE/>
        <w:autoSpaceDN/>
        <w:bidi w:val="0"/>
        <w:adjustRightInd/>
        <w:spacing w:line="560" w:lineRule="exact"/>
        <w:jc w:val="both"/>
        <w:textAlignment w:val="baseline"/>
        <w:rPr>
          <w:rStyle w:val="6"/>
          <w:rFonts w:hint="default" w:ascii="Times New Roman" w:hAnsi="Times New Roman" w:eastAsia="黑体"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right="1050" w:rightChars="500"/>
        <w:jc w:val="both"/>
        <w:textAlignment w:val="baseline"/>
        <w:rPr>
          <w:rStyle w:val="6"/>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right="1050" w:rightChars="500"/>
        <w:jc w:val="both"/>
        <w:textAlignment w:val="baseline"/>
        <w:rPr>
          <w:rStyle w:val="6"/>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right="1050" w:rightChars="500"/>
        <w:jc w:val="both"/>
        <w:textAlignment w:val="baseline"/>
        <w:rPr>
          <w:rStyle w:val="6"/>
          <w:rFonts w:hint="default" w:ascii="Times New Roman" w:hAnsi="Times New Roman" w:eastAsia="仿宋_GB2312" w:cs="Times New Roman"/>
          <w:color w:val="auto"/>
          <w:kern w:val="2"/>
          <w:sz w:val="32"/>
          <w:szCs w:val="32"/>
          <w:lang w:val="en-US" w:eastAsia="zh-CN" w:bidi="ar-SA"/>
        </w:rPr>
      </w:pPr>
      <w:r>
        <w:rPr>
          <w:rStyle w:val="6"/>
          <w:rFonts w:hint="default" w:ascii="Times New Roman" w:hAnsi="Times New Roman" w:eastAsia="仿宋_GB2312" w:cs="Times New Roman"/>
          <w:color w:val="auto"/>
          <w:kern w:val="2"/>
          <w:sz w:val="32"/>
          <w:szCs w:val="32"/>
          <w:lang w:val="en-US" w:eastAsia="zh-CN" w:bidi="ar-SA"/>
        </w:rPr>
        <w:t xml:space="preserve">                            </w:t>
      </w:r>
      <w:r>
        <w:rPr>
          <w:rStyle w:val="6"/>
          <w:rFonts w:hint="eastAsia" w:ascii="Times New Roman" w:hAnsi="Times New Roman" w:eastAsia="仿宋_GB2312" w:cs="Times New Roman"/>
          <w:color w:val="auto"/>
          <w:kern w:val="2"/>
          <w:sz w:val="32"/>
          <w:szCs w:val="32"/>
          <w:lang w:val="en-US" w:eastAsia="zh-CN" w:bidi="ar-SA"/>
        </w:rPr>
        <w:t xml:space="preserve">       </w:t>
      </w:r>
      <w:r>
        <w:rPr>
          <w:rStyle w:val="6"/>
          <w:rFonts w:hint="default" w:ascii="Times New Roman" w:hAnsi="Times New Roman" w:eastAsia="仿宋_GB2312" w:cs="Times New Roman"/>
          <w:color w:val="auto"/>
          <w:kern w:val="2"/>
          <w:sz w:val="32"/>
          <w:szCs w:val="32"/>
          <w:lang w:val="en-US" w:eastAsia="zh-CN" w:bidi="ar-SA"/>
        </w:rPr>
        <w:t xml:space="preserve">年  月  </w:t>
      </w:r>
      <w:bookmarkStart w:id="0" w:name="_GoBack"/>
      <w:bookmarkEnd w:id="0"/>
      <w:r>
        <w:rPr>
          <w:rStyle w:val="6"/>
          <w:rFonts w:hint="default" w:ascii="Times New Roman" w:hAnsi="Times New Roman" w:eastAsia="仿宋_GB2312" w:cs="Times New Roman"/>
          <w:color w:val="auto"/>
          <w:kern w:val="2"/>
          <w:sz w:val="32"/>
          <w:szCs w:val="32"/>
          <w:lang w:val="en-US" w:eastAsia="zh-CN" w:bidi="ar-S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A35E"/>
    <w:multiLevelType w:val="singleLevel"/>
    <w:tmpl w:val="5EF9A35E"/>
    <w:lvl w:ilvl="0" w:tentative="0">
      <w:start w:val="2"/>
      <w:numFmt w:val="chineseCounting"/>
      <w:suff w:val="nothing"/>
      <w:lvlText w:val="%1、"/>
      <w:lvlJc w:val="left"/>
      <w:pPr>
        <w:widowControl/>
        <w:textAlignment w:val="baseline"/>
      </w:pPr>
      <w:rPr>
        <w:rStyle w:val="6"/>
      </w:rPr>
    </w:lvl>
  </w:abstractNum>
  <w:abstractNum w:abstractNumId="1">
    <w:nsid w:val="5EFAAB4B"/>
    <w:multiLevelType w:val="singleLevel"/>
    <w:tmpl w:val="5EFAAB4B"/>
    <w:lvl w:ilvl="0" w:tentative="0">
      <w:start w:val="1"/>
      <w:numFmt w:val="chineseCounting"/>
      <w:suff w:val="nothing"/>
      <w:lvlText w:val="%1、"/>
      <w:lvlJc w:val="left"/>
      <w:pPr>
        <w:widowControl/>
        <w:textAlignment w:val="baseline"/>
      </w:pPr>
      <w:rPr>
        <w:rStyle w:val="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F5B3A"/>
    <w:rsid w:val="0D2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left="0" w:firstLine="420" w:firstLineChars="200"/>
    </w:pPr>
    <w:rPr>
      <w:rFonts w:eastAsia="仿宋_GB2312"/>
      <w:sz w:val="32"/>
      <w:szCs w:val="32"/>
    </w:rPr>
  </w:style>
  <w:style w:type="paragraph" w:styleId="3">
    <w:name w:val="Body Text Indent"/>
    <w:basedOn w:val="1"/>
    <w:qFormat/>
    <w:uiPriority w:val="0"/>
    <w:pPr>
      <w:adjustRightInd w:val="0"/>
      <w:snapToGrid w:val="0"/>
      <w:spacing w:line="320" w:lineRule="exact"/>
      <w:ind w:firstLine="200" w:firstLineChars="200"/>
    </w:pPr>
    <w:rPr>
      <w:rFonts w:ascii="宋体" w:hAnsi="宋体" w:eastAsia="黑体"/>
      <w:color w:val="000000"/>
      <w:sz w:val="32"/>
    </w:rPr>
  </w:style>
  <w:style w:type="character" w:customStyle="1" w:styleId="6">
    <w:name w:val="NormalCharacter"/>
    <w:link w:val="1"/>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2020-09-17T01:39:00Z</dcterms:created>
  <dc:creator>豆豆呀</dc:creator>
  <cp:lastModifiedBy>豆豆呀</cp:lastModifiedBy>
  <dcterms:modified xsi:type="dcterms:W3CDTF">2020-09-17T01:41:02Z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