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中卫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市沙坡头区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普及高中阶段教育工作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领导小组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组成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</w:rPr>
      </w:pPr>
      <w:r>
        <w:rPr>
          <w:rFonts w:hint="default" w:ascii="Times New Roman" w:hAnsi="Times New Roman" w:eastAsia="FangSong_GB2312" w:cs="Times New Roman"/>
          <w:sz w:val="32"/>
          <w:szCs w:val="22"/>
        </w:rPr>
        <w:t>为加强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沙坡头区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普及高中阶段教育工作的组织领导，建立齐抓共管、分工协作的工作机制，明确各成员单位的工作职责，确保顺利通过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市级初验、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自治区人民政府评估验收和国务院教育督导委员会办公室评估认定，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沙坡头区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人民政府决定成立中卫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市沙坡头区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普及高中阶段教育工作领导小组。具体如下：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2"/>
        </w:rPr>
        <w:t>一、领导小组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</w:rPr>
      </w:pPr>
      <w:r>
        <w:rPr>
          <w:rFonts w:hint="default" w:ascii="Times New Roman" w:hAnsi="Times New Roman" w:eastAsia="FangSong_GB2312" w:cs="Times New Roman"/>
          <w:sz w:val="32"/>
          <w:szCs w:val="22"/>
        </w:rPr>
        <w:t>组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长：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尹鹏睿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副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FangSong_GB2312" w:cs="Times New Roman"/>
          <w:sz w:val="32"/>
          <w:szCs w:val="22"/>
        </w:rPr>
        <w:t>副组长：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赵  峰   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人民政府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景兆栋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教育局局长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22"/>
        </w:rPr>
        <w:t>成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员：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刘吉祥   区委组织部副部长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万自强   区委宣传部副部长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马立生   区委机构编制委员会办公室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主任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李金凯   区发展和改革局局长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拓守辉   区工业信息化和商务局局长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张睿华   区民政和社会保障局局长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秦  玲  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房国元   区自然资源局局长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潘玉顺   区住房城乡建设和交通局局长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郭建华   区旅游和文化体育广电局局长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王文忠</w:t>
      </w:r>
      <w:r>
        <w:rPr>
          <w:rFonts w:hint="default" w:ascii="Times New Roman" w:hAnsi="Times New Roman" w:eastAsia="FangSong_GB2312" w:cs="Times New Roman"/>
          <w:sz w:val="32"/>
          <w:szCs w:val="22"/>
          <w:lang w:val="en-US" w:eastAsia="zh-CN"/>
        </w:rPr>
        <w:t xml:space="preserve">   区扶开发办公室主任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22"/>
        </w:rPr>
      </w:pPr>
      <w:r>
        <w:rPr>
          <w:rFonts w:hint="default" w:ascii="Times New Roman" w:hAnsi="Times New Roman" w:eastAsia="FangSong_GB2312" w:cs="Times New Roman"/>
          <w:sz w:val="32"/>
          <w:szCs w:val="22"/>
        </w:rPr>
        <w:t>领导小组下设办公室，办公室设在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沙坡头区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教育局，</w:t>
      </w:r>
      <w:r>
        <w:rPr>
          <w:rFonts w:hint="default" w:ascii="Times New Roman" w:hAnsi="Times New Roman" w:eastAsia="FangSong_GB2312" w:cs="Times New Roman"/>
          <w:sz w:val="32"/>
          <w:szCs w:val="22"/>
          <w:lang w:eastAsia="zh-CN"/>
        </w:rPr>
        <w:t>景兆栋</w:t>
      </w:r>
      <w:r>
        <w:rPr>
          <w:rFonts w:hint="default" w:ascii="Times New Roman" w:hAnsi="Times New Roman" w:eastAsia="FangSong_GB2312" w:cs="Times New Roman"/>
          <w:sz w:val="32"/>
          <w:szCs w:val="22"/>
        </w:rPr>
        <w:t>同志兼任办公室主任。今后，领导小组成员因分工调整和人事变动的，不再另行文调整，实行自然更替。</w:t>
      </w: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</w:pPr>
    </w:p>
    <w:p>
      <w:pPr>
        <w:pStyle w:val="5"/>
        <w:rPr>
          <w:rFonts w:hint="default" w:ascii="Times New Roman" w:hAnsi="Times New Roman" w:eastAsia="FangSong_GB2312" w:cs="Times New Roman"/>
          <w:sz w:val="32"/>
          <w:szCs w:val="2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95A74"/>
    <w:rsid w:val="19C613EE"/>
    <w:rsid w:val="4AD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qFormat/>
    <w:uiPriority w:val="99"/>
    <w:pPr>
      <w:ind w:firstLine="200" w:firstLineChars="20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2019-08-22T09:23:00Z</dcterms:created>
  <dc:creator>咸鱼</dc:creator>
  <cp:lastModifiedBy>咸鱼</cp:lastModifiedBy>
  <dcterms:modified xsi:type="dcterms:W3CDTF">2019-08-22T09:33:45Z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