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50" w:type="dxa"/>
        <w:tblInd w:w="-15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5"/>
        <w:gridCol w:w="787"/>
        <w:gridCol w:w="975"/>
        <w:gridCol w:w="963"/>
        <w:gridCol w:w="687"/>
        <w:gridCol w:w="663"/>
        <w:gridCol w:w="684"/>
        <w:gridCol w:w="1203"/>
        <w:gridCol w:w="1188"/>
        <w:gridCol w:w="1300"/>
        <w:gridCol w:w="777"/>
        <w:gridCol w:w="735"/>
        <w:gridCol w:w="1738"/>
        <w:gridCol w:w="1437"/>
        <w:gridCol w:w="2000"/>
        <w:gridCol w:w="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585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64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  <w:lang w:val="en-US" w:eastAsia="zh-CN"/>
              </w:rPr>
              <w:t>中卫市沙坡头区城市饮用水水源地环境保护</w:t>
            </w:r>
            <w:r>
              <w:rPr>
                <w:rFonts w:hint="default" w:ascii="Times New Roman" w:hAnsi="Times New Roman" w:eastAsia="方正小标宋_GBK" w:cs="Times New Roman"/>
                <w:sz w:val="36"/>
                <w:szCs w:val="36"/>
              </w:rPr>
              <w:t>专项行动清理整治任务责任清单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保护区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（一级/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二级）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区划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坐标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问题具体情况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整改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时限</w:t>
            </w:r>
          </w:p>
        </w:tc>
        <w:tc>
          <w:tcPr>
            <w:tcW w:w="33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3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维度</w:t>
            </w:r>
          </w:p>
        </w:tc>
        <w:tc>
          <w:tcPr>
            <w:tcW w:w="13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董学礼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沙坡头区滨河镇大板村1队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北37°29′42.09″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东105°9′15.86″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养殖户董学礼，占地约1320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，养奶牛12头。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沙坡头区滨河镇大板村1队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北37°29′40.30″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东105°9′14.53″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养殖户李慧山，占地约660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，养羊30只。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沙坡头区滨河镇大板村1队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北37°29′49.58″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东105°9′10.94″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养殖户李建心，占地约20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，养羊6只。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卢立业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沙坡头区滨河镇大板村4队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北37°29′22.24″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东105°8′34.27″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养殖户卢立业，占地约260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，养羊10只。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沙坡头区滨河镇大板村4队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北37°29′22.46″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东105°8′34.21″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养殖户王学仁，占地约400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，养羊20只。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沙坡头区滨河镇大板村6队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北37°29′34.84″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东105°7′40.42″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养殖户李应会，占地约1320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，养羊70只。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刘生珍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沙坡头区滨河镇大板村9队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北37°29′36.83″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东105°8′10.87″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养殖户刘生珍，占地约330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，养羊27只。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张小军免烧砖厂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北37°29′34.13″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东105°9′15.21″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区工信局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拓守辉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张小军免烧砖厂，负责人张小军（1537969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8966），2017年在政府已征地上建设生产，占地约6600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㎡，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目前正在搬迁。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纳入“散乱污”企业整治名单中，依法依规进行关闭和拆除，并恢复其原有生态。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宁夏宏涛旺盛工贸有限公司免烧砖厂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沙坡头区滨河镇大板村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北37°29′50.25″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东105°9′13.72″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区工信局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拓守辉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宁夏宏涛旺盛工贸有限公司，负责人宁国涛（15009558895），2013年租用大板村集体土地建设免烧砖厂，占地约7000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纳入“散乱污”企业整治名单中，依法依规进行关闭和拆除，并恢复其原有生态。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陈建海鱼池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坑塘养殖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北37°29′8.43″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东105°6′16.57″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陈建海（唐会贤）鱼池，占地约240亩，从事水产养殖。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配合市农牧局、市环保局对鱼池予以取缔，并恢复其原有生态。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赵岳鱼池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沙坡头区迎水桥镇迎水村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坑塘养殖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北37°29′2.13″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东105°6′4.13″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赵岳鱼池，占地约80亩，从事水产养殖。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配合市农牧局、市环保局对鱼池予以取缔，并恢复其原有生态。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贺勇鱼池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沙坡头区迎水桥镇迎水村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坑塘养殖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北37°28′59.55″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东105°5′57.86″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贺勇鱼池，共挖筑鱼塘2个，分别占地约70亩和77亩，从事水产养殖。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配合市农牧局、市环保局对鱼池予以取缔，并恢复其原有生态。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沙坡头区迎水桥镇牛滩村2队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北37°29′33.77″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东105°7′38.61″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养殖户陈进清，占地约30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㎡，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养羊20只。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廉风池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沙坡头区迎水桥镇牛滩村2队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北37°29′33.32″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东105°7′40.74″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养殖户廉风池，占地约50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㎡，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养羊13只.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沙坡头区迎水桥镇牛滩村3队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北37°29′33.24″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北37°29′33.24″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养殖户王兴礼，占地约100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㎡，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养羊25只。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0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沙坡头区迎水桥镇牛滩村3队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北37°29′46.05″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东105°8′9.85″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养殖户王学金，占地约30㎡，养羊24只。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7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代永学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沙坡头区迎水桥镇牛滩村5队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北37°30′8.42″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东105°7′42.59″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养殖户代永学，占地约600㎡，养牛35头。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沙坡头区迎水桥镇牛滩村5队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北37°30′6.16″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东105°7′36.75″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养殖户刘万金，占地约100㎡，养羊17只。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杨华林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沙坡头区迎水桥镇牛滩村8队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北37°29′46.14″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东105°8′9.66″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养殖户杨华林，占地约100㎡，养羊17只。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周兴宏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沙坡头区迎水桥镇牛滩村8队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北37°29′46.14″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东105°8′9.66″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养殖户周兴宏，占地约200㎡，养羊17只，养牛8头。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陌秀庄园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北37°29′49.52″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东105°7′37.95″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   区民政和社会保障局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     张睿华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陌秀庄园，负责人罗吉荣，滨河镇南街村人。该农家乐位于牛滩村，土地属滨河镇南街村集体所有，2016年6月建成，占地约26亩10672平方米，目前正在营业。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禁止设立排污口，污水必须收集达标处理，如不采取环保措施，予以关停，并定期进行巡查，确保不发生污染问题。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2018年8月31日前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三石一鼎锅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北37°29′49.89″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东105°7′35.47″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   区民政和社会保障局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     张睿华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三石一鼎锅，负责人廉文彪，该农家乐属农户自住房改建而成，占地约600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，目前已停业，但农家乐招牌仍然未拆。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禁止设立排污口，污水必须收集达标处理，如不采取环保措施，予以关停，并定期进行巡查，确保不发生污染问题。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2018年8月31日前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李学奎免烧砖厂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沙坡头区迎水桥镇牛滩村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北37°29′48.17″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东105°7′39.13″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区工信局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拓守辉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李学奎免烧砖厂，负责人李学奎，牛滩村5队人。该砖厂占地5亩3335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㎡，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目前已停产，但厂区内仍堆满免烧砖。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纳入“散乱污”企业整治名单中，依法依规进行关闭和拆除，并恢复其原有生态。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7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常安年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沙坡头区迎水桥镇黑林村2队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北37°28′46.89″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东105°4′41.53″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养殖户常安年，占地约60㎡，养羊11只，养牛1头。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予以取缔，养殖设施进行拆除或关闭。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四海乐农家乐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沙坡头区迎水桥镇码头村4队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旅游餐饮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北37°28′19.65″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东105°4′48.13″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区环保局   区民政和社会保障局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李福华     张睿华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四海乐农家乐，负责人赵海业，码头村4队人。该农家乐属农户自住房改建而成，占地约400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，目前正在营业。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  <w:t>禁止设立排污口，污水必须收集达标处理，如不采取环保措施，予以关停，并定期进行巡查，确保不发生污染问题。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2018年8月31日前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农业面源污染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中卫市沙坡头区城市饮用水水源地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3731833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种植各类农作物约3731833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严格控制水源地保护区内农业种植面积，科学种植，严格控制化肥、农药等非点源污染。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农业面源污染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中卫市沙坡头区城市饮用水水源地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1784225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种植各类农作物约1784225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严格控制水源地保护区内农业种植面积，科学种植，严格控制化肥、农药等非点源污染。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农业面源污染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中卫市沙坡头区城市备用饮用水水源地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1703518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种植各类农作物约1703518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严格控制水源地保护区内农业种植面积，科学种植，严格控制化肥、农药等非点源污染。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农业面源污染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中卫市沙坡头区城市备用饮用水水源地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480240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农业面源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区农牧林业科技局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张永生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种植各类农作物约480240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㎡。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严格控制水源地保护区内农业种植面积，科学种植，严格控制化肥、农药等非点源污染。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2018年6月30日前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中卫市沙坡头区城市饮用水水源地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生活面源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区建设交通局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常住居民约4412人。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将不适宜整体搬迁的农户纳入农村环境综合整治工程，建设污水管网和污水处理设施，取缔相应生活污水排口；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将适宜整体搬迁的农户纳入搬迁计划，制定方案，报市政府审定。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2018年10月31日前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中卫市沙坡头区城市饮用水水源地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生活面源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区建设交通局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滨河镇人民政府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孙健宾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常住居民约3301人。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将不适宜整体搬迁的农户纳入农村环境综合整治工程，建设污水管网和污水处理设施，取缔相应生活污水排口；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将适宜整体搬迁的农户纳入搬迁计划，制定方案，报市政府审定。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2018年10月31日前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1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生活面源污染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备用一级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中卫市沙坡头区城市备用饮用水水源地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生活面源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区建设交通局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迎水桥镇人民政府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李学亮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常住居民约1687人。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将不适宜整体搬迁的农户纳入农村环境综合整治工程，建设污水管网和污水处理设施，取缔相应生活污水排口；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将适宜整体搬迁的农户纳入搬迁计划，制定方案，报市政府审定。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2018年10月31日前</w:t>
            </w: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131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1708"/>
        <w:gridCol w:w="2215"/>
        <w:gridCol w:w="3109"/>
        <w:gridCol w:w="922"/>
        <w:gridCol w:w="1116"/>
        <w:gridCol w:w="3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2" w:hRule="atLeast"/>
        </w:trPr>
        <w:tc>
          <w:tcPr>
            <w:tcW w:w="1312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饮用水水源地环境问题清理整治进展情况统计表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填报单位（盖章）：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水源地名称</w:t>
            </w: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问题具体情况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整治进展情况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成整治</w:t>
            </w: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86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填表人：</w:t>
            </w:r>
          </w:p>
        </w:tc>
        <w:tc>
          <w:tcPr>
            <w:tcW w:w="825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122" w:type="dxa"/>
            <w:gridSpan w:val="7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备注：1.请使用EXCEL格式制表，请勿改变表格格式（如加减列、合并单元格、变更填写表格内容顺序等）。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2.所在地：按中卫市沙坡头区样式填报。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3.整治进展情况：详细填写整治措施以及取得的成效。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4.本表相关信息务必与附件1保持一致。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5.区环保局传真：0955-8806358。区环保局邮箱：sptqhbj@163.com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122" w:type="dxa"/>
            <w:gridSpan w:val="7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122" w:type="dxa"/>
            <w:gridSpan w:val="7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122" w:type="dxa"/>
            <w:gridSpan w:val="7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1587" w:right="2098" w:bottom="1587" w:left="1984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520" w:tblpY="12012"/>
        <w:tblOverlap w:val="never"/>
        <w:tblW w:w="912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/>
    <w:sectPr>
      <w:footerReference r:id="rId3" w:type="default"/>
      <w:pgSz w:w="11906" w:h="16838"/>
      <w:pgMar w:top="2098" w:right="1587" w:bottom="1984" w:left="1587" w:header="851" w:footer="992" w:gutter="0"/>
      <w:pgNumType w:fmt="numberInDash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-128905</wp:posOffset>
              </wp:positionV>
              <wp:extent cx="579755" cy="274955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55" cy="27495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10.15pt;height:21.65pt;width:45.65pt;mso-position-horizontal:center;mso-position-horizontal-relative:margin;z-index:1024;mso-width-relative:page;mso-height-relative:page;" filled="f" stroked="f" coordsize="21600,21600" o:gfxdata="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qCSemdcAAAAGAQAADwAAAAAAAAABACAAAAAiAAAAZHJzL2Rvd25yZXYueG1sUEsB&#10;AhQAFAAAAAgAh07iQBxKJWC9AQAAUA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7358C"/>
    <w:rsid w:val="0A2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2018-05-28T07:59:00Z</dcterms:created>
  <dc:creator>天天向上</dc:creator>
  <cp:lastModifiedBy>天天向上</cp:lastModifiedBy>
  <dcterms:modified xsi:type="dcterms:W3CDTF">2018-05-28T08:00:18Z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