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E" w:rsidRDefault="005649BE">
      <w:pPr>
        <w:widowControl/>
        <w:spacing w:before="100" w:beforeAutospacing="1" w:after="100" w:afterAutospacing="1"/>
        <w:jc w:val="center"/>
        <w:outlineLvl w:val="1"/>
        <w:rPr>
          <w:b/>
          <w:kern w:val="0"/>
          <w:sz w:val="44"/>
          <w:szCs w:val="44"/>
        </w:rPr>
      </w:pPr>
    </w:p>
    <w:p w:rsidR="005649BE" w:rsidRDefault="005649BE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5649BE"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5649BE" w:rsidRDefault="00A45FB5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 w:hint="eastAsia"/>
          <w:b/>
          <w:kern w:val="0"/>
          <w:sz w:val="36"/>
          <w:szCs w:val="36"/>
        </w:rPr>
        <w:lastRenderedPageBreak/>
        <w:t>沙坡头区人大常委会办公室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5649BE" w:rsidRDefault="005649BE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5649BE" w:rsidRDefault="00A45FB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5649BE" w:rsidRDefault="00A45FB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5649BE" w:rsidRDefault="00A45FB5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ayout w:type="fixed"/>
        <w:tblLook w:val="04A0"/>
      </w:tblPr>
      <w:tblGrid>
        <w:gridCol w:w="3860"/>
        <w:gridCol w:w="1360"/>
        <w:gridCol w:w="3860"/>
        <w:gridCol w:w="1360"/>
        <w:gridCol w:w="20"/>
        <w:gridCol w:w="1340"/>
        <w:gridCol w:w="24"/>
        <w:gridCol w:w="1336"/>
      </w:tblGrid>
      <w:tr w:rsidR="005649BE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5649BE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5649BE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17.71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17.71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5649BE" w:rsidRDefault="00A45FB5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5649BE" w:rsidRDefault="005649B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649BE" w:rsidRDefault="005649B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649BE" w:rsidRDefault="005649B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649BE" w:rsidRDefault="00A45FB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5649BE" w:rsidRDefault="00A45FB5">
      <w:pPr>
        <w:widowControl/>
        <w:ind w:firstLineChars="1350" w:firstLine="4879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  <w:r>
        <w:rPr>
          <w:rFonts w:eastAsia="仿宋_GB2312"/>
          <w:kern w:val="0"/>
          <w:sz w:val="32"/>
          <w:szCs w:val="32"/>
        </w:rPr>
        <w:t xml:space="preserve"> </w:t>
      </w:r>
    </w:p>
    <w:p w:rsidR="005649BE" w:rsidRDefault="00A45FB5">
      <w:pPr>
        <w:widowControl/>
        <w:ind w:firstLineChars="3650" w:firstLine="11680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horzAnchor="page" w:tblpX="1511" w:tblpY="26"/>
        <w:tblOverlap w:val="never"/>
        <w:tblW w:w="13800" w:type="dxa"/>
        <w:tblLayout w:type="fixed"/>
        <w:tblLook w:val="04A0"/>
      </w:tblPr>
      <w:tblGrid>
        <w:gridCol w:w="1486"/>
        <w:gridCol w:w="3056"/>
        <w:gridCol w:w="1230"/>
        <w:gridCol w:w="1020"/>
        <w:gridCol w:w="1542"/>
        <w:gridCol w:w="1365"/>
        <w:gridCol w:w="1366"/>
        <w:gridCol w:w="1369"/>
        <w:gridCol w:w="1366"/>
      </w:tblGrid>
      <w:tr w:rsidR="005649BE">
        <w:trPr>
          <w:trHeight w:val="441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5649BE">
        <w:trPr>
          <w:trHeight w:val="1562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2010108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5649BE">
        <w:trPr>
          <w:trHeight w:val="518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40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  <w:tr w:rsidR="005649BE">
        <w:trPr>
          <w:trHeight w:val="47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rFonts w:hAnsi="宋体"/>
                <w:kern w:val="0"/>
                <w:sz w:val="20"/>
                <w:szCs w:val="20"/>
              </w:rPr>
            </w:pPr>
          </w:p>
        </w:tc>
      </w:tr>
    </w:tbl>
    <w:p w:rsidR="005649BE" w:rsidRDefault="00A45FB5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</w:t>
      </w:r>
    </w:p>
    <w:p w:rsidR="005649BE" w:rsidRDefault="00A45FB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5649BE" w:rsidRDefault="005649BE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5649BE" w:rsidRDefault="00A45FB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5649BE" w:rsidRDefault="00A45FB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060" w:type="dxa"/>
        <w:tblInd w:w="91" w:type="dxa"/>
        <w:tblLayout w:type="fixed"/>
        <w:tblLook w:val="04A0"/>
      </w:tblPr>
      <w:tblGrid>
        <w:gridCol w:w="1702"/>
        <w:gridCol w:w="3033"/>
        <w:gridCol w:w="1253"/>
        <w:gridCol w:w="1432"/>
        <w:gridCol w:w="1449"/>
        <w:gridCol w:w="1847"/>
        <w:gridCol w:w="510"/>
        <w:gridCol w:w="1320"/>
        <w:gridCol w:w="1514"/>
      </w:tblGrid>
      <w:tr w:rsidR="005649BE">
        <w:trPr>
          <w:trHeight w:val="894"/>
        </w:trPr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5649BE" w:rsidRDefault="005649BE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5649BE">
        <w:trPr>
          <w:trHeight w:val="4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269.47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193.97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27.5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10.2%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150.60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4.4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2.92%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18.16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14.84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81.71%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2010106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5649BE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2010108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50%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2080505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0.43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2.48%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0.71%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2101103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3.49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0.05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1.43%</w:t>
            </w:r>
          </w:p>
        </w:tc>
      </w:tr>
      <w:tr w:rsidR="005649BE">
        <w:trPr>
          <w:trHeight w:val="4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2210201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10.52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0.11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A45FB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1.05%</w:t>
            </w:r>
          </w:p>
        </w:tc>
      </w:tr>
      <w:tr w:rsidR="005649BE">
        <w:trPr>
          <w:trHeight w:val="4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2080705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公益性岗位补贴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6.38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5649BE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BE" w:rsidRDefault="005649BE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</w:tbl>
    <w:p w:rsidR="005649BE" w:rsidRDefault="00A45FB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5649BE" w:rsidRDefault="00A45FB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5649BE" w:rsidRDefault="00A45FB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Ind w:w="91" w:type="dxa"/>
        <w:tblLayout w:type="fixed"/>
        <w:tblLook w:val="04A0"/>
      </w:tblPr>
      <w:tblGrid>
        <w:gridCol w:w="2357"/>
        <w:gridCol w:w="3600"/>
        <w:gridCol w:w="2520"/>
        <w:gridCol w:w="2700"/>
        <w:gridCol w:w="2520"/>
      </w:tblGrid>
      <w:tr w:rsidR="005649BE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 w:rsidR="005649BE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 w:rsidR="005649BE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18.24</w:t>
            </w: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163.09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37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51.08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40.47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17.71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10.63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10.63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30.88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18.24</w:t>
            </w: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3.5</w:t>
            </w: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0.42</w:t>
            </w: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0.42</w:t>
            </w: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9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2.2</w:t>
            </w: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7.2</w:t>
            </w: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12.64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医疗费</w:t>
            </w:r>
            <w:r>
              <w:rPr>
                <w:rFonts w:hAnsi="宋体"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 w:hint="eastAsia"/>
                <w:sz w:val="22"/>
                <w:szCs w:val="22"/>
              </w:rPr>
              <w:t>个人农业</w:t>
            </w:r>
            <w:r>
              <w:rPr>
                <w:rFonts w:hAnsi="宋体"/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jc w:val="center"/>
              <w:rPr>
                <w:sz w:val="22"/>
                <w:szCs w:val="22"/>
              </w:rPr>
            </w:pPr>
          </w:p>
        </w:tc>
      </w:tr>
      <w:tr w:rsidR="005649BE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5649BE" w:rsidRDefault="005649BE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5649BE" w:rsidRDefault="00A45FB5">
      <w:pPr>
        <w:widowControl/>
        <w:numPr>
          <w:ilvl w:val="0"/>
          <w:numId w:val="1"/>
        </w:numPr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5649BE" w:rsidRDefault="005649BE">
      <w:pPr>
        <w:widowControl/>
        <w:outlineLvl w:val="1"/>
        <w:rPr>
          <w:rFonts w:eastAsia="黑体"/>
          <w:kern w:val="0"/>
          <w:sz w:val="32"/>
          <w:szCs w:val="32"/>
        </w:rPr>
      </w:pPr>
    </w:p>
    <w:p w:rsidR="005649BE" w:rsidRDefault="00A45FB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5649BE" w:rsidRDefault="00A45FB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ayout w:type="fixed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5649BE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5649BE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5649BE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0.06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</w:tr>
      <w:tr w:rsidR="005649B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</w:tbl>
    <w:p w:rsidR="005649BE" w:rsidRDefault="005649BE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5649BE" w:rsidRDefault="005649BE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5649BE" w:rsidRDefault="00A45FB5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5649BE" w:rsidRDefault="00A45FB5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5649BE" w:rsidRDefault="00A45FB5">
      <w:pPr>
        <w:widowControl/>
        <w:ind w:firstLineChars="200" w:firstLine="723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6"/>
          <w:szCs w:val="36"/>
        </w:rPr>
        <w:t xml:space="preserve">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320" w:type="dxa"/>
        <w:tblInd w:w="91" w:type="dxa"/>
        <w:tblLayout w:type="fixed"/>
        <w:tblLook w:val="04A0"/>
      </w:tblPr>
      <w:tblGrid>
        <w:gridCol w:w="1123"/>
        <w:gridCol w:w="1668"/>
        <w:gridCol w:w="1411"/>
        <w:gridCol w:w="1127"/>
        <w:gridCol w:w="1123"/>
        <w:gridCol w:w="1122"/>
        <w:gridCol w:w="1123"/>
        <w:gridCol w:w="1127"/>
        <w:gridCol w:w="1123"/>
        <w:gridCol w:w="1123"/>
        <w:gridCol w:w="1127"/>
        <w:gridCol w:w="1123"/>
      </w:tblGrid>
      <w:tr w:rsidR="005649BE">
        <w:trPr>
          <w:trHeight w:val="640"/>
        </w:trPr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99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5649BE">
        <w:trPr>
          <w:trHeight w:val="1664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539"/>
        </w:trPr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5649BE">
        <w:trPr>
          <w:trHeight w:val="875"/>
        </w:trPr>
        <w:tc>
          <w:tcPr>
            <w:tcW w:w="1432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5649BE" w:rsidRDefault="00A45FB5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七、部门收支预算总表</w:t>
      </w:r>
    </w:p>
    <w:p w:rsidR="005649BE" w:rsidRDefault="00A45FB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5649BE" w:rsidRDefault="00A45FB5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800" w:type="dxa"/>
        <w:tblInd w:w="91" w:type="dxa"/>
        <w:tblLayout w:type="fixed"/>
        <w:tblLook w:val="04A0"/>
      </w:tblPr>
      <w:tblGrid>
        <w:gridCol w:w="3888"/>
        <w:gridCol w:w="1751"/>
        <w:gridCol w:w="3509"/>
        <w:gridCol w:w="1570"/>
        <w:gridCol w:w="1630"/>
        <w:gridCol w:w="1452"/>
      </w:tblGrid>
      <w:tr w:rsidR="005649BE">
        <w:trPr>
          <w:trHeight w:val="409"/>
        </w:trPr>
        <w:tc>
          <w:tcPr>
            <w:tcW w:w="5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6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5649BE">
        <w:trPr>
          <w:trHeight w:val="368"/>
        </w:trPr>
        <w:tc>
          <w:tcPr>
            <w:tcW w:w="388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5649BE">
        <w:trPr>
          <w:trHeight w:val="1069"/>
        </w:trPr>
        <w:tc>
          <w:tcPr>
            <w:tcW w:w="38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17.71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17.71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10.63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460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628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554"/>
        </w:trPr>
        <w:tc>
          <w:tcPr>
            <w:tcW w:w="38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293.97</w:t>
            </w:r>
          </w:p>
        </w:tc>
        <w:tc>
          <w:tcPr>
            <w:tcW w:w="8161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293.97</w:t>
            </w:r>
          </w:p>
        </w:tc>
      </w:tr>
    </w:tbl>
    <w:p w:rsidR="005649BE" w:rsidRDefault="00A45FB5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5649BE" w:rsidRDefault="00A45FB5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5649BE" w:rsidRDefault="00A45FB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5649BE" w:rsidRDefault="00A45FB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80" w:type="dxa"/>
        <w:tblInd w:w="91" w:type="dxa"/>
        <w:tblLayout w:type="fixed"/>
        <w:tblLook w:val="04A0"/>
      </w:tblPr>
      <w:tblGrid>
        <w:gridCol w:w="1387"/>
        <w:gridCol w:w="1847"/>
        <w:gridCol w:w="905"/>
        <w:gridCol w:w="904"/>
        <w:gridCol w:w="905"/>
        <w:gridCol w:w="903"/>
        <w:gridCol w:w="905"/>
        <w:gridCol w:w="903"/>
        <w:gridCol w:w="904"/>
        <w:gridCol w:w="313"/>
        <w:gridCol w:w="591"/>
        <w:gridCol w:w="905"/>
        <w:gridCol w:w="903"/>
        <w:gridCol w:w="905"/>
      </w:tblGrid>
      <w:tr w:rsidR="005649BE">
        <w:trPr>
          <w:trHeight w:val="432"/>
        </w:trPr>
        <w:tc>
          <w:tcPr>
            <w:tcW w:w="3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7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5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5649BE">
        <w:trPr>
          <w:trHeight w:val="1471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5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483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293,97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293,97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293,97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2"/>
                <w:szCs w:val="22"/>
              </w:rPr>
            </w:pPr>
          </w:p>
        </w:tc>
      </w:tr>
      <w:tr w:rsidR="005649BE">
        <w:trPr>
          <w:trHeight w:val="483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2010101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 xml:space="preserve">　</w:t>
            </w:r>
          </w:p>
        </w:tc>
      </w:tr>
      <w:tr w:rsidR="005649BE">
        <w:trPr>
          <w:trHeight w:val="90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483"/>
        </w:trPr>
        <w:tc>
          <w:tcPr>
            <w:tcW w:w="1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4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4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4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4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47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5649BE">
        <w:trPr>
          <w:trHeight w:val="483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5649BE" w:rsidRDefault="00A45FB5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九、部门支出总表</w:t>
      </w:r>
    </w:p>
    <w:p w:rsidR="005649BE" w:rsidRDefault="00A45FB5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5649BE" w:rsidRDefault="00A45FB5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3191"/>
        <w:gridCol w:w="1389"/>
        <w:gridCol w:w="1740"/>
        <w:gridCol w:w="1740"/>
        <w:gridCol w:w="1740"/>
        <w:gridCol w:w="1740"/>
        <w:gridCol w:w="1740"/>
      </w:tblGrid>
      <w:tr w:rsidR="005649BE">
        <w:trPr>
          <w:trHeight w:val="560"/>
        </w:trPr>
        <w:tc>
          <w:tcPr>
            <w:tcW w:w="4371" w:type="dxa"/>
            <w:gridSpan w:val="2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5649BE">
        <w:trPr>
          <w:trHeight w:val="78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Ansi="宋体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389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5649BE" w:rsidRDefault="005649BE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293.97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193.97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2010101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155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2010104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2010106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2010108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55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2080505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机关事业单位养老保险缴费支出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17.71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29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7.09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 xml:space="preserve">　</w:t>
            </w:r>
          </w:p>
        </w:tc>
      </w:tr>
      <w:tr w:rsidR="005649BE">
        <w:trPr>
          <w:trHeight w:val="529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2101103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3.54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5649BE">
        <w:trPr>
          <w:trHeight w:val="529"/>
        </w:trPr>
        <w:tc>
          <w:tcPr>
            <w:tcW w:w="1180" w:type="dxa"/>
            <w:shd w:val="clear" w:color="auto" w:fill="auto"/>
            <w:vAlign w:val="center"/>
          </w:tcPr>
          <w:p w:rsidR="005649BE" w:rsidRDefault="00A45FB5">
            <w:pPr>
              <w:widowControl/>
              <w:spacing w:line="45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2210201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A45FB5"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0"/>
                <w:szCs w:val="20"/>
              </w:rPr>
              <w:t>10.63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649BE" w:rsidRDefault="005649BE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</w:tbl>
    <w:p w:rsidR="005649BE" w:rsidRDefault="005649BE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5649BE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5649BE" w:rsidRDefault="005649BE" w:rsidP="00D31378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5649BE" w:rsidRDefault="005649BE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sectPr w:rsidR="005649BE" w:rsidSect="005649BE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B5B" w:rsidRDefault="00A43B5B" w:rsidP="005649BE">
      <w:r>
        <w:separator/>
      </w:r>
    </w:p>
  </w:endnote>
  <w:endnote w:type="continuationSeparator" w:id="0">
    <w:p w:rsidR="00A43B5B" w:rsidRDefault="00A43B5B" w:rsidP="0056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9BE" w:rsidRDefault="00BA402E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A45FB5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31378" w:rsidRPr="00D31378">
      <w:rPr>
        <w:noProof/>
        <w:sz w:val="28"/>
        <w:szCs w:val="28"/>
        <w:lang w:val="zh-CN"/>
      </w:rPr>
      <w:t>-</w:t>
    </w:r>
    <w:r w:rsidR="00D31378">
      <w:rPr>
        <w:noProof/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 w:rsidR="005649BE" w:rsidRDefault="00564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B5B" w:rsidRDefault="00A43B5B" w:rsidP="005649BE">
      <w:r>
        <w:separator/>
      </w:r>
    </w:p>
  </w:footnote>
  <w:footnote w:type="continuationSeparator" w:id="0">
    <w:p w:rsidR="00A43B5B" w:rsidRDefault="00A43B5B" w:rsidP="00564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ED680"/>
    <w:multiLevelType w:val="singleLevel"/>
    <w:tmpl w:val="5A6ED680"/>
    <w:lvl w:ilvl="0">
      <w:start w:val="1"/>
      <w:numFmt w:val="decimal"/>
      <w:suff w:val="nothing"/>
      <w:lvlText w:val="%1."/>
      <w:lvlJc w:val="left"/>
    </w:lvl>
  </w:abstractNum>
  <w:abstractNum w:abstractNumId="1">
    <w:nsid w:val="5A72D74F"/>
    <w:multiLevelType w:val="singleLevel"/>
    <w:tmpl w:val="5A72D74F"/>
    <w:lvl w:ilvl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36AE2"/>
    <w:rsid w:val="00201392"/>
    <w:rsid w:val="00336AE2"/>
    <w:rsid w:val="005649BE"/>
    <w:rsid w:val="00597797"/>
    <w:rsid w:val="007D6D35"/>
    <w:rsid w:val="00A43B5B"/>
    <w:rsid w:val="00A45FB5"/>
    <w:rsid w:val="00AE113B"/>
    <w:rsid w:val="00BA402E"/>
    <w:rsid w:val="00C81AFE"/>
    <w:rsid w:val="00D31378"/>
    <w:rsid w:val="01A60DC9"/>
    <w:rsid w:val="01AA5ED3"/>
    <w:rsid w:val="029B43A8"/>
    <w:rsid w:val="037A70F8"/>
    <w:rsid w:val="049703DA"/>
    <w:rsid w:val="05FF1D6D"/>
    <w:rsid w:val="092133F2"/>
    <w:rsid w:val="0A291F45"/>
    <w:rsid w:val="0A493E45"/>
    <w:rsid w:val="0AD611F7"/>
    <w:rsid w:val="0D6C5174"/>
    <w:rsid w:val="0EC751F8"/>
    <w:rsid w:val="0ECD3C4A"/>
    <w:rsid w:val="0FE40F92"/>
    <w:rsid w:val="12C503BE"/>
    <w:rsid w:val="149B52C9"/>
    <w:rsid w:val="14C85088"/>
    <w:rsid w:val="15054441"/>
    <w:rsid w:val="15C457CB"/>
    <w:rsid w:val="165456AD"/>
    <w:rsid w:val="176E62CA"/>
    <w:rsid w:val="17792791"/>
    <w:rsid w:val="17FB149B"/>
    <w:rsid w:val="17FC7A77"/>
    <w:rsid w:val="18111ACB"/>
    <w:rsid w:val="1B0527F1"/>
    <w:rsid w:val="1BB410F9"/>
    <w:rsid w:val="1C7708E0"/>
    <w:rsid w:val="1D4A6DE8"/>
    <w:rsid w:val="1D5A2C1B"/>
    <w:rsid w:val="1EE2035C"/>
    <w:rsid w:val="2253411C"/>
    <w:rsid w:val="236051B9"/>
    <w:rsid w:val="25290E17"/>
    <w:rsid w:val="25D21055"/>
    <w:rsid w:val="27917BBE"/>
    <w:rsid w:val="290A54CA"/>
    <w:rsid w:val="291D476E"/>
    <w:rsid w:val="2B946D61"/>
    <w:rsid w:val="2B9D5F30"/>
    <w:rsid w:val="2CD83E5E"/>
    <w:rsid w:val="2D586383"/>
    <w:rsid w:val="2DD31CCE"/>
    <w:rsid w:val="2F5A56FA"/>
    <w:rsid w:val="2FB24364"/>
    <w:rsid w:val="3088220F"/>
    <w:rsid w:val="32144EB5"/>
    <w:rsid w:val="34B13CB5"/>
    <w:rsid w:val="359726A1"/>
    <w:rsid w:val="361702F2"/>
    <w:rsid w:val="363734C8"/>
    <w:rsid w:val="3CD366E9"/>
    <w:rsid w:val="3D864055"/>
    <w:rsid w:val="3DE917BD"/>
    <w:rsid w:val="3DFE7131"/>
    <w:rsid w:val="3E6561A1"/>
    <w:rsid w:val="411025E8"/>
    <w:rsid w:val="41542C3D"/>
    <w:rsid w:val="435B1B8D"/>
    <w:rsid w:val="435C14FA"/>
    <w:rsid w:val="43F53F5B"/>
    <w:rsid w:val="45B34A40"/>
    <w:rsid w:val="4604346E"/>
    <w:rsid w:val="47B35819"/>
    <w:rsid w:val="49F024D4"/>
    <w:rsid w:val="4A341047"/>
    <w:rsid w:val="4A61628F"/>
    <w:rsid w:val="4B4F71B8"/>
    <w:rsid w:val="4C9B76BD"/>
    <w:rsid w:val="4DA649CC"/>
    <w:rsid w:val="4F402C7A"/>
    <w:rsid w:val="4F5554FE"/>
    <w:rsid w:val="50797FFA"/>
    <w:rsid w:val="50E15974"/>
    <w:rsid w:val="51BF691F"/>
    <w:rsid w:val="531F269A"/>
    <w:rsid w:val="53D0271F"/>
    <w:rsid w:val="545802ED"/>
    <w:rsid w:val="54E91E79"/>
    <w:rsid w:val="55620725"/>
    <w:rsid w:val="55C66D6C"/>
    <w:rsid w:val="562F5D6D"/>
    <w:rsid w:val="5645663E"/>
    <w:rsid w:val="56975B4A"/>
    <w:rsid w:val="56A10C7F"/>
    <w:rsid w:val="57864E6D"/>
    <w:rsid w:val="57CB03EE"/>
    <w:rsid w:val="5872732F"/>
    <w:rsid w:val="59340E50"/>
    <w:rsid w:val="5AF50C44"/>
    <w:rsid w:val="5B4B76A2"/>
    <w:rsid w:val="5C3F206E"/>
    <w:rsid w:val="5C7C421A"/>
    <w:rsid w:val="5DCA5B61"/>
    <w:rsid w:val="5DEC55CC"/>
    <w:rsid w:val="5EE92648"/>
    <w:rsid w:val="5F4D51E9"/>
    <w:rsid w:val="5FAF57E3"/>
    <w:rsid w:val="5FF222BE"/>
    <w:rsid w:val="65B64B96"/>
    <w:rsid w:val="65DB0381"/>
    <w:rsid w:val="67B44C35"/>
    <w:rsid w:val="67DE6750"/>
    <w:rsid w:val="681F34F0"/>
    <w:rsid w:val="68BF6D82"/>
    <w:rsid w:val="694269AD"/>
    <w:rsid w:val="69DE04C9"/>
    <w:rsid w:val="6AA42FDA"/>
    <w:rsid w:val="6E6A2006"/>
    <w:rsid w:val="6FA34A06"/>
    <w:rsid w:val="719B31A7"/>
    <w:rsid w:val="71BA2651"/>
    <w:rsid w:val="72B06A16"/>
    <w:rsid w:val="7616107E"/>
    <w:rsid w:val="76382123"/>
    <w:rsid w:val="782461B5"/>
    <w:rsid w:val="78AA535D"/>
    <w:rsid w:val="78E8195D"/>
    <w:rsid w:val="79201C81"/>
    <w:rsid w:val="79570165"/>
    <w:rsid w:val="7966295E"/>
    <w:rsid w:val="7B140696"/>
    <w:rsid w:val="7CFA4CD2"/>
    <w:rsid w:val="7E6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unhideWhenUsed="0" w:qFormat="1"/>
    <w:lsdException w:name="Normal Table" w:semiHidden="0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sid w:val="005649B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64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6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semiHidden/>
    <w:qFormat/>
    <w:rsid w:val="005649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5649BE"/>
    <w:rPr>
      <w:b/>
      <w:bCs/>
    </w:rPr>
  </w:style>
  <w:style w:type="paragraph" w:styleId="a8">
    <w:name w:val="List Paragraph"/>
    <w:basedOn w:val="a"/>
    <w:uiPriority w:val="34"/>
    <w:qFormat/>
    <w:rsid w:val="005649B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semiHidden/>
    <w:qFormat/>
    <w:rsid w:val="005649B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5649B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649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918</Words>
  <Characters>5237</Characters>
  <Application>Microsoft Office Word</Application>
  <DocSecurity>0</DocSecurity>
  <Lines>43</Lines>
  <Paragraphs>12</Paragraphs>
  <ScaleCrop>false</ScaleCrop>
  <Company>联想（北京）有限公司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2018-02-02T07:05:00Z</cp:lastPrinted>
  <dcterms:created xsi:type="dcterms:W3CDTF">2018-02-12T02:03:00Z</dcterms:created>
  <dcterms:modified xsi:type="dcterms:W3CDTF">2018-02-12T02:03:00Z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