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ascii="Times New Roman" w:hAnsi="Times New Roman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设施农业用地备案申请资料清单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1.</w:t>
      </w:r>
      <w:r>
        <w:rPr>
          <w:rFonts w:ascii="Times New Roman" w:hAnsi="Times New Roman" w:eastAsia="仿宋_GB2312" w:cs="仿宋_GB2312"/>
          <w:color w:val="000000"/>
          <w:sz w:val="31"/>
          <w:szCs w:val="31"/>
        </w:rPr>
        <w:t>设施农用地备案申请表；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经营者个人身份证明或企业营业执照；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设施农业建设方案；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4.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项目用地勘测定界图；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5.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农村土地承包经营权流转合同或拥有土地使用权相关证明材料；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t>6.后续需补正资料（草原征占用、环评、水土保持等）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WM0YWNhZDZmODQxMjlkMGNmMjVlNmExMDFkNzUifQ=="/>
  </w:docVars>
  <w:rsids>
    <w:rsidRoot w:val="00000000"/>
    <w:rsid w:val="147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2022-06-23T08:15:44Z</dcterms:created>
  <dc:creator>戴尔</dc:creator>
  <cp:lastModifiedBy>戴尔</cp:lastModifiedBy>
  <dcterms:modified xsi:type="dcterms:W3CDTF">2022-06-23T08:16:32Z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0B29AA7DD90543AC8E5967F4CF58942F</vt:lpwstr>
  </property>
</Properties>
</file>