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建议二</w:t>
      </w:r>
    </w:p>
    <w:tbl>
      <w:tblPr>
        <w:tblStyle w:val="5"/>
        <w:tblW w:w="8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4221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4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详细通讯地址</w:t>
            </w:r>
          </w:p>
        </w:tc>
        <w:tc>
          <w:tcPr>
            <w:tcW w:w="2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董占胜</w:t>
            </w:r>
          </w:p>
        </w:tc>
        <w:tc>
          <w:tcPr>
            <w:tcW w:w="4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滨河镇</w:t>
            </w:r>
          </w:p>
        </w:tc>
        <w:tc>
          <w:tcPr>
            <w:tcW w:w="2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蕊</w:t>
            </w:r>
          </w:p>
        </w:tc>
        <w:tc>
          <w:tcPr>
            <w:tcW w:w="4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滨河镇</w:t>
            </w:r>
          </w:p>
        </w:tc>
        <w:tc>
          <w:tcPr>
            <w:tcW w:w="2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汪福全</w:t>
            </w:r>
          </w:p>
        </w:tc>
        <w:tc>
          <w:tcPr>
            <w:tcW w:w="4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滨河镇</w:t>
            </w:r>
          </w:p>
        </w:tc>
        <w:tc>
          <w:tcPr>
            <w:tcW w:w="2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张爱学</w:t>
            </w:r>
          </w:p>
        </w:tc>
        <w:tc>
          <w:tcPr>
            <w:tcW w:w="4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滨河镇</w:t>
            </w:r>
          </w:p>
        </w:tc>
        <w:tc>
          <w:tcPr>
            <w:tcW w:w="2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王志远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滨河镇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kern w:val="2"/>
          <w:sz w:val="32"/>
          <w:szCs w:val="40"/>
          <w:highlight w:val="none"/>
          <w:lang w:val="en-US" w:eastAsia="zh-CN" w:bidi="ar-SA"/>
        </w:rPr>
        <w:t>案由：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关于加强城区建筑垃圾管理的建议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kern w:val="2"/>
          <w:sz w:val="32"/>
          <w:szCs w:val="40"/>
          <w:highlight w:val="none"/>
          <w:lang w:val="en-US" w:eastAsia="zh-CN" w:bidi="ar-SA"/>
        </w:rPr>
        <w:t>案据：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随着城市的发展和市民生活水平的提高，沙坡头区新建工地数量在近几年呈现快速增长趋势。同时居民对房屋装饰装修需求也在不断增加，随之产生的渣土、废砂浆、混凝土块、废弃模板、木方、砖瓦等建筑（装修）垃圾日益增多。由于城区内无建筑垃圾填埋场所，部分建筑垃圾运输个人为节省垃圾处理费用及运输成本，随意将建筑垃圾倾倒在城乡接合部或较为隐蔽的空地处，导致城区建筑垃圾规模大、种类复杂且难以处理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sectPr>
          <w:pgSz w:w="11906" w:h="16838"/>
          <w:pgMar w:top="2098" w:right="1474" w:bottom="1984" w:left="1587" w:header="851" w:footer="1417" w:gutter="0"/>
          <w:pgNumType w:fmt="decimal" w:start="7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/>
          <w:bCs/>
          <w:snapToGrid w:val="0"/>
          <w:kern w:val="2"/>
          <w:sz w:val="32"/>
          <w:szCs w:val="40"/>
          <w:highlight w:val="none"/>
          <w:lang w:val="en-US" w:eastAsia="zh-CN" w:bidi="ar-SA"/>
        </w:rPr>
        <w:t>方案：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建议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在重点区域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明显位置设置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禁止倾倒建筑垃圾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标语，鼓励居民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随手拍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随手举报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”，发挥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群众监督力量。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加强对建筑垃圾运输信息登记管理，严查城区施工运输车辆擅自倾倒、沿途倾倒、未密闭运输、装载过满或沿途撒漏等违法行为，并根据情节严重程度加大处罚力度。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落实建筑垃圾减量化管理，要求各建设项目尽量采用重复利用率高的材料及设施，从源头上预防和减少工程建设过程中建筑垃圾的产生。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sectPr>
      <w:pgSz w:w="11906" w:h="16838"/>
      <w:pgMar w:top="2098" w:right="1474" w:bottom="1984" w:left="1587" w:header="851" w:footer="136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N2UxZDRiMzkyM2MyYmJlOGRmYjNjNjkzNjc1MmIifQ=="/>
  </w:docVars>
  <w:rsids>
    <w:rsidRoot w:val="00000000"/>
    <w:rsid w:val="0A4A6A94"/>
    <w:rsid w:val="0D815408"/>
    <w:rsid w:val="0FF67523"/>
    <w:rsid w:val="11CB2EF1"/>
    <w:rsid w:val="1E8B460E"/>
    <w:rsid w:val="2CAF1527"/>
    <w:rsid w:val="2E1025B4"/>
    <w:rsid w:val="36C250FF"/>
    <w:rsid w:val="373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仿宋_GB2312"/>
      <w:snapToGrid w:val="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2024-03-07T08:49:00Z</dcterms:created>
  <dc:creator>Administrator</dc:creator>
  <cp:lastModifiedBy>阿冥</cp:lastModifiedBy>
  <cp:lastPrinted>2024-03-19T06:10:00Z</cp:lastPrinted>
  <dcterms:modified xsi:type="dcterms:W3CDTF">2024-04-07T08:10:26Z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3DE92E3B22A244B2B3AD35FB330D018E_12</vt:lpwstr>
  </property>
</Properties>
</file>