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中卫市沙坡头区住房城乡建设和交通局</w:t>
      </w:r>
    </w:p>
    <w:p>
      <w:pPr>
        <w:spacing w:line="560" w:lineRule="exact"/>
        <w:jc w:val="center"/>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rPr>
        <w:t>行政执法主体资格</w:t>
      </w:r>
      <w:r>
        <w:rPr>
          <w:rFonts w:hint="eastAsia" w:ascii="方正小标宋_GBK" w:hAnsi="方正小标宋_GBK" w:eastAsia="方正小标宋_GBK" w:cs="方正小标宋_GBK"/>
          <w:color w:val="auto"/>
          <w:sz w:val="44"/>
          <w:szCs w:val="44"/>
          <w:lang w:eastAsia="zh-CN"/>
        </w:rPr>
        <w:t>清单</w:t>
      </w:r>
    </w:p>
    <w:p>
      <w:pPr>
        <w:spacing w:line="560" w:lineRule="exact"/>
        <w:jc w:val="center"/>
        <w:rPr>
          <w:rFonts w:hint="eastAsia" w:ascii="楷体" w:hAnsi="楷体" w:eastAsia="楷体" w:cs="仿宋_GB2312"/>
          <w:color w:val="auto"/>
          <w:sz w:val="32"/>
          <w:szCs w:val="32"/>
        </w:rPr>
      </w:pPr>
      <w:r>
        <w:rPr>
          <w:rFonts w:hint="eastAsia" w:ascii="楷体" w:hAnsi="楷体" w:eastAsia="楷体" w:cs="仿宋_GB2312"/>
          <w:color w:val="auto"/>
          <w:sz w:val="32"/>
          <w:szCs w:val="32"/>
        </w:rPr>
        <w:t>（行政机关）</w:t>
      </w:r>
    </w:p>
    <w:p>
      <w:pPr>
        <w:pStyle w:val="2"/>
        <w:rPr>
          <w:color w:val="auto"/>
        </w:rPr>
      </w:pPr>
    </w:p>
    <w:tbl>
      <w:tblPr>
        <w:tblStyle w:val="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024"/>
        <w:gridCol w:w="510"/>
        <w:gridCol w:w="123"/>
        <w:gridCol w:w="522"/>
        <w:gridCol w:w="675"/>
        <w:gridCol w:w="750"/>
        <w:gridCol w:w="660"/>
        <w:gridCol w:w="750"/>
        <w:gridCol w:w="56"/>
        <w:gridCol w:w="589"/>
        <w:gridCol w:w="416"/>
        <w:gridCol w:w="562"/>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496" w:type="dxa"/>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单位</w:t>
            </w:r>
          </w:p>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名称</w:t>
            </w:r>
          </w:p>
        </w:tc>
        <w:tc>
          <w:tcPr>
            <w:tcW w:w="2854" w:type="dxa"/>
            <w:gridSpan w:val="5"/>
            <w:vAlign w:val="center"/>
          </w:tcPr>
          <w:p>
            <w:pPr>
              <w:spacing w:line="0" w:lineRule="atLeast"/>
              <w:jc w:val="center"/>
              <w:rPr>
                <w:rFonts w:hint="eastAsia" w:ascii="仿宋_GB2312" w:hAnsi="仿宋_GB2312" w:eastAsia="仿宋_GB2312" w:cs="仿宋_GB2312"/>
                <w:color w:val="auto"/>
                <w:kern w:val="0"/>
                <w:sz w:val="20"/>
                <w:szCs w:val="21"/>
                <w:lang w:val="en-US" w:eastAsia="zh-CN"/>
              </w:rPr>
            </w:pPr>
            <w:r>
              <w:rPr>
                <w:rFonts w:hint="eastAsia" w:ascii="仿宋_GB2312" w:hAnsi="仿宋_GB2312" w:eastAsia="仿宋_GB2312" w:cs="仿宋_GB2312"/>
                <w:color w:val="auto"/>
                <w:kern w:val="0"/>
                <w:sz w:val="20"/>
                <w:szCs w:val="21"/>
                <w:lang w:eastAsia="zh-CN"/>
              </w:rPr>
              <w:t>中卫市沙坡头区住房城乡建设和交通局</w:t>
            </w:r>
          </w:p>
        </w:tc>
        <w:tc>
          <w:tcPr>
            <w:tcW w:w="1410" w:type="dxa"/>
            <w:gridSpan w:val="2"/>
            <w:vAlign w:val="center"/>
          </w:tcPr>
          <w:p>
            <w:pPr>
              <w:spacing w:line="0" w:lineRule="atLeast"/>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单位地址</w:t>
            </w:r>
          </w:p>
        </w:tc>
        <w:tc>
          <w:tcPr>
            <w:tcW w:w="2940" w:type="dxa"/>
            <w:gridSpan w:val="6"/>
            <w:vAlign w:val="center"/>
          </w:tcPr>
          <w:p>
            <w:pPr>
              <w:spacing w:line="0" w:lineRule="atLeast"/>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 w:val="20"/>
                <w:szCs w:val="21"/>
                <w:lang w:eastAsia="zh-CN"/>
              </w:rPr>
              <w:t>中卫市社会福利院西南楼二楼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96" w:type="dxa"/>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法定代表人</w:t>
            </w:r>
          </w:p>
        </w:tc>
        <w:tc>
          <w:tcPr>
            <w:tcW w:w="2854" w:type="dxa"/>
            <w:gridSpan w:val="5"/>
            <w:vAlign w:val="center"/>
          </w:tcPr>
          <w:p>
            <w:pPr>
              <w:spacing w:line="0" w:lineRule="atLeast"/>
              <w:jc w:val="center"/>
              <w:rPr>
                <w:rFonts w:hint="default" w:ascii="仿宋_GB2312" w:hAnsi="仿宋_GB2312" w:eastAsia="仿宋_GB2312" w:cs="仿宋_GB2312"/>
                <w:color w:val="auto"/>
                <w:kern w:val="0"/>
                <w:sz w:val="20"/>
                <w:szCs w:val="21"/>
                <w:lang w:val="en" w:eastAsia="zh-CN"/>
              </w:rPr>
            </w:pPr>
            <w:r>
              <w:rPr>
                <w:rFonts w:hint="eastAsia" w:ascii="仿宋_GB2312" w:hAnsi="仿宋_GB2312" w:eastAsia="仿宋_GB2312" w:cs="仿宋_GB2312"/>
                <w:color w:val="auto"/>
                <w:kern w:val="0"/>
                <w:sz w:val="20"/>
                <w:szCs w:val="21"/>
                <w:lang w:val="en" w:eastAsia="zh-CN"/>
              </w:rPr>
              <w:t>周重南</w:t>
            </w:r>
          </w:p>
        </w:tc>
        <w:tc>
          <w:tcPr>
            <w:tcW w:w="1410" w:type="dxa"/>
            <w:gridSpan w:val="2"/>
            <w:vAlign w:val="center"/>
          </w:tcPr>
          <w:p>
            <w:pPr>
              <w:spacing w:line="0" w:lineRule="atLeast"/>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组织机构代码证号</w:t>
            </w:r>
          </w:p>
        </w:tc>
        <w:tc>
          <w:tcPr>
            <w:tcW w:w="2940" w:type="dxa"/>
            <w:gridSpan w:val="6"/>
            <w:vAlign w:val="center"/>
          </w:tcPr>
          <w:p>
            <w:pPr>
              <w:spacing w:line="0" w:lineRule="atLeast"/>
              <w:rPr>
                <w:rFonts w:hint="default" w:ascii="仿宋_GB2312" w:hAnsi="仿宋_GB2312" w:eastAsia="仿宋_GB2312" w:cs="仿宋_GB2312"/>
                <w:color w:val="auto"/>
                <w:kern w:val="0"/>
                <w:sz w:val="20"/>
                <w:szCs w:val="21"/>
                <w:lang w:val="en-US" w:eastAsia="zh-CN"/>
              </w:rPr>
            </w:pPr>
            <w:r>
              <w:rPr>
                <w:rFonts w:hint="eastAsia" w:ascii="Times New Roman" w:hAnsi="Times New Roman" w:eastAsia="仿宋_GB2312" w:cs="Times New Roman"/>
                <w:color w:val="auto"/>
                <w:kern w:val="0"/>
                <w:sz w:val="21"/>
                <w:szCs w:val="22"/>
                <w:lang w:val="en-US" w:eastAsia="zh-CN"/>
              </w:rPr>
              <w:t>11642300596222041P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jc w:val="center"/>
        </w:trPr>
        <w:tc>
          <w:tcPr>
            <w:tcW w:w="1496" w:type="dxa"/>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主要职责</w:t>
            </w:r>
          </w:p>
        </w:tc>
        <w:tc>
          <w:tcPr>
            <w:tcW w:w="7204" w:type="dxa"/>
            <w:gridSpan w:val="13"/>
            <w:vAlign w:val="center"/>
          </w:tcPr>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1、拟定沙坡头区住房城乡建设的政策及发展规划并组织实施。研究提出沙坡头区住房城乡建设重大问题的政策建议。统筹协调沙坡头区新型城镇化工作。负责职责范围内的住房城乡建设的行业管理。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9"/>
              <w:rPr>
                <w:rFonts w:hint="default"/>
                <w:color w:val="auto"/>
                <w:sz w:val="21"/>
                <w:szCs w:val="22"/>
                <w:lang w:val="en-US" w:eastAsia="zh-CN"/>
              </w:rPr>
            </w:pPr>
            <w:r>
              <w:rPr>
                <w:rFonts w:hint="eastAsia" w:ascii="Times New Roman" w:hAnsi="Times New Roman" w:eastAsia="仿宋_GB2312" w:cs="Times New Roman"/>
                <w:color w:val="auto"/>
                <w:sz w:val="21"/>
                <w:szCs w:val="21"/>
                <w:lang w:val="en-US" w:eastAsia="zh-CN"/>
              </w:rPr>
              <w:t>2、落实住房保障相关政策、制度并配合组织实施。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9"/>
              <w:rPr>
                <w:rFonts w:hint="default"/>
                <w:color w:val="auto"/>
                <w:sz w:val="21"/>
                <w:szCs w:val="22"/>
                <w:lang w:val="en-US" w:eastAsia="zh-CN"/>
              </w:rPr>
            </w:pPr>
            <w:r>
              <w:rPr>
                <w:rFonts w:hint="eastAsia" w:ascii="Times New Roman" w:hAnsi="Times New Roman" w:eastAsia="仿宋_GB2312" w:cs="Times New Roman"/>
                <w:color w:val="auto"/>
                <w:sz w:val="21"/>
                <w:szCs w:val="21"/>
                <w:lang w:val="en-US" w:eastAsia="zh-CN"/>
              </w:rPr>
              <w:t>3、落实工程建设实施阶段国家标准、地方标准。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9"/>
              <w:rPr>
                <w:rFonts w:hint="default"/>
                <w:color w:val="auto"/>
                <w:sz w:val="21"/>
                <w:szCs w:val="22"/>
                <w:lang w:val="en-US" w:eastAsia="zh-CN"/>
              </w:rPr>
            </w:pPr>
            <w:r>
              <w:rPr>
                <w:rFonts w:hint="eastAsia" w:ascii="Times New Roman" w:hAnsi="Times New Roman" w:eastAsia="仿宋_GB2312" w:cs="Times New Roman"/>
                <w:color w:val="auto"/>
                <w:sz w:val="21"/>
                <w:szCs w:val="21"/>
                <w:lang w:val="en-US" w:eastAsia="zh-CN"/>
              </w:rPr>
              <w:t>4、负责国有土地上房屋征收的安全监督管理及物业管理工作。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9"/>
              <w:rPr>
                <w:rFonts w:hint="default"/>
                <w:color w:val="auto"/>
                <w:sz w:val="21"/>
                <w:szCs w:val="22"/>
                <w:lang w:val="en-US" w:eastAsia="zh-CN"/>
              </w:rPr>
            </w:pPr>
            <w:r>
              <w:rPr>
                <w:rFonts w:hint="eastAsia" w:ascii="Times New Roman" w:hAnsi="Times New Roman" w:eastAsia="仿宋_GB2312" w:cs="Times New Roman"/>
                <w:color w:val="auto"/>
                <w:sz w:val="21"/>
                <w:szCs w:val="21"/>
                <w:lang w:val="en-US" w:eastAsia="zh-CN"/>
              </w:rPr>
              <w:t>5、负责建筑市场监督管理，规范许可监管项目各方参建主体市场行为；贯彻执行建筑业行业发展规划、改革方案、产业政策、规章制度；负责许可监管项目农民工工资治欠保支工作；负责沙坡头区发改局审批、备案的房屋建筑和市政工程项目招投标活动的监督管理。指导属地乡镇和行业部门做好限额以下房屋建筑和市政基础设施工程的安全监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9"/>
              <w:rPr>
                <w:rFonts w:hint="default"/>
                <w:color w:val="auto"/>
                <w:sz w:val="21"/>
                <w:szCs w:val="22"/>
                <w:lang w:val="en-US" w:eastAsia="zh-CN"/>
              </w:rPr>
            </w:pPr>
            <w:r>
              <w:rPr>
                <w:rFonts w:hint="eastAsia" w:ascii="Times New Roman" w:hAnsi="Times New Roman" w:eastAsia="仿宋_GB2312" w:cs="Times New Roman"/>
                <w:color w:val="auto"/>
                <w:sz w:val="21"/>
                <w:szCs w:val="21"/>
                <w:lang w:val="en-US" w:eastAsia="zh-CN"/>
              </w:rPr>
              <w:t>6、负责沙坡头区许可的建设工程质量安全监督管理（铁路、交通、水利、民航、电力、通信专业建设工程除外）。负责沙坡头区许可的玻璃悬索桥、玻璃栈道工程质量安全综合指导、协调和督促工作。承担沙坡头区许可的房屋市政工程施工安全监督管理。监督沙坡头区许可工程执行房屋市政工程质量、安全生产和竣工验收备案的政策、规章制度。组织或参与沙坡头区许可的工程质量、安全事故的调查处理。负责沙坡头区发改部门核准审批的建设工程、城市建成区以外（不含工业园区）建设工程的消防设计审查验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9"/>
              <w:rPr>
                <w:rFonts w:hint="default"/>
                <w:color w:val="auto"/>
                <w:sz w:val="21"/>
                <w:szCs w:val="22"/>
                <w:lang w:val="en-US" w:eastAsia="zh-CN"/>
              </w:rPr>
            </w:pPr>
            <w:r>
              <w:rPr>
                <w:rFonts w:hint="eastAsia" w:ascii="Times New Roman" w:hAnsi="Times New Roman" w:eastAsia="仿宋_GB2312" w:cs="Times New Roman"/>
                <w:color w:val="auto"/>
                <w:sz w:val="21"/>
                <w:szCs w:val="21"/>
                <w:lang w:val="en-US" w:eastAsia="zh-CN"/>
              </w:rPr>
              <w:t>7、落实建设科技、建筑节能、建筑产业现代化、绿色建筑发展规划相关政策并组织实施。负责建设科技的推广和成果转化工作。组织实施建筑节能项目，推进城镇减排。指导建筑新材料推广应用。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9"/>
              <w:rPr>
                <w:rFonts w:hint="default"/>
                <w:color w:val="auto"/>
                <w:sz w:val="21"/>
                <w:szCs w:val="22"/>
                <w:lang w:val="en-US" w:eastAsia="zh-CN"/>
              </w:rPr>
            </w:pPr>
            <w:r>
              <w:rPr>
                <w:rFonts w:hint="eastAsia" w:ascii="Times New Roman" w:hAnsi="Times New Roman" w:eastAsia="仿宋_GB2312" w:cs="Times New Roman"/>
                <w:color w:val="auto"/>
                <w:sz w:val="21"/>
                <w:szCs w:val="21"/>
                <w:lang w:val="en-US" w:eastAsia="zh-CN"/>
              </w:rPr>
              <w:t>8、负责指导小城镇和村庄建设、管理。指导农村住房建设管理和城乡住房安全排查整治工作。指导开展农村生活垃圾分类和资源化利用工作。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9"/>
              <w:rPr>
                <w:rFonts w:hint="default"/>
                <w:color w:val="auto"/>
                <w:sz w:val="21"/>
                <w:szCs w:val="22"/>
                <w:lang w:val="en-US" w:eastAsia="zh-CN"/>
              </w:rPr>
            </w:pPr>
            <w:r>
              <w:rPr>
                <w:rFonts w:hint="eastAsia" w:ascii="Times New Roman" w:hAnsi="Times New Roman" w:eastAsia="仿宋_GB2312" w:cs="Times New Roman"/>
                <w:color w:val="auto"/>
                <w:sz w:val="21"/>
                <w:szCs w:val="21"/>
                <w:lang w:val="en-US" w:eastAsia="zh-CN"/>
              </w:rPr>
              <w:t>9、负责沙坡头区许可监管的房屋建筑和市政基础设施工程施工现场扬尘污染防治。负责许可监管房屋建筑和市政基础设施工程施工现场施工过程中非道路移动机械的大气污染防治、噪声污染防治工作。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9"/>
              <w:rPr>
                <w:rFonts w:hint="default"/>
                <w:color w:val="auto"/>
                <w:lang w:eastAsia="zh-CN"/>
              </w:rPr>
            </w:pPr>
            <w:r>
              <w:rPr>
                <w:rFonts w:hint="eastAsia" w:ascii="Times New Roman" w:hAnsi="Times New Roman" w:eastAsia="仿宋_GB2312" w:cs="Times New Roman"/>
                <w:color w:val="auto"/>
                <w:sz w:val="21"/>
                <w:szCs w:val="21"/>
                <w:lang w:val="en-US" w:eastAsia="zh-CN"/>
              </w:rPr>
              <w:t>10、贯彻执行国家交通运输改革与发展的方针政策。执行公路发展有关政策、标准和规范。拟订农村公路发展规划、年度计划并监督实施。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9"/>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11、承担农村公路建设管理职责。负责农村公路的建设、养护和管理工作。负责辖养农村公路路政管理工作，依法保护路产、路权。组织协调农村公路工程建设和工程质量、安全生产监督管理工作。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9"/>
              <w:rPr>
                <w:rFonts w:hint="default"/>
                <w:color w:val="auto"/>
                <w:sz w:val="21"/>
                <w:szCs w:val="22"/>
                <w:lang w:eastAsia="zh-CN"/>
              </w:rPr>
            </w:pPr>
            <w:r>
              <w:rPr>
                <w:rFonts w:hint="eastAsia" w:ascii="Times New Roman" w:hAnsi="Times New Roman" w:eastAsia="仿宋_GB2312" w:cs="Times New Roman"/>
                <w:color w:val="auto"/>
                <w:sz w:val="21"/>
                <w:szCs w:val="21"/>
                <w:lang w:val="en-US" w:eastAsia="zh-CN"/>
              </w:rPr>
              <w:t>12、指导农村公路的应急管理工作。指导农村公路行业环境、节能减排工作。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textAlignment w:val="auto"/>
              <w:outlineLvl w:val="9"/>
              <w:rPr>
                <w:rFonts w:ascii="仿宋_GB2312" w:hAnsi="仿宋_GB2312" w:eastAsia="仿宋_GB2312" w:cs="仿宋_GB2312"/>
                <w:color w:val="auto"/>
                <w:kern w:val="0"/>
                <w:sz w:val="18"/>
                <w:szCs w:val="18"/>
              </w:rPr>
            </w:pPr>
            <w:r>
              <w:rPr>
                <w:rFonts w:hint="eastAsia" w:ascii="Times New Roman" w:hAnsi="Times New Roman" w:eastAsia="仿宋_GB2312" w:cs="Times New Roman"/>
                <w:color w:val="auto"/>
                <w:sz w:val="21"/>
                <w:szCs w:val="21"/>
                <w:lang w:val="en-US" w:eastAsia="zh-CN"/>
              </w:rPr>
              <w:t>13、</w:t>
            </w:r>
            <w:r>
              <w:rPr>
                <w:rFonts w:hint="default" w:ascii="Times New Roman" w:hAnsi="Times New Roman" w:eastAsia="仿宋_GB2312" w:cs="Times New Roman"/>
                <w:color w:val="auto"/>
                <w:sz w:val="21"/>
                <w:szCs w:val="21"/>
                <w:lang w:val="en-US" w:eastAsia="zh-CN"/>
              </w:rPr>
              <w:t>完成沙坡头区委和政府交办的其他任务。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496" w:type="dxa"/>
            <w:vMerge w:val="restart"/>
            <w:tcBorders>
              <w:right w:val="single" w:color="auto" w:sz="4" w:space="0"/>
            </w:tcBorders>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内设机构</w:t>
            </w:r>
          </w:p>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情况</w:t>
            </w:r>
          </w:p>
        </w:tc>
        <w:tc>
          <w:tcPr>
            <w:tcW w:w="1657" w:type="dxa"/>
            <w:gridSpan w:val="3"/>
            <w:tcBorders>
              <w:left w:val="single" w:color="auto" w:sz="4" w:space="0"/>
            </w:tcBorders>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机构</w:t>
            </w:r>
          </w:p>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名称</w:t>
            </w:r>
          </w:p>
        </w:tc>
        <w:tc>
          <w:tcPr>
            <w:tcW w:w="3413" w:type="dxa"/>
            <w:gridSpan w:val="6"/>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主要职责</w:t>
            </w:r>
          </w:p>
        </w:tc>
        <w:tc>
          <w:tcPr>
            <w:tcW w:w="1005" w:type="dxa"/>
            <w:gridSpan w:val="2"/>
            <w:vAlign w:val="center"/>
          </w:tcPr>
          <w:p>
            <w:pPr>
              <w:spacing w:line="0" w:lineRule="atLeast"/>
              <w:jc w:val="center"/>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 w:val="20"/>
                <w:szCs w:val="21"/>
                <w:lang w:eastAsia="zh-CN"/>
              </w:rPr>
              <w:t>负责人</w:t>
            </w:r>
          </w:p>
        </w:tc>
        <w:tc>
          <w:tcPr>
            <w:tcW w:w="1129" w:type="dxa"/>
            <w:gridSpan w:val="2"/>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496" w:type="dxa"/>
            <w:vMerge w:val="continue"/>
            <w:tcBorders>
              <w:right w:val="single" w:color="auto" w:sz="4" w:space="0"/>
            </w:tcBorders>
            <w:vAlign w:val="center"/>
          </w:tcPr>
          <w:p>
            <w:pPr>
              <w:spacing w:line="0" w:lineRule="atLeast"/>
              <w:jc w:val="center"/>
              <w:rPr>
                <w:rFonts w:ascii="仿宋_GB2312" w:hAnsi="仿宋_GB2312" w:eastAsia="仿宋_GB2312" w:cs="仿宋_GB2312"/>
                <w:color w:val="auto"/>
                <w:kern w:val="0"/>
                <w:sz w:val="20"/>
                <w:szCs w:val="21"/>
              </w:rPr>
            </w:pPr>
          </w:p>
        </w:tc>
        <w:tc>
          <w:tcPr>
            <w:tcW w:w="1657" w:type="dxa"/>
            <w:gridSpan w:val="3"/>
            <w:tcBorders>
              <w:left w:val="single" w:color="auto" w:sz="4" w:space="0"/>
            </w:tcBorders>
            <w:vAlign w:val="center"/>
          </w:tcPr>
          <w:p>
            <w:pPr>
              <w:spacing w:line="0" w:lineRule="atLeast"/>
              <w:jc w:val="center"/>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 w:val="20"/>
                <w:szCs w:val="21"/>
                <w:lang w:eastAsia="zh-CN"/>
              </w:rPr>
              <w:t>办公室</w:t>
            </w:r>
          </w:p>
        </w:tc>
        <w:tc>
          <w:tcPr>
            <w:tcW w:w="3413" w:type="dxa"/>
            <w:gridSpan w:val="6"/>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color w:val="auto"/>
                <w:lang w:eastAsia="zh-CN"/>
              </w:rPr>
            </w:pPr>
            <w:r>
              <w:rPr>
                <w:rFonts w:hint="eastAsia" w:ascii="仿宋_GB2312" w:hAnsi="仿宋_GB2312" w:eastAsia="仿宋_GB2312" w:cs="仿宋_GB2312"/>
                <w:color w:val="auto"/>
                <w:kern w:val="0"/>
                <w:sz w:val="18"/>
                <w:szCs w:val="18"/>
                <w:lang w:eastAsia="zh-CN"/>
              </w:rPr>
              <w:t>负责协调和督办局各业务室日常工作；负责机关党建、党风廉政建设、意识形态及精神文明建设、干部管理、文电处理、档案管理、会议协调、志愿服务活动、值班管理；负责保密工作、国家安全、政务公开、法治政府建设、工会、民族宗教、计划生育、固定资产及财务管理等工作；负责起草综合性文件材料、会议纪要、编印简报信息等；负责门户新媒体管理、维护工作；负责市长信箱、信访案件登记转办工作；负责人大建议、政协提案办理的协调、办公楼及局内部后勤保障等工作；牵头负责局非法集资、健康沙坡头区建设暨健康水平提升、公平竞争审查、“双随机、一公开” 监督检查等工作；负责领导交办的其他工作。</w:t>
            </w:r>
          </w:p>
        </w:tc>
        <w:tc>
          <w:tcPr>
            <w:tcW w:w="1005" w:type="dxa"/>
            <w:gridSpan w:val="2"/>
            <w:vAlign w:val="center"/>
          </w:tcPr>
          <w:p>
            <w:pPr>
              <w:spacing w:line="0" w:lineRule="atLeast"/>
              <w:jc w:val="center"/>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 w:val="20"/>
                <w:szCs w:val="21"/>
                <w:lang w:eastAsia="zh-CN"/>
              </w:rPr>
              <w:t>周小喻</w:t>
            </w:r>
          </w:p>
        </w:tc>
        <w:tc>
          <w:tcPr>
            <w:tcW w:w="1129" w:type="dxa"/>
            <w:gridSpan w:val="2"/>
            <w:vAlign w:val="center"/>
          </w:tcPr>
          <w:p>
            <w:pPr>
              <w:spacing w:line="0" w:lineRule="atLeast"/>
              <w:jc w:val="center"/>
              <w:rPr>
                <w:rFonts w:hint="default" w:ascii="仿宋_GB2312" w:hAnsi="仿宋_GB2312" w:eastAsia="仿宋_GB2312" w:cs="仿宋_GB2312"/>
                <w:color w:val="auto"/>
                <w:kern w:val="0"/>
                <w:sz w:val="20"/>
                <w:szCs w:val="21"/>
                <w:lang w:val="en-US" w:eastAsia="zh-CN"/>
              </w:rPr>
            </w:pPr>
            <w:r>
              <w:rPr>
                <w:rFonts w:hint="eastAsia" w:ascii="仿宋_GB2312" w:hAnsi="仿宋_GB2312" w:eastAsia="仿宋_GB2312" w:cs="仿宋_GB2312"/>
                <w:color w:val="auto"/>
                <w:kern w:val="0"/>
                <w:sz w:val="20"/>
                <w:szCs w:val="21"/>
                <w:lang w:val="en-US" w:eastAsia="zh-CN"/>
              </w:rPr>
              <w:t>0955-7630162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496" w:type="dxa"/>
            <w:vMerge w:val="continue"/>
            <w:tcBorders>
              <w:right w:val="single" w:color="auto" w:sz="4" w:space="0"/>
            </w:tcBorders>
            <w:vAlign w:val="center"/>
          </w:tcPr>
          <w:p>
            <w:pPr>
              <w:spacing w:line="0" w:lineRule="atLeast"/>
              <w:jc w:val="center"/>
              <w:rPr>
                <w:rFonts w:ascii="仿宋_GB2312" w:hAnsi="仿宋_GB2312" w:eastAsia="仿宋_GB2312" w:cs="仿宋_GB2312"/>
                <w:color w:val="auto"/>
                <w:kern w:val="0"/>
                <w:sz w:val="20"/>
                <w:szCs w:val="21"/>
              </w:rPr>
            </w:pPr>
          </w:p>
        </w:tc>
        <w:tc>
          <w:tcPr>
            <w:tcW w:w="1657" w:type="dxa"/>
            <w:gridSpan w:val="3"/>
            <w:tcBorders>
              <w:left w:val="single" w:color="auto" w:sz="4" w:space="0"/>
            </w:tcBorders>
            <w:vAlign w:val="center"/>
          </w:tcPr>
          <w:p>
            <w:pPr>
              <w:spacing w:line="0" w:lineRule="atLeast"/>
              <w:jc w:val="center"/>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 w:val="20"/>
                <w:szCs w:val="21"/>
                <w:lang w:eastAsia="zh-CN"/>
              </w:rPr>
              <w:t>住房建设业务室</w:t>
            </w:r>
          </w:p>
        </w:tc>
        <w:tc>
          <w:tcPr>
            <w:tcW w:w="3413" w:type="dxa"/>
            <w:gridSpan w:val="6"/>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负责老旧小区改造等项目实施;负责城市建设项目房屋征收和安置工作；负责沙坡头区建设棚户区改造安置房不动产权证办理工作；配合市级部门做好房地产开发、房屋租赁管理等工作；牵头负责局共青团、城市排水防涝工作；负责业务范围内的信访维稳、安全生产、平安建设等工作；负责领导交办的其他工作。</w:t>
            </w:r>
          </w:p>
        </w:tc>
        <w:tc>
          <w:tcPr>
            <w:tcW w:w="1005" w:type="dxa"/>
            <w:gridSpan w:val="2"/>
            <w:vAlign w:val="center"/>
          </w:tcPr>
          <w:p>
            <w:pPr>
              <w:spacing w:line="0" w:lineRule="atLeast"/>
              <w:jc w:val="center"/>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 w:val="20"/>
                <w:szCs w:val="21"/>
                <w:lang w:eastAsia="zh-CN"/>
              </w:rPr>
              <w:t>王敏</w:t>
            </w:r>
          </w:p>
        </w:tc>
        <w:tc>
          <w:tcPr>
            <w:tcW w:w="1129" w:type="dxa"/>
            <w:gridSpan w:val="2"/>
            <w:vAlign w:val="center"/>
          </w:tcPr>
          <w:p>
            <w:pPr>
              <w:spacing w:line="0" w:lineRule="atLeast"/>
              <w:jc w:val="center"/>
              <w:rPr>
                <w:rFonts w:hint="default" w:ascii="仿宋_GB2312" w:hAnsi="仿宋_GB2312" w:eastAsia="仿宋_GB2312" w:cs="仿宋_GB2312"/>
                <w:color w:val="auto"/>
                <w:kern w:val="0"/>
                <w:sz w:val="20"/>
                <w:szCs w:val="21"/>
                <w:lang w:val="en-US" w:eastAsia="zh-CN"/>
              </w:rPr>
            </w:pPr>
            <w:r>
              <w:rPr>
                <w:rFonts w:hint="eastAsia" w:ascii="仿宋_GB2312" w:hAnsi="仿宋_GB2312" w:eastAsia="仿宋_GB2312" w:cs="仿宋_GB2312"/>
                <w:color w:val="auto"/>
                <w:kern w:val="0"/>
                <w:sz w:val="20"/>
                <w:szCs w:val="21"/>
                <w:lang w:val="en-US" w:eastAsia="zh-CN"/>
              </w:rPr>
              <w:t>0955-7620727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496" w:type="dxa"/>
            <w:vMerge w:val="continue"/>
            <w:tcBorders>
              <w:right w:val="single" w:color="auto" w:sz="4" w:space="0"/>
            </w:tcBorders>
            <w:vAlign w:val="center"/>
          </w:tcPr>
          <w:p>
            <w:pPr>
              <w:spacing w:line="0" w:lineRule="atLeast"/>
              <w:jc w:val="center"/>
              <w:rPr>
                <w:rFonts w:ascii="仿宋_GB2312" w:hAnsi="仿宋_GB2312" w:eastAsia="仿宋_GB2312" w:cs="仿宋_GB2312"/>
                <w:color w:val="auto"/>
                <w:kern w:val="0"/>
                <w:sz w:val="20"/>
                <w:szCs w:val="21"/>
              </w:rPr>
            </w:pPr>
          </w:p>
        </w:tc>
        <w:tc>
          <w:tcPr>
            <w:tcW w:w="1657" w:type="dxa"/>
            <w:gridSpan w:val="3"/>
            <w:tcBorders>
              <w:left w:val="single" w:color="auto" w:sz="4" w:space="0"/>
            </w:tcBorders>
            <w:vAlign w:val="center"/>
          </w:tcPr>
          <w:p>
            <w:pPr>
              <w:spacing w:line="0" w:lineRule="atLeast"/>
              <w:jc w:val="center"/>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 w:val="20"/>
                <w:szCs w:val="21"/>
                <w:lang w:eastAsia="zh-CN"/>
              </w:rPr>
              <w:t>物业管理业务室</w:t>
            </w:r>
          </w:p>
        </w:tc>
        <w:tc>
          <w:tcPr>
            <w:tcW w:w="3413" w:type="dxa"/>
            <w:gridSpan w:val="6"/>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贯彻执行物业管理方面的法律、法规、政策，研究制定沙坡头区物业管理法律法规体系并组织实施；指导住宅小区物业管理招投标、物业承接查验、物业服务企业交接等工作；依法调查和处理违反物业管理法律、法规的行为；牵头负责局创城、爱国卫生、信访维稳、养老诈骗工作；负责业务范围内的安全生产、平安建设、扫黑除恶、专项治理等工作；负责领导交办的其他工作。</w:t>
            </w:r>
          </w:p>
        </w:tc>
        <w:tc>
          <w:tcPr>
            <w:tcW w:w="1005" w:type="dxa"/>
            <w:gridSpan w:val="2"/>
            <w:vAlign w:val="center"/>
          </w:tcPr>
          <w:p>
            <w:pPr>
              <w:spacing w:line="0" w:lineRule="atLeast"/>
              <w:jc w:val="center"/>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 w:val="20"/>
                <w:szCs w:val="21"/>
                <w:lang w:eastAsia="zh-CN"/>
              </w:rPr>
              <w:t>石岩</w:t>
            </w:r>
          </w:p>
        </w:tc>
        <w:tc>
          <w:tcPr>
            <w:tcW w:w="1129" w:type="dxa"/>
            <w:gridSpan w:val="2"/>
            <w:vAlign w:val="center"/>
          </w:tcPr>
          <w:p>
            <w:pPr>
              <w:spacing w:line="0" w:lineRule="atLeast"/>
              <w:jc w:val="center"/>
              <w:rPr>
                <w:rFonts w:hint="default" w:ascii="仿宋_GB2312" w:hAnsi="仿宋_GB2312" w:eastAsia="仿宋_GB2312" w:cs="仿宋_GB2312"/>
                <w:color w:val="auto"/>
                <w:kern w:val="0"/>
                <w:sz w:val="20"/>
                <w:szCs w:val="21"/>
                <w:lang w:val="en-US" w:eastAsia="zh-CN"/>
              </w:rPr>
            </w:pPr>
            <w:r>
              <w:rPr>
                <w:rFonts w:hint="eastAsia" w:ascii="仿宋_GB2312" w:hAnsi="仿宋_GB2312" w:eastAsia="仿宋_GB2312" w:cs="仿宋_GB2312"/>
                <w:color w:val="auto"/>
                <w:kern w:val="0"/>
                <w:sz w:val="20"/>
                <w:szCs w:val="21"/>
                <w:lang w:val="en-US" w:eastAsia="zh-CN"/>
              </w:rPr>
              <w:t>0955-8812008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96" w:type="dxa"/>
            <w:vMerge w:val="continue"/>
            <w:tcBorders>
              <w:right w:val="single" w:color="auto" w:sz="4" w:space="0"/>
            </w:tcBorders>
            <w:vAlign w:val="center"/>
          </w:tcPr>
          <w:p>
            <w:pPr>
              <w:spacing w:line="0" w:lineRule="atLeast"/>
              <w:rPr>
                <w:rFonts w:ascii="仿宋_GB2312" w:hAnsi="仿宋_GB2312" w:eastAsia="仿宋_GB2312" w:cs="仿宋_GB2312"/>
                <w:color w:val="auto"/>
                <w:kern w:val="0"/>
                <w:sz w:val="20"/>
                <w:szCs w:val="21"/>
              </w:rPr>
            </w:pPr>
          </w:p>
        </w:tc>
        <w:tc>
          <w:tcPr>
            <w:tcW w:w="1657" w:type="dxa"/>
            <w:gridSpan w:val="3"/>
            <w:vAlign w:val="center"/>
          </w:tcPr>
          <w:p>
            <w:pPr>
              <w:spacing w:line="0" w:lineRule="atLeast"/>
              <w:jc w:val="center"/>
              <w:rPr>
                <w:rFonts w:hint="eastAsia" w:ascii="仿宋_GB2312" w:hAnsi="仿宋_GB2312" w:eastAsia="仿宋_GB2312" w:cs="仿宋_GB2312"/>
                <w:color w:val="auto"/>
                <w:kern w:val="0"/>
                <w:sz w:val="20"/>
                <w:szCs w:val="21"/>
                <w:lang w:val="en-US" w:eastAsia="zh-CN"/>
              </w:rPr>
            </w:pPr>
            <w:r>
              <w:rPr>
                <w:rFonts w:hint="eastAsia" w:ascii="仿宋_GB2312" w:hAnsi="仿宋_GB2312" w:eastAsia="仿宋_GB2312" w:cs="仿宋_GB2312"/>
                <w:color w:val="auto"/>
                <w:kern w:val="0"/>
                <w:sz w:val="20"/>
                <w:szCs w:val="21"/>
                <w:lang w:val="en-US" w:eastAsia="zh-CN"/>
              </w:rPr>
              <w:t>建筑市场管理业务室</w:t>
            </w:r>
          </w:p>
        </w:tc>
        <w:tc>
          <w:tcPr>
            <w:tcW w:w="3413" w:type="dxa"/>
            <w:gridSpan w:val="6"/>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仿宋_GB2312" w:hAnsi="仿宋_GB2312" w:eastAsia="仿宋_GB2312" w:cs="仿宋_GB2312"/>
                <w:color w:val="auto"/>
                <w:kern w:val="0"/>
                <w:sz w:val="18"/>
                <w:szCs w:val="18"/>
                <w:lang w:eastAsia="zh-CN"/>
              </w:rPr>
            </w:pPr>
            <w:r>
              <w:rPr>
                <w:rFonts w:hint="default" w:ascii="仿宋_GB2312" w:hAnsi="仿宋_GB2312" w:eastAsia="仿宋_GB2312" w:cs="仿宋_GB2312"/>
                <w:color w:val="auto"/>
                <w:kern w:val="0"/>
                <w:sz w:val="18"/>
                <w:szCs w:val="18"/>
                <w:lang w:eastAsia="zh-CN"/>
              </w:rPr>
              <w:t>负责沙坡头区立项建筑项目施工许可、市区建筑领域扬尘治理、起重机械使用登记管理、建筑市场监管、招投标监管、农民工工资治欠保支等工作；负责建设工程（装修）消防设计审查、验收和备案抽查工作；负责社会信用体系建设、建筑节能和绿色建筑、民营经济发展和优化营商环境工作；牵头负责局生态环境保护、政法综治、入库统计、全面深化改革、建设项目进展情况及储备项目统计、建筑领域消防安全等工作；负责业务范围内的信访维稳、安全生产等工作；负责领导交办的其他工作。</w:t>
            </w:r>
          </w:p>
        </w:tc>
        <w:tc>
          <w:tcPr>
            <w:tcW w:w="1005" w:type="dxa"/>
            <w:gridSpan w:val="2"/>
            <w:vAlign w:val="center"/>
          </w:tcPr>
          <w:p>
            <w:pPr>
              <w:spacing w:line="0" w:lineRule="atLeast"/>
              <w:jc w:val="center"/>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 w:val="20"/>
                <w:szCs w:val="21"/>
                <w:lang w:eastAsia="zh-CN"/>
              </w:rPr>
              <w:t>田英君</w:t>
            </w:r>
          </w:p>
        </w:tc>
        <w:tc>
          <w:tcPr>
            <w:tcW w:w="1129" w:type="dxa"/>
            <w:gridSpan w:val="2"/>
            <w:vAlign w:val="center"/>
          </w:tcPr>
          <w:p>
            <w:pPr>
              <w:spacing w:line="0" w:lineRule="atLeast"/>
              <w:jc w:val="center"/>
              <w:rPr>
                <w:rFonts w:hint="eastAsia" w:ascii="仿宋_GB2312" w:hAnsi="仿宋_GB2312" w:eastAsia="仿宋_GB2312" w:cs="仿宋_GB2312"/>
                <w:color w:val="auto"/>
                <w:kern w:val="0"/>
                <w:sz w:val="20"/>
                <w:szCs w:val="21"/>
                <w:lang w:val="en-US" w:eastAsia="zh-CN"/>
              </w:rPr>
            </w:pPr>
            <w:r>
              <w:rPr>
                <w:rFonts w:hint="eastAsia" w:ascii="仿宋_GB2312" w:hAnsi="仿宋_GB2312" w:eastAsia="仿宋_GB2312" w:cs="仿宋_GB2312"/>
                <w:color w:val="auto"/>
                <w:kern w:val="0"/>
                <w:sz w:val="20"/>
                <w:szCs w:val="21"/>
                <w:lang w:val="en-US" w:eastAsia="zh-CN"/>
              </w:rPr>
              <w:t>0955-763016</w:t>
            </w:r>
            <w:r>
              <w:rPr>
                <w:rFonts w:hint="default" w:ascii="仿宋_GB2312" w:hAnsi="仿宋_GB2312" w:eastAsia="仿宋_GB2312" w:cs="仿宋_GB2312"/>
                <w:color w:val="auto"/>
                <w:kern w:val="0"/>
                <w:sz w:val="20"/>
                <w:szCs w:val="21"/>
                <w:lang w:val="en"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96" w:type="dxa"/>
            <w:vMerge w:val="continue"/>
            <w:tcBorders>
              <w:right w:val="single" w:color="auto" w:sz="4" w:space="0"/>
            </w:tcBorders>
            <w:vAlign w:val="center"/>
          </w:tcPr>
          <w:p>
            <w:pPr>
              <w:spacing w:line="0" w:lineRule="atLeast"/>
              <w:rPr>
                <w:rFonts w:ascii="仿宋_GB2312" w:hAnsi="仿宋_GB2312" w:eastAsia="仿宋_GB2312" w:cs="仿宋_GB2312"/>
                <w:color w:val="auto"/>
                <w:kern w:val="0"/>
                <w:sz w:val="20"/>
                <w:szCs w:val="21"/>
              </w:rPr>
            </w:pPr>
          </w:p>
        </w:tc>
        <w:tc>
          <w:tcPr>
            <w:tcW w:w="1657" w:type="dxa"/>
            <w:gridSpan w:val="3"/>
            <w:vAlign w:val="center"/>
          </w:tcPr>
          <w:p>
            <w:pPr>
              <w:spacing w:line="0" w:lineRule="atLeast"/>
              <w:jc w:val="center"/>
              <w:rPr>
                <w:rFonts w:hint="eastAsia" w:ascii="仿宋_GB2312" w:hAnsi="仿宋_GB2312" w:eastAsia="仿宋_GB2312" w:cs="仿宋_GB2312"/>
                <w:color w:val="auto"/>
                <w:kern w:val="0"/>
                <w:sz w:val="20"/>
                <w:szCs w:val="21"/>
                <w:lang w:val="en-US" w:eastAsia="zh-CN"/>
              </w:rPr>
            </w:pPr>
            <w:r>
              <w:rPr>
                <w:rFonts w:hint="eastAsia" w:ascii="仿宋_GB2312" w:hAnsi="仿宋_GB2312" w:eastAsia="仿宋_GB2312" w:cs="仿宋_GB2312"/>
                <w:color w:val="auto"/>
                <w:kern w:val="0"/>
                <w:sz w:val="20"/>
                <w:szCs w:val="21"/>
                <w:lang w:val="en-US" w:eastAsia="zh-CN"/>
              </w:rPr>
              <w:t>村镇业务室</w:t>
            </w:r>
          </w:p>
        </w:tc>
        <w:tc>
          <w:tcPr>
            <w:tcW w:w="3413" w:type="dxa"/>
            <w:gridSpan w:val="6"/>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仿宋_GB2312" w:hAnsi="仿宋_GB2312" w:eastAsia="仿宋_GB2312" w:cs="仿宋_GB2312"/>
                <w:color w:val="auto"/>
                <w:kern w:val="0"/>
                <w:sz w:val="18"/>
                <w:szCs w:val="18"/>
                <w:lang w:eastAsia="zh-CN"/>
              </w:rPr>
            </w:pPr>
            <w:r>
              <w:rPr>
                <w:rFonts w:hint="default" w:ascii="仿宋_GB2312" w:hAnsi="仿宋_GB2312" w:eastAsia="仿宋_GB2312" w:cs="仿宋_GB2312"/>
                <w:color w:val="auto"/>
                <w:kern w:val="0"/>
                <w:sz w:val="18"/>
                <w:szCs w:val="18"/>
                <w:lang w:eastAsia="zh-CN"/>
              </w:rPr>
              <w:t>负责村镇建设与管理、美丽乡村建设、农房改造、农村生活垃圾治理等工作；牵头负责局脱贫攻坚成果同乡村振兴有效衔接、河长制、乡村振兴战略实施、自建房专项整治、清洁能源项目建设、乡村振兴、历史文化遗产保护传承等工作；负责业务范围内的安全生产、信访维稳、平安建设等工作；负责领导交办的其他工作。</w:t>
            </w:r>
          </w:p>
        </w:tc>
        <w:tc>
          <w:tcPr>
            <w:tcW w:w="1005" w:type="dxa"/>
            <w:gridSpan w:val="2"/>
            <w:vAlign w:val="center"/>
          </w:tcPr>
          <w:p>
            <w:pPr>
              <w:spacing w:line="0" w:lineRule="atLeast"/>
              <w:jc w:val="center"/>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 w:val="20"/>
                <w:szCs w:val="21"/>
                <w:lang w:eastAsia="zh-CN"/>
              </w:rPr>
              <w:t>詹新东</w:t>
            </w:r>
          </w:p>
        </w:tc>
        <w:tc>
          <w:tcPr>
            <w:tcW w:w="1129" w:type="dxa"/>
            <w:gridSpan w:val="2"/>
            <w:vAlign w:val="center"/>
          </w:tcPr>
          <w:p>
            <w:pPr>
              <w:spacing w:line="0" w:lineRule="atLeast"/>
              <w:jc w:val="center"/>
              <w:rPr>
                <w:rFonts w:hint="eastAsia" w:ascii="仿宋_GB2312" w:hAnsi="仿宋_GB2312" w:eastAsia="仿宋_GB2312" w:cs="仿宋_GB2312"/>
                <w:color w:val="auto"/>
                <w:kern w:val="0"/>
                <w:sz w:val="20"/>
                <w:szCs w:val="21"/>
                <w:lang w:val="en-US" w:eastAsia="zh-CN"/>
              </w:rPr>
            </w:pPr>
            <w:r>
              <w:rPr>
                <w:rFonts w:hint="eastAsia" w:ascii="仿宋_GB2312" w:hAnsi="仿宋_GB2312" w:eastAsia="仿宋_GB2312" w:cs="仿宋_GB2312"/>
                <w:color w:val="auto"/>
                <w:kern w:val="0"/>
                <w:sz w:val="20"/>
                <w:szCs w:val="21"/>
                <w:lang w:val="en-US" w:eastAsia="zh-CN"/>
              </w:rPr>
              <w:t>0955-7630130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96" w:type="dxa"/>
            <w:vMerge w:val="continue"/>
            <w:tcBorders>
              <w:right w:val="single" w:color="auto" w:sz="4" w:space="0"/>
            </w:tcBorders>
            <w:vAlign w:val="center"/>
          </w:tcPr>
          <w:p>
            <w:pPr>
              <w:spacing w:line="0" w:lineRule="atLeast"/>
              <w:rPr>
                <w:rFonts w:ascii="仿宋_GB2312" w:hAnsi="仿宋_GB2312" w:eastAsia="仿宋_GB2312" w:cs="仿宋_GB2312"/>
                <w:color w:val="auto"/>
                <w:kern w:val="0"/>
                <w:sz w:val="20"/>
                <w:szCs w:val="21"/>
              </w:rPr>
            </w:pPr>
          </w:p>
        </w:tc>
        <w:tc>
          <w:tcPr>
            <w:tcW w:w="1657" w:type="dxa"/>
            <w:gridSpan w:val="3"/>
            <w:vAlign w:val="center"/>
          </w:tcPr>
          <w:p>
            <w:pPr>
              <w:spacing w:line="0" w:lineRule="atLeast"/>
              <w:jc w:val="center"/>
              <w:rPr>
                <w:rFonts w:hint="eastAsia" w:ascii="仿宋_GB2312" w:hAnsi="仿宋_GB2312" w:eastAsia="仿宋_GB2312" w:cs="仿宋_GB2312"/>
                <w:color w:val="auto"/>
                <w:kern w:val="0"/>
                <w:sz w:val="20"/>
                <w:szCs w:val="21"/>
                <w:lang w:val="en-US" w:eastAsia="zh-CN" w:bidi="ar-SA"/>
              </w:rPr>
            </w:pPr>
            <w:r>
              <w:rPr>
                <w:rFonts w:hint="eastAsia" w:ascii="仿宋_GB2312" w:hAnsi="仿宋_GB2312" w:eastAsia="仿宋_GB2312" w:cs="仿宋_GB2312"/>
                <w:color w:val="auto"/>
                <w:kern w:val="0"/>
                <w:sz w:val="20"/>
                <w:szCs w:val="21"/>
                <w:lang w:val="en-US" w:eastAsia="zh-CN"/>
              </w:rPr>
              <w:t>交通业务室</w:t>
            </w:r>
          </w:p>
        </w:tc>
        <w:tc>
          <w:tcPr>
            <w:tcW w:w="3413" w:type="dxa"/>
            <w:gridSpan w:val="6"/>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eastAsia="zh-CN"/>
              </w:rPr>
              <w:t>负责交通领域内的业务工作，负责重大交通项目的协调服务、交通战备、农村公路建设等工作；负责沙坡头区交通运输工程系列初级职称申报评审工作；牵头负责局招商引资、防汛抗旱等工作；负责交通领域安全生产、信访维稳、平安建设等工作；负责领导交办的其他工作。</w:t>
            </w:r>
          </w:p>
        </w:tc>
        <w:tc>
          <w:tcPr>
            <w:tcW w:w="1005" w:type="dxa"/>
            <w:gridSpan w:val="2"/>
            <w:vAlign w:val="center"/>
          </w:tcPr>
          <w:p>
            <w:pPr>
              <w:spacing w:line="0" w:lineRule="atLeast"/>
              <w:jc w:val="center"/>
              <w:rPr>
                <w:rFonts w:hint="eastAsia" w:ascii="仿宋_GB2312" w:hAnsi="仿宋_GB2312" w:eastAsia="仿宋_GB2312" w:cs="仿宋_GB2312"/>
                <w:color w:val="auto"/>
                <w:kern w:val="0"/>
                <w:sz w:val="20"/>
                <w:szCs w:val="21"/>
                <w:lang w:val="en-US" w:eastAsia="zh-CN" w:bidi="ar-SA"/>
              </w:rPr>
            </w:pPr>
            <w:r>
              <w:rPr>
                <w:rFonts w:hint="eastAsia" w:ascii="仿宋_GB2312" w:hAnsi="仿宋_GB2312" w:eastAsia="仿宋_GB2312" w:cs="仿宋_GB2312"/>
                <w:color w:val="auto"/>
                <w:kern w:val="0"/>
                <w:sz w:val="20"/>
                <w:szCs w:val="21"/>
                <w:lang w:val="en-US" w:eastAsia="zh-CN" w:bidi="ar-SA"/>
              </w:rPr>
              <w:t>周立鹏</w:t>
            </w:r>
          </w:p>
        </w:tc>
        <w:tc>
          <w:tcPr>
            <w:tcW w:w="1129" w:type="dxa"/>
            <w:gridSpan w:val="2"/>
            <w:vAlign w:val="center"/>
          </w:tcPr>
          <w:p>
            <w:pPr>
              <w:spacing w:line="0" w:lineRule="atLeast"/>
              <w:jc w:val="center"/>
              <w:rPr>
                <w:rFonts w:hint="eastAsia" w:ascii="仿宋_GB2312" w:hAnsi="仿宋_GB2312" w:eastAsia="仿宋_GB2312" w:cs="仿宋_GB2312"/>
                <w:color w:val="auto"/>
                <w:kern w:val="0"/>
                <w:sz w:val="20"/>
                <w:szCs w:val="21"/>
                <w:lang w:val="en-US" w:eastAsia="zh-CN" w:bidi="ar-SA"/>
              </w:rPr>
            </w:pPr>
            <w:r>
              <w:rPr>
                <w:rFonts w:hint="eastAsia" w:ascii="仿宋_GB2312" w:hAnsi="仿宋_GB2312" w:eastAsia="仿宋_GB2312" w:cs="仿宋_GB2312"/>
                <w:color w:val="auto"/>
                <w:kern w:val="0"/>
                <w:sz w:val="20"/>
                <w:szCs w:val="21"/>
                <w:lang w:val="en-US" w:eastAsia="zh-CN"/>
              </w:rPr>
              <w:t>0955-7620724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96" w:type="dxa"/>
            <w:vMerge w:val="continue"/>
            <w:tcBorders>
              <w:right w:val="single" w:color="auto" w:sz="4" w:space="0"/>
            </w:tcBorders>
            <w:vAlign w:val="center"/>
          </w:tcPr>
          <w:p>
            <w:pPr>
              <w:spacing w:line="0" w:lineRule="atLeast"/>
              <w:rPr>
                <w:rFonts w:ascii="仿宋_GB2312" w:hAnsi="仿宋_GB2312" w:eastAsia="仿宋_GB2312" w:cs="仿宋_GB2312"/>
                <w:color w:val="auto"/>
                <w:kern w:val="0"/>
                <w:sz w:val="20"/>
                <w:szCs w:val="21"/>
              </w:rPr>
            </w:pPr>
          </w:p>
        </w:tc>
        <w:tc>
          <w:tcPr>
            <w:tcW w:w="1657" w:type="dxa"/>
            <w:gridSpan w:val="3"/>
            <w:vAlign w:val="center"/>
          </w:tcPr>
          <w:p>
            <w:pPr>
              <w:spacing w:line="0" w:lineRule="atLeast"/>
              <w:jc w:val="center"/>
              <w:rPr>
                <w:rFonts w:hint="eastAsia" w:ascii="仿宋_GB2312" w:hAnsi="仿宋_GB2312" w:eastAsia="仿宋_GB2312" w:cs="仿宋_GB2312"/>
                <w:color w:val="auto"/>
                <w:kern w:val="0"/>
                <w:sz w:val="20"/>
                <w:szCs w:val="21"/>
                <w:lang w:val="en-US" w:eastAsia="zh-CN"/>
              </w:rPr>
            </w:pPr>
            <w:r>
              <w:rPr>
                <w:rFonts w:hint="eastAsia" w:ascii="仿宋_GB2312" w:hAnsi="仿宋_GB2312" w:eastAsia="仿宋_GB2312" w:cs="仿宋_GB2312"/>
                <w:color w:val="auto"/>
                <w:kern w:val="0"/>
                <w:sz w:val="20"/>
                <w:szCs w:val="21"/>
                <w:lang w:val="en-US" w:eastAsia="zh-CN"/>
              </w:rPr>
              <w:t>质量安全监督站</w:t>
            </w:r>
          </w:p>
        </w:tc>
        <w:tc>
          <w:tcPr>
            <w:tcW w:w="3413" w:type="dxa"/>
            <w:gridSpan w:val="6"/>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负责对沙坡头区建设工程质量进行监督管理，监督检查施工现场工程建设各方主体的质量行为及工程实体质量，核查参建人员的资格，监督工程竣工验收；负责建设工程施工现场的安全监督检查，参与建设工程施工安全事故的调查及应急突发事件的处理等；牵头负责局安全生产、限额以下房屋建筑和市政工程监管、防灾减灾、食品安全、质量强区等工作；负责建筑工程质量安全监督领域信访维稳、平安建设等工作；负责领导交办的其他工作。</w:t>
            </w:r>
          </w:p>
        </w:tc>
        <w:tc>
          <w:tcPr>
            <w:tcW w:w="1005" w:type="dxa"/>
            <w:gridSpan w:val="2"/>
            <w:vAlign w:val="center"/>
          </w:tcPr>
          <w:p>
            <w:pPr>
              <w:spacing w:line="0" w:lineRule="atLeast"/>
              <w:jc w:val="center"/>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 w:val="20"/>
                <w:szCs w:val="21"/>
                <w:lang w:eastAsia="zh-CN"/>
              </w:rPr>
              <w:t>邵斐</w:t>
            </w:r>
          </w:p>
        </w:tc>
        <w:tc>
          <w:tcPr>
            <w:tcW w:w="1129" w:type="dxa"/>
            <w:gridSpan w:val="2"/>
            <w:vAlign w:val="center"/>
          </w:tcPr>
          <w:p>
            <w:pPr>
              <w:spacing w:line="0" w:lineRule="atLeast"/>
              <w:jc w:val="center"/>
              <w:rPr>
                <w:rFonts w:hint="default" w:ascii="仿宋_GB2312" w:hAnsi="仿宋_GB2312" w:eastAsia="仿宋_GB2312" w:cs="仿宋_GB2312"/>
                <w:color w:val="auto"/>
                <w:kern w:val="0"/>
                <w:sz w:val="20"/>
                <w:szCs w:val="21"/>
                <w:lang w:val="en" w:eastAsia="zh-CN"/>
              </w:rPr>
            </w:pPr>
            <w:r>
              <w:rPr>
                <w:rFonts w:hint="eastAsia" w:ascii="仿宋_GB2312" w:hAnsi="仿宋_GB2312" w:eastAsia="仿宋_GB2312" w:cs="仿宋_GB2312"/>
                <w:color w:val="auto"/>
                <w:kern w:val="0"/>
                <w:sz w:val="20"/>
                <w:szCs w:val="21"/>
                <w:lang w:val="en-US" w:eastAsia="zh-CN"/>
              </w:rPr>
              <w:t>0955-</w:t>
            </w:r>
            <w:r>
              <w:rPr>
                <w:rFonts w:hint="default" w:ascii="仿宋_GB2312" w:hAnsi="仿宋_GB2312" w:eastAsia="仿宋_GB2312" w:cs="仿宋_GB2312"/>
                <w:color w:val="auto"/>
                <w:kern w:val="0"/>
                <w:sz w:val="20"/>
                <w:szCs w:val="21"/>
                <w:lang w:val="en" w:eastAsia="zh-CN"/>
              </w:rPr>
              <w:t>8812026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496" w:type="dxa"/>
            <w:vMerge w:val="continue"/>
            <w:tcBorders>
              <w:right w:val="single" w:color="auto" w:sz="4" w:space="0"/>
            </w:tcBorders>
            <w:vAlign w:val="center"/>
          </w:tcPr>
          <w:p>
            <w:pPr>
              <w:spacing w:line="0" w:lineRule="atLeast"/>
              <w:rPr>
                <w:rFonts w:ascii="仿宋_GB2312" w:hAnsi="仿宋_GB2312" w:eastAsia="仿宋_GB2312" w:cs="仿宋_GB2312"/>
                <w:color w:val="auto"/>
                <w:kern w:val="0"/>
                <w:sz w:val="20"/>
                <w:szCs w:val="21"/>
              </w:rPr>
            </w:pPr>
          </w:p>
        </w:tc>
        <w:tc>
          <w:tcPr>
            <w:tcW w:w="1657" w:type="dxa"/>
            <w:gridSpan w:val="3"/>
            <w:vAlign w:val="center"/>
          </w:tcPr>
          <w:p>
            <w:pPr>
              <w:spacing w:line="0" w:lineRule="atLeast"/>
              <w:jc w:val="center"/>
              <w:rPr>
                <w:rFonts w:hint="eastAsia" w:ascii="仿宋_GB2312" w:hAnsi="仿宋_GB2312" w:eastAsia="仿宋_GB2312" w:cs="仿宋_GB2312"/>
                <w:color w:val="auto"/>
                <w:kern w:val="0"/>
                <w:sz w:val="20"/>
                <w:szCs w:val="21"/>
                <w:lang w:val="en-US" w:eastAsia="zh-CN"/>
              </w:rPr>
            </w:pPr>
            <w:r>
              <w:rPr>
                <w:rFonts w:hint="eastAsia" w:ascii="仿宋_GB2312" w:hAnsi="仿宋_GB2312" w:eastAsia="仿宋_GB2312" w:cs="仿宋_GB2312"/>
                <w:color w:val="auto"/>
                <w:kern w:val="0"/>
                <w:sz w:val="20"/>
                <w:szCs w:val="21"/>
                <w:lang w:eastAsia="zh-CN"/>
              </w:rPr>
              <w:t>公路管理段</w:t>
            </w:r>
          </w:p>
        </w:tc>
        <w:tc>
          <w:tcPr>
            <w:tcW w:w="3413" w:type="dxa"/>
            <w:gridSpan w:val="6"/>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负责农村公路养护和管理工作，依法保护路产路权。</w:t>
            </w:r>
          </w:p>
        </w:tc>
        <w:tc>
          <w:tcPr>
            <w:tcW w:w="1005" w:type="dxa"/>
            <w:gridSpan w:val="2"/>
            <w:vAlign w:val="center"/>
          </w:tcPr>
          <w:p>
            <w:pPr>
              <w:spacing w:line="0" w:lineRule="atLeast"/>
              <w:jc w:val="center"/>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 w:val="20"/>
                <w:szCs w:val="21"/>
                <w:lang w:eastAsia="zh-CN"/>
              </w:rPr>
              <w:t>王永红</w:t>
            </w:r>
          </w:p>
        </w:tc>
        <w:tc>
          <w:tcPr>
            <w:tcW w:w="1129" w:type="dxa"/>
            <w:gridSpan w:val="2"/>
            <w:vAlign w:val="center"/>
          </w:tcPr>
          <w:p>
            <w:pPr>
              <w:spacing w:line="0" w:lineRule="atLeast"/>
              <w:jc w:val="center"/>
              <w:rPr>
                <w:rFonts w:hint="default" w:ascii="仿宋_GB2312" w:hAnsi="仿宋_GB2312" w:eastAsia="仿宋_GB2312" w:cs="仿宋_GB2312"/>
                <w:color w:val="auto"/>
                <w:kern w:val="0"/>
                <w:sz w:val="20"/>
                <w:szCs w:val="21"/>
                <w:lang w:val="en-US" w:eastAsia="zh-CN"/>
              </w:rPr>
            </w:pPr>
            <w:r>
              <w:rPr>
                <w:rFonts w:hint="eastAsia" w:ascii="仿宋_GB2312" w:hAnsi="仿宋_GB2312" w:eastAsia="仿宋_GB2312" w:cs="仿宋_GB2312"/>
                <w:color w:val="auto"/>
                <w:kern w:val="0"/>
                <w:sz w:val="20"/>
                <w:szCs w:val="21"/>
                <w:lang w:val="en-US" w:eastAsia="zh-CN"/>
              </w:rPr>
              <w:t>0955-7012099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496" w:type="dxa"/>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主要承担</w:t>
            </w:r>
            <w:r>
              <w:rPr>
                <w:rFonts w:hint="eastAsia" w:ascii="仿宋_GB2312" w:hAnsi="仿宋_GB2312" w:eastAsia="仿宋_GB2312" w:cs="仿宋_GB2312"/>
                <w:color w:val="auto"/>
                <w:kern w:val="0"/>
                <w:sz w:val="20"/>
                <w:szCs w:val="21"/>
                <w:lang w:eastAsia="zh-CN"/>
              </w:rPr>
              <w:t>法治</w:t>
            </w:r>
            <w:r>
              <w:rPr>
                <w:rFonts w:hint="eastAsia" w:ascii="仿宋_GB2312" w:hAnsi="仿宋_GB2312" w:eastAsia="仿宋_GB2312" w:cs="仿宋_GB2312"/>
                <w:color w:val="auto"/>
                <w:kern w:val="0"/>
                <w:sz w:val="20"/>
                <w:szCs w:val="21"/>
              </w:rPr>
              <w:t>业务的科室</w:t>
            </w:r>
          </w:p>
        </w:tc>
        <w:tc>
          <w:tcPr>
            <w:tcW w:w="7204" w:type="dxa"/>
            <w:gridSpan w:val="13"/>
            <w:vAlign w:val="center"/>
          </w:tcPr>
          <w:p>
            <w:pPr>
              <w:spacing w:line="0" w:lineRule="atLeast"/>
              <w:jc w:val="center"/>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 w:val="20"/>
                <w:szCs w:val="21"/>
                <w:lang w:eastAsia="zh-CN"/>
              </w:rPr>
              <w:t>建筑市场管理业务室、质量安全监督站、公路管理段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96" w:type="dxa"/>
            <w:vMerge w:val="restart"/>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执法</w:t>
            </w:r>
          </w:p>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类型</w:t>
            </w:r>
          </w:p>
        </w:tc>
        <w:tc>
          <w:tcPr>
            <w:tcW w:w="1024" w:type="dxa"/>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行政</w:t>
            </w:r>
          </w:p>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许可</w:t>
            </w:r>
          </w:p>
        </w:tc>
        <w:tc>
          <w:tcPr>
            <w:tcW w:w="510" w:type="dxa"/>
            <w:vAlign w:val="center"/>
          </w:tcPr>
          <w:p>
            <w:pPr>
              <w:spacing w:line="0" w:lineRule="atLeast"/>
              <w:jc w:val="center"/>
              <w:rPr>
                <w:rFonts w:ascii="仿宋_GB2312" w:hAnsi="仿宋_GB2312" w:eastAsia="仿宋_GB2312" w:cs="仿宋_GB2312"/>
                <w:color w:val="auto"/>
                <w:kern w:val="0"/>
                <w:sz w:val="20"/>
                <w:szCs w:val="21"/>
              </w:rPr>
            </w:pPr>
            <w:r>
              <w:rPr>
                <w:rFonts w:hint="eastAsia" w:ascii="微软雅黑" w:hAnsi="微软雅黑" w:eastAsia="微软雅黑" w:cs="微软雅黑"/>
                <w:color w:val="auto"/>
                <w:kern w:val="0"/>
                <w:sz w:val="20"/>
                <w:szCs w:val="21"/>
              </w:rPr>
              <w:t>√</w:t>
            </w:r>
          </w:p>
        </w:tc>
        <w:tc>
          <w:tcPr>
            <w:tcW w:w="645" w:type="dxa"/>
            <w:gridSpan w:val="2"/>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行政裁决</w:t>
            </w:r>
          </w:p>
        </w:tc>
        <w:tc>
          <w:tcPr>
            <w:tcW w:w="675" w:type="dxa"/>
            <w:vAlign w:val="center"/>
          </w:tcPr>
          <w:p>
            <w:pPr>
              <w:spacing w:line="0" w:lineRule="atLeast"/>
              <w:jc w:val="center"/>
              <w:rPr>
                <w:rFonts w:ascii="仿宋_GB2312" w:hAnsi="仿宋_GB2312" w:eastAsia="仿宋_GB2312" w:cs="仿宋_GB2312"/>
                <w:color w:val="auto"/>
                <w:kern w:val="0"/>
                <w:sz w:val="20"/>
                <w:szCs w:val="21"/>
              </w:rPr>
            </w:pPr>
          </w:p>
        </w:tc>
        <w:tc>
          <w:tcPr>
            <w:tcW w:w="750" w:type="dxa"/>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行政</w:t>
            </w:r>
          </w:p>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收费</w:t>
            </w:r>
          </w:p>
        </w:tc>
        <w:tc>
          <w:tcPr>
            <w:tcW w:w="660" w:type="dxa"/>
            <w:vAlign w:val="center"/>
          </w:tcPr>
          <w:p>
            <w:pPr>
              <w:spacing w:line="0" w:lineRule="atLeast"/>
              <w:jc w:val="center"/>
              <w:rPr>
                <w:rFonts w:ascii="仿宋_GB2312" w:hAnsi="仿宋_GB2312" w:eastAsia="仿宋_GB2312" w:cs="仿宋_GB2312"/>
                <w:color w:val="auto"/>
                <w:kern w:val="0"/>
                <w:sz w:val="20"/>
                <w:szCs w:val="21"/>
              </w:rPr>
            </w:pPr>
            <w:r>
              <w:rPr>
                <w:rFonts w:hint="eastAsia" w:ascii="微软雅黑" w:hAnsi="微软雅黑" w:eastAsia="微软雅黑" w:cs="微软雅黑"/>
                <w:color w:val="auto"/>
                <w:kern w:val="0"/>
                <w:sz w:val="20"/>
                <w:szCs w:val="21"/>
              </w:rPr>
              <w:t>√</w:t>
            </w:r>
          </w:p>
        </w:tc>
        <w:tc>
          <w:tcPr>
            <w:tcW w:w="750" w:type="dxa"/>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行政</w:t>
            </w:r>
          </w:p>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征收</w:t>
            </w:r>
          </w:p>
        </w:tc>
        <w:tc>
          <w:tcPr>
            <w:tcW w:w="645" w:type="dxa"/>
            <w:gridSpan w:val="2"/>
            <w:vAlign w:val="center"/>
          </w:tcPr>
          <w:p>
            <w:pPr>
              <w:spacing w:line="0" w:lineRule="atLeast"/>
              <w:jc w:val="center"/>
              <w:rPr>
                <w:rFonts w:ascii="仿宋_GB2312" w:hAnsi="仿宋_GB2312" w:eastAsia="仿宋_GB2312" w:cs="仿宋_GB2312"/>
                <w:color w:val="auto"/>
                <w:kern w:val="0"/>
                <w:sz w:val="20"/>
                <w:szCs w:val="21"/>
              </w:rPr>
            </w:pPr>
          </w:p>
        </w:tc>
        <w:tc>
          <w:tcPr>
            <w:tcW w:w="978" w:type="dxa"/>
            <w:gridSpan w:val="2"/>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行政</w:t>
            </w:r>
          </w:p>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确认</w:t>
            </w:r>
          </w:p>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（登记）</w:t>
            </w:r>
          </w:p>
        </w:tc>
        <w:tc>
          <w:tcPr>
            <w:tcW w:w="567" w:type="dxa"/>
            <w:vAlign w:val="center"/>
          </w:tcPr>
          <w:p>
            <w:pPr>
              <w:spacing w:line="0" w:lineRule="atLeast"/>
              <w:jc w:val="center"/>
              <w:rPr>
                <w:rFonts w:hint="eastAsia" w:ascii="仿宋_GB2312" w:hAnsi="仿宋_GB2312" w:eastAsia="仿宋_GB2312" w:cs="仿宋_GB2312"/>
                <w:color w:val="auto"/>
                <w:kern w:val="0"/>
                <w:sz w:val="20"/>
                <w:szCs w:val="21"/>
                <w:lang w:eastAsia="zh-CN"/>
              </w:rPr>
            </w:pPr>
            <w:r>
              <w:rPr>
                <w:rFonts w:hint="eastAsia" w:ascii="微软雅黑" w:hAnsi="微软雅黑" w:eastAsia="微软雅黑" w:cs="微软雅黑"/>
                <w:color w:val="auto"/>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Merge w:val="continue"/>
            <w:vAlign w:val="center"/>
          </w:tcPr>
          <w:p>
            <w:pPr>
              <w:spacing w:line="0" w:lineRule="atLeast"/>
              <w:rPr>
                <w:rFonts w:ascii="仿宋_GB2312" w:hAnsi="仿宋_GB2312" w:eastAsia="仿宋_GB2312" w:cs="仿宋_GB2312"/>
                <w:color w:val="auto"/>
                <w:kern w:val="0"/>
                <w:sz w:val="20"/>
                <w:szCs w:val="21"/>
              </w:rPr>
            </w:pPr>
          </w:p>
        </w:tc>
        <w:tc>
          <w:tcPr>
            <w:tcW w:w="1024" w:type="dxa"/>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行政</w:t>
            </w:r>
          </w:p>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强制</w:t>
            </w:r>
          </w:p>
        </w:tc>
        <w:tc>
          <w:tcPr>
            <w:tcW w:w="510" w:type="dxa"/>
            <w:vAlign w:val="center"/>
          </w:tcPr>
          <w:p>
            <w:pPr>
              <w:spacing w:line="0" w:lineRule="atLeast"/>
              <w:jc w:val="center"/>
              <w:rPr>
                <w:rFonts w:ascii="仿宋_GB2312" w:hAnsi="仿宋_GB2312" w:eastAsia="仿宋_GB2312" w:cs="仿宋_GB2312"/>
                <w:color w:val="auto"/>
                <w:kern w:val="0"/>
                <w:sz w:val="20"/>
                <w:szCs w:val="21"/>
              </w:rPr>
            </w:pPr>
          </w:p>
        </w:tc>
        <w:tc>
          <w:tcPr>
            <w:tcW w:w="645" w:type="dxa"/>
            <w:gridSpan w:val="2"/>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行政检查</w:t>
            </w:r>
          </w:p>
        </w:tc>
        <w:tc>
          <w:tcPr>
            <w:tcW w:w="675" w:type="dxa"/>
            <w:vAlign w:val="center"/>
          </w:tcPr>
          <w:p>
            <w:pPr>
              <w:spacing w:line="0" w:lineRule="atLeast"/>
              <w:jc w:val="center"/>
              <w:rPr>
                <w:rFonts w:ascii="仿宋_GB2312" w:hAnsi="仿宋_GB2312" w:eastAsia="仿宋_GB2312" w:cs="仿宋_GB2312"/>
                <w:color w:val="auto"/>
                <w:kern w:val="0"/>
                <w:sz w:val="20"/>
                <w:szCs w:val="21"/>
              </w:rPr>
            </w:pPr>
            <w:r>
              <w:rPr>
                <w:rFonts w:hint="eastAsia" w:ascii="微软雅黑" w:hAnsi="微软雅黑" w:eastAsia="微软雅黑" w:cs="微软雅黑"/>
                <w:color w:val="auto"/>
                <w:kern w:val="0"/>
                <w:sz w:val="20"/>
                <w:szCs w:val="21"/>
              </w:rPr>
              <w:t>√</w:t>
            </w:r>
          </w:p>
        </w:tc>
        <w:tc>
          <w:tcPr>
            <w:tcW w:w="750" w:type="dxa"/>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行政</w:t>
            </w:r>
          </w:p>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处罚</w:t>
            </w:r>
          </w:p>
        </w:tc>
        <w:tc>
          <w:tcPr>
            <w:tcW w:w="660" w:type="dxa"/>
            <w:vAlign w:val="center"/>
          </w:tcPr>
          <w:p>
            <w:pPr>
              <w:spacing w:line="0" w:lineRule="atLeast"/>
              <w:jc w:val="center"/>
              <w:rPr>
                <w:rFonts w:ascii="仿宋_GB2312" w:hAnsi="仿宋_GB2312" w:eastAsia="仿宋_GB2312" w:cs="仿宋_GB2312"/>
                <w:color w:val="auto"/>
                <w:kern w:val="0"/>
                <w:sz w:val="20"/>
                <w:szCs w:val="21"/>
              </w:rPr>
            </w:pPr>
          </w:p>
        </w:tc>
        <w:tc>
          <w:tcPr>
            <w:tcW w:w="750" w:type="dxa"/>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行政</w:t>
            </w:r>
          </w:p>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给付</w:t>
            </w:r>
          </w:p>
        </w:tc>
        <w:tc>
          <w:tcPr>
            <w:tcW w:w="645" w:type="dxa"/>
            <w:gridSpan w:val="2"/>
            <w:vAlign w:val="center"/>
          </w:tcPr>
          <w:p>
            <w:pPr>
              <w:spacing w:line="0" w:lineRule="atLeast"/>
              <w:jc w:val="center"/>
              <w:rPr>
                <w:rFonts w:ascii="仿宋_GB2312" w:hAnsi="仿宋_GB2312" w:eastAsia="仿宋_GB2312" w:cs="仿宋_GB2312"/>
                <w:color w:val="auto"/>
                <w:kern w:val="0"/>
                <w:sz w:val="20"/>
                <w:szCs w:val="21"/>
              </w:rPr>
            </w:pPr>
          </w:p>
        </w:tc>
        <w:tc>
          <w:tcPr>
            <w:tcW w:w="978" w:type="dxa"/>
            <w:gridSpan w:val="2"/>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其他</w:t>
            </w:r>
          </w:p>
        </w:tc>
        <w:tc>
          <w:tcPr>
            <w:tcW w:w="567" w:type="dxa"/>
            <w:vAlign w:val="center"/>
          </w:tcPr>
          <w:p>
            <w:pPr>
              <w:spacing w:line="0" w:lineRule="atLeast"/>
              <w:jc w:val="center"/>
              <w:rPr>
                <w:rFonts w:ascii="仿宋_GB2312" w:hAnsi="仿宋_GB2312" w:eastAsia="仿宋_GB2312" w:cs="仿宋_GB2312"/>
                <w:color w:val="auto"/>
                <w:kern w:val="0"/>
                <w:sz w:val="20"/>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496" w:type="dxa"/>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执法依据（法律法规、地方性法规、政府规章、规范性文件）</w:t>
            </w:r>
          </w:p>
        </w:tc>
        <w:tc>
          <w:tcPr>
            <w:tcW w:w="7204" w:type="dxa"/>
            <w:gridSpan w:val="13"/>
            <w:vAlign w:val="center"/>
          </w:tcPr>
          <w:p>
            <w:pPr>
              <w:spacing w:line="0" w:lineRule="atLeast"/>
              <w:rPr>
                <w:rFonts w:hint="default" w:ascii="仿宋_GB2312" w:hAnsi="仿宋_GB2312" w:eastAsia="仿宋_GB2312" w:cs="仿宋_GB2312"/>
                <w:color w:val="auto"/>
                <w:kern w:val="0"/>
                <w:sz w:val="20"/>
                <w:szCs w:val="21"/>
                <w:lang w:val="en" w:eastAsia="zh-CN"/>
              </w:rPr>
            </w:pPr>
            <w:r>
              <w:rPr>
                <w:rFonts w:hint="eastAsia" w:ascii="仿宋_GB2312" w:hAnsi="仿宋_GB2312" w:eastAsia="仿宋_GB2312" w:cs="仿宋_GB2312"/>
                <w:color w:val="auto"/>
                <w:kern w:val="0"/>
                <w:sz w:val="20"/>
                <w:szCs w:val="21"/>
                <w:lang w:val="en-US" w:eastAsia="zh-CN"/>
              </w:rPr>
              <w:t>《中华人民共和国建筑法》《中华人民共和国公路法》《公路安全保护条例》《建筑工程施工许可管理办法》《公路安全保护条例》《中华人民共和国招标投标法》《建设工程质量管理条例》《建设工程安全生产管理条例》《中华人民共和国消防法》《宁夏回族自治区建筑管理条例》</w:t>
            </w:r>
            <w:r>
              <w:rPr>
                <w:rFonts w:hint="default" w:ascii="仿宋_GB2312" w:hAnsi="仿宋_GB2312" w:eastAsia="仿宋_GB2312" w:cs="仿宋_GB2312"/>
                <w:color w:val="auto"/>
                <w:kern w:val="0"/>
                <w:sz w:val="20"/>
                <w:szCs w:val="21"/>
                <w:lang w:val="en"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96" w:type="dxa"/>
            <w:vAlign w:val="center"/>
          </w:tcPr>
          <w:p>
            <w:pPr>
              <w:spacing w:line="0" w:lineRule="atLeast"/>
              <w:jc w:val="center"/>
              <w:rPr>
                <w:rFonts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 w:val="20"/>
                <w:szCs w:val="21"/>
              </w:rPr>
              <w:t>监督机构及电话</w:t>
            </w:r>
          </w:p>
        </w:tc>
        <w:tc>
          <w:tcPr>
            <w:tcW w:w="7204" w:type="dxa"/>
            <w:gridSpan w:val="13"/>
            <w:vAlign w:val="center"/>
          </w:tcPr>
          <w:p>
            <w:pPr>
              <w:spacing w:line="0" w:lineRule="atLeast"/>
              <w:rPr>
                <w:rFonts w:hint="default" w:ascii="仿宋_GB2312" w:hAnsi="仿宋_GB2312" w:eastAsia="仿宋_GB2312" w:cs="仿宋_GB2312"/>
                <w:color w:val="auto"/>
                <w:kern w:val="0"/>
                <w:sz w:val="20"/>
                <w:szCs w:val="21"/>
                <w:lang w:val="en-US" w:eastAsia="zh-CN"/>
              </w:rPr>
            </w:pPr>
            <w:r>
              <w:rPr>
                <w:rFonts w:hint="eastAsia" w:ascii="仿宋_GB2312" w:hAnsi="仿宋_GB2312" w:eastAsia="仿宋_GB2312" w:cs="仿宋_GB2312"/>
                <w:color w:val="auto"/>
                <w:kern w:val="0"/>
                <w:sz w:val="20"/>
                <w:szCs w:val="21"/>
                <w:lang w:eastAsia="zh-CN"/>
              </w:rPr>
              <w:t>办公室</w:t>
            </w:r>
            <w:r>
              <w:rPr>
                <w:rFonts w:hint="eastAsia" w:ascii="仿宋_GB2312" w:hAnsi="仿宋_GB2312" w:eastAsia="仿宋_GB2312" w:cs="仿宋_GB2312"/>
                <w:color w:val="auto"/>
                <w:kern w:val="0"/>
                <w:sz w:val="20"/>
                <w:szCs w:val="21"/>
                <w:lang w:val="en-US" w:eastAsia="zh-CN"/>
              </w:rPr>
              <w:t xml:space="preserve"> 0955-7630162</w:t>
            </w:r>
          </w:p>
        </w:tc>
      </w:tr>
    </w:tbl>
    <w:p>
      <w:pPr>
        <w:jc w:val="left"/>
        <w:rPr>
          <w:color w:val="auto"/>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B744D"/>
    <w:rsid w:val="0160049A"/>
    <w:rsid w:val="0201686D"/>
    <w:rsid w:val="0BE40B34"/>
    <w:rsid w:val="0C1831C0"/>
    <w:rsid w:val="0D9C19F0"/>
    <w:rsid w:val="0E6C752E"/>
    <w:rsid w:val="0FF13C6F"/>
    <w:rsid w:val="144E4B4A"/>
    <w:rsid w:val="158B744D"/>
    <w:rsid w:val="1EF334F3"/>
    <w:rsid w:val="217D6E28"/>
    <w:rsid w:val="21F61193"/>
    <w:rsid w:val="23196CCA"/>
    <w:rsid w:val="257F4FA6"/>
    <w:rsid w:val="25A919E0"/>
    <w:rsid w:val="26BC50F3"/>
    <w:rsid w:val="2828207F"/>
    <w:rsid w:val="28551BF9"/>
    <w:rsid w:val="2A9E6CE6"/>
    <w:rsid w:val="2D043A05"/>
    <w:rsid w:val="2E2342C5"/>
    <w:rsid w:val="32C05E3D"/>
    <w:rsid w:val="337F3820"/>
    <w:rsid w:val="33A92A44"/>
    <w:rsid w:val="344F4BCD"/>
    <w:rsid w:val="345D3D37"/>
    <w:rsid w:val="36FEEA0F"/>
    <w:rsid w:val="37F7077C"/>
    <w:rsid w:val="383D088C"/>
    <w:rsid w:val="38856FA9"/>
    <w:rsid w:val="38B87DBC"/>
    <w:rsid w:val="399E0A29"/>
    <w:rsid w:val="3A6C4F15"/>
    <w:rsid w:val="3BB3AB06"/>
    <w:rsid w:val="3C57036B"/>
    <w:rsid w:val="3FE21811"/>
    <w:rsid w:val="3FE23695"/>
    <w:rsid w:val="47432B6E"/>
    <w:rsid w:val="48CF40AB"/>
    <w:rsid w:val="48D908BF"/>
    <w:rsid w:val="5128218C"/>
    <w:rsid w:val="54303E18"/>
    <w:rsid w:val="547B399B"/>
    <w:rsid w:val="54D0032A"/>
    <w:rsid w:val="550A1EB8"/>
    <w:rsid w:val="55681C1F"/>
    <w:rsid w:val="57DC7E94"/>
    <w:rsid w:val="5A1050CB"/>
    <w:rsid w:val="5A6E347B"/>
    <w:rsid w:val="5CDD08D0"/>
    <w:rsid w:val="5F3B3E40"/>
    <w:rsid w:val="608D07A2"/>
    <w:rsid w:val="623C746A"/>
    <w:rsid w:val="62EF615A"/>
    <w:rsid w:val="631C3BD0"/>
    <w:rsid w:val="65555DF2"/>
    <w:rsid w:val="65706ACF"/>
    <w:rsid w:val="670E39C9"/>
    <w:rsid w:val="6CBF1A0B"/>
    <w:rsid w:val="7114730C"/>
    <w:rsid w:val="733E4E22"/>
    <w:rsid w:val="75F963D9"/>
    <w:rsid w:val="768E083D"/>
    <w:rsid w:val="77B53DAD"/>
    <w:rsid w:val="78566B0F"/>
    <w:rsid w:val="78C57045"/>
    <w:rsid w:val="790E2F1C"/>
    <w:rsid w:val="797F15C6"/>
    <w:rsid w:val="799F0278"/>
    <w:rsid w:val="79DF7583"/>
    <w:rsid w:val="7DE61E55"/>
    <w:rsid w:val="7F7BBB8D"/>
    <w:rsid w:val="BEFF9255"/>
    <w:rsid w:val="C7FDF401"/>
    <w:rsid w:val="DF33D3BA"/>
    <w:rsid w:val="E79E179F"/>
    <w:rsid w:val="F9728571"/>
    <w:rsid w:val="FFE7B8E7"/>
    <w:rsid w:val="FFFFA4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jc w:val="left"/>
    </w:pPr>
    <w:rPr>
      <w:rFonts w:ascii="宋体" w:hAnsi="宋体" w:cs="宋体"/>
      <w:kern w:val="0"/>
      <w:sz w:val="24"/>
    </w:rPr>
  </w:style>
  <w:style w:type="table" w:styleId="6">
    <w:name w:val="Table Grid"/>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2017-05-04T12:05:00Z</dcterms:created>
  <dc:creator>匿名用户</dc:creator>
  <cp:lastModifiedBy>zw</cp:lastModifiedBy>
  <cp:lastPrinted>2019-08-25T01:32:00Z</cp:lastPrinted>
  <dcterms:modified xsi:type="dcterms:W3CDTF">2025-11-04T14:25:24Z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E51B11DF7697AFDE549C096948F1AFA9</vt:lpwstr>
  </property>
</Properties>
</file>