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物业管理评标专家业务考试范围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一、《民法典》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《中华人民共和国招标投标法》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宁夏回族自治区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物业管理条例》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住建部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前期物业管理招标投标管理暂行办法》</w:t>
      </w:r>
    </w:p>
    <w:p>
      <w:pPr>
        <w:pStyle w:val="2"/>
        <w:ind w:left="0" w:lef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五、《住建部物业承接查验办法》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br w:type="textWrapping"/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WJlYjZlODI5MjNhN2U1NWRhNGQ3YTQ4NDk1NDcifQ=="/>
  </w:docVars>
  <w:rsids>
    <w:rsidRoot w:val="04D240A7"/>
    <w:rsid w:val="04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ascii="Calibri"/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仿宋_GB2312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2022-07-13T11:19:00Z</dcterms:created>
  <dc:creator>Evanism_婷</dc:creator>
  <cp:lastModifiedBy>Evanism_婷</cp:lastModifiedBy>
  <dcterms:modified xsi:type="dcterms:W3CDTF">2022-07-13T11:19:44Z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6A4A2BD27FFA48D4AE324821C7A8DE5D</vt:lpwstr>
  </property>
</Properties>
</file>