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62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-4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-4"/>
          <w:sz w:val="44"/>
          <w:szCs w:val="44"/>
          <w:lang w:val="en-US" w:eastAsia="zh-CN"/>
        </w:rPr>
        <w:t>沙坡头区</w:t>
      </w:r>
      <w:r>
        <w:rPr>
          <w:rFonts w:hint="default" w:ascii="Times New Roman" w:hAnsi="Times New Roman" w:eastAsia="方正小标宋简体" w:cs="Times New Roman"/>
          <w:spacing w:val="-4"/>
          <w:sz w:val="44"/>
          <w:szCs w:val="44"/>
        </w:rPr>
        <w:t>安全生产</w:t>
      </w:r>
      <w:r>
        <w:rPr>
          <w:rFonts w:hint="default" w:ascii="Times New Roman" w:hAnsi="Times New Roman" w:eastAsia="方正小标宋简体" w:cs="Times New Roman"/>
          <w:spacing w:val="-4"/>
          <w:sz w:val="44"/>
          <w:szCs w:val="44"/>
          <w:lang w:eastAsia="zh-CN"/>
        </w:rPr>
        <w:t>大排查大整治</w:t>
      </w:r>
      <w:r>
        <w:rPr>
          <w:rFonts w:hint="default" w:ascii="Times New Roman" w:hAnsi="Times New Roman" w:eastAsia="方正小标宋简体" w:cs="Times New Roman"/>
          <w:spacing w:val="-4"/>
          <w:sz w:val="44"/>
          <w:szCs w:val="44"/>
        </w:rPr>
        <w:t>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spacing w:val="-4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4"/>
          <w:sz w:val="21"/>
          <w:szCs w:val="21"/>
        </w:rPr>
        <w:t>填报单位：                                                                填报日期：</w:t>
      </w:r>
      <w:r>
        <w:rPr>
          <w:rFonts w:hint="eastAsia" w:ascii="Times New Roman" w:hAnsi="Times New Roman" w:eastAsia="仿宋_GB2312" w:cs="Times New Roman"/>
          <w:spacing w:val="-4"/>
          <w:sz w:val="21"/>
          <w:szCs w:val="21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pacing w:val="-4"/>
          <w:sz w:val="21"/>
          <w:szCs w:val="21"/>
        </w:rPr>
        <w:t>年</w:t>
      </w:r>
      <w:r>
        <w:rPr>
          <w:rFonts w:hint="eastAsia" w:ascii="Times New Roman" w:hAnsi="Times New Roman" w:eastAsia="仿宋_GB2312" w:cs="Times New Roman"/>
          <w:spacing w:val="-4"/>
          <w:sz w:val="21"/>
          <w:szCs w:val="21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pacing w:val="-4"/>
          <w:sz w:val="21"/>
          <w:szCs w:val="21"/>
        </w:rPr>
        <w:t>月</w:t>
      </w:r>
      <w:r>
        <w:rPr>
          <w:rFonts w:hint="eastAsia" w:ascii="Times New Roman" w:hAnsi="Times New Roman" w:eastAsia="仿宋_GB2312" w:cs="Times New Roman"/>
          <w:spacing w:val="-4"/>
          <w:sz w:val="21"/>
          <w:szCs w:val="21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pacing w:val="-4"/>
          <w:sz w:val="21"/>
          <w:szCs w:val="21"/>
        </w:rPr>
        <w:t>日</w:t>
      </w:r>
      <w:r>
        <w:rPr>
          <w:rFonts w:hint="eastAsia" w:ascii="Times New Roman" w:hAnsi="Times New Roman" w:eastAsia="仿宋_GB2312" w:cs="Times New Roman"/>
          <w:spacing w:val="-4"/>
          <w:sz w:val="21"/>
          <w:szCs w:val="21"/>
          <w:lang w:val="en-US" w:eastAsia="zh-CN"/>
        </w:rPr>
        <w:t>至</w:t>
      </w:r>
      <w:r>
        <w:rPr>
          <w:rFonts w:hint="default" w:ascii="Times New Roman" w:hAnsi="Times New Roman" w:eastAsia="仿宋_GB2312" w:cs="Times New Roman"/>
          <w:spacing w:val="-4"/>
          <w:sz w:val="21"/>
          <w:szCs w:val="21"/>
        </w:rPr>
        <w:t xml:space="preserve">    年</w:t>
      </w:r>
      <w:r>
        <w:rPr>
          <w:rFonts w:hint="default" w:ascii="Times New Roman" w:hAnsi="Times New Roman" w:eastAsia="仿宋_GB2312" w:cs="Times New Roman"/>
          <w:spacing w:val="-4"/>
          <w:sz w:val="21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-4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-4"/>
          <w:sz w:val="21"/>
          <w:szCs w:val="21"/>
        </w:rPr>
        <w:t xml:space="preserve"> 月 </w:t>
      </w:r>
      <w:r>
        <w:rPr>
          <w:rFonts w:hint="default" w:ascii="Times New Roman" w:hAnsi="Times New Roman" w:eastAsia="仿宋_GB2312" w:cs="Times New Roman"/>
          <w:spacing w:val="-4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pacing w:val="-4"/>
          <w:sz w:val="21"/>
          <w:szCs w:val="21"/>
        </w:rPr>
        <w:t>日</w:t>
      </w:r>
    </w:p>
    <w:tbl>
      <w:tblPr>
        <w:tblStyle w:val="6"/>
        <w:tblpPr w:leftFromText="180" w:rightFromText="180" w:vertAnchor="text" w:horzAnchor="page" w:tblpX="1315" w:tblpY="266"/>
        <w:tblOverlap w:val="never"/>
        <w:tblW w:w="144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818"/>
        <w:gridCol w:w="960"/>
        <w:gridCol w:w="1170"/>
        <w:gridCol w:w="825"/>
        <w:gridCol w:w="810"/>
        <w:gridCol w:w="862"/>
        <w:gridCol w:w="855"/>
        <w:gridCol w:w="705"/>
        <w:gridCol w:w="675"/>
        <w:gridCol w:w="945"/>
        <w:gridCol w:w="900"/>
        <w:gridCol w:w="750"/>
        <w:gridCol w:w="825"/>
        <w:gridCol w:w="913"/>
        <w:gridCol w:w="676"/>
      </w:tblGrid>
      <w:tr>
        <w:tblPrEx>
          <w:tblLayout w:type="fixed"/>
        </w:tblPrEx>
        <w:trPr>
          <w:trHeight w:val="495" w:hRule="atLeast"/>
        </w:trPr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项目内容</w:t>
            </w:r>
          </w:p>
        </w:tc>
        <w:tc>
          <w:tcPr>
            <w:tcW w:w="29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组织监督检查情况</w:t>
            </w:r>
          </w:p>
        </w:tc>
        <w:tc>
          <w:tcPr>
            <w:tcW w:w="24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排查治理隐患数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打击严重违法违规行为</w:t>
            </w:r>
          </w:p>
        </w:tc>
        <w:tc>
          <w:tcPr>
            <w:tcW w:w="3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执法处罚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联合惩戒失信企业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问责曝光工作不力的单位和个人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组织督查组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参加检查人员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hanging="12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监督检查生产经营单位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排查数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整治数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整改率</w:t>
            </w: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关闭取缔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停产整顿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暂扣吊销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证照企业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处罚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罚款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追究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刑事责任</w:t>
            </w: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单位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（个）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（人次）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（个次）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（项）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（项）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（%）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（起）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（家）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（家）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（家）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（人）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（家）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（家）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（人）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合  计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8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8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1、煤矿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8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8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2、非煤矿山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3、化工（危化）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4、烟花爆竹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5、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冶金有色等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工贸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八大行业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235" w:hRule="atLeast"/>
        </w:trPr>
        <w:tc>
          <w:tcPr>
            <w:tcW w:w="1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6、道路交通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7、建筑施工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210" w:hRule="atLeast"/>
        </w:trPr>
        <w:tc>
          <w:tcPr>
            <w:tcW w:w="1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</w:rPr>
              <w:t>8、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lang w:eastAsia="zh-CN"/>
              </w:rPr>
              <w:t>住房物业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lang w:val="en-US" w:eastAsia="zh-CN"/>
              </w:rPr>
              <w:t>石油天然气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lang w:val="en-US" w:eastAsia="zh-CN"/>
              </w:rPr>
              <w:t>管道和城镇燃气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Cs w:val="24"/>
              </w:rPr>
            </w:pPr>
          </w:p>
        </w:tc>
      </w:tr>
      <w:tr>
        <w:tblPrEx>
          <w:tblLayout w:type="fixed"/>
        </w:tblPrEx>
        <w:trPr>
          <w:trHeight w:val="210" w:hRule="atLeast"/>
        </w:trPr>
        <w:tc>
          <w:tcPr>
            <w:tcW w:w="1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lang w:val="en-US" w:eastAsia="zh-CN"/>
              </w:rPr>
              <w:t>10、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lang w:val="en-US" w:eastAsia="zh-CN"/>
              </w:rPr>
              <w:t>村镇领域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Cs w:val="24"/>
              </w:rPr>
            </w:pPr>
          </w:p>
        </w:tc>
      </w:tr>
      <w:tr>
        <w:tblPrEx>
          <w:tblLayout w:type="fixed"/>
        </w:tblPrEx>
        <w:trPr>
          <w:trHeight w:val="210" w:hRule="atLeast"/>
        </w:trPr>
        <w:tc>
          <w:tcPr>
            <w:tcW w:w="1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lang w:val="en-US" w:eastAsia="zh-CN"/>
              </w:rPr>
              <w:t>11、特种设备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lang w:val="en-US" w:eastAsia="zh-CN"/>
              </w:rPr>
              <w:t>12、消防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</w:rPr>
              <w:t>其他行业领域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Cs w:val="24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464" w:firstLineChars="200"/>
        <w:rPr>
          <w:rFonts w:hint="default" w:ascii="Times New Roman" w:hAnsi="Times New Roman" w:cs="Times New Roman"/>
          <w:spacing w:val="-4"/>
          <w:szCs w:val="21"/>
        </w:rPr>
        <w:sectPr>
          <w:pgSz w:w="16840" w:h="11907" w:orient="landscape"/>
          <w:pgMar w:top="1797" w:right="1440" w:bottom="1797" w:left="1440" w:header="851" w:footer="992" w:gutter="0"/>
          <w:pgNumType w:fmt="numberInDash"/>
          <w:cols w:space="720" w:num="1"/>
          <w:docGrid w:linePitch="326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C36ADF26-FE7A-451B-8DCB-0FCDB2FDDED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85C45CD-86EF-4144-B4B4-D434C6BA747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1E02F"/>
    <w:multiLevelType w:val="singleLevel"/>
    <w:tmpl w:val="5E01E02F"/>
    <w:lvl w:ilvl="0" w:tentative="0">
      <w:start w:val="9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561BF"/>
    <w:rsid w:val="1F15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0"/>
    <w:pPr>
      <w:spacing w:after="120"/>
      <w:ind w:left="200" w:leftChars="200" w:firstLine="200" w:firstLineChars="200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ind w:left="420"/>
    </w:pPr>
    <w:rPr>
      <w:rFonts w:ascii="仿宋_GB2312" w:eastAsia="仿宋_GB2312"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7"/>
      </w:tabs>
      <w:snapToGrid w:val="0"/>
    </w:pPr>
    <w:rPr>
      <w:sz w:val="18"/>
    </w:rPr>
  </w:style>
  <w:style w:type="paragraph" w:styleId="5">
    <w:name w:val="Normal (Web)"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lang w:val="en-US" w:eastAsia="zh-CN" w:bidi="ar-SA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2020-01-06T08:19:00Z</dcterms:created>
  <dc:creator>电工王师傅</dc:creator>
  <cp:lastModifiedBy>电工王师傅</cp:lastModifiedBy>
  <dcterms:modified xsi:type="dcterms:W3CDTF">2020-01-06T08:20:15Z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