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迎水桥镇农村集体资产监管提质增效行动整改台账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填报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行政村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：</w:t>
      </w:r>
    </w:p>
    <w:tbl>
      <w:tblPr>
        <w:tblStyle w:val="6"/>
        <w:tblW w:w="9192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4"/>
        <w:gridCol w:w="600"/>
        <w:gridCol w:w="910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4" w:type="dxa"/>
            <w:tcBorders>
              <w:lef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计量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应整改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台账数</w:t>
            </w:r>
          </w:p>
        </w:tc>
        <w:tc>
          <w:tcPr>
            <w:tcW w:w="958" w:type="dxa"/>
            <w:tcBorders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已整改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4"/>
                <w:vertAlign w:val="baseline"/>
                <w:lang w:val="en-US" w:eastAsia="zh-CN"/>
              </w:rPr>
              <w:t>台账数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6724" w:type="dxa"/>
            <w:tcBorders>
              <w:left w:val="nil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在农业农村部门登记赋码的村级集体经济组织未规范挂牌数量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未按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章程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设立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机构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的组织数量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建立健全成员名册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并建立台账的组织数量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（3）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未启用农村集体经济组织公章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（4）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及时在农业农村部门更新理事长等人员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信息的组织数量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（5）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存在违背农民意愿、行政强制推动成立公司等市场主体现象的数量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（6）存在任意整合和平调集体资产等问题的组织数量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2、1.集体资产管理不规范的村级数量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未建立资产卡片的数量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未进行资产折旧的数量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2、2.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新增资源资产纳入账内（台账）管理数量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其中：（1）资产金额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（2）资源面积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、农村集体经济不规范合同数量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其中：（1）明显违背合同法的超长合同数量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（2）超低价合同数量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（3）未经民主程序、暗箱操作的合同数量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（4）未按时收到价款的合同数量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（5）未签订书面合同的数量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、财务公开不及时、内容不完整、流于形式的村级数量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、财务收支管理混乱涉及的金额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其中：（1）私设小金库、公款私存涉及金额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（2）虚假列支、多报少支金额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（3）以白条入账、无票据入账、抵顶发票入账等支出不规范涉及金额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（4）违规发放各项补贴涉及金额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举债兴办公益事业形成的债务金额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对吃喝招待、请客送礼、滥发补助等非生产性开支形成的债务金额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、村级债务化解涉及金额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8、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违规招投标涉及的工程项目数量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其中：（1）工程项目数量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（2）工程项目涉及的金额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8、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管理混乱的工程项目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其中：（1）工程项目数量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（2）工程项目涉及的金额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利用工程项目套取资金、收受贿赂、违规承揽和转包村级工程的村干部数量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9、审计发现问题后限期内未进行整改或整改不到位的问题数量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10、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移交纪检监察部门的案件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其中：（1）案件数量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（2）案件涉及的金额</w:t>
            </w:r>
          </w:p>
        </w:tc>
        <w:tc>
          <w:tcPr>
            <w:tcW w:w="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万元万元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91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tcBorders>
              <w:right w:val="nil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3D7CA"/>
    <w:multiLevelType w:val="singleLevel"/>
    <w:tmpl w:val="DCF3D7C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TE4ZTk1OTJhODc4ODk0YWJkNzM3NGMyOWZkOTEifQ=="/>
  </w:docVars>
  <w:rsids>
    <w:rsidRoot w:val="2601728D"/>
    <w:rsid w:val="2601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2023-08-14T02:58:00Z</dcterms:created>
  <dc:creator>Tibet、</dc:creator>
  <cp:lastModifiedBy>Tibet、</cp:lastModifiedBy>
  <dcterms:modified xsi:type="dcterms:W3CDTF">2023-08-14T02:58:40Z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D796DBC3D7C44E6490C6E0DF6E9F8118_11</vt:lpwstr>
  </property>
</Properties>
</file>