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>迎水桥镇农村集体资产监管提质增效行动工作情况推进表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221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填报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行政村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：</w:t>
      </w:r>
    </w:p>
    <w:tbl>
      <w:tblPr>
        <w:tblStyle w:val="6"/>
        <w:tblW w:w="8973" w:type="dxa"/>
        <w:tblInd w:w="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9"/>
        <w:gridCol w:w="18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是否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159" w:type="dxa"/>
            <w:tcBorders>
              <w:tl2br w:val="nil"/>
              <w:tr2bl w:val="nil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动员部署阶段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其中：（1）是否召开动员会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是否制定实施方案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是否成立工作小组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（4）是否设立群众举报热线或举报箱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2、自查自纠阶段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其中：（1）是否按期开展自查自纠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（2）是否逐村建立问题台账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（3）是否全面开展集体资产资源清查核实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（4）是否全面梳理集体经济组织签订的经济合同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（5）是否全面核查集体债权债务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（6）是否全面清查村级工程项目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900" w:firstLineChars="5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（7）是否全面整改历年审计存在问题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实地督导、抽查阶段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其中：（1）集体资产监管提质增效行动以来是否接受上级督导、抽查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（2）镇级工作组是否实地督导、抽查各村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、建章立制阶段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其中：（1）是否制定详细整改方案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是否全面梳理存在问题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是否全面整改存在问题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3D7CA"/>
    <w:multiLevelType w:val="singleLevel"/>
    <w:tmpl w:val="DCF3D7C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30D73AE"/>
    <w:multiLevelType w:val="singleLevel"/>
    <w:tmpl w:val="F30D73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TE4ZTk1OTJhODc4ODk0YWJkNzM3NGMyOWZkOTEifQ=="/>
  </w:docVars>
  <w:rsids>
    <w:rsidRoot w:val="16580C12"/>
    <w:rsid w:val="1658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2023-08-14T02:57:00Z</dcterms:created>
  <dc:creator>Tibet、</dc:creator>
  <cp:lastModifiedBy>Tibet、</cp:lastModifiedBy>
  <dcterms:modified xsi:type="dcterms:W3CDTF">2023-08-14T02:58:03Z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2F3C09CC1F9D41A18961E426121212B1_11</vt:lpwstr>
  </property>
</Properties>
</file>