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永康镇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20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年秋冬季农田水利基本建设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实施方案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坚持以习近平新时代中国特色社会主义思想为指导，全面贯彻党的二十大精神，认真落实中央农村工作会议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中央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一号文件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及自治区第十三次党代会部署要求，按照保障国家粮食安全的总体要求，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统筹兼顾、因地制宜、科学规划、突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出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重点、讲求实效、综合治理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的原则，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扎实推进秋冬农田水利基本建设和高标准农田建设，大力发展高效节水农业，着力完善农田水利基础设施，持续改善农业生产条件，补齐抗旱减灾短板，巩固和提高粮食综合生产能力，促进农业高质量发展和乡村全面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二、目标任务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按照“整村、整乡、整灌域推进”的原则，实行“田、路、林、沟、渠”综合治理，着力打造“田成方、林成网、路成框、渠成行、旱能浇、涝能排、环境美”的高标准农田，达到“治理一处，受益一处，建设一处，巩固一处”效果，促进农业现代化发展，努力推动全镇秋冬农田水利基本建设转型升级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200" w:right="0" w:rightChars="0"/>
        <w:textAlignment w:val="auto"/>
        <w:outlineLvl w:val="9"/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  <w:t>秋冬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  <w:lang w:eastAsia="zh-CN"/>
        </w:rPr>
        <w:t>季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  <w:t>农田水利基本建设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2023年永康镇秋冬季农田水利基本建设预计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完成支、斗、农沟道清淤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336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条266.7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公里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，渠道清淤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999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条742.9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公里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，农田道路整修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543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条453.9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公里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机深松（翻）整地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14927亩，秋施肥43866亩（含经果林），秸秆还田6850亩，农田林网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建设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243亩，高效节水农业工程2项，铺设管道115.04公里。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  <w:t>）重点建设示范片区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杨滩村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高标准建设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片区。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片区东至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申滩村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，南至高速公路，西至三个窑沟，北至黄河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沿岸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边沟。涉及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杨滩、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申滩2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个村，覆盖面积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4436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亩。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清淤支、斗、农沟道106条55.7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，清淤渠道99条32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，整修生产路134条47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机深松（翻）整地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4436亩，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农田林网建设42亩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2.永康村龙王庙退水闸</w:t>
      </w: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高标准建设</w:t>
      </w: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  <w:t>片区。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片区东至沙滩村，南至七星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渠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，西至艾湾村，北至滨河南路。覆盖面积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740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亩。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清淤支、斗、农沟道18条12.3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，清淤渠道33条13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，整修生产路37条6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机深松（翻）整地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740亩，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农田林网建设12亩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九排高标准建设</w:t>
      </w: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  <w:t>片区。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片区东至徐庄村东生产路，南至七星渠，西至龙王庙退水闸，北至滨河南路。涉及永康、沙滩、徐庄3个村，覆盖面积2860亩。清淤支、斗、农沟道41条12.26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，清淤渠道91条19.5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，整修生产路80条11.5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机深松（翻）整地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2860亩，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农田林网建设51亩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永康镇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冬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季农田水利基本建设工作计划从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日开始，1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日结束，共分三个阶段：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1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（一）动员部署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阶段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日）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镇指挥部各成员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组织各村对辖区农田水利基本建设工作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进行调查摸底，明确巩固片区、重点地段、重点项目实施任务，形成切实可行的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实施方案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同时，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各村要充分利用广播、横幅、微信群、媒体和会议等各种宣传方式，动员社会一切力量，投入农田水利基本建设中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做好宣传动员和开工前准备工作。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全面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实施阶段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（9月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日）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各村全面完成沟渠清淤、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机深松（翻）整地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、秋施肥等农田水利基本建设任务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期间组织评促考核3次，根据任务完成进度和质量标准进行评促奖励。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总结验收阶段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日）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镇指挥部对秋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冬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季农田水利基本建设组织验收考核，资料分类归档，全面完成工程量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核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算，并接受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沙坡头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农田水利基本建设指挥部验收评比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组织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成立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农田水利基本建设指挥部，围绕重点区域、重点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项目等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设立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个工作组，对目标任务、工程质量、统筹协调等工作实行分片责任制。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（一）领导小组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总</w:t>
      </w: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  <w:t>指挥：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孙守宏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  <w:t>副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总</w:t>
      </w: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  <w:t>指挥：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李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鹏、乌清宝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成  员：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各分管领导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、各办（中心）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主任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各村书记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工作职责：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对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秋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冬季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农田水利基本建设及重点项目、重点工程统一进行指挥和调度，各成员在指挥部的统一领导下全面推进各项工作，做到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各司其职，齐抓共管。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秋冬季农田水利基本建设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指挥部办公室设在镇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农业综合服务中心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，办公室主任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乌清宝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同志兼任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办公室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副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主任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张斌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同志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兼任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val="en-US" w:eastAsia="zh-CN"/>
        </w:rPr>
        <w:t>（二）工作小组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  <w:t>1</w:t>
      </w: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  <w:t>农业工作组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组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长：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乌清宝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成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员：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农业综合服务中心全体干部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highlight w:val="none"/>
          <w:lang w:eastAsia="zh-CN"/>
        </w:rPr>
        <w:t>实施范围：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工作职责：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负责组织、督促各村按照时间节点完成秋收、旱茬犁地、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机深松（翻）整地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、树木修剪抚育、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农田林网建设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等任务。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各村农田水利基本建设质量、进度进行督导检查，对不符合要求、标准的作业面、作业点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督促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整改。每天做好进度统计、汇总工作，同时按照时间节点向沙坡头区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农田水利基本建设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指挥部报送全镇农田水利基本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建设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进度。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做好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宣传发动，利用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宣传彩页、横幅、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广播、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微信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方式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，大力宣传农田水利建设的进展、成效、经验和做法，营造全社会关心、支持和参与农田水利基本建设的良好氛围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2.高标准片区建设工作组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组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长：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各包村领导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成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员：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各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包村干部、村干部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highlight w:val="none"/>
          <w:lang w:eastAsia="zh-CN"/>
        </w:rPr>
        <w:t>实施范围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杨滩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村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申滩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村、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艾湾村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永康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村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、沙滩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村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、徐庄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工作职责：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负责督促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所包村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按照时间节点高标准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高质量完成秋收、旱茬犁地、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机深松（翻）整地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农田林网建设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等任务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，并且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围绕沟、渠树立典型和样板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  <w:t>重点项目工作组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组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长：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成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员：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经济发展办公室全体干部，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项目所涉及村书记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实施范围：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镇域内已批复实施的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乡村振兴项目、农村公益事业财政奖补项目、发展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壮大村集体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经济项目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等项目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工作职责：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严格实行项目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四制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管理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要求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，选择具备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资质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的施工单位和监理单位，严格按照设计图纸和施工规范进行施工，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优化施工组织，加快施工进度，按时完成工程建设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  <w:t>宣传工作组</w:t>
      </w:r>
    </w:p>
    <w:p>
      <w:pPr>
        <w:keepNext w:val="0"/>
        <w:keepLines w:val="0"/>
        <w:pageBreakBefore w:val="0"/>
        <w:widowControl w:val="0"/>
        <w:tabs>
          <w:tab w:val="right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组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长：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罗建忠</w:t>
      </w:r>
    </w:p>
    <w:p>
      <w:pPr>
        <w:keepNext w:val="0"/>
        <w:keepLines w:val="0"/>
        <w:pageBreakBefore w:val="0"/>
        <w:widowControl w:val="0"/>
        <w:tabs>
          <w:tab w:val="right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成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员：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综合办公室全体干部、党建工作办公室全体干部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工作职责：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负责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相关信息报道。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  <w:t>纪律督查组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组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长：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成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员：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张二苗、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刘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、汪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工作职责：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负责对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全体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镇村干部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农田水利基本建设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期间每天到岗履职尽责情况进行督查，同时对当天督查情况进行通报。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default" w:ascii="仿宋" w:hAnsi="仿宋" w:eastAsia="仿宋" w:cs="仿宋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.财务督查工作组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组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长：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成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员：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财经服务中心全体干部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工作职责：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负责对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各村农田水利基本建设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期间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财务支出情况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进行督查，同时对督查情况进行通报。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ascii="仿宋" w:hAnsi="仿宋" w:eastAsia="仿宋" w:cs="仿宋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机械用工</w:t>
      </w:r>
      <w:r>
        <w:rPr>
          <w:rFonts w:hint="default" w:ascii="仿宋" w:hAnsi="仿宋" w:eastAsia="仿宋" w:cs="仿宋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督查工作组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组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长：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各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包村组长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成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员：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各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包村干部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工作职责：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负责对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农田水利基本建设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期间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各村机械、人工使用情况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进行督查，同时对督查情况进行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反馈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楷体_GB2312" w:cs="Times New Roman"/>
          <w:b/>
          <w:color w:val="auto"/>
          <w:spacing w:val="-6"/>
          <w:sz w:val="32"/>
          <w:szCs w:val="32"/>
          <w:highlight w:val="none"/>
        </w:rPr>
        <w:t>加强宣传，提高认识</w:t>
      </w:r>
      <w:r>
        <w:rPr>
          <w:rFonts w:hint="default" w:ascii="Times New Roman" w:hAnsi="Times New Roman" w:eastAsia="楷体_GB2312" w:cs="Times New Roman"/>
          <w:b/>
          <w:color w:val="auto"/>
          <w:spacing w:val="-6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各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村、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各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办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中心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）要充分认识农田水利基本建设的重要性，坚持绿色发展理念。把农田水利基本建设作为改善农业生产条件，提高农业综合生产能力、发展现代农业、实现农业增效、农民增收的基础性工作来抓，纳入全年农村工作的重点。充分利用广播、标语、会议等各种宣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方式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，大力宣传搞好农田水利基本建设的重要意义，并且做好重点农业、水利项目的政策宣传工作，调动广大农民群众的积极性，营造热火朝天、比学赶超、苦干实干的良好氛围，把今年农田水利基本建设工作抓实、抓好、抓出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pacing w:val="-6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color w:val="auto"/>
          <w:spacing w:val="-6"/>
          <w:sz w:val="32"/>
          <w:szCs w:val="32"/>
          <w:highlight w:val="none"/>
        </w:rPr>
        <w:t>认真谋划，精心实施</w:t>
      </w:r>
      <w:r>
        <w:rPr>
          <w:rFonts w:hint="default" w:ascii="Times New Roman" w:hAnsi="Times New Roman" w:eastAsia="楷体_GB2312" w:cs="Times New Roman"/>
          <w:b/>
          <w:color w:val="auto"/>
          <w:spacing w:val="-6"/>
          <w:sz w:val="32"/>
          <w:szCs w:val="32"/>
          <w:highlight w:val="none"/>
          <w:lang w:eastAsia="zh-CN"/>
        </w:rPr>
        <w:t>。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指挥部各成员单位、各村要尽快适应新形势，研究新机制，积极应对新的挑战和困难。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各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村要尽早对调工、筹资进行核算和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梳理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，对实施的工作量要做到心中有数。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</w:rPr>
        <w:t>是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针对历年秋收后不犁地、不收玉米秸秆的现象，要及早制定措施，发动群众采取外运黄储、集中堆放等措施，按照时间节点将玉米秸秆还田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任务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如期完成。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</w:rPr>
        <w:t>是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高标准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片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所涉及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村要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结合实际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制定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任务落实方案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，将任务落到人头，积极配合、全力协调，确保工程顺利实施。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</w:rPr>
        <w:t>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各村书记及包村领导干部要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严格按照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一个项目、一名领导、一套班子、一套方案、一抓到底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的工作机制，切实担负起建设和协调指导、检查、督办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责任，定期研究部署，精心组织实施，强力推进落实。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</w:rPr>
        <w:t>是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对重点片区进度重点盯、质量重点查，要实行当天落后进度当天赶、当天存在的问题当天改的措施，力求打造高质量重点建设片区。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点面结合，整体推进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各工作组、各村要把抓样板工程当作提高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秋冬季农田水利基本建设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质量的主要措施来抓。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</w:rPr>
        <w:t>一是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要以确定的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高标准建设片区为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重点，坚持高标准要求、高质量建设，树立典型和样板，带动全镇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各项工作全面开展。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</w:rPr>
        <w:t>二是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样板工程起点要高，施工标准要严，质量要优，所有样板项目必须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严格按照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质量标准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建设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</w:rPr>
        <w:t>是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各村要参照样板工程和重点片区工程质量标准进行实施，放大点、带动面，使全镇建设工程质量全面得到提高。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</w:rPr>
        <w:t>是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重点实施项目工程要严格按照设计要求进行施工，要做到监管到位、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进度到位、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质量到位，力争做到全镇项目完成率、质量合格率达标。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</w:rPr>
        <w:t>是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紧紧围绕三纵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横骨干线，做到横向到边、纵向到底，两侧树木修剪、涂红刷白要整齐划一，道路整修、渠道沟道清淤要彻底、标准质量要高，要对村庄巷道、农田林网、沟渠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高标准建设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起到带动作用。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创新机制，确保投入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</w:rPr>
        <w:t>一是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运用好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2023年秋冬季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农田水利基本建设投劳机制。各村充分发挥农民在农田水利基本建设中的主力军作用，引导农民积极投工投劳，进一步完善以工定劳、以工折量、任务到户、统一标准、上限控制、竣工验收、年底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结账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的管理和使用办法，发动镇村队干部家属带头出工出劳，积极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作出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表率，正确引导群众参与农田水利基本建设。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</w:rPr>
        <w:t>二是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加强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投工投劳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管理，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及时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公布投入情况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对外出打工或不愿出工的农村劳动力允许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以工换工、以资顶工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，严肃查处在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投工投劳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中的不公、不均、不清问题和徇私舞弊、弄虚作假的村队干部，确保做到公正用工、均衡投工。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严格把关，确保质量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为保质保量完成今年秋冬季农田水利基本建设工作任务，镇农田水利基本建设领导小组要坚持问题导向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按照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盯紧、抓实，严考核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原则，实行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“日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督查、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周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通报、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旬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考核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”，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推进速度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快、质量标准高、任务完成较好的村进行通报表扬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对行动迟缓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质量差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的村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进行通报批评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；对安全生产宣传、督导工作不到位、发生人员财产伤亡问题的村进行严肃问责。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加强主要河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（沟）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道整治、重点水利工程建设督查、指导，统一标准、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严把安全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质量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关，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确保工程建成一片、发挥效益一片、群众赞声一片的目的。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（六）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严格考核，落实奖罚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按照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工程进度、质量实行严罚重奖。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建立阶段性任务考核制度。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秋冬季农田水利基本建设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期间分别进行三次评促，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第一次和第二次评促，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对于阶段评促前六名的村分别给予奖励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（不含扬灌区、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山区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）。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二是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实行总评考核制度。根据阶段性考核和总评考核结果，按照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3:3:4（4为第三次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总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评比）的比例进行考核，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总评前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名的村分别给予奖励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（不含扬灌区、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山区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）。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三是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根据总评考核结果，对建设标准高、实施进度快、质量完成高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被确定为沙坡头区观摩点的村给予奖励。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四是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镇党委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、政府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将今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年秋冬季农田水利基本建设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各项考评结果纳入本年度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年终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考核。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对推进慢、质量标准低的村进行通报批评，年终考核扣除相应分值，对不作为、慢作为、乱作为的村干部，年度考核采取一票否决制。</w:t>
      </w: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GFkNzk0NzM4YjM1ZDUyNTk5OWUxNzdiODVlNmEifQ=="/>
  </w:docVars>
  <w:rsids>
    <w:rsidRoot w:val="29C5067F"/>
    <w:rsid w:val="29C5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2023-09-18T02:02:00Z</dcterms:created>
  <dc:creator>相知相惜</dc:creator>
  <cp:lastModifiedBy>相知相惜</cp:lastModifiedBy>
  <dcterms:modified xsi:type="dcterms:W3CDTF">2023-09-18T02:06:05Z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5A3AA9BB7E4E4326A7F58E3F09446258_11</vt:lpwstr>
  </property>
</Properties>
</file>