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F8C72">
      <w:pPr>
        <w:pStyle w:val="3"/>
        <w:keepNext w:val="0"/>
        <w:keepLines w:val="0"/>
        <w:widowControl/>
        <w:suppressLineNumbers w:val="0"/>
      </w:pPr>
    </w:p>
    <w:p w14:paraId="1A741629">
      <w:pPr>
        <w:pStyle w:val="3"/>
        <w:keepNext w:val="0"/>
        <w:keepLines w:val="0"/>
        <w:widowControl/>
        <w:suppressLineNumbers w:val="0"/>
        <w:spacing w:before="0" w:beforeAutospacing="0" w:after="0" w:afterAutospacing="0"/>
        <w:ind w:left="0" w:right="0"/>
        <w:jc w:val="center"/>
        <w:rPr>
          <w:rFonts w:hint="eastAsia" w:ascii="仿宋_GB2312" w:eastAsia="仿宋_GB2312" w:cs="仿宋_GB2312"/>
          <w:sz w:val="31"/>
          <w:szCs w:val="31"/>
        </w:rPr>
      </w:pPr>
      <w:r>
        <w:rPr>
          <w:rFonts w:ascii="方正小标宋简体" w:hAnsi="方正小标宋简体" w:eastAsia="方正小标宋简体" w:cs="方正小标宋简体"/>
          <w:sz w:val="43"/>
          <w:szCs w:val="43"/>
        </w:rPr>
        <w:t>自治区应急管理领域实施包容免罚清单</w:t>
      </w:r>
    </w:p>
    <w:p w14:paraId="6D0388A2">
      <w:pPr>
        <w:pStyle w:val="3"/>
        <w:keepNext w:val="0"/>
        <w:keepLines w:val="0"/>
        <w:widowControl/>
        <w:suppressLineNumbers w:val="0"/>
        <w:spacing w:before="0" w:beforeAutospacing="0" w:after="0" w:afterAutospacing="0" w:line="375" w:lineRule="atLeast"/>
        <w:ind w:left="0" w:right="0"/>
        <w:jc w:val="both"/>
        <w:rPr>
          <w:rFonts w:hint="eastAsia" w:ascii="仿宋_GB2312" w:eastAsia="仿宋_GB2312" w:cs="仿宋_GB2312"/>
          <w:sz w:val="31"/>
          <w:szCs w:val="31"/>
        </w:rPr>
      </w:pPr>
      <w:r>
        <w:rPr>
          <w:rFonts w:ascii="方正黑体_GBK" w:hAnsi="方正黑体_GBK" w:eastAsia="方正黑体_GBK" w:cs="方正黑体_GBK"/>
          <w:sz w:val="28"/>
          <w:szCs w:val="28"/>
        </w:rPr>
        <w:t>一、符合下列情形的轻微违法行为，不予行政处罚（无）</w:t>
      </w:r>
    </w:p>
    <w:p w14:paraId="6C485047">
      <w:pPr>
        <w:pStyle w:val="3"/>
        <w:keepNext w:val="0"/>
        <w:keepLines w:val="0"/>
        <w:widowControl/>
        <w:suppressLineNumbers w:val="0"/>
        <w:spacing w:before="0" w:beforeAutospacing="0" w:after="0" w:afterAutospacing="0" w:line="375" w:lineRule="atLeast"/>
        <w:ind w:left="0" w:right="0"/>
        <w:jc w:val="both"/>
        <w:rPr>
          <w:rFonts w:hint="eastAsia" w:ascii="仿宋_GB2312" w:eastAsia="仿宋_GB2312" w:cs="仿宋_GB2312"/>
          <w:sz w:val="31"/>
          <w:szCs w:val="31"/>
        </w:rPr>
      </w:pPr>
      <w:r>
        <w:rPr>
          <w:rFonts w:hint="default" w:ascii="方正黑体_GBK" w:hAnsi="方正黑体_GBK" w:eastAsia="方正黑体_GBK" w:cs="方正黑体_GBK"/>
          <w:sz w:val="28"/>
          <w:szCs w:val="28"/>
        </w:rPr>
        <w:t>二、下列轻微违法行为，及时纠正，没有造成危害后果的，不予行政处罚</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1794"/>
        <w:gridCol w:w="2367"/>
        <w:gridCol w:w="4267"/>
      </w:tblGrid>
      <w:tr w14:paraId="7F5629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7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2E4ACA0">
            <w:pPr>
              <w:pStyle w:val="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ascii="黑体" w:hAnsi="宋体" w:eastAsia="黑体" w:cs="黑体"/>
                <w:spacing w:val="0"/>
                <w:sz w:val="24"/>
                <w:szCs w:val="24"/>
              </w:rPr>
              <w:t>序号</w:t>
            </w:r>
          </w:p>
        </w:tc>
        <w:tc>
          <w:tcPr>
            <w:tcW w:w="26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205396C">
            <w:pPr>
              <w:pStyle w:val="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黑体" w:hAnsi="宋体" w:eastAsia="黑体" w:cs="黑体"/>
                <w:spacing w:val="0"/>
                <w:sz w:val="24"/>
                <w:szCs w:val="24"/>
              </w:rPr>
              <w:t>违法行为</w:t>
            </w:r>
          </w:p>
        </w:tc>
        <w:tc>
          <w:tcPr>
            <w:tcW w:w="36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9285996">
            <w:pPr>
              <w:pStyle w:val="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黑体" w:hAnsi="宋体" w:eastAsia="黑体" w:cs="黑体"/>
                <w:spacing w:val="0"/>
                <w:sz w:val="24"/>
                <w:szCs w:val="24"/>
              </w:rPr>
              <w:t>适用条件</w:t>
            </w:r>
          </w:p>
        </w:tc>
        <w:tc>
          <w:tcPr>
            <w:tcW w:w="68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2CA5E88">
            <w:pPr>
              <w:pStyle w:val="3"/>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黑体" w:hAnsi="宋体" w:eastAsia="黑体" w:cs="黑体"/>
                <w:spacing w:val="0"/>
                <w:sz w:val="24"/>
                <w:szCs w:val="24"/>
              </w:rPr>
              <w:t>法定依据</w:t>
            </w:r>
          </w:p>
        </w:tc>
      </w:tr>
      <w:tr w14:paraId="20291C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80" w:hRule="atLeast"/>
          <w:jc w:val="center"/>
        </w:trPr>
        <w:tc>
          <w:tcPr>
            <w:tcW w:w="7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C984DD">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1"/>
                <w:szCs w:val="21"/>
              </w:rPr>
              <w:t>1</w:t>
            </w:r>
          </w:p>
        </w:tc>
        <w:tc>
          <w:tcPr>
            <w:tcW w:w="2655" w:type="dxa"/>
            <w:tcBorders>
              <w:top w:val="nil"/>
              <w:left w:val="nil"/>
              <w:bottom w:val="single" w:color="auto" w:sz="6" w:space="0"/>
              <w:right w:val="single" w:color="auto" w:sz="6" w:space="0"/>
            </w:tcBorders>
            <w:shd w:val="clear" w:color="auto" w:fill="auto"/>
            <w:tcMar>
              <w:left w:w="105" w:type="dxa"/>
              <w:right w:w="105" w:type="dxa"/>
            </w:tcMar>
            <w:vAlign w:val="center"/>
          </w:tcPr>
          <w:p w14:paraId="30E9935C">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生产经营单位在应急预案编制前未按照规定开展风险辨识、评估和应急资源调查的。</w:t>
            </w:r>
          </w:p>
        </w:tc>
        <w:tc>
          <w:tcPr>
            <w:tcW w:w="3675" w:type="dxa"/>
            <w:tcBorders>
              <w:top w:val="nil"/>
              <w:left w:val="nil"/>
              <w:bottom w:val="single" w:color="auto" w:sz="6" w:space="0"/>
              <w:right w:val="single" w:color="auto" w:sz="6" w:space="0"/>
            </w:tcBorders>
            <w:shd w:val="clear" w:color="auto" w:fill="auto"/>
            <w:tcMar>
              <w:left w:w="105" w:type="dxa"/>
              <w:right w:w="105" w:type="dxa"/>
            </w:tcMar>
            <w:vAlign w:val="center"/>
          </w:tcPr>
          <w:p w14:paraId="378AF770">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nil"/>
              <w:left w:val="nil"/>
              <w:bottom w:val="single" w:color="auto" w:sz="6" w:space="0"/>
              <w:right w:val="single" w:color="auto" w:sz="6" w:space="0"/>
            </w:tcBorders>
            <w:shd w:val="clear" w:color="auto" w:fill="auto"/>
            <w:tcMar>
              <w:left w:w="105" w:type="dxa"/>
              <w:right w:w="105" w:type="dxa"/>
            </w:tcMar>
            <w:vAlign w:val="center"/>
          </w:tcPr>
          <w:p w14:paraId="41CF5CAC">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《生产安全事故应急预案管理办法》第四十五条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生产经营单位有下列情形之一的，由县级以上人民政府应急管理部门责令限期改正，可以处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万元以下的罚款：（一）在应急预案编制前未按照规定开展风险辨识、评估和应急资源调查的；</w:t>
            </w:r>
          </w:p>
          <w:p w14:paraId="25B36888">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5BE8E8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0" w:hRule="atLeast"/>
          <w:jc w:val="center"/>
        </w:trPr>
        <w:tc>
          <w:tcPr>
            <w:tcW w:w="76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4549CE3A">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1"/>
                <w:szCs w:val="21"/>
              </w:rPr>
              <w:t>2</w:t>
            </w:r>
          </w:p>
        </w:tc>
        <w:tc>
          <w:tcPr>
            <w:tcW w:w="2655" w:type="dxa"/>
            <w:tcBorders>
              <w:top w:val="nil"/>
              <w:left w:val="nil"/>
              <w:bottom w:val="single" w:color="auto" w:sz="4" w:space="0"/>
              <w:right w:val="single" w:color="auto" w:sz="6" w:space="0"/>
            </w:tcBorders>
            <w:shd w:val="clear" w:color="auto" w:fill="auto"/>
            <w:tcMar>
              <w:left w:w="105" w:type="dxa"/>
              <w:right w:w="105" w:type="dxa"/>
            </w:tcMar>
            <w:vAlign w:val="center"/>
          </w:tcPr>
          <w:p w14:paraId="4F411DD0">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生产经营单位未按照规定开展应急预案评审的。</w:t>
            </w:r>
          </w:p>
        </w:tc>
        <w:tc>
          <w:tcPr>
            <w:tcW w:w="3675" w:type="dxa"/>
            <w:tcBorders>
              <w:top w:val="nil"/>
              <w:left w:val="nil"/>
              <w:bottom w:val="single" w:color="auto" w:sz="4" w:space="0"/>
              <w:right w:val="single" w:color="auto" w:sz="6" w:space="0"/>
            </w:tcBorders>
            <w:shd w:val="clear" w:color="auto" w:fill="auto"/>
            <w:tcMar>
              <w:left w:w="105" w:type="dxa"/>
              <w:right w:w="105" w:type="dxa"/>
            </w:tcMar>
            <w:vAlign w:val="center"/>
          </w:tcPr>
          <w:p w14:paraId="1F1C92AE">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nil"/>
              <w:left w:val="nil"/>
              <w:bottom w:val="single" w:color="auto" w:sz="4" w:space="0"/>
              <w:right w:val="single" w:color="auto" w:sz="6" w:space="0"/>
            </w:tcBorders>
            <w:shd w:val="clear" w:color="auto" w:fill="auto"/>
            <w:tcMar>
              <w:left w:w="105" w:type="dxa"/>
              <w:right w:w="105" w:type="dxa"/>
            </w:tcMar>
            <w:vAlign w:val="center"/>
          </w:tcPr>
          <w:p w14:paraId="504492AC">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《生产安全事故应急预案管理办法》第四十五条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生产经营单位有下列情形之一的，由县级以上人民政府应急管理部门责令限期改正，可以处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万元以下的罚款：（二）未按照规定开展应急预案评审的；</w:t>
            </w:r>
          </w:p>
          <w:p w14:paraId="2475F276">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3593C5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9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BCA2BA5">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1"/>
                <w:szCs w:val="21"/>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A54D854">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事故风险可能影响周边单位、人员的，生产经营单位未将事故风险的性质、影响范围和应急防范措施告知周边单位和人员的。</w:t>
            </w:r>
          </w:p>
        </w:tc>
        <w:tc>
          <w:tcPr>
            <w:tcW w:w="367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F24DB43">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A93C9E7">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《生产安全事故应急预案管理办法》第四十五条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生产经营单位有下列情形之一的，由县级以上人民政府应急管理部门责令限期改正，可以处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万元以下的罚款；（三）事故风险可能影响周边单位、人员的，未将事故风险的性质、影响范围和应急防范措施告知周边单位和人员的。</w:t>
            </w:r>
          </w:p>
          <w:p w14:paraId="05B4B858">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736432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7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453F039">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4</w:t>
            </w:r>
          </w:p>
        </w:tc>
        <w:tc>
          <w:tcPr>
            <w:tcW w:w="26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4AE06A">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生产经营单位未按照规定开展应急预案评估的。</w:t>
            </w:r>
          </w:p>
        </w:tc>
        <w:tc>
          <w:tcPr>
            <w:tcW w:w="367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5535897">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28356C1">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《生产安全事故应急预案管理办法》第四十五条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生产经营单位有下列情形之一的，由县级以上人民政府应急管理部门责令限期改正，可以处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万元以下的罚款：（四）未按照规定开展应急预案评估的；</w:t>
            </w:r>
          </w:p>
          <w:p w14:paraId="1F1E9D4E">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2D4E5F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5" w:hRule="atLeast"/>
          <w:jc w:val="center"/>
        </w:trPr>
        <w:tc>
          <w:tcPr>
            <w:tcW w:w="765" w:type="dxa"/>
            <w:tcBorders>
              <w:top w:val="single" w:color="auto" w:sz="4" w:space="0"/>
              <w:left w:val="single" w:color="auto" w:sz="6" w:space="0"/>
              <w:bottom w:val="single" w:color="auto" w:sz="6" w:space="0"/>
              <w:right w:val="single" w:color="auto" w:sz="6" w:space="0"/>
            </w:tcBorders>
            <w:shd w:val="clear" w:color="auto" w:fill="auto"/>
            <w:tcMar>
              <w:left w:w="105" w:type="dxa"/>
              <w:right w:w="105" w:type="dxa"/>
            </w:tcMar>
            <w:vAlign w:val="center"/>
          </w:tcPr>
          <w:p w14:paraId="1DAA48E3">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5</w:t>
            </w:r>
          </w:p>
        </w:tc>
        <w:tc>
          <w:tcPr>
            <w:tcW w:w="265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BB02301">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生产经营单位未按照规定进行应急预案修订的。</w:t>
            </w:r>
          </w:p>
        </w:tc>
        <w:tc>
          <w:tcPr>
            <w:tcW w:w="367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245F09E6">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B971D8B">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《生产安全事故应急预案管理办法》第四十五条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生产经营单位有下列情形之一的，由县级以上人民政府应急管理部门责令限期改正，可以处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万元以下的罚款：（五）未按照规定进行应急预案修订的；</w:t>
            </w:r>
          </w:p>
          <w:p w14:paraId="051E1EBD">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79C6E7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25" w:hRule="atLeast"/>
          <w:jc w:val="center"/>
        </w:trPr>
        <w:tc>
          <w:tcPr>
            <w:tcW w:w="76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14:paraId="129476DC">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6</w:t>
            </w:r>
          </w:p>
        </w:tc>
        <w:tc>
          <w:tcPr>
            <w:tcW w:w="2655" w:type="dxa"/>
            <w:tcBorders>
              <w:top w:val="nil"/>
              <w:left w:val="nil"/>
              <w:bottom w:val="single" w:color="auto" w:sz="4" w:space="0"/>
              <w:right w:val="single" w:color="auto" w:sz="6" w:space="0"/>
            </w:tcBorders>
            <w:shd w:val="clear" w:color="auto" w:fill="auto"/>
            <w:tcMar>
              <w:left w:w="105" w:type="dxa"/>
              <w:right w:w="105" w:type="dxa"/>
            </w:tcMar>
            <w:vAlign w:val="center"/>
          </w:tcPr>
          <w:p w14:paraId="32945B79">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生产经营单位未将安全培训工作纳入本单位工作计划并保证安全培训工作所需资金的。</w:t>
            </w:r>
          </w:p>
        </w:tc>
        <w:tc>
          <w:tcPr>
            <w:tcW w:w="3675" w:type="dxa"/>
            <w:tcBorders>
              <w:top w:val="nil"/>
              <w:left w:val="nil"/>
              <w:bottom w:val="single" w:color="auto" w:sz="4" w:space="0"/>
              <w:right w:val="single" w:color="auto" w:sz="6" w:space="0"/>
            </w:tcBorders>
            <w:shd w:val="clear" w:color="auto" w:fill="auto"/>
            <w:tcMar>
              <w:left w:w="105" w:type="dxa"/>
              <w:right w:w="105" w:type="dxa"/>
            </w:tcMar>
            <w:vAlign w:val="center"/>
          </w:tcPr>
          <w:p w14:paraId="0365E64F">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nil"/>
              <w:left w:val="nil"/>
              <w:bottom w:val="single" w:color="auto" w:sz="4" w:space="0"/>
              <w:right w:val="single" w:color="auto" w:sz="6" w:space="0"/>
            </w:tcBorders>
            <w:shd w:val="clear" w:color="auto" w:fill="auto"/>
            <w:tcMar>
              <w:left w:w="105" w:type="dxa"/>
              <w:right w:w="105" w:type="dxa"/>
            </w:tcMar>
            <w:vAlign w:val="center"/>
          </w:tcPr>
          <w:p w14:paraId="1DC71177">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《生产经营单位安全培训规定》第二十九条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生产经营单位有下列行为之一的，由安全生产监管监察部门责令其限期改正，可以处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万元以下的罚款：（一）未将安全培训工作纳入本单位工作计划并保证安全培训工作所需资金的；</w:t>
            </w:r>
          </w:p>
          <w:p w14:paraId="3575ADEA">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r w14:paraId="3776DA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6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B39C326">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7</w:t>
            </w:r>
          </w:p>
        </w:tc>
        <w:tc>
          <w:tcPr>
            <w:tcW w:w="26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42B1B6">
            <w:pPr>
              <w:pStyle w:val="3"/>
              <w:keepNext w:val="0"/>
              <w:keepLines w:val="0"/>
              <w:widowControl/>
              <w:suppressLineNumbers w:val="0"/>
              <w:spacing w:before="0" w:beforeAutospacing="0" w:after="0" w:afterAutospacing="0"/>
              <w:ind w:left="0" w:right="0" w:firstLine="0"/>
              <w:jc w:val="left"/>
              <w:rPr>
                <w:rFonts w:hint="eastAsia" w:ascii="仿宋_GB2312" w:eastAsia="仿宋_GB2312" w:cs="仿宋_GB2312"/>
                <w:sz w:val="31"/>
                <w:szCs w:val="31"/>
              </w:rPr>
            </w:pPr>
            <w:r>
              <w:rPr>
                <w:rFonts w:hint="eastAsia" w:ascii="仿宋_GB2312" w:hAnsi="Times New Roman" w:eastAsia="仿宋_GB2312" w:cs="仿宋_GB2312"/>
                <w:sz w:val="24"/>
                <w:szCs w:val="24"/>
              </w:rPr>
              <w:t>生产经营单位在从业人员安全培训期间未支付工资并承担安全培训费用的</w:t>
            </w:r>
          </w:p>
        </w:tc>
        <w:tc>
          <w:tcPr>
            <w:tcW w:w="367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5280EC0">
            <w:pPr>
              <w:pStyle w:val="3"/>
              <w:keepNext w:val="0"/>
              <w:keepLines w:val="0"/>
              <w:widowControl/>
              <w:suppressLineNumbers w:val="0"/>
              <w:spacing w:before="0" w:beforeAutospacing="0" w:after="0" w:afterAutospacing="0"/>
              <w:ind w:left="0" w:right="0" w:firstLine="0"/>
              <w:rPr>
                <w:rFonts w:hint="eastAsia" w:ascii="仿宋_GB2312" w:eastAsia="仿宋_GB2312" w:cs="仿宋_GB2312"/>
                <w:sz w:val="31"/>
                <w:szCs w:val="31"/>
              </w:rPr>
            </w:pPr>
            <w:r>
              <w:rPr>
                <w:rFonts w:hint="eastAsia" w:ascii="仿宋_GB2312" w:hAnsi="Times New Roman" w:eastAsia="仿宋_GB2312" w:cs="仿宋_GB2312"/>
                <w:spacing w:val="0"/>
                <w:sz w:val="24"/>
                <w:szCs w:val="24"/>
              </w:rPr>
              <w:t>一般行业生产经营单位，属于首次被发现，违法行为轻微且责令限期改正后及时改正，没有造成危害后果的。</w:t>
            </w:r>
          </w:p>
        </w:tc>
        <w:tc>
          <w:tcPr>
            <w:tcW w:w="68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2DC2329">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《生产经营单位安全培训规定》第二十九条</w:t>
            </w:r>
            <w:r>
              <w:rPr>
                <w:rFonts w:hint="default" w:ascii="Times New Roman" w:hAnsi="Times New Roman" w:eastAsia="仿宋_GB2312" w:cs="Times New Roman"/>
                <w:spacing w:val="0"/>
                <w:sz w:val="24"/>
                <w:szCs w:val="24"/>
              </w:rPr>
              <w:t> </w:t>
            </w:r>
            <w:r>
              <w:rPr>
                <w:rFonts w:hint="eastAsia" w:ascii="仿宋_GB2312" w:hAnsi="Times New Roman" w:eastAsia="仿宋_GB2312" w:cs="仿宋_GB2312"/>
                <w:spacing w:val="0"/>
                <w:sz w:val="24"/>
                <w:szCs w:val="24"/>
              </w:rPr>
              <w:t>生产经营单位有下列行为之一的，由安全生产监管监察部门责令其限期改正，可以处</w:t>
            </w:r>
            <w:r>
              <w:rPr>
                <w:rFonts w:hint="default" w:ascii="Times New Roman" w:hAnsi="Times New Roman" w:eastAsia="仿宋_GB2312" w:cs="Times New Roman"/>
                <w:spacing w:val="0"/>
                <w:sz w:val="24"/>
                <w:szCs w:val="24"/>
              </w:rPr>
              <w:t>1</w:t>
            </w:r>
            <w:r>
              <w:rPr>
                <w:rFonts w:hint="eastAsia" w:ascii="仿宋_GB2312" w:hAnsi="Times New Roman" w:eastAsia="仿宋_GB2312" w:cs="仿宋_GB2312"/>
                <w:spacing w:val="0"/>
                <w:sz w:val="24"/>
                <w:szCs w:val="24"/>
              </w:rPr>
              <w:t>万元以上</w:t>
            </w:r>
            <w:r>
              <w:rPr>
                <w:rFonts w:hint="default" w:ascii="Times New Roman" w:hAnsi="Times New Roman" w:eastAsia="仿宋_GB2312" w:cs="Times New Roman"/>
                <w:spacing w:val="0"/>
                <w:sz w:val="24"/>
                <w:szCs w:val="24"/>
              </w:rPr>
              <w:t>3</w:t>
            </w:r>
            <w:r>
              <w:rPr>
                <w:rFonts w:hint="eastAsia" w:ascii="仿宋_GB2312" w:hAnsi="Times New Roman" w:eastAsia="仿宋_GB2312" w:cs="仿宋_GB2312"/>
                <w:spacing w:val="0"/>
                <w:sz w:val="24"/>
                <w:szCs w:val="24"/>
              </w:rPr>
              <w:t>万元以下的罚款：（二）</w:t>
            </w:r>
            <w:r>
              <w:rPr>
                <w:rFonts w:hint="eastAsia" w:ascii="仿宋_GB2312" w:hAnsi="Times New Roman" w:eastAsia="仿宋_GB2312" w:cs="仿宋_GB2312"/>
                <w:sz w:val="24"/>
                <w:szCs w:val="24"/>
              </w:rPr>
              <w:t>从业人员进行安全培训期间未支付工资并承担安全培训费用的</w:t>
            </w:r>
            <w:r>
              <w:rPr>
                <w:rFonts w:hint="eastAsia" w:ascii="仿宋_GB2312" w:hAnsi="Times New Roman" w:eastAsia="仿宋_GB2312" w:cs="仿宋_GB2312"/>
                <w:spacing w:val="0"/>
                <w:sz w:val="24"/>
                <w:szCs w:val="24"/>
              </w:rPr>
              <w:t>；</w:t>
            </w:r>
          </w:p>
          <w:p w14:paraId="5BA9C314">
            <w:pPr>
              <w:pStyle w:val="3"/>
              <w:keepNext w:val="0"/>
              <w:keepLines w:val="0"/>
              <w:widowControl/>
              <w:suppressLineNumbers w:val="0"/>
              <w:spacing w:before="0" w:beforeAutospacing="0" w:after="0" w:afterAutospacing="0"/>
              <w:ind w:left="0" w:right="0"/>
              <w:rPr>
                <w:rFonts w:hint="eastAsia" w:ascii="仿宋_GB2312" w:eastAsia="仿宋_GB2312" w:cs="仿宋_GB2312"/>
                <w:sz w:val="31"/>
                <w:szCs w:val="31"/>
              </w:rPr>
            </w:pPr>
            <w:r>
              <w:rPr>
                <w:rFonts w:hint="default" w:ascii="Times New Roman" w:hAnsi="Times New Roman" w:eastAsia="仿宋_GB2312" w:cs="Times New Roman"/>
                <w:spacing w:val="0"/>
                <w:sz w:val="24"/>
                <w:szCs w:val="24"/>
              </w:rPr>
              <w:t>2.</w:t>
            </w:r>
            <w:r>
              <w:rPr>
                <w:rFonts w:hint="eastAsia" w:ascii="仿宋_GB2312" w:hAnsi="Times New Roman" w:eastAsia="仿宋_GB2312" w:cs="仿宋_GB2312"/>
                <w:spacing w:val="0"/>
                <w:sz w:val="24"/>
                <w:szCs w:val="24"/>
              </w:rPr>
              <w:t>《中华人民共和国行政处罚法》第三十三条第一款</w:t>
            </w:r>
            <w:r>
              <w:rPr>
                <w:rFonts w:hint="default" w:ascii="Times New Roman" w:hAnsi="Times New Roman" w:eastAsia="仿宋_GB2312" w:cs="Times New Roman"/>
                <w:spacing w:val="0"/>
                <w:sz w:val="24"/>
                <w:szCs w:val="24"/>
              </w:rPr>
              <w:t xml:space="preserve"> </w:t>
            </w:r>
            <w:r>
              <w:rPr>
                <w:rFonts w:hint="eastAsia" w:ascii="仿宋_GB2312" w:hAnsi="Times New Roman" w:eastAsia="仿宋_GB2312" w:cs="仿宋_GB2312"/>
                <w:spacing w:val="0"/>
                <w:sz w:val="24"/>
                <w:szCs w:val="24"/>
              </w:rPr>
              <w:t>违法行为轻微并及时纠正，没有造成危害后果的，不予行政处罚。</w:t>
            </w:r>
          </w:p>
        </w:tc>
      </w:tr>
    </w:tbl>
    <w:p w14:paraId="10863DFE">
      <w:pPr>
        <w:pStyle w:val="3"/>
        <w:keepNext w:val="0"/>
        <w:keepLines w:val="0"/>
        <w:widowControl/>
        <w:suppressLineNumbers w:val="0"/>
        <w:spacing w:before="0" w:beforeAutospacing="0" w:after="0" w:afterAutospacing="0"/>
        <w:ind w:left="0" w:right="0" w:firstLine="0"/>
        <w:jc w:val="both"/>
        <w:rPr>
          <w:rFonts w:hint="eastAsia" w:ascii="仿宋_GB2312" w:eastAsia="仿宋_GB2312" w:cs="仿宋_GB2312"/>
          <w:sz w:val="31"/>
          <w:szCs w:val="31"/>
        </w:rPr>
      </w:pPr>
      <w:r>
        <w:rPr>
          <w:rFonts w:hint="default" w:ascii="Times New Roman" w:hAnsi="Times New Roman" w:eastAsia="仿宋_GB2312" w:cs="Times New Roman"/>
          <w:sz w:val="24"/>
          <w:szCs w:val="24"/>
        </w:rPr>
        <w:t> </w:t>
      </w:r>
    </w:p>
    <w:p w14:paraId="7247E7FF">
      <w:pPr>
        <w:pStyle w:val="3"/>
        <w:keepNext w:val="0"/>
        <w:keepLines w:val="0"/>
        <w:widowControl/>
        <w:suppressLineNumbers w:val="0"/>
        <w:spacing w:before="0" w:beforeAutospacing="0" w:after="0" w:afterAutospacing="0" w:line="375" w:lineRule="atLeast"/>
        <w:ind w:left="0" w:right="0" w:firstLine="0"/>
        <w:jc w:val="both"/>
        <w:rPr>
          <w:rFonts w:hint="eastAsia" w:ascii="黑体" w:hAnsi="黑体" w:eastAsia="黑体" w:cs="黑体"/>
          <w:sz w:val="32"/>
          <w:szCs w:val="32"/>
        </w:rPr>
      </w:pPr>
      <w:r>
        <w:rPr>
          <w:rFonts w:hint="eastAsia" w:ascii="黑体" w:hAnsi="黑体" w:eastAsia="黑体" w:cs="黑体"/>
          <w:sz w:val="32"/>
          <w:szCs w:val="32"/>
        </w:rPr>
        <w:t>三、下列违法行为，符合法定条件，依法减轻行政处罚（无）</w:t>
      </w:r>
    </w:p>
    <w:p w14:paraId="3F50E57B">
      <w:pPr>
        <w:pStyle w:val="3"/>
        <w:keepNext w:val="0"/>
        <w:keepLines w:val="0"/>
        <w:widowControl/>
        <w:suppressLineNumbers w:val="0"/>
        <w:spacing w:before="0" w:beforeAutospacing="0" w:after="0" w:afterAutospacing="0" w:line="495" w:lineRule="atLeast"/>
        <w:ind w:left="0" w:right="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备注：</w:t>
      </w:r>
    </w:p>
    <w:p w14:paraId="1272D746">
      <w:pPr>
        <w:pStyle w:val="3"/>
        <w:keepNext w:val="0"/>
        <w:keepLines w:val="0"/>
        <w:widowControl/>
        <w:suppressLineNumbers w:val="0"/>
        <w:spacing w:before="0" w:beforeAutospacing="0" w:after="0" w:afterAutospacing="0" w:line="495" w:lineRule="atLeast"/>
        <w:ind w:left="0" w:right="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仿宋_GB2312" w:hAnsi="Times New Roman" w:eastAsia="仿宋_GB2312" w:cs="仿宋_GB2312"/>
          <w:sz w:val="32"/>
          <w:szCs w:val="32"/>
        </w:rPr>
        <w:t>《清单》中所称“一般行业生产经营单位”是指除矿山、金属冶炼、建筑施工、运输单位和危险物品的生产、经营、储存、装卸单位以外的其他生产经营单位。</w:t>
      </w:r>
    </w:p>
    <w:p w14:paraId="1A5064F3">
      <w:pPr>
        <w:pStyle w:val="3"/>
        <w:keepNext w:val="0"/>
        <w:keepLines w:val="0"/>
        <w:widowControl/>
        <w:suppressLineNumbers w:val="0"/>
        <w:spacing w:before="0" w:beforeAutospacing="0" w:after="0" w:afterAutospacing="0" w:line="495" w:lineRule="atLeast"/>
        <w:ind w:left="0" w:right="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仿宋_GB2312" w:hAnsi="Times New Roman" w:eastAsia="仿宋_GB2312" w:cs="仿宋_GB2312"/>
          <w:sz w:val="32"/>
          <w:szCs w:val="32"/>
        </w:rPr>
        <w:t>《清单》中所称“首次被发现”是指生产经营单位的该项违法行为自本清单正式施行之日起第一次被区市县应急管理部门执法人员发现。</w:t>
      </w:r>
      <w:bookmarkStart w:id="0" w:name="_GoBack"/>
      <w:bookmarkEnd w:id="0"/>
    </w:p>
    <w:p w14:paraId="4188D91B">
      <w:pPr>
        <w:pStyle w:val="3"/>
        <w:keepNext w:val="0"/>
        <w:keepLines w:val="0"/>
        <w:widowControl/>
        <w:suppressLineNumbers w:val="0"/>
        <w:spacing w:before="0" w:beforeAutospacing="0" w:after="0" w:afterAutospacing="0" w:line="495" w:lineRule="atLeast"/>
        <w:ind w:left="0" w:right="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3.《清单》中所称“违法行为轻微并及时纠正”是指生产经营单位违法行为轻微，并按时限要求完成了违法行为整改，而且经执法人员复查验收符合法律法规和有关标准的要求。</w:t>
      </w:r>
    </w:p>
    <w:p w14:paraId="33C9CCDC">
      <w:pPr>
        <w:pStyle w:val="3"/>
        <w:keepNext w:val="0"/>
        <w:keepLines w:val="0"/>
        <w:widowControl/>
        <w:suppressLineNumbers w:val="0"/>
        <w:spacing w:before="0" w:beforeAutospacing="0" w:after="0" w:afterAutospacing="0" w:line="495" w:lineRule="atLeast"/>
        <w:ind w:left="0" w:right="0"/>
        <w:jc w:val="both"/>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4.《清单》中所称“没有造成危害后果”是指没有给公民、法人和其他组织造成任何的财产损失或人员伤亡的后果。</w:t>
      </w:r>
    </w:p>
    <w:p w14:paraId="5439A591"/>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E9530-B18A-4E79-9B4C-CEFF832D1B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966D454-348A-4440-9BB1-ACD9395C3296}"/>
  </w:font>
  <w:font w:name="方正小标宋简体">
    <w:panose1 w:val="02000000000000000000"/>
    <w:charset w:val="86"/>
    <w:family w:val="auto"/>
    <w:pitch w:val="default"/>
    <w:sig w:usb0="00000001" w:usb1="08000000" w:usb2="00000000" w:usb3="00000000" w:csb0="00040000" w:csb1="00000000"/>
    <w:embedRegular r:id="rId3" w:fontKey="{BB57A69C-0412-4009-9D14-AA3DD9DFD44B}"/>
  </w:font>
  <w:font w:name="方正黑体_GBK">
    <w:altName w:val="微软雅黑"/>
    <w:panose1 w:val="00000000000000000000"/>
    <w:charset w:val="00"/>
    <w:family w:val="auto"/>
    <w:pitch w:val="default"/>
    <w:sig w:usb0="00000000" w:usb1="00000000" w:usb2="00000000" w:usb3="00000000" w:csb0="00000000" w:csb1="00000000"/>
    <w:embedRegular r:id="rId4" w:fontKey="{B081F8B4-01A9-4074-A00C-40497F54348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方正粗黑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Wide Latin">
    <w:panose1 w:val="020A0A07050505020404"/>
    <w:charset w:val="00"/>
    <w:family w:val="auto"/>
    <w:pitch w:val="default"/>
    <w:sig w:usb0="00000003" w:usb1="00000000" w:usb2="00000000" w:usb3="00000000" w:csb0="20000001" w:csb1="00000000"/>
  </w:font>
  <w:font w:name="Sitka Heading Semibold">
    <w:panose1 w:val="00000000000000000000"/>
    <w:charset w:val="00"/>
    <w:family w:val="auto"/>
    <w:pitch w:val="default"/>
    <w:sig w:usb0="A00002EF" w:usb1="4000204B" w:usb2="00000000" w:usb3="00000000" w:csb0="2000019F" w:csb1="00000000"/>
  </w:font>
  <w:font w:name="Microsoft Yi Baiti">
    <w:panose1 w:val="03000500000000000000"/>
    <w:charset w:val="00"/>
    <w:family w:val="auto"/>
    <w:pitch w:val="default"/>
    <w:sig w:usb0="80000003" w:usb1="00010402" w:usb2="00080002" w:usb3="00000000" w:csb0="00000001" w:csb1="00000000"/>
  </w:font>
  <w:font w:name="Kunstler Script">
    <w:panose1 w:val="030304020206070D0D06"/>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ell MT">
    <w:panose1 w:val="02020503060305020303"/>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Microsoft JhengHei">
    <w:panose1 w:val="020B0604030504040204"/>
    <w:charset w:val="88"/>
    <w:family w:val="auto"/>
    <w:pitch w:val="default"/>
    <w:sig w:usb0="000002A7" w:usb1="28CF4400" w:usb2="00000016" w:usb3="00000000" w:csb0="00100009" w:csb1="00000000"/>
  </w:font>
  <w:font w:name="汉仪中黑 197">
    <w:panose1 w:val="00020600040101010101"/>
    <w:charset w:val="86"/>
    <w:family w:val="auto"/>
    <w:pitch w:val="default"/>
    <w:sig w:usb0="A00002BF" w:usb1="18EF7CFA" w:usb2="00000016" w:usb3="00000000" w:csb0="0004009F" w:csb1="00000000"/>
  </w:font>
  <w:font w:name="华文彩云">
    <w:panose1 w:val="02010800040101010101"/>
    <w:charset w:val="86"/>
    <w:family w:val="auto"/>
    <w:pitch w:val="default"/>
    <w:sig w:usb0="00000001" w:usb1="080F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5" w:fontKey="{218D8322-46DF-4755-9A6A-41D94B286D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YTU1OTAzYmQ4MjRiZTM2NWNkN2MyMDJiNmFkYzIifQ=="/>
  </w:docVars>
  <w:rsids>
    <w:rsidRoot w:val="00000000"/>
    <w:rsid w:val="3A014DF1"/>
    <w:rsid w:val="56D20196"/>
    <w:rsid w:val="74FF764A"/>
    <w:rsid w:val="7BBD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2047</Words>
  <Characters>2065</Characters>
  <Lines>0</Lines>
  <Paragraphs>0</Paragraphs>
  <TotalTime>4</TotalTime>
  <ScaleCrop>false</ScaleCrop>
  <LinksUpToDate>false</LinksUpToDate>
  <CharactersWithSpaces>2072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2023-11-08T01:36:00Z</dcterms:created>
  <dc:creator>Administrator</dc:creator>
  <cp:lastModifiedBy>Lethobenthos</cp:lastModifiedBy>
  <dcterms:modified xsi:type="dcterms:W3CDTF">2024-10-21T02:19:46Z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4C4D438F86E4404A897F20813A44C818_12</vt:lpwstr>
  </property>
</Properties>
</file>