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pBdr>
          <w:top w:val="none" w:color="auto" w:sz="0" w:space="0"/>
          <w:left w:val="none" w:color="auto" w:sz="0" w:space="0"/>
          <w:bottom w:val="none" w:color="auto" w:sz="0" w:space="0"/>
          <w:right w:val="none" w:color="auto" w:sz="0" w:space="0"/>
        </w:pBdr>
        <w:shd w:val="clear" w:color="070000" w:fill="FFFFFF"/>
        <w:wordWrap/>
        <w:adjustRightInd/>
        <w:snapToGrid/>
        <w:spacing w:before="150" w:beforeAutospacing="0" w:after="150" w:afterAutospacing="0" w:line="500" w:lineRule="exact"/>
        <w:ind w:right="0"/>
        <w:jc w:val="left"/>
        <w:textAlignment w:val="auto"/>
        <w:outlineLvl w:val="9"/>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附件4：</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snapToGrid/>
        <w:spacing w:before="150" w:beforeAutospacing="0" w:after="150" w:afterAutospacing="0" w:line="500" w:lineRule="exact"/>
        <w:ind w:left="0" w:leftChars="0" w:right="0" w:firstLine="210" w:firstLineChars="0"/>
        <w:jc w:val="center"/>
        <w:textAlignment w:val="auto"/>
        <w:outlineLvl w:val="9"/>
        <w:rPr>
          <w:rFonts w:hint="eastAsia" w:ascii="方正小标宋简体" w:hAnsi="方正小标宋简体" w:eastAsia="方正小标宋简体" w:cs="方正小标宋简体"/>
          <w:b w:val="0"/>
          <w:i w:val="0"/>
          <w:caps w:val="0"/>
          <w:color w:val="3F3939"/>
          <w:spacing w:val="0"/>
          <w:sz w:val="44"/>
          <w:szCs w:val="44"/>
          <w:shd w:val="clear" w:color="080000" w:fill="FFFFFF"/>
        </w:rPr>
      </w:pPr>
      <w:r>
        <w:rPr>
          <w:rFonts w:hint="eastAsia" w:ascii="方正小标宋简体" w:hAnsi="方正小标宋简体" w:eastAsia="方正小标宋简体" w:cs="方正小标宋简体"/>
          <w:b w:val="0"/>
          <w:i w:val="0"/>
          <w:caps w:val="0"/>
          <w:color w:val="3F3939"/>
          <w:spacing w:val="0"/>
          <w:sz w:val="44"/>
          <w:szCs w:val="44"/>
          <w:shd w:val="clear" w:color="080000" w:fill="FFFFFF"/>
        </w:rPr>
        <w:t>金属冶炼企业禁止使用的设备</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snapToGrid/>
        <w:spacing w:before="150" w:beforeAutospacing="0" w:after="150" w:afterAutospacing="0" w:line="500" w:lineRule="exact"/>
        <w:ind w:left="0" w:leftChars="0" w:right="0" w:firstLine="210" w:firstLineChars="0"/>
        <w:jc w:val="center"/>
        <w:textAlignment w:val="auto"/>
        <w:outlineLvl w:val="9"/>
        <w:rPr>
          <w:rFonts w:hint="eastAsia" w:ascii="仿宋_GB2312" w:hAnsi="仿宋_GB2312" w:eastAsia="仿宋_GB2312" w:cs="仿宋_GB2312"/>
          <w:b w:val="0"/>
          <w:i w:val="0"/>
          <w:caps w:val="0"/>
          <w:color w:val="3F3939"/>
          <w:spacing w:val="0"/>
          <w:sz w:val="21"/>
          <w:szCs w:val="21"/>
        </w:rPr>
      </w:pPr>
      <w:r>
        <w:rPr>
          <w:rFonts w:hint="eastAsia" w:ascii="方正小标宋简体" w:hAnsi="方正小标宋简体" w:eastAsia="方正小标宋简体" w:cs="方正小标宋简体"/>
          <w:b w:val="0"/>
          <w:i w:val="0"/>
          <w:caps w:val="0"/>
          <w:color w:val="3F3939"/>
          <w:spacing w:val="0"/>
          <w:sz w:val="44"/>
          <w:szCs w:val="44"/>
          <w:shd w:val="clear" w:color="080000" w:fill="FFFFFF"/>
        </w:rPr>
        <w:t>及工艺目录 （第一批） </w:t>
      </w:r>
    </w:p>
    <w:tbl>
      <w:tblPr>
        <w:tblStyle w:val="9"/>
        <w:tblW w:w="9107" w:type="dxa"/>
        <w:jc w:val="center"/>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98"/>
        <w:gridCol w:w="1380"/>
        <w:gridCol w:w="3469"/>
        <w:gridCol w:w="1275"/>
        <w:gridCol w:w="23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PrEx>
        <w:trPr>
          <w:trHeight w:val="788" w:hRule="atLeast"/>
          <w:tblHeader/>
          <w:tblCellSpacing w:w="0" w:type="dxa"/>
          <w:jc w:val="center"/>
        </w:trPr>
        <w:tc>
          <w:tcPr>
            <w:tcW w:w="598" w:type="dxa"/>
            <w:shd w:val="clear" w:color="auto" w:fill="FFFFFF"/>
            <w:vAlign w:val="center"/>
          </w:tcPr>
          <w:p>
            <w:pPr>
              <w:widowControl/>
              <w:spacing w:before="0" w:beforeAutospacing="0" w:after="0" w:afterAutospacing="0"/>
              <w:ind w:left="0" w:right="0" w:firstLine="0"/>
              <w:jc w:val="center"/>
              <w:rPr>
                <w:rFonts w:hint="eastAsia" w:ascii="仿宋_GB2312" w:hAnsi="仿宋_GB2312" w:eastAsia="仿宋_GB2312" w:cs="仿宋_GB2312"/>
                <w:b/>
                <w:bCs/>
                <w:i w:val="0"/>
                <w:caps w:val="0"/>
                <w:color w:val="000000"/>
                <w:spacing w:val="0"/>
                <w:sz w:val="24"/>
                <w:szCs w:val="24"/>
              </w:rPr>
            </w:pPr>
            <w:r>
              <w:rPr>
                <w:rFonts w:hint="eastAsia" w:ascii="仿宋_GB2312" w:hAnsi="仿宋_GB2312" w:eastAsia="仿宋_GB2312" w:cs="仿宋_GB2312"/>
                <w:b/>
                <w:bCs/>
                <w:i w:val="0"/>
                <w:caps w:val="0"/>
                <w:color w:val="000000"/>
                <w:spacing w:val="0"/>
                <w:kern w:val="0"/>
                <w:sz w:val="24"/>
                <w:szCs w:val="24"/>
                <w:lang w:val="en-US" w:eastAsia="zh-CN"/>
              </w:rPr>
              <w:t>序号</w:t>
            </w:r>
          </w:p>
        </w:tc>
        <w:tc>
          <w:tcPr>
            <w:tcW w:w="1380" w:type="dxa"/>
            <w:shd w:val="clear" w:color="auto" w:fill="FFFFFF"/>
            <w:vAlign w:val="center"/>
          </w:tcPr>
          <w:p>
            <w:pPr>
              <w:widowControl/>
              <w:spacing w:before="0" w:beforeAutospacing="0" w:after="0" w:afterAutospacing="0"/>
              <w:ind w:left="0" w:right="0" w:firstLine="0"/>
              <w:jc w:val="center"/>
              <w:rPr>
                <w:rFonts w:hint="eastAsia" w:ascii="仿宋_GB2312" w:hAnsi="仿宋_GB2312" w:eastAsia="仿宋_GB2312" w:cs="仿宋_GB2312"/>
                <w:b/>
                <w:bCs/>
                <w:i w:val="0"/>
                <w:caps w:val="0"/>
                <w:color w:val="000000"/>
                <w:spacing w:val="0"/>
                <w:sz w:val="24"/>
                <w:szCs w:val="24"/>
              </w:rPr>
            </w:pPr>
            <w:r>
              <w:rPr>
                <w:rFonts w:hint="eastAsia" w:ascii="仿宋_GB2312" w:hAnsi="仿宋_GB2312" w:eastAsia="仿宋_GB2312" w:cs="仿宋_GB2312"/>
                <w:b/>
                <w:bCs/>
                <w:i w:val="0"/>
                <w:caps w:val="0"/>
                <w:color w:val="000000"/>
                <w:spacing w:val="0"/>
                <w:kern w:val="0"/>
                <w:sz w:val="24"/>
                <w:szCs w:val="24"/>
                <w:lang w:val="en-US" w:eastAsia="zh-CN"/>
              </w:rPr>
              <w:t>设备或工艺名称（型号）</w:t>
            </w:r>
          </w:p>
        </w:tc>
        <w:tc>
          <w:tcPr>
            <w:tcW w:w="3469" w:type="dxa"/>
            <w:shd w:val="clear" w:color="auto" w:fill="FFFFFF"/>
            <w:vAlign w:val="center"/>
          </w:tcPr>
          <w:p>
            <w:pPr>
              <w:widowControl/>
              <w:spacing w:before="0" w:beforeAutospacing="0" w:after="0" w:afterAutospacing="0"/>
              <w:ind w:left="0" w:right="0" w:firstLine="0"/>
              <w:jc w:val="center"/>
              <w:rPr>
                <w:rFonts w:hint="eastAsia" w:ascii="仿宋_GB2312" w:hAnsi="仿宋_GB2312" w:eastAsia="仿宋_GB2312" w:cs="仿宋_GB2312"/>
                <w:b/>
                <w:bCs/>
                <w:i w:val="0"/>
                <w:caps w:val="0"/>
                <w:color w:val="000000"/>
                <w:spacing w:val="0"/>
                <w:sz w:val="24"/>
                <w:szCs w:val="24"/>
              </w:rPr>
            </w:pPr>
            <w:r>
              <w:rPr>
                <w:rFonts w:hint="eastAsia" w:ascii="仿宋_GB2312" w:hAnsi="仿宋_GB2312" w:eastAsia="仿宋_GB2312" w:cs="仿宋_GB2312"/>
                <w:b/>
                <w:bCs/>
                <w:i w:val="0"/>
                <w:caps w:val="0"/>
                <w:color w:val="000000"/>
                <w:spacing w:val="0"/>
                <w:kern w:val="0"/>
                <w:sz w:val="24"/>
                <w:szCs w:val="24"/>
                <w:lang w:val="en-US" w:eastAsia="zh-CN"/>
              </w:rPr>
              <w:t>禁止原因</w:t>
            </w:r>
          </w:p>
        </w:tc>
        <w:tc>
          <w:tcPr>
            <w:tcW w:w="1275" w:type="dxa"/>
            <w:shd w:val="clear" w:color="auto" w:fill="FFFFFF"/>
            <w:vAlign w:val="center"/>
          </w:tcPr>
          <w:p>
            <w:pPr>
              <w:widowControl/>
              <w:spacing w:before="0" w:beforeAutospacing="0" w:after="0" w:afterAutospacing="0"/>
              <w:ind w:left="0" w:right="0" w:firstLine="0"/>
              <w:jc w:val="center"/>
              <w:rPr>
                <w:rFonts w:hint="eastAsia" w:ascii="仿宋_GB2312" w:hAnsi="仿宋_GB2312" w:eastAsia="仿宋_GB2312" w:cs="仿宋_GB2312"/>
                <w:b/>
                <w:bCs/>
                <w:i w:val="0"/>
                <w:caps w:val="0"/>
                <w:color w:val="000000"/>
                <w:spacing w:val="0"/>
                <w:sz w:val="24"/>
                <w:szCs w:val="24"/>
              </w:rPr>
            </w:pPr>
            <w:r>
              <w:rPr>
                <w:rFonts w:hint="eastAsia" w:ascii="仿宋_GB2312" w:hAnsi="仿宋_GB2312" w:eastAsia="仿宋_GB2312" w:cs="仿宋_GB2312"/>
                <w:b/>
                <w:bCs/>
                <w:i w:val="0"/>
                <w:caps w:val="0"/>
                <w:color w:val="000000"/>
                <w:spacing w:val="0"/>
                <w:kern w:val="0"/>
                <w:sz w:val="24"/>
                <w:szCs w:val="24"/>
                <w:lang w:val="en-US" w:eastAsia="zh-CN"/>
              </w:rPr>
              <w:t>禁止期限</w:t>
            </w:r>
          </w:p>
        </w:tc>
        <w:tc>
          <w:tcPr>
            <w:tcW w:w="2385" w:type="dxa"/>
            <w:shd w:val="clear" w:color="auto" w:fill="FFFFFF"/>
            <w:vAlign w:val="center"/>
          </w:tcPr>
          <w:p>
            <w:pPr>
              <w:widowControl/>
              <w:spacing w:before="0" w:beforeAutospacing="0" w:after="0" w:afterAutospacing="0"/>
              <w:ind w:left="0" w:right="0" w:firstLine="0"/>
              <w:jc w:val="center"/>
              <w:rPr>
                <w:rFonts w:hint="eastAsia" w:ascii="仿宋_GB2312" w:hAnsi="仿宋_GB2312" w:eastAsia="仿宋_GB2312" w:cs="仿宋_GB2312"/>
                <w:b/>
                <w:bCs/>
                <w:i w:val="0"/>
                <w:caps w:val="0"/>
                <w:color w:val="000000"/>
                <w:spacing w:val="0"/>
                <w:sz w:val="24"/>
                <w:szCs w:val="24"/>
              </w:rPr>
            </w:pPr>
            <w:r>
              <w:rPr>
                <w:rFonts w:hint="eastAsia" w:ascii="仿宋_GB2312" w:hAnsi="仿宋_GB2312" w:eastAsia="仿宋_GB2312" w:cs="仿宋_GB2312"/>
                <w:b/>
                <w:bCs/>
                <w:i w:val="0"/>
                <w:caps w:val="0"/>
                <w:color w:val="000000"/>
                <w:spacing w:val="0"/>
                <w:kern w:val="0"/>
                <w:sz w:val="24"/>
                <w:szCs w:val="24"/>
                <w:lang w:val="en-US" w:eastAsia="zh-CN"/>
              </w:rPr>
              <w:t>替代产品及优点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PrEx>
        <w:trPr>
          <w:tblCellSpacing w:w="0" w:type="dxa"/>
          <w:jc w:val="center"/>
        </w:trPr>
        <w:tc>
          <w:tcPr>
            <w:tcW w:w="598" w:type="dxa"/>
            <w:shd w:val="clear" w:color="auto" w:fill="FFFFFF"/>
            <w:vAlign w:val="center"/>
          </w:tcPr>
          <w:p>
            <w:pPr>
              <w:widowControl/>
              <w:spacing w:before="0" w:beforeAutospacing="0" w:after="0" w:afterAutospacing="0"/>
              <w:ind w:left="0" w:right="0" w:firstLine="0"/>
              <w:jc w:val="center"/>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1</w:t>
            </w:r>
          </w:p>
        </w:tc>
        <w:tc>
          <w:tcPr>
            <w:tcW w:w="1380"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钢（铁）水罐非烘烤器烘烤</w:t>
            </w:r>
          </w:p>
        </w:tc>
        <w:tc>
          <w:tcPr>
            <w:tcW w:w="3469"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采用红渣或木柴烘烤，无法按照烘烤曲线进行升温、保温，容易导致罐（包）体烘烤不充分，当钢（铁）水罐耐材存在局部潮湿、气孔不畅，吊运或运输作业时容易引发钢（铁）水喷溅或喷爆事故，引发人员伤亡。</w:t>
            </w:r>
          </w:p>
        </w:tc>
        <w:tc>
          <w:tcPr>
            <w:tcW w:w="1275"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自2018年9月1日起禁止</w:t>
            </w:r>
          </w:p>
        </w:tc>
        <w:tc>
          <w:tcPr>
            <w:tcW w:w="2385"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使用煤气（天然气）、液化石油气等介质烘烤器进行烘烤，并严格按照升温曲线进行烘烤。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CellSpacing w:w="0" w:type="dxa"/>
          <w:jc w:val="center"/>
        </w:trPr>
        <w:tc>
          <w:tcPr>
            <w:tcW w:w="598" w:type="dxa"/>
            <w:shd w:val="clear" w:color="auto" w:fill="FFFFFF"/>
            <w:vAlign w:val="center"/>
          </w:tcPr>
          <w:p>
            <w:pPr>
              <w:widowControl/>
              <w:spacing w:before="0" w:beforeAutospacing="0" w:after="0" w:afterAutospacing="0"/>
              <w:ind w:left="0" w:right="0" w:firstLine="0"/>
              <w:jc w:val="center"/>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2</w:t>
            </w:r>
          </w:p>
        </w:tc>
        <w:tc>
          <w:tcPr>
            <w:tcW w:w="1380"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转炉炼钢吹炼后期补铁水增碳</w:t>
            </w:r>
          </w:p>
        </w:tc>
        <w:tc>
          <w:tcPr>
            <w:tcW w:w="3469"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转炉冶炼后期钢水的氧化性较强，当出现钢水成分不合格情况，若采取补铁水增碳的冶炼方式，炉内碳氧反应剧烈，易造成钢水大喷溅引发的生产安全事故。</w:t>
            </w:r>
          </w:p>
        </w:tc>
        <w:tc>
          <w:tcPr>
            <w:tcW w:w="1275"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自2018年3月1日起禁止</w:t>
            </w:r>
          </w:p>
        </w:tc>
        <w:tc>
          <w:tcPr>
            <w:tcW w:w="2385"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采取炉内加增碳剂增碳或加铁块处理。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897" w:hRule="atLeast"/>
          <w:tblCellSpacing w:w="0" w:type="dxa"/>
          <w:jc w:val="center"/>
        </w:trPr>
        <w:tc>
          <w:tcPr>
            <w:tcW w:w="598" w:type="dxa"/>
            <w:shd w:val="clear" w:color="auto" w:fill="FFFFFF"/>
            <w:vAlign w:val="center"/>
          </w:tcPr>
          <w:p>
            <w:pPr>
              <w:widowControl/>
              <w:spacing w:before="0" w:beforeAutospacing="0" w:after="0" w:afterAutospacing="0"/>
              <w:ind w:left="0" w:right="0" w:firstLine="0"/>
              <w:jc w:val="center"/>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3</w:t>
            </w:r>
          </w:p>
        </w:tc>
        <w:tc>
          <w:tcPr>
            <w:tcW w:w="1380"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爆破废钢（渣）</w:t>
            </w:r>
          </w:p>
        </w:tc>
        <w:tc>
          <w:tcPr>
            <w:tcW w:w="3469"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爆破方式处理废钢（渣）容易导致作业区域的周边人员及设备设施，发生伤亡及损害事故。</w:t>
            </w:r>
          </w:p>
        </w:tc>
        <w:tc>
          <w:tcPr>
            <w:tcW w:w="1275"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自2018年3月1日起禁止</w:t>
            </w:r>
          </w:p>
        </w:tc>
        <w:tc>
          <w:tcPr>
            <w:tcW w:w="2385"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采用落锤破碎或气体切割，安全保障水平高于爆破处理。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143" w:hRule="atLeast"/>
          <w:tblCellSpacing w:w="0" w:type="dxa"/>
          <w:jc w:val="center"/>
        </w:trPr>
        <w:tc>
          <w:tcPr>
            <w:tcW w:w="598" w:type="dxa"/>
            <w:shd w:val="clear" w:color="auto" w:fill="FFFFFF"/>
            <w:vAlign w:val="center"/>
          </w:tcPr>
          <w:p>
            <w:pPr>
              <w:widowControl/>
              <w:spacing w:before="0" w:beforeAutospacing="0" w:after="0" w:afterAutospacing="0"/>
              <w:ind w:left="0" w:right="0" w:firstLine="0"/>
              <w:jc w:val="center"/>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4</w:t>
            </w:r>
          </w:p>
        </w:tc>
        <w:tc>
          <w:tcPr>
            <w:tcW w:w="1380"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转炉煤气回收系统机前的膨胀节采用非金属材质</w:t>
            </w:r>
          </w:p>
        </w:tc>
        <w:tc>
          <w:tcPr>
            <w:tcW w:w="3469"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由于膨胀节安装部位在转炉一次风机前的负压段，且位置距离地面过高，不便于检查，风机叶轮高速运转，烟气温度约60℃以上，若使用胶管等非金属材质，一旦破损，将会吸入大量空气，容易造成混合性爆炸气体，引发煤气爆炸事故。</w:t>
            </w:r>
          </w:p>
        </w:tc>
        <w:tc>
          <w:tcPr>
            <w:tcW w:w="1275"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自2018年9月1日起禁止</w:t>
            </w:r>
          </w:p>
        </w:tc>
        <w:tc>
          <w:tcPr>
            <w:tcW w:w="2385"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使用不锈钢等金属材质替代胶管等非金属材质，保障使用安全。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PrEx>
        <w:trPr>
          <w:tblCellSpacing w:w="0" w:type="dxa"/>
          <w:jc w:val="center"/>
        </w:trPr>
        <w:tc>
          <w:tcPr>
            <w:tcW w:w="598" w:type="dxa"/>
            <w:shd w:val="clear" w:color="auto" w:fill="FFFFFF"/>
            <w:vAlign w:val="center"/>
          </w:tcPr>
          <w:p>
            <w:pPr>
              <w:widowControl/>
              <w:spacing w:before="0" w:beforeAutospacing="0" w:after="0" w:afterAutospacing="0"/>
              <w:ind w:left="0" w:right="0" w:firstLine="0"/>
              <w:jc w:val="center"/>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5</w:t>
            </w:r>
          </w:p>
        </w:tc>
        <w:tc>
          <w:tcPr>
            <w:tcW w:w="1380"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高炉炼铁使用有水炮泥堵铁口</w:t>
            </w:r>
          </w:p>
        </w:tc>
        <w:tc>
          <w:tcPr>
            <w:tcW w:w="3469"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有水炮泥是造成铁口潮的主要原因，掏潮泥作业是高炉炉前危险性极高的作业之一，而且极易引发铁口“放火箭”事故，进而损害炉前岗位职工的生命安全。</w:t>
            </w:r>
          </w:p>
        </w:tc>
        <w:tc>
          <w:tcPr>
            <w:tcW w:w="1275"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自2018年3月1日起禁止</w:t>
            </w:r>
          </w:p>
        </w:tc>
        <w:tc>
          <w:tcPr>
            <w:tcW w:w="2385"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使用无水炮泥、环保炮泥等，可以极大程度避免因铁口潮湿而引发的铁口放炮和铁水爆炸事故发生。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CellSpacing w:w="0" w:type="dxa"/>
          <w:jc w:val="center"/>
        </w:trPr>
        <w:tc>
          <w:tcPr>
            <w:tcW w:w="598" w:type="dxa"/>
            <w:shd w:val="clear" w:color="auto" w:fill="FFFFFF"/>
            <w:vAlign w:val="center"/>
          </w:tcPr>
          <w:p>
            <w:pPr>
              <w:widowControl/>
              <w:spacing w:before="0" w:beforeAutospacing="0" w:after="0" w:afterAutospacing="0"/>
              <w:ind w:left="0" w:right="0" w:firstLine="0"/>
              <w:jc w:val="center"/>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6</w:t>
            </w:r>
          </w:p>
        </w:tc>
        <w:tc>
          <w:tcPr>
            <w:tcW w:w="1380"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高炉炉身煤气取样机</w:t>
            </w:r>
          </w:p>
        </w:tc>
        <w:tc>
          <w:tcPr>
            <w:tcW w:w="3469"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高炉大型化和高压操作等现实情况下，炉身煤气取样机的设备本质化安全及取样操作的安全性难以保证。</w:t>
            </w:r>
          </w:p>
        </w:tc>
        <w:tc>
          <w:tcPr>
            <w:tcW w:w="1275"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自2018年9月1日起禁止</w:t>
            </w:r>
          </w:p>
        </w:tc>
        <w:tc>
          <w:tcPr>
            <w:tcW w:w="2385"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采用煤气在线综合分析仪、十字测温、炉顶红外成像等现代化、自动化设施，取代炉身煤气取样机。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CellSpacing w:w="0" w:type="dxa"/>
          <w:jc w:val="center"/>
        </w:trPr>
        <w:tc>
          <w:tcPr>
            <w:tcW w:w="598" w:type="dxa"/>
            <w:shd w:val="clear" w:color="auto" w:fill="FFFFFF"/>
            <w:vAlign w:val="center"/>
          </w:tcPr>
          <w:p>
            <w:pPr>
              <w:widowControl/>
              <w:spacing w:before="0" w:beforeAutospacing="0" w:after="0" w:afterAutospacing="0"/>
              <w:ind w:left="0" w:right="0" w:firstLine="0"/>
              <w:jc w:val="center"/>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7</w:t>
            </w:r>
          </w:p>
        </w:tc>
        <w:tc>
          <w:tcPr>
            <w:tcW w:w="1380"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高炉上料料车单钢丝绳牵引设备</w:t>
            </w:r>
          </w:p>
        </w:tc>
        <w:tc>
          <w:tcPr>
            <w:tcW w:w="3469"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高炉上料料车负责将高炉冶炼所用的各类原燃料送到炉顶并装入受料槽内，提升高度高达几十米且重量大，使用单钢丝绳牵引料车安全系数低，易发生罐体脱轨、坠落事故。</w:t>
            </w:r>
          </w:p>
        </w:tc>
        <w:tc>
          <w:tcPr>
            <w:tcW w:w="1275"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自2019年3月1日起禁止</w:t>
            </w:r>
          </w:p>
        </w:tc>
        <w:tc>
          <w:tcPr>
            <w:tcW w:w="2385"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配置特制卷扬机组及双钢丝绳牵引设备。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CellSpacing w:w="0" w:type="dxa"/>
          <w:jc w:val="center"/>
        </w:trPr>
        <w:tc>
          <w:tcPr>
            <w:tcW w:w="598" w:type="dxa"/>
            <w:shd w:val="clear" w:color="auto" w:fill="FFFFFF"/>
            <w:vAlign w:val="center"/>
          </w:tcPr>
          <w:p>
            <w:pPr>
              <w:widowControl/>
              <w:spacing w:before="0" w:beforeAutospacing="0" w:after="0" w:afterAutospacing="0"/>
              <w:ind w:left="0" w:right="0" w:firstLine="0"/>
              <w:jc w:val="center"/>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8</w:t>
            </w:r>
          </w:p>
        </w:tc>
        <w:tc>
          <w:tcPr>
            <w:tcW w:w="1380"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高炉炉前出铁场直接铸铁工艺</w:t>
            </w:r>
          </w:p>
        </w:tc>
        <w:tc>
          <w:tcPr>
            <w:tcW w:w="3469"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铁水在高炉炉前出铁场直接铸造生成铸铁块过程，极易引发高温烫伤、铁水“打炮”、煤气中毒等安全事故，还会造成严重的环境污染。</w:t>
            </w:r>
          </w:p>
        </w:tc>
        <w:tc>
          <w:tcPr>
            <w:tcW w:w="1275"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自2018年3月1日起禁止</w:t>
            </w:r>
          </w:p>
        </w:tc>
        <w:tc>
          <w:tcPr>
            <w:tcW w:w="2385"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采用铁水（鱼雷）罐车接运铁水运往炼钢生产单元或运输至专门铸铁车间进行铸造。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CellSpacing w:w="0" w:type="dxa"/>
          <w:jc w:val="center"/>
        </w:trPr>
        <w:tc>
          <w:tcPr>
            <w:tcW w:w="598" w:type="dxa"/>
            <w:shd w:val="clear" w:color="auto" w:fill="FFFFFF"/>
            <w:vAlign w:val="center"/>
          </w:tcPr>
          <w:p>
            <w:pPr>
              <w:widowControl/>
              <w:spacing w:before="0" w:beforeAutospacing="0" w:after="0" w:afterAutospacing="0"/>
              <w:ind w:left="0" w:right="0" w:firstLine="0"/>
              <w:jc w:val="center"/>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9</w:t>
            </w:r>
          </w:p>
        </w:tc>
        <w:tc>
          <w:tcPr>
            <w:tcW w:w="1380"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高炉出铁场使用活动主沟</w:t>
            </w:r>
          </w:p>
        </w:tc>
        <w:tc>
          <w:tcPr>
            <w:tcW w:w="3469"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高炉炉前活动主沟可以整体吊起，移动灵活，可以运到工厂进行维修，但活动主沟连接结构处理困难，难以达到理想状态，极易引发漏铁水事故，进而对职工人身安全和设备设施造成损害。</w:t>
            </w:r>
          </w:p>
        </w:tc>
        <w:tc>
          <w:tcPr>
            <w:tcW w:w="1275"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自2019年3月1日起禁止</w:t>
            </w:r>
          </w:p>
        </w:tc>
        <w:tc>
          <w:tcPr>
            <w:tcW w:w="2385"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改用固定式主沟，可提高主沟的整体使用寿命，有效避免了活动沟连接处可能的漏铁水事故；此外，多铁口及快干沟料等先进的工艺、材料，使得修沟速度不再是限制性环节。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CellSpacing w:w="0" w:type="dxa"/>
          <w:jc w:val="center"/>
        </w:trPr>
        <w:tc>
          <w:tcPr>
            <w:tcW w:w="598" w:type="dxa"/>
            <w:shd w:val="clear" w:color="auto" w:fill="FFFFFF"/>
            <w:vAlign w:val="center"/>
          </w:tcPr>
          <w:p>
            <w:pPr>
              <w:widowControl/>
              <w:spacing w:before="0" w:beforeAutospacing="0" w:after="0" w:afterAutospacing="0"/>
              <w:ind w:left="0" w:right="0" w:firstLine="0"/>
              <w:jc w:val="center"/>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10</w:t>
            </w:r>
          </w:p>
        </w:tc>
        <w:tc>
          <w:tcPr>
            <w:tcW w:w="1380"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煤气重力除尘重锤式（翻板式、盘式）泄灰装置</w:t>
            </w:r>
          </w:p>
        </w:tc>
        <w:tc>
          <w:tcPr>
            <w:tcW w:w="3469"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重锤式（翻板式、盘式）泄灰装置操作不方便，难于实现精确控制，泄灰不均匀，关闭不彻底，主要利用除尘器内部存留一定高度的除尘灰来辅助实现煤气的密封，操作过程中易发生煤气泄漏，作业过程易扬尘，环境恶劣，易造成作业区域以及周边人员发生中毒事故和职业伤害。</w:t>
            </w:r>
          </w:p>
        </w:tc>
        <w:tc>
          <w:tcPr>
            <w:tcW w:w="1275"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自2018年9月1日起禁止</w:t>
            </w:r>
          </w:p>
        </w:tc>
        <w:tc>
          <w:tcPr>
            <w:tcW w:w="2385"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使用气动或电动式泄灰球阀，并配备相关抑尘设施。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CellSpacing w:w="0" w:type="dxa"/>
          <w:jc w:val="center"/>
        </w:trPr>
        <w:tc>
          <w:tcPr>
            <w:tcW w:w="598" w:type="dxa"/>
            <w:shd w:val="clear" w:color="auto" w:fill="FFFFFF"/>
            <w:vAlign w:val="center"/>
          </w:tcPr>
          <w:p>
            <w:pPr>
              <w:widowControl/>
              <w:spacing w:before="0" w:beforeAutospacing="0" w:after="0" w:afterAutospacing="0"/>
              <w:ind w:left="0" w:right="0" w:firstLine="0"/>
              <w:jc w:val="center"/>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11</w:t>
            </w:r>
          </w:p>
        </w:tc>
        <w:tc>
          <w:tcPr>
            <w:tcW w:w="1380"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铁合金矿热炉使用普通液压油</w:t>
            </w:r>
          </w:p>
        </w:tc>
        <w:tc>
          <w:tcPr>
            <w:tcW w:w="3469"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随着铁合金矿热炉大型化、自动化水平的不断提高，液压设备在矿热炉生产中应用逐渐增多，特别是高温区域，例如：电极升降、电极压放、开堵炉眼等关键部位等，这些都是处于高温区域或者操作困难区域，使用普通液压油一旦泄漏极易燃烧失火，造成人员伤亡或设备损毁。</w:t>
            </w:r>
          </w:p>
        </w:tc>
        <w:tc>
          <w:tcPr>
            <w:tcW w:w="1275"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kern w:val="0"/>
                <w:sz w:val="21"/>
                <w:szCs w:val="21"/>
                <w:lang w:val="en-US" w:eastAsia="zh-CN"/>
              </w:rPr>
            </w:pPr>
            <w:r>
              <w:rPr>
                <w:rFonts w:hint="eastAsia" w:ascii="仿宋_GB2312" w:hAnsi="仿宋_GB2312" w:eastAsia="仿宋_GB2312" w:cs="仿宋_GB2312"/>
                <w:b w:val="0"/>
                <w:i w:val="0"/>
                <w:caps w:val="0"/>
                <w:color w:val="000000"/>
                <w:spacing w:val="0"/>
                <w:kern w:val="0"/>
                <w:sz w:val="21"/>
                <w:szCs w:val="21"/>
                <w:lang w:val="en-US" w:eastAsia="zh-CN"/>
              </w:rPr>
              <w:t>自2018年3月1日起禁止</w:t>
            </w:r>
          </w:p>
        </w:tc>
        <w:tc>
          <w:tcPr>
            <w:tcW w:w="2385"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kern w:val="0"/>
                <w:sz w:val="21"/>
                <w:szCs w:val="21"/>
                <w:lang w:val="en-US" w:eastAsia="zh-CN"/>
              </w:rPr>
            </w:pPr>
            <w:r>
              <w:rPr>
                <w:rFonts w:hint="eastAsia" w:ascii="仿宋_GB2312" w:hAnsi="仿宋_GB2312" w:eastAsia="仿宋_GB2312" w:cs="仿宋_GB2312"/>
                <w:b w:val="0"/>
                <w:i w:val="0"/>
                <w:caps w:val="0"/>
                <w:color w:val="000000"/>
                <w:spacing w:val="0"/>
                <w:kern w:val="0"/>
                <w:sz w:val="21"/>
                <w:szCs w:val="21"/>
                <w:lang w:val="en-US" w:eastAsia="zh-CN"/>
              </w:rPr>
              <w:t>采用水乙二醇抗燃液压油，可以有效避免和减少因普通液压油泄漏引起的</w:t>
            </w:r>
            <w:r>
              <w:rPr>
                <w:rFonts w:hint="eastAsia" w:ascii="仿宋_GB2312" w:hAnsi="仿宋_GB2312" w:eastAsia="仿宋_GB2312" w:cs="仿宋_GB2312"/>
                <w:b w:val="0"/>
                <w:i w:val="0"/>
                <w:caps w:val="0"/>
                <w:color w:val="000000"/>
                <w:spacing w:val="0"/>
                <w:kern w:val="0"/>
                <w:sz w:val="21"/>
                <w:szCs w:val="21"/>
                <w:lang w:val="en-US" w:eastAsia="zh-CN"/>
              </w:rPr>
              <w:fldChar w:fldCharType="begin"/>
            </w:r>
            <w:r>
              <w:rPr>
                <w:rFonts w:hint="eastAsia" w:ascii="仿宋_GB2312" w:hAnsi="仿宋_GB2312" w:eastAsia="仿宋_GB2312" w:cs="仿宋_GB2312"/>
                <w:b w:val="0"/>
                <w:i w:val="0"/>
                <w:caps w:val="0"/>
                <w:color w:val="000000"/>
                <w:spacing w:val="0"/>
                <w:kern w:val="0"/>
                <w:sz w:val="21"/>
                <w:szCs w:val="21"/>
                <w:lang w:val="en-US" w:eastAsia="zh-CN"/>
              </w:rPr>
              <w:instrText xml:space="preserve"> HYPERLINK "http://www.cer.hc360.com/" \t "http://info.cer.hc360.com/preview/_blank" </w:instrText>
            </w:r>
            <w:r>
              <w:rPr>
                <w:rFonts w:hint="eastAsia" w:ascii="仿宋_GB2312" w:hAnsi="仿宋_GB2312" w:eastAsia="仿宋_GB2312" w:cs="仿宋_GB2312"/>
                <w:b w:val="0"/>
                <w:i w:val="0"/>
                <w:caps w:val="0"/>
                <w:color w:val="000000"/>
                <w:spacing w:val="0"/>
                <w:kern w:val="0"/>
                <w:sz w:val="21"/>
                <w:szCs w:val="21"/>
                <w:lang w:val="en-US" w:eastAsia="zh-CN"/>
              </w:rPr>
              <w:fldChar w:fldCharType="separate"/>
            </w:r>
            <w:r>
              <w:rPr>
                <w:rFonts w:hint="eastAsia" w:ascii="仿宋_GB2312" w:hAnsi="仿宋_GB2312" w:eastAsia="仿宋_GB2312" w:cs="仿宋_GB2312"/>
                <w:b w:val="0"/>
                <w:i w:val="0"/>
                <w:caps w:val="0"/>
                <w:color w:val="000000"/>
                <w:spacing w:val="0"/>
                <w:kern w:val="0"/>
                <w:sz w:val="21"/>
                <w:szCs w:val="21"/>
                <w:lang w:val="en-US" w:eastAsia="zh-CN"/>
              </w:rPr>
              <w:t>火灾</w:t>
            </w:r>
            <w:r>
              <w:rPr>
                <w:rFonts w:hint="eastAsia" w:ascii="仿宋_GB2312" w:hAnsi="仿宋_GB2312" w:eastAsia="仿宋_GB2312" w:cs="仿宋_GB2312"/>
                <w:b w:val="0"/>
                <w:i w:val="0"/>
                <w:caps w:val="0"/>
                <w:color w:val="000000"/>
                <w:spacing w:val="0"/>
                <w:kern w:val="0"/>
                <w:sz w:val="21"/>
                <w:szCs w:val="21"/>
                <w:lang w:val="en-US" w:eastAsia="zh-CN"/>
              </w:rPr>
              <w:fldChar w:fldCharType="end"/>
            </w:r>
            <w:r>
              <w:rPr>
                <w:rFonts w:hint="eastAsia" w:ascii="仿宋_GB2312" w:hAnsi="仿宋_GB2312" w:eastAsia="仿宋_GB2312" w:cs="仿宋_GB2312"/>
                <w:b w:val="0"/>
                <w:i w:val="0"/>
                <w:caps w:val="0"/>
                <w:color w:val="000000"/>
                <w:spacing w:val="0"/>
                <w:kern w:val="0"/>
                <w:sz w:val="21"/>
                <w:szCs w:val="21"/>
                <w:lang w:val="en-US" w:eastAsia="zh-CN"/>
              </w:rPr>
              <w:t>事故。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411" w:hRule="atLeast"/>
          <w:tblCellSpacing w:w="0" w:type="dxa"/>
          <w:jc w:val="center"/>
        </w:trPr>
        <w:tc>
          <w:tcPr>
            <w:tcW w:w="598" w:type="dxa"/>
            <w:shd w:val="clear" w:color="auto" w:fill="FFFFFF"/>
            <w:vAlign w:val="center"/>
          </w:tcPr>
          <w:p>
            <w:pPr>
              <w:widowControl/>
              <w:spacing w:before="0" w:beforeAutospacing="0" w:after="0" w:afterAutospacing="0"/>
              <w:ind w:left="0" w:right="0" w:firstLine="0"/>
              <w:jc w:val="center"/>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12</w:t>
            </w:r>
          </w:p>
        </w:tc>
        <w:tc>
          <w:tcPr>
            <w:tcW w:w="1380"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铁合金铸造使用水冷（通水）锭模</w:t>
            </w:r>
          </w:p>
        </w:tc>
        <w:tc>
          <w:tcPr>
            <w:tcW w:w="3469"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水冷（通水）锭模长时间使用存在开裂可能，同时高温铁水浇注时，可能烧穿锭模，若使用水冷（通水）锭模，易发生高温铁水遇水爆炸事故。</w:t>
            </w:r>
          </w:p>
        </w:tc>
        <w:tc>
          <w:tcPr>
            <w:tcW w:w="1275"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自2018年9月1日起禁止</w:t>
            </w:r>
          </w:p>
        </w:tc>
        <w:tc>
          <w:tcPr>
            <w:tcW w:w="2385"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使用不通水的铸造锭模，替代水冷（通水）锭模。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229" w:hRule="atLeast"/>
          <w:tblCellSpacing w:w="0" w:type="dxa"/>
          <w:jc w:val="center"/>
        </w:trPr>
        <w:tc>
          <w:tcPr>
            <w:tcW w:w="598" w:type="dxa"/>
            <w:shd w:val="clear" w:color="auto" w:fill="FFFFFF"/>
            <w:vAlign w:val="center"/>
          </w:tcPr>
          <w:p>
            <w:pPr>
              <w:widowControl/>
              <w:spacing w:before="0" w:beforeAutospacing="0" w:after="0" w:afterAutospacing="0"/>
              <w:ind w:left="0" w:right="0" w:firstLine="0"/>
              <w:jc w:val="center"/>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13</w:t>
            </w:r>
          </w:p>
        </w:tc>
        <w:tc>
          <w:tcPr>
            <w:tcW w:w="1380"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深井浇铸结晶器的循环水系统未设置</w:t>
            </w:r>
            <w:r>
              <w:rPr>
                <w:rFonts w:hint="eastAsia" w:ascii="仿宋_GB2312" w:hAnsi="仿宋_GB2312" w:eastAsia="仿宋_GB2312" w:cs="仿宋_GB2312"/>
                <w:b w:val="0"/>
                <w:i w:val="0"/>
                <w:caps w:val="0"/>
                <w:color w:val="000000"/>
                <w:spacing w:val="0"/>
                <w:kern w:val="0"/>
                <w:sz w:val="21"/>
                <w:szCs w:val="21"/>
                <w:lang w:val="en-US" w:eastAsia="zh-CN"/>
              </w:rPr>
              <w:fldChar w:fldCharType="begin"/>
            </w:r>
            <w:r>
              <w:rPr>
                <w:rFonts w:hint="eastAsia" w:ascii="仿宋_GB2312" w:hAnsi="仿宋_GB2312" w:eastAsia="仿宋_GB2312" w:cs="仿宋_GB2312"/>
                <w:b w:val="0"/>
                <w:i w:val="0"/>
                <w:caps w:val="0"/>
                <w:color w:val="000000"/>
                <w:spacing w:val="0"/>
                <w:kern w:val="0"/>
                <w:sz w:val="21"/>
                <w:szCs w:val="21"/>
                <w:lang w:val="en-US" w:eastAsia="zh-CN"/>
              </w:rPr>
              <w:instrText xml:space="preserve"> HYPERLINK "http://www.cer.hc360.com/" \t "http://info.cer.hc360.com/preview/_blank" </w:instrText>
            </w:r>
            <w:r>
              <w:rPr>
                <w:rFonts w:hint="eastAsia" w:ascii="仿宋_GB2312" w:hAnsi="仿宋_GB2312" w:eastAsia="仿宋_GB2312" w:cs="仿宋_GB2312"/>
                <w:b w:val="0"/>
                <w:i w:val="0"/>
                <w:caps w:val="0"/>
                <w:color w:val="000000"/>
                <w:spacing w:val="0"/>
                <w:kern w:val="0"/>
                <w:sz w:val="21"/>
                <w:szCs w:val="21"/>
                <w:lang w:val="en-US" w:eastAsia="zh-CN"/>
              </w:rPr>
              <w:fldChar w:fldCharType="separate"/>
            </w:r>
            <w:r>
              <w:rPr>
                <w:rFonts w:hint="eastAsia" w:ascii="仿宋_GB2312" w:hAnsi="仿宋_GB2312" w:eastAsia="仿宋_GB2312" w:cs="仿宋_GB2312"/>
                <w:b w:val="0"/>
                <w:i w:val="0"/>
                <w:caps w:val="0"/>
                <w:color w:val="000000"/>
                <w:spacing w:val="0"/>
                <w:kern w:val="0"/>
                <w:sz w:val="21"/>
                <w:szCs w:val="21"/>
                <w:lang w:val="en-US" w:eastAsia="zh-CN"/>
              </w:rPr>
              <w:t>应急</w:t>
            </w:r>
            <w:r>
              <w:rPr>
                <w:rFonts w:hint="eastAsia" w:ascii="仿宋_GB2312" w:hAnsi="仿宋_GB2312" w:eastAsia="仿宋_GB2312" w:cs="仿宋_GB2312"/>
                <w:b w:val="0"/>
                <w:i w:val="0"/>
                <w:caps w:val="0"/>
                <w:color w:val="000000"/>
                <w:spacing w:val="0"/>
                <w:kern w:val="0"/>
                <w:sz w:val="21"/>
                <w:szCs w:val="21"/>
                <w:lang w:val="en-US" w:eastAsia="zh-CN"/>
              </w:rPr>
              <w:fldChar w:fldCharType="end"/>
            </w:r>
            <w:r>
              <w:rPr>
                <w:rFonts w:hint="eastAsia" w:ascii="仿宋_GB2312" w:hAnsi="仿宋_GB2312" w:eastAsia="仿宋_GB2312" w:cs="仿宋_GB2312"/>
                <w:b w:val="0"/>
                <w:i w:val="0"/>
                <w:caps w:val="0"/>
                <w:color w:val="000000"/>
                <w:spacing w:val="0"/>
                <w:kern w:val="0"/>
                <w:sz w:val="21"/>
                <w:szCs w:val="21"/>
                <w:lang w:val="en-US" w:eastAsia="zh-CN"/>
              </w:rPr>
              <w:t>水源或循环水水泵未设置应急电源</w:t>
            </w:r>
          </w:p>
        </w:tc>
        <w:tc>
          <w:tcPr>
            <w:tcW w:w="3469"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深井浇铸过程发生冷却水中断时，结晶器无法获得及时供水，因结晶器导热性能降低，熔融金属冷却、结晶不完全，长时间冷却水中断会造成高温熔融金属漏入铸井，引发高温熔融金属遇水爆炸事故。</w:t>
            </w:r>
          </w:p>
        </w:tc>
        <w:tc>
          <w:tcPr>
            <w:tcW w:w="1275"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自2018年9月1日起禁止</w:t>
            </w:r>
          </w:p>
        </w:tc>
        <w:tc>
          <w:tcPr>
            <w:tcW w:w="2385"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深井浇铸结晶器的循环水系统应设置应急水源（如高位水池）或应设置循环水水泵应急电源等，确保深井浇铸结晶器冷却水满足安全要求。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460" w:hRule="atLeast"/>
          <w:tblCellSpacing w:w="0" w:type="dxa"/>
          <w:jc w:val="center"/>
        </w:trPr>
        <w:tc>
          <w:tcPr>
            <w:tcW w:w="598" w:type="dxa"/>
            <w:shd w:val="clear" w:color="auto" w:fill="FFFFFF"/>
            <w:vAlign w:val="center"/>
          </w:tcPr>
          <w:p>
            <w:pPr>
              <w:widowControl/>
              <w:spacing w:before="0" w:beforeAutospacing="0" w:after="0" w:afterAutospacing="0"/>
              <w:ind w:left="0" w:right="0" w:firstLine="0"/>
              <w:jc w:val="center"/>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14</w:t>
            </w:r>
          </w:p>
        </w:tc>
        <w:tc>
          <w:tcPr>
            <w:tcW w:w="1380"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有色金属冶炼炉、熔炼炉及炉渣处理烟化炉冷却水系统未设置温度、流量、压力检测报警装置</w:t>
            </w:r>
          </w:p>
        </w:tc>
        <w:tc>
          <w:tcPr>
            <w:tcW w:w="3469"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冷却水系统若未设置温度、流量、压力检测报警装置，无法及时发现冷却水异常。(1)冶炼炉水冷却系统若发生漏水进入冶炼炉内部，会引发恶性爆炸事故；(2)冶炼炉、熔炼炉、烟化炉水冷却系统若断水，易引发炉子烧穿事故，导致炉内高温熔融金属及熔渣泄漏，继而引发火灾、爆炸等恶性事故；(3)烟化炉水夹套冷却水供水不足，水冷夹套易发生水汽爆炸事故。</w:t>
            </w:r>
          </w:p>
        </w:tc>
        <w:tc>
          <w:tcPr>
            <w:tcW w:w="1275"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自2018年9月1日起禁止</w:t>
            </w:r>
          </w:p>
        </w:tc>
        <w:tc>
          <w:tcPr>
            <w:tcW w:w="2385"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冶炼炉、熔炼炉及烟化炉冷却水系统应设置温度、流量、压力检测报警装置；同时应有应急冷却水源或有应急水泵备用电源等应急保护装置。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032" w:hRule="atLeast"/>
          <w:tblCellSpacing w:w="0" w:type="dxa"/>
          <w:jc w:val="center"/>
        </w:trPr>
        <w:tc>
          <w:tcPr>
            <w:tcW w:w="598" w:type="dxa"/>
            <w:shd w:val="clear" w:color="auto" w:fill="FFFFFF"/>
            <w:vAlign w:val="center"/>
          </w:tcPr>
          <w:p>
            <w:pPr>
              <w:widowControl/>
              <w:spacing w:before="0" w:beforeAutospacing="0" w:after="0" w:afterAutospacing="0"/>
              <w:ind w:left="0" w:right="0" w:firstLine="0"/>
              <w:jc w:val="center"/>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15</w:t>
            </w:r>
          </w:p>
        </w:tc>
        <w:tc>
          <w:tcPr>
            <w:tcW w:w="1380"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可能产生砷化氢生产场所，使用不符合国家标准最高容许浓度精度要求的砷化氢检（监）测仪</w:t>
            </w:r>
          </w:p>
        </w:tc>
        <w:tc>
          <w:tcPr>
            <w:tcW w:w="3469"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《工作场所有害因素职业接触限值·化学因素》（GBZ2.1-2007）规定，作业场所砷化氢的最高容许浓度为0.03mg/m</w:t>
            </w:r>
            <w:r>
              <w:rPr>
                <w:rFonts w:hint="eastAsia" w:ascii="仿宋_GB2312" w:hAnsi="仿宋_GB2312" w:eastAsia="仿宋_GB2312" w:cs="仿宋_GB2312"/>
                <w:b w:val="0"/>
                <w:i w:val="0"/>
                <w:caps w:val="0"/>
                <w:color w:val="000000"/>
                <w:spacing w:val="0"/>
                <w:kern w:val="0"/>
                <w:sz w:val="21"/>
                <w:szCs w:val="21"/>
                <w:vertAlign w:val="superscript"/>
                <w:lang w:val="en-US" w:eastAsia="zh-CN"/>
              </w:rPr>
              <w:t>3</w:t>
            </w:r>
            <w:r>
              <w:rPr>
                <w:rFonts w:hint="eastAsia" w:ascii="仿宋_GB2312" w:hAnsi="仿宋_GB2312" w:eastAsia="仿宋_GB2312" w:cs="仿宋_GB2312"/>
                <w:b w:val="0"/>
                <w:i w:val="0"/>
                <w:caps w:val="0"/>
                <w:color w:val="000000"/>
                <w:spacing w:val="0"/>
                <w:kern w:val="0"/>
                <w:sz w:val="21"/>
                <w:szCs w:val="21"/>
                <w:lang w:val="en-US" w:eastAsia="zh-CN"/>
              </w:rPr>
              <w:t>（0.009ppm）。但目前市场上大部分砷化氢检（监）测仪测量精度为0.1mg/m</w:t>
            </w:r>
            <w:r>
              <w:rPr>
                <w:rFonts w:hint="eastAsia" w:ascii="仿宋_GB2312" w:hAnsi="仿宋_GB2312" w:eastAsia="仿宋_GB2312" w:cs="仿宋_GB2312"/>
                <w:b w:val="0"/>
                <w:i w:val="0"/>
                <w:caps w:val="0"/>
                <w:color w:val="000000"/>
                <w:spacing w:val="0"/>
                <w:kern w:val="0"/>
                <w:sz w:val="21"/>
                <w:szCs w:val="21"/>
                <w:vertAlign w:val="superscript"/>
                <w:lang w:val="en-US" w:eastAsia="zh-CN"/>
              </w:rPr>
              <w:t>3</w:t>
            </w:r>
            <w:r>
              <w:rPr>
                <w:rFonts w:hint="eastAsia" w:ascii="仿宋_GB2312" w:hAnsi="仿宋_GB2312" w:eastAsia="仿宋_GB2312" w:cs="仿宋_GB2312"/>
                <w:b w:val="0"/>
                <w:i w:val="0"/>
                <w:caps w:val="0"/>
                <w:color w:val="000000"/>
                <w:spacing w:val="0"/>
                <w:kern w:val="0"/>
                <w:sz w:val="21"/>
                <w:szCs w:val="21"/>
                <w:lang w:val="en-US" w:eastAsia="zh-CN"/>
              </w:rPr>
              <w:t>或0.1ppm，检测结果不能满足标准规定的检测精度要求，且抗酸雾等干扰能力差。</w:t>
            </w:r>
          </w:p>
        </w:tc>
        <w:tc>
          <w:tcPr>
            <w:tcW w:w="1275" w:type="dxa"/>
            <w:shd w:val="clear" w:color="auto" w:fill="FFFFFF"/>
            <w:vAlign w:val="center"/>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自2018年3月1日起禁止</w:t>
            </w:r>
          </w:p>
        </w:tc>
        <w:tc>
          <w:tcPr>
            <w:tcW w:w="2385" w:type="dxa"/>
            <w:shd w:val="clear" w:color="auto" w:fill="FFFFFF"/>
            <w:vAlign w:val="top"/>
          </w:tcPr>
          <w:p>
            <w:pPr>
              <w:widowControl/>
              <w:spacing w:before="0" w:beforeAutospacing="0" w:after="0" w:afterAutospacing="0"/>
              <w:ind w:left="0" w:right="0" w:firstLine="0"/>
              <w:jc w:val="left"/>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lang w:val="en-US" w:eastAsia="zh-CN"/>
              </w:rPr>
              <w:t>作业场所合适位置设置溴化汞(氯化汞)试纸或配备砷化氢检（监）测仪的测量精度达到0.01mg/m</w:t>
            </w:r>
            <w:r>
              <w:rPr>
                <w:rFonts w:hint="eastAsia" w:ascii="仿宋_GB2312" w:hAnsi="仿宋_GB2312" w:eastAsia="仿宋_GB2312" w:cs="仿宋_GB2312"/>
                <w:b w:val="0"/>
                <w:i w:val="0"/>
                <w:caps w:val="0"/>
                <w:color w:val="000000"/>
                <w:spacing w:val="0"/>
                <w:kern w:val="0"/>
                <w:sz w:val="21"/>
                <w:szCs w:val="21"/>
                <w:vertAlign w:val="superscript"/>
                <w:lang w:val="en-US" w:eastAsia="zh-CN"/>
              </w:rPr>
              <w:t>3</w:t>
            </w:r>
            <w:r>
              <w:rPr>
                <w:rFonts w:hint="eastAsia" w:ascii="仿宋_GB2312" w:hAnsi="仿宋_GB2312" w:eastAsia="仿宋_GB2312" w:cs="仿宋_GB2312"/>
                <w:b w:val="0"/>
                <w:i w:val="0"/>
                <w:caps w:val="0"/>
                <w:color w:val="000000"/>
                <w:spacing w:val="0"/>
                <w:kern w:val="0"/>
                <w:sz w:val="21"/>
                <w:szCs w:val="21"/>
                <w:lang w:val="en-US" w:eastAsia="zh-CN"/>
              </w:rPr>
              <w:t>或0.001ppm且抗酸雾等干扰能力强。</w:t>
            </w:r>
          </w:p>
        </w:tc>
      </w:tr>
    </w:tbl>
    <w:p>
      <w:pPr>
        <w:rPr>
          <w:rFonts w:hint="eastAsia" w:ascii="仿宋_GB2312" w:hAnsi="仿宋_GB2312" w:eastAsia="仿宋_GB2312" w:cs="仿宋_GB2312"/>
          <w:sz w:val="21"/>
          <w:szCs w:val="21"/>
        </w:rPr>
      </w:pPr>
    </w:p>
    <w:p>
      <w:pPr>
        <w:spacing w:line="560" w:lineRule="exact"/>
        <w:jc w:val="left"/>
        <w:rPr>
          <w:rFonts w:hint="eastAsia" w:ascii="Times New Roman" w:hAnsi="Times New Roman" w:eastAsia="黑体" w:cs="Times New Roman"/>
          <w:sz w:val="32"/>
          <w:szCs w:val="32"/>
          <w:lang w:val="en-US" w:eastAsia="zh-CN"/>
        </w:rPr>
      </w:pPr>
    </w:p>
    <w:p>
      <w:pPr>
        <w:spacing w:line="560" w:lineRule="exact"/>
        <w:jc w:val="left"/>
        <w:rPr>
          <w:rFonts w:hint="eastAsia" w:ascii="Times New Roman" w:hAnsi="Times New Roman" w:eastAsia="黑体" w:cs="Times New Roman"/>
          <w:sz w:val="32"/>
          <w:szCs w:val="32"/>
          <w:lang w:val="en-US" w:eastAsia="zh-CN"/>
        </w:rPr>
      </w:pPr>
    </w:p>
    <w:p>
      <w:pPr>
        <w:spacing w:line="560" w:lineRule="exact"/>
        <w:jc w:val="left"/>
        <w:rPr>
          <w:rFonts w:hint="eastAsia" w:ascii="Times New Roman" w:hAnsi="Times New Roman" w:eastAsia="黑体" w:cs="Times New Roman"/>
          <w:sz w:val="32"/>
          <w:szCs w:val="32"/>
          <w:lang w:val="en-US" w:eastAsia="zh-CN"/>
        </w:rPr>
      </w:pPr>
    </w:p>
    <w:p>
      <w:pPr>
        <w:widowControl w:val="0"/>
        <w:kinsoku w:val="0"/>
        <w:wordWrap/>
        <w:adjustRightInd/>
        <w:snapToGrid/>
        <w:spacing w:line="560" w:lineRule="exact"/>
        <w:ind w:right="0"/>
        <w:textAlignment w:val="baseline"/>
        <w:outlineLvl w:val="9"/>
        <w:rPr>
          <w:rFonts w:hint="eastAsia" w:ascii="方正小标宋简体" w:hAnsi="方正小标宋简体" w:eastAsia="方正小标宋简体" w:cs="方正小标宋简体"/>
          <w:sz w:val="44"/>
          <w:szCs w:val="44"/>
          <w:lang w:val="en-US" w:eastAsia="zh-CN"/>
        </w:rPr>
      </w:pPr>
      <w:bookmarkStart w:id="0" w:name="_GoBack"/>
      <w:bookmarkEnd w:id="0"/>
    </w:p>
    <w:sectPr>
      <w:footerReference r:id="rId3" w:type="default"/>
      <w:pgSz w:w="11906" w:h="16838"/>
      <w:pgMar w:top="2098" w:right="1474" w:bottom="1984" w:left="1587" w:header="851" w:footer="1417" w:gutter="0"/>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307"/>
        <w:tab w:val="clear" w:pos="8306"/>
      </w:tabs>
    </w:pPr>
    <w:r>
      <w:rPr>
        <w:rFonts w:ascii="宋体" w:hAnsi="Times New Roman" w:eastAsia="宋体" w:cs="Times New Roman"/>
        <w:kern w:val="2"/>
        <w:sz w:val="18"/>
        <w:szCs w:val="24"/>
        <w:lang w:val="en-US" w:eastAsia="zh-CN" w:bidi="ar-SA"/>
      </w:rPr>
      <w:pict>
        <v:shape id="文本框 3" o:spid="_x0000_s2049" o:spt="202" type="#_x0000_t202" style="position:absolute;left:0pt;margin-left:377.15pt;margin-top:-8.2pt;height:19.85pt;width:76.5pt;mso-position-horizontal-relative:margin;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pStyle w:val="2"/>
                  <w:tabs>
                    <w:tab w:val="right" w:pos="8307"/>
                    <w:tab w:val="clear" w:pos="8306"/>
                  </w:tabs>
                  <w:ind w:firstLine="840" w:firstLineChars="30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- 1 -</w:t>
                </w:r>
                <w:r>
                  <w:rPr>
                    <w:rFonts w:hint="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430853A5"/>
    <w:rsid w:val="4A373CE1"/>
    <w:rsid w:val="64232FFF"/>
    <w:rsid w:val="696D6CB5"/>
    <w:rsid w:val="6FFD591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link w:val="6"/>
    <w:semiHidden/>
    <w:qFormat/>
    <w:uiPriority w:val="0"/>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next w:val="3"/>
    <w:qFormat/>
    <w:uiPriority w:val="0"/>
    <w:pPr>
      <w:spacing w:before="0" w:beforeAutospacing="1" w:after="0" w:afterAutospacing="1"/>
      <w:ind w:left="0" w:right="0"/>
      <w:jc w:val="left"/>
    </w:pPr>
    <w:rPr>
      <w:kern w:val="0"/>
      <w:sz w:val="24"/>
      <w:lang w:val="en-US" w:eastAsia="zh-CN"/>
    </w:rPr>
  </w:style>
  <w:style w:type="paragraph" w:customStyle="1" w:styleId="6">
    <w:name w:val="Char Char Char Char Char Char Char"/>
    <w:basedOn w:val="1"/>
    <w:link w:val="5"/>
    <w:semiHidden/>
    <w:qFormat/>
    <w:uiPriority w:val="0"/>
  </w:style>
  <w:style w:type="character" w:styleId="7">
    <w:name w:val="Strong"/>
    <w:basedOn w:val="5"/>
    <w:qFormat/>
    <w:uiPriority w:val="0"/>
    <w:rPr>
      <w:b/>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2018-02-12T08:39:00Z</dcterms:created>
  <dc:creator>玄墨</dc:creator>
  <cp:lastModifiedBy>Administrator</cp:lastModifiedBy>
  <cp:lastPrinted>2018-05-02T09:55:00Z</cp:lastPrinted>
  <dcterms:modified xsi:type="dcterms:W3CDTF">2018-06-26T03:53:08Z</dcterms:modified>
  <dc:title>卫沙安委办发〔2018〕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