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560" w:lineRule="exact"/>
        <w:jc w:val="left"/>
        <w:rPr>
          <w:rFonts w:hint="default" w:ascii="Times New Roman" w:hAnsi="Times New Roman" w:eastAsia="黑体" w:cs="Times New Roman"/>
          <w:sz w:val="32"/>
          <w:szCs w:val="32"/>
        </w:rPr>
      </w:pPr>
    </w:p>
    <w:p>
      <w:pPr>
        <w:spacing w:line="560" w:lineRule="exact"/>
        <w:jc w:val="center"/>
        <w:rPr>
          <w:rFonts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安全监管部门执法检查表</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检查单位：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（盖章）    检查人员：</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检查日期：</w:t>
      </w:r>
      <w:r>
        <w:rPr>
          <w:rFonts w:hint="default" w:ascii="Times New Roman" w:hAnsi="Times New Roman" w:eastAsia="仿宋_GB2312" w:cs="Times New Roman"/>
          <w:sz w:val="32"/>
          <w:szCs w:val="32"/>
          <w:u w:val="single"/>
        </w:rPr>
        <w:t xml:space="preserve">          </w:t>
      </w:r>
    </w:p>
    <w:tbl>
      <w:tblPr>
        <w:tblStyle w:val="9"/>
        <w:tblW w:w="13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096"/>
        <w:gridCol w:w="3827"/>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3792" w:type="dxa"/>
            <w:gridSpan w:val="4"/>
            <w:vAlign w:val="top"/>
          </w:tcPr>
          <w:p>
            <w:pPr>
              <w:spacing w:line="560" w:lineRule="exact"/>
              <w:jc w:val="left"/>
              <w:rPr>
                <w:rFonts w:ascii="Times New Roman" w:hAnsi="Times New Roman" w:eastAsia="仿宋_GB2312" w:cs="Times New Roman"/>
                <w:b/>
                <w:sz w:val="32"/>
                <w:szCs w:val="32"/>
              </w:rPr>
            </w:pPr>
            <w:r>
              <w:rPr>
                <w:rFonts w:hint="default" w:ascii="Times New Roman" w:hAnsi="Times New Roman" w:eastAsia="仿宋_GB2312" w:cs="Times New Roman"/>
                <w:b/>
                <w:sz w:val="32"/>
                <w:szCs w:val="32"/>
              </w:rPr>
              <w:t>企业名称（地址）：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Align w:val="top"/>
          </w:tcPr>
          <w:p>
            <w:pPr>
              <w:spacing w:line="560" w:lineRule="exact"/>
              <w:jc w:val="center"/>
              <w:rPr>
                <w:rFonts w:ascii="Times New Roman" w:hAnsi="Times New Roman" w:eastAsia="仿宋_GB2312" w:cs="Times New Roman"/>
                <w:b/>
                <w:sz w:val="32"/>
                <w:szCs w:val="32"/>
              </w:rPr>
            </w:pPr>
            <w:r>
              <w:rPr>
                <w:rFonts w:hint="default" w:ascii="Times New Roman" w:hAnsi="Times New Roman" w:eastAsia="仿宋_GB2312" w:cs="Times New Roman"/>
                <w:b/>
                <w:sz w:val="32"/>
                <w:szCs w:val="32"/>
              </w:rPr>
              <w:t>检查类别</w:t>
            </w:r>
          </w:p>
        </w:tc>
        <w:tc>
          <w:tcPr>
            <w:tcW w:w="6096" w:type="dxa"/>
            <w:vAlign w:val="top"/>
          </w:tcPr>
          <w:p>
            <w:pPr>
              <w:spacing w:line="560" w:lineRule="exact"/>
              <w:jc w:val="center"/>
              <w:rPr>
                <w:rFonts w:ascii="Times New Roman" w:hAnsi="Times New Roman" w:eastAsia="仿宋_GB2312" w:cs="Times New Roman"/>
                <w:b/>
                <w:sz w:val="32"/>
                <w:szCs w:val="32"/>
              </w:rPr>
            </w:pPr>
            <w:r>
              <w:rPr>
                <w:rFonts w:hint="default" w:ascii="Times New Roman" w:hAnsi="Times New Roman" w:eastAsia="仿宋_GB2312" w:cs="Times New Roman"/>
                <w:b/>
                <w:sz w:val="32"/>
                <w:szCs w:val="32"/>
              </w:rPr>
              <w:t>检查项目</w:t>
            </w:r>
          </w:p>
        </w:tc>
        <w:tc>
          <w:tcPr>
            <w:tcW w:w="3827" w:type="dxa"/>
            <w:vAlign w:val="top"/>
          </w:tcPr>
          <w:p>
            <w:pPr>
              <w:spacing w:line="560" w:lineRule="exact"/>
              <w:jc w:val="center"/>
              <w:rPr>
                <w:rFonts w:ascii="Times New Roman" w:hAnsi="Times New Roman" w:eastAsia="仿宋_GB2312" w:cs="Times New Roman"/>
                <w:b/>
                <w:sz w:val="32"/>
                <w:szCs w:val="32"/>
              </w:rPr>
            </w:pPr>
            <w:r>
              <w:rPr>
                <w:rFonts w:hint="default" w:ascii="Times New Roman" w:hAnsi="Times New Roman" w:eastAsia="仿宋_GB2312" w:cs="Times New Roman"/>
                <w:b/>
                <w:sz w:val="32"/>
                <w:szCs w:val="32"/>
              </w:rPr>
              <w:t>执法依据</w:t>
            </w:r>
          </w:p>
        </w:tc>
        <w:tc>
          <w:tcPr>
            <w:tcW w:w="2060" w:type="dxa"/>
            <w:vAlign w:val="top"/>
          </w:tcPr>
          <w:p>
            <w:pPr>
              <w:spacing w:line="560" w:lineRule="exact"/>
              <w:jc w:val="center"/>
              <w:rPr>
                <w:rFonts w:ascii="Times New Roman" w:hAnsi="Times New Roman" w:eastAsia="仿宋_GB2312" w:cs="Times New Roman"/>
                <w:b/>
                <w:sz w:val="32"/>
                <w:szCs w:val="32"/>
              </w:rPr>
            </w:pPr>
            <w:r>
              <w:rPr>
                <w:rFonts w:hint="default" w:ascii="Times New Roman" w:hAnsi="Times New Roman" w:eastAsia="仿宋_GB2312" w:cs="Times New Roman"/>
                <w:b/>
                <w:sz w:val="32"/>
                <w:szCs w:val="32"/>
              </w:rPr>
              <w:t>执法结果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restart"/>
            <w:vAlign w:val="top"/>
          </w:tcPr>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安全管理</w:t>
            </w: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安全管理</w:t>
            </w:r>
          </w:p>
        </w:tc>
        <w:tc>
          <w:tcPr>
            <w:tcW w:w="6096" w:type="dxa"/>
            <w:vAlign w:val="center"/>
          </w:tcPr>
          <w:p>
            <w:pPr>
              <w:spacing w:beforeLines="0" w:line="300" w:lineRule="exact"/>
              <w:rPr>
                <w:rFonts w:ascii="Times New Roman" w:hAnsi="Times New Roman" w:eastAsia="仿宋_GB2312" w:cs="Times New Roman"/>
                <w:sz w:val="32"/>
                <w:szCs w:val="32"/>
              </w:rPr>
            </w:pPr>
            <w:r>
              <w:rPr>
                <w:rFonts w:hint="default" w:ascii="Times New Roman" w:hAnsi="Times New Roman" w:eastAsia="仿宋_GB2312" w:cs="Times New Roman"/>
                <w:sz w:val="24"/>
                <w:szCs w:val="24"/>
              </w:rPr>
              <w:t>金属冶炼企业主要负责人和安全生产管理人员未依法经考核合格。</w:t>
            </w:r>
          </w:p>
        </w:tc>
        <w:tc>
          <w:tcPr>
            <w:tcW w:w="3827" w:type="dxa"/>
            <w:vAlign w:val="center"/>
          </w:tcPr>
          <w:p>
            <w:pPr>
              <w:widowControl/>
              <w:adjustRightInd/>
              <w:snapToGrid/>
              <w:spacing w:beforeLines="0" w:line="300" w:lineRule="exact"/>
              <w:jc w:val="left"/>
              <w:rPr>
                <w:rFonts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二）危险物品的生产、经营、储存单位以及矿山、金属冶炼、建筑施工、道路运输单位的主要负责人和安全生产管理人员未按照规定经考核合格的；”</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spacing w:line="560" w:lineRule="exact"/>
              <w:jc w:val="left"/>
              <w:rPr>
                <w:rFonts w:ascii="Times New Roman" w:hAnsi="Times New Roman" w:eastAsia="仿宋_GB2312" w:cs="Times New Roman"/>
                <w:sz w:val="32"/>
                <w:szCs w:val="32"/>
              </w:rPr>
            </w:pPr>
          </w:p>
        </w:tc>
        <w:tc>
          <w:tcPr>
            <w:tcW w:w="6096" w:type="dxa"/>
            <w:vAlign w:val="center"/>
          </w:tcPr>
          <w:p>
            <w:pPr>
              <w:spacing w:beforeLines="0" w:line="300" w:lineRule="exact"/>
              <w:rPr>
                <w:rFonts w:ascii="Times New Roman" w:hAnsi="Times New Roman" w:eastAsia="仿宋_GB2312" w:cs="Times New Roman"/>
                <w:sz w:val="32"/>
                <w:szCs w:val="32"/>
              </w:rPr>
            </w:pPr>
            <w:r>
              <w:rPr>
                <w:rFonts w:hint="default" w:ascii="Times New Roman" w:hAnsi="Times New Roman" w:eastAsia="仿宋_GB2312" w:cs="Times New Roman"/>
                <w:sz w:val="24"/>
                <w:szCs w:val="24"/>
              </w:rPr>
              <w:t>从事煤气生产、储存、输送、使用、维护、检修人员未依法持证上岗。</w:t>
            </w:r>
          </w:p>
        </w:tc>
        <w:tc>
          <w:tcPr>
            <w:tcW w:w="3827" w:type="dxa"/>
            <w:vAlign w:val="center"/>
          </w:tcPr>
          <w:p>
            <w:pPr>
              <w:widowControl/>
              <w:adjustRightInd/>
              <w:snapToGrid/>
              <w:spacing w:beforeLines="0" w:line="300" w:lineRule="exact"/>
              <w:jc w:val="lef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《特种作业人员安全技术培训考核管理规定》</w:t>
            </w:r>
            <w:r>
              <w:rPr>
                <w:rFonts w:ascii="Times New Roman" w:hAnsi="Times New Roman" w:eastAsia="仿宋_GB2312" w:cs="Times New Roman"/>
                <w:sz w:val="24"/>
                <w:szCs w:val="24"/>
              </w:rPr>
              <w:t>第三十九条</w:t>
            </w:r>
            <w:r>
              <w:rPr>
                <w:rFonts w:hint="default" w:ascii="Times New Roman" w:hAnsi="Times New Roman" w:eastAsia="仿宋_GB2312" w:cs="Times New Roman"/>
                <w:sz w:val="24"/>
                <w:szCs w:val="24"/>
              </w:rPr>
              <w:t>“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spacing w:line="560" w:lineRule="exact"/>
              <w:jc w:val="left"/>
              <w:rPr>
                <w:rFonts w:ascii="Times New Roman" w:hAnsi="Times New Roman" w:eastAsia="仿宋_GB2312" w:cs="Times New Roman"/>
                <w:sz w:val="32"/>
                <w:szCs w:val="32"/>
              </w:rPr>
            </w:pPr>
          </w:p>
        </w:tc>
        <w:tc>
          <w:tcPr>
            <w:tcW w:w="6096" w:type="dxa"/>
            <w:vAlign w:val="center"/>
          </w:tcPr>
          <w:p>
            <w:pPr>
              <w:spacing w:beforeLines="0" w:line="300" w:lineRule="exact"/>
              <w:rPr>
                <w:rFonts w:ascii="Times New Roman" w:hAnsi="Times New Roman" w:eastAsia="仿宋_GB2312" w:cs="Times New Roman"/>
                <w:sz w:val="32"/>
                <w:szCs w:val="32"/>
              </w:rPr>
            </w:pPr>
            <w:r>
              <w:rPr>
                <w:rFonts w:hint="default" w:ascii="Times New Roman" w:hAnsi="Times New Roman" w:eastAsia="仿宋_GB2312" w:cs="Times New Roman"/>
                <w:sz w:val="24"/>
                <w:szCs w:val="24"/>
              </w:rPr>
              <w:t>未严格执行高危作业审批制度，未制定严谨的检维修工作方案，未落实交叉作业的现场安全管理职责。</w:t>
            </w:r>
          </w:p>
        </w:tc>
        <w:tc>
          <w:tcPr>
            <w:tcW w:w="3827" w:type="dxa"/>
            <w:vAlign w:val="center"/>
          </w:tcPr>
          <w:p>
            <w:pPr>
              <w:spacing w:beforeLines="0" w:line="300" w:lineRule="exact"/>
              <w:jc w:val="left"/>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安全生产法》第一百零一条“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5" w:hRule="atLeast"/>
        </w:trPr>
        <w:tc>
          <w:tcPr>
            <w:tcW w:w="1809" w:type="dxa"/>
            <w:vMerge w:val="restart"/>
            <w:vAlign w:val="top"/>
          </w:tcPr>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高温熔融金属</w:t>
            </w: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高温熔融金属</w:t>
            </w:r>
          </w:p>
        </w:tc>
        <w:tc>
          <w:tcPr>
            <w:tcW w:w="6096" w:type="dxa"/>
            <w:vAlign w:val="center"/>
          </w:tcPr>
          <w:p>
            <w:pPr>
              <w:spacing w:beforeLines="0" w:line="30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会议室、活动室、休息室、更衣室等场所设置在铁水、钢水与液渣吊运影响的范围内。</w:t>
            </w:r>
          </w:p>
        </w:tc>
        <w:tc>
          <w:tcPr>
            <w:tcW w:w="3827" w:type="dxa"/>
            <w:vAlign w:val="center"/>
          </w:tcPr>
          <w:p>
            <w:pPr>
              <w:spacing w:beforeLines="0" w:line="300" w:lineRule="exact"/>
              <w:jc w:val="center"/>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spacing w:beforeLines="0" w:line="300" w:lineRule="exact"/>
              <w:jc w:val="left"/>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安全生产事故隐患排查治理暂行规定》（国家安全监管总局令第16号）第二十六条“生产经营单位违反本规定，有下列行为之一的，由安全监管监察部门给予警告，并处三万元以下的罚款：（四）重大事故隐患不报或者未及时报告的；（五）未对事故隐患进行排查治理擅自生产经营的”</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spacing w:line="560" w:lineRule="exact"/>
              <w:jc w:val="left"/>
              <w:rPr>
                <w:rFonts w:ascii="Times New Roman" w:hAnsi="Times New Roman" w:eastAsia="仿宋_GB2312" w:cs="Times New Roman"/>
                <w:sz w:val="32"/>
                <w:szCs w:val="32"/>
              </w:rPr>
            </w:pPr>
          </w:p>
        </w:tc>
        <w:tc>
          <w:tcPr>
            <w:tcW w:w="6096" w:type="dxa"/>
            <w:vAlign w:val="center"/>
          </w:tcPr>
          <w:p>
            <w:pPr>
              <w:spacing w:beforeLines="0" w:line="280" w:lineRule="exact"/>
              <w:rPr>
                <w:rFonts w:ascii="Times New Roman" w:hAnsi="Times New Roman" w:eastAsia="仿宋_GB2312" w:cs="Times New Roman"/>
                <w:sz w:val="32"/>
                <w:szCs w:val="32"/>
              </w:rPr>
            </w:pPr>
            <w:r>
              <w:rPr>
                <w:rFonts w:hint="default" w:ascii="Times New Roman" w:hAnsi="Times New Roman" w:eastAsia="仿宋_GB2312" w:cs="Times New Roman"/>
                <w:spacing w:val="-7"/>
                <w:sz w:val="24"/>
                <w:szCs w:val="24"/>
              </w:rPr>
              <w:t>吊运铁水、钢水与液渣起重机不符合冶金起重机的相关要求；炼钢厂在吊运重罐铁水、钢水或液渣时，未使用固定式龙门钩的铸造起重机，龙门钩横梁、耳轴销和吊钩、钢丝绳及其端头固定零件，未进行定期检查，发现问题未及时整改。</w:t>
            </w:r>
          </w:p>
        </w:tc>
        <w:tc>
          <w:tcPr>
            <w:tcW w:w="3827" w:type="dxa"/>
            <w:vAlign w:val="center"/>
          </w:tcPr>
          <w:p>
            <w:pPr>
              <w:spacing w:beforeLines="0" w:line="3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同上</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9" w:type="dxa"/>
            <w:vMerge w:val="continue"/>
            <w:vAlign w:val="top"/>
          </w:tcPr>
          <w:p>
            <w:pPr>
              <w:spacing w:line="560" w:lineRule="exact"/>
              <w:jc w:val="left"/>
              <w:rPr>
                <w:rFonts w:ascii="Times New Roman" w:hAnsi="Times New Roman" w:eastAsia="仿宋_GB2312" w:cs="Times New Roman"/>
                <w:sz w:val="32"/>
                <w:szCs w:val="32"/>
              </w:rPr>
            </w:pPr>
          </w:p>
        </w:tc>
        <w:tc>
          <w:tcPr>
            <w:tcW w:w="6096" w:type="dxa"/>
            <w:vAlign w:val="center"/>
          </w:tcPr>
          <w:p>
            <w:pPr>
              <w:spacing w:beforeLines="0" w:line="28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盛装铁水、钢水与液渣的罐（包、盆）等容器耳轴未按国家标准规定要求定期进行探伤检测。</w:t>
            </w:r>
          </w:p>
        </w:tc>
        <w:tc>
          <w:tcPr>
            <w:tcW w:w="3827" w:type="dxa"/>
            <w:vAlign w:val="center"/>
          </w:tcPr>
          <w:p>
            <w:pPr>
              <w:spacing w:beforeLines="0" w:line="3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同上</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spacing w:line="560" w:lineRule="exact"/>
              <w:jc w:val="left"/>
              <w:rPr>
                <w:rFonts w:ascii="Times New Roman" w:hAnsi="Times New Roman" w:eastAsia="仿宋_GB2312" w:cs="Times New Roman"/>
                <w:sz w:val="32"/>
                <w:szCs w:val="32"/>
              </w:rPr>
            </w:pPr>
          </w:p>
        </w:tc>
        <w:tc>
          <w:tcPr>
            <w:tcW w:w="6096" w:type="dxa"/>
            <w:vAlign w:val="center"/>
          </w:tcPr>
          <w:p>
            <w:pPr>
              <w:spacing w:beforeLines="0" w:line="28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冶炼、熔炼、精炼生产区域的安全坑内及熔体泄漏、喷溅影响范围内存在积水，放置有易燃易爆物品。金属铸造、连铸、浇铸流程未设置铁水罐、钢水罐、溢流槽、中间溢流罐等高温熔融金属紧急排放和应急储存设施。</w:t>
            </w:r>
          </w:p>
        </w:tc>
        <w:tc>
          <w:tcPr>
            <w:tcW w:w="3827" w:type="dxa"/>
            <w:vAlign w:val="center"/>
          </w:tcPr>
          <w:p>
            <w:pPr>
              <w:spacing w:beforeLines="0" w:line="3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同上</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spacing w:line="560" w:lineRule="exact"/>
              <w:jc w:val="left"/>
              <w:rPr>
                <w:rFonts w:ascii="Times New Roman" w:hAnsi="Times New Roman" w:eastAsia="仿宋_GB2312" w:cs="Times New Roman"/>
                <w:sz w:val="32"/>
                <w:szCs w:val="32"/>
              </w:rPr>
            </w:pPr>
          </w:p>
        </w:tc>
        <w:tc>
          <w:tcPr>
            <w:tcW w:w="6096" w:type="dxa"/>
            <w:vAlign w:val="center"/>
          </w:tcPr>
          <w:p>
            <w:pPr>
              <w:spacing w:beforeLines="0" w:line="28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炉、窑、槽、罐类设备本体及附属设施未定期检查，出现严重焊缝开裂、腐蚀、破损、衬砖损坏、壳体发红及明显弯曲变形等未报修或报废，仍继续使用。</w:t>
            </w:r>
          </w:p>
        </w:tc>
        <w:tc>
          <w:tcPr>
            <w:tcW w:w="3827" w:type="dxa"/>
            <w:vAlign w:val="center"/>
          </w:tcPr>
          <w:p>
            <w:pPr>
              <w:spacing w:beforeLines="0" w:line="3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同上</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809" w:type="dxa"/>
            <w:vMerge w:val="continue"/>
            <w:vAlign w:val="top"/>
          </w:tcPr>
          <w:p>
            <w:pPr>
              <w:spacing w:line="560" w:lineRule="exact"/>
              <w:jc w:val="left"/>
              <w:rPr>
                <w:rFonts w:ascii="Times New Roman" w:hAnsi="Times New Roman" w:eastAsia="仿宋_GB2312" w:cs="Times New Roman"/>
                <w:sz w:val="32"/>
                <w:szCs w:val="32"/>
              </w:rPr>
            </w:pPr>
          </w:p>
        </w:tc>
        <w:tc>
          <w:tcPr>
            <w:tcW w:w="6096" w:type="dxa"/>
            <w:vAlign w:val="center"/>
          </w:tcPr>
          <w:p>
            <w:pPr>
              <w:spacing w:beforeLines="0" w:line="28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氧枪等水冷元件未配置出水温度与进出水流量差检测、报警装置及温度监测，未与炉体倾动、氧气开闭等联锁。</w:t>
            </w:r>
          </w:p>
        </w:tc>
        <w:tc>
          <w:tcPr>
            <w:tcW w:w="3827" w:type="dxa"/>
            <w:vAlign w:val="center"/>
          </w:tcPr>
          <w:p>
            <w:pPr>
              <w:spacing w:beforeLines="0" w:line="3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同上</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809" w:type="dxa"/>
            <w:vMerge w:val="continue"/>
            <w:vAlign w:val="top"/>
          </w:tcPr>
          <w:p>
            <w:pPr>
              <w:spacing w:line="560" w:lineRule="exact"/>
              <w:jc w:val="left"/>
              <w:rPr>
                <w:rFonts w:ascii="Times New Roman" w:hAnsi="Times New Roman" w:eastAsia="仿宋_GB2312" w:cs="Times New Roman"/>
                <w:sz w:val="32"/>
                <w:szCs w:val="32"/>
              </w:rPr>
            </w:pPr>
          </w:p>
        </w:tc>
        <w:tc>
          <w:tcPr>
            <w:tcW w:w="6096" w:type="dxa"/>
            <w:vAlign w:val="center"/>
          </w:tcPr>
          <w:p>
            <w:pPr>
              <w:spacing w:beforeLines="0" w:line="28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废钢配料，废钢不干燥，含有爆炸物、有毒物或密闭容器；废钢料高度超过料槽上口。</w:t>
            </w:r>
          </w:p>
        </w:tc>
        <w:tc>
          <w:tcPr>
            <w:tcW w:w="3827" w:type="dxa"/>
            <w:vAlign w:val="center"/>
          </w:tcPr>
          <w:p>
            <w:pPr>
              <w:spacing w:beforeLines="0" w:line="3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同上</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1809" w:type="dxa"/>
            <w:vMerge w:val="restart"/>
            <w:vAlign w:val="center"/>
          </w:tcPr>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煤气</w:t>
            </w:r>
          </w:p>
          <w:p>
            <w:pPr>
              <w:spacing w:line="560" w:lineRule="exact"/>
              <w:jc w:val="both"/>
              <w:rPr>
                <w:rFonts w:ascii="Times New Roman" w:hAnsi="Times New Roman" w:eastAsia="仿宋_GB2312" w:cs="Times New Roman"/>
                <w:sz w:val="32"/>
                <w:szCs w:val="32"/>
              </w:rPr>
            </w:pPr>
          </w:p>
        </w:tc>
        <w:tc>
          <w:tcPr>
            <w:tcW w:w="6096" w:type="dxa"/>
            <w:vAlign w:val="center"/>
          </w:tcPr>
          <w:p>
            <w:pPr>
              <w:spacing w:beforeLines="0" w:line="280" w:lineRule="exact"/>
              <w:rPr>
                <w:rFonts w:ascii="Times New Roman" w:hAnsi="Times New Roman" w:eastAsia="仿宋_GB2312" w:cs="Times New Roman"/>
                <w:sz w:val="32"/>
                <w:szCs w:val="32"/>
              </w:rPr>
            </w:pPr>
            <w:r>
              <w:rPr>
                <w:rFonts w:hint="default" w:ascii="Times New Roman" w:hAnsi="Times New Roman" w:eastAsia="仿宋_GB2312" w:cs="Times New Roman"/>
                <w:sz w:val="24"/>
                <w:szCs w:val="24"/>
              </w:rPr>
              <w:t>煤气柜建设在居民稠密区，未远离大型建筑、仓库、通信和交通枢纽等重要设施；附属设备设施未按防火防爆要求配置防爆型设备；柜顶未设置防雷装置。</w:t>
            </w:r>
          </w:p>
        </w:tc>
        <w:tc>
          <w:tcPr>
            <w:tcW w:w="3827" w:type="dxa"/>
            <w:vAlign w:val="top"/>
          </w:tcPr>
          <w:p>
            <w:pPr>
              <w:spacing w:beforeLines="0" w:line="3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同上</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809" w:type="dxa"/>
            <w:vMerge w:val="continue"/>
            <w:vAlign w:val="top"/>
          </w:tcPr>
          <w:p>
            <w:pPr>
              <w:spacing w:line="560" w:lineRule="exact"/>
              <w:jc w:val="left"/>
              <w:rPr>
                <w:rFonts w:ascii="Times New Roman" w:hAnsi="Times New Roman" w:eastAsia="仿宋_GB2312" w:cs="Times New Roman"/>
                <w:sz w:val="32"/>
                <w:szCs w:val="32"/>
              </w:rPr>
            </w:pPr>
          </w:p>
        </w:tc>
        <w:tc>
          <w:tcPr>
            <w:tcW w:w="6096" w:type="dxa"/>
            <w:vAlign w:val="center"/>
          </w:tcPr>
          <w:p>
            <w:pPr>
              <w:spacing w:beforeLines="0" w:line="28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煤气区域的值班室、操作室等人员较集中的地方，未设置固定式一氧化碳监测报警装置。</w:t>
            </w:r>
          </w:p>
        </w:tc>
        <w:tc>
          <w:tcPr>
            <w:tcW w:w="3827" w:type="dxa"/>
            <w:vAlign w:val="top"/>
          </w:tcPr>
          <w:p>
            <w:pPr>
              <w:spacing w:beforeLines="0" w:line="3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同上</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809" w:type="dxa"/>
            <w:vMerge w:val="continue"/>
            <w:vAlign w:val="top"/>
          </w:tcPr>
          <w:p>
            <w:pPr>
              <w:spacing w:line="560" w:lineRule="exact"/>
              <w:jc w:val="left"/>
              <w:rPr>
                <w:rFonts w:ascii="Times New Roman" w:hAnsi="Times New Roman" w:eastAsia="仿宋_GB2312" w:cs="Times New Roman"/>
                <w:sz w:val="32"/>
                <w:szCs w:val="32"/>
              </w:rPr>
            </w:pPr>
          </w:p>
        </w:tc>
        <w:tc>
          <w:tcPr>
            <w:tcW w:w="6096" w:type="dxa"/>
            <w:vAlign w:val="center"/>
          </w:tcPr>
          <w:p>
            <w:pPr>
              <w:spacing w:beforeLines="0" w:line="28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高炉、转炉、加热炉、煤气柜、除尘器等设施的煤气管道未设置可靠隔离装置和吹扫设施。</w:t>
            </w:r>
          </w:p>
        </w:tc>
        <w:tc>
          <w:tcPr>
            <w:tcW w:w="3827" w:type="dxa"/>
            <w:vAlign w:val="top"/>
          </w:tcPr>
          <w:p>
            <w:pPr>
              <w:spacing w:beforeLines="0" w:line="3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同上</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809" w:type="dxa"/>
            <w:vMerge w:val="continue"/>
            <w:vAlign w:val="top"/>
          </w:tcPr>
          <w:p>
            <w:pPr>
              <w:spacing w:line="560" w:lineRule="exact"/>
              <w:jc w:val="left"/>
              <w:rPr>
                <w:rFonts w:ascii="Times New Roman" w:hAnsi="Times New Roman" w:eastAsia="仿宋_GB2312" w:cs="Times New Roman"/>
                <w:sz w:val="32"/>
                <w:szCs w:val="32"/>
              </w:rPr>
            </w:pPr>
          </w:p>
        </w:tc>
        <w:tc>
          <w:tcPr>
            <w:tcW w:w="6096" w:type="dxa"/>
            <w:vAlign w:val="center"/>
          </w:tcPr>
          <w:p>
            <w:pPr>
              <w:spacing w:beforeLines="0" w:line="280" w:lineRule="exact"/>
              <w:rPr>
                <w:rFonts w:ascii="Times New Roman" w:hAnsi="Times New Roman" w:eastAsia="仿宋_GB2312" w:cs="Times New Roman"/>
                <w:sz w:val="32"/>
                <w:szCs w:val="32"/>
              </w:rPr>
            </w:pPr>
            <w:r>
              <w:rPr>
                <w:rFonts w:hint="default" w:ascii="Times New Roman" w:hAnsi="Times New Roman" w:eastAsia="仿宋_GB2312" w:cs="Times New Roman"/>
                <w:sz w:val="24"/>
                <w:szCs w:val="24"/>
              </w:rPr>
              <w:t>煤气分配主管上支管引接处，未设置可靠的切断装置；车间内各类燃气管线，在车间入口未设置总管切断阀。</w:t>
            </w:r>
          </w:p>
        </w:tc>
        <w:tc>
          <w:tcPr>
            <w:tcW w:w="3827" w:type="dxa"/>
            <w:vAlign w:val="top"/>
          </w:tcPr>
          <w:p>
            <w:pPr>
              <w:spacing w:beforeLines="0" w:line="3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同上</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7905" w:type="dxa"/>
            <w:gridSpan w:val="2"/>
            <w:vAlign w:val="center"/>
          </w:tcPr>
          <w:p>
            <w:pPr>
              <w:spacing w:beforeLines="0" w:line="30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未按照要求淘汰《金属冶炼企业禁止使用的设备及工艺目录（第一批）》中涉及的设备及工艺。</w:t>
            </w:r>
          </w:p>
        </w:tc>
        <w:tc>
          <w:tcPr>
            <w:tcW w:w="3827" w:type="dxa"/>
            <w:vAlign w:val="top"/>
          </w:tcPr>
          <w:p>
            <w:pPr>
              <w:spacing w:beforeLines="0" w:line="24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kern w:val="0"/>
                <w:sz w:val="24"/>
                <w:szCs w:val="24"/>
              </w:rPr>
              <w:t>《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使用应当淘汰的危及生产安全的工艺、设备的。”</w:t>
            </w:r>
            <w:r>
              <w:rPr>
                <w:rFonts w:ascii="Times New Roman" w:hAnsi="Times New Roman" w:eastAsia="仿宋_GB2312" w:cs="Times New Roman"/>
                <w:sz w:val="32"/>
                <w:szCs w:val="32"/>
              </w:rPr>
              <w:t xml:space="preserve"> </w:t>
            </w:r>
          </w:p>
        </w:tc>
        <w:tc>
          <w:tcPr>
            <w:tcW w:w="2060" w:type="dxa"/>
            <w:vAlign w:val="top"/>
          </w:tcPr>
          <w:p>
            <w:pPr>
              <w:spacing w:line="56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13792" w:type="dxa"/>
            <w:gridSpan w:val="4"/>
            <w:vAlign w:val="center"/>
          </w:tcPr>
          <w:p>
            <w:pPr>
              <w:spacing w:line="560" w:lineRule="exact"/>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其他严重安全问题（可另附页）：</w:t>
            </w:r>
          </w:p>
        </w:tc>
      </w:tr>
    </w:tbl>
    <w:p>
      <w:pPr>
        <w:spacing w:beforeLines="0" w:line="400" w:lineRule="exact"/>
        <w:jc w:val="left"/>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仿宋_GB2312" w:cs="Times New Roman"/>
          <w:b/>
          <w:sz w:val="28"/>
          <w:szCs w:val="28"/>
        </w:rPr>
        <w:t>注：检查单位发现企业存在重大生产安全事故隐患，请依照有关法律法规规定，严格执法，填写执法情况。</w:t>
      </w:r>
      <w:bookmarkStart w:id="0" w:name="_GoBack"/>
      <w:bookmarkEnd w:id="0"/>
    </w:p>
    <w:sectPr>
      <w:footerReference r:id="rId3" w:type="default"/>
      <w:pgSz w:w="16838" w:h="11906" w:orient="landscape"/>
      <w:pgMar w:top="1587" w:right="2098" w:bottom="1474" w:left="1984" w:header="851" w:footer="1417"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7"/>
        <w:tab w:val="clear" w:pos="8306"/>
      </w:tabs>
    </w:pPr>
    <w:r>
      <w:rPr>
        <w:rFonts w:ascii="宋体" w:hAnsi="Times New Roman" w:eastAsia="宋体" w:cs="Times New Roman"/>
        <w:kern w:val="2"/>
        <w:sz w:val="18"/>
        <w:szCs w:val="24"/>
        <w:lang w:val="en-US" w:eastAsia="zh-CN" w:bidi="ar-SA"/>
      </w:rPr>
      <w:pict>
        <v:shape id="文本框 3" o:spid="_x0000_s2049" o:spt="202" type="#_x0000_t202" style="position:absolute;left:0pt;margin-left:377.15pt;margin-top:-8.2pt;height:19.85pt;width:76.5pt;mso-position-horizontal-relative:margin;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pStyle w:val="2"/>
                  <w:tabs>
                    <w:tab w:val="right" w:pos="8307"/>
                    <w:tab w:val="clear" w:pos="8306"/>
                  </w:tabs>
                  <w:ind w:firstLine="840" w:firstLineChars="30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4A373CE1"/>
    <w:rsid w:val="4FAD0C04"/>
    <w:rsid w:val="64232F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link w:val="6"/>
    <w:semiHidden/>
    <w:qFormat/>
    <w:uiPriority w:val="0"/>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next w:val="3"/>
    <w:qFormat/>
    <w:uiPriority w:val="0"/>
    <w:pPr>
      <w:spacing w:before="0" w:beforeAutospacing="1" w:after="0" w:afterAutospacing="1"/>
      <w:ind w:left="0" w:right="0"/>
      <w:jc w:val="left"/>
    </w:pPr>
    <w:rPr>
      <w:kern w:val="0"/>
      <w:sz w:val="24"/>
      <w:lang w:val="en-US" w:eastAsia="zh-CN"/>
    </w:rPr>
  </w:style>
  <w:style w:type="paragraph" w:customStyle="1" w:styleId="6">
    <w:name w:val="Char Char Char Char Char Char Char"/>
    <w:basedOn w:val="1"/>
    <w:link w:val="5"/>
    <w:semiHidden/>
    <w:qFormat/>
    <w:uiPriority w:val="0"/>
  </w:style>
  <w:style w:type="character" w:styleId="7">
    <w:name w:val="Strong"/>
    <w:basedOn w:val="5"/>
    <w:qFormat/>
    <w:uiPriority w:val="0"/>
    <w:rPr>
      <w:b/>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2018-02-12T08:39:00Z</dcterms:created>
  <dc:creator>玄墨</dc:creator>
  <cp:lastModifiedBy>Administrator</cp:lastModifiedBy>
  <cp:lastPrinted>2018-05-02T09:55:00Z</cp:lastPrinted>
  <dcterms:modified xsi:type="dcterms:W3CDTF">2018-06-26T03:52:24Z</dcterms:modified>
  <dc:title>卫沙安委办发〔2018〕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