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中卫市沙坡头区香山乡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冯家大沟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淤地坝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防汛预案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</w:rPr>
        <w:t>工程概况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（一）淤地坝的基本情况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冯家大沟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淤地坝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位于黄河一级支流的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香山乡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，东经104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51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、、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，北纬37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、、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，控制流域面积为15km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、坝高为22.5m、总库容117万m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、淤积库容60万m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（具体详见下表有关技术经济指标表）。病险淤地坝区域内水土流失严重，多年平均降雨量180毫米，且多集中在6～9月份，多以暴雨形式出现，由于区域内是黄土高原山区，洪水形成快，来势猛，降雨强度大，每年都形成不同频率的洪水，对沟道下游造成严重威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工程于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月建成，控制流域面积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km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，设计洪水标准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0年，校核洪水标准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00年，设计总库容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万m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，淤积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万m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，防洪库容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万m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。该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淤地坝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为黄土均质坝，由</w:t>
      </w:r>
      <w:r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  <w:lang w:eastAsia="zh-CN"/>
        </w:rPr>
        <w:t>土坝和泄水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建筑物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两大件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组成，最大坝高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22.5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m，坝顶长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m，顶宽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m，前坡比1：2.5，后坡比1：2.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。筑坝方式为机械碾压。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泄水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建筑物采用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防水卧管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泄水，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该工程自运行以来外观总体状况良好，土坝坝体规则，坝顶平直，坡面平整，坝坡均匀，无裂缝沉陷等不良现象，泄水建筑物表面平整，棱角分明，线条顺直流畅，无质量事故发生。</w:t>
      </w: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9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冯家大沟淤地坝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建设资金来源为中央财政资金、地方配套和群众自筹，总投资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71.39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  <w:lang w:eastAsia="zh-CN"/>
        </w:rPr>
        <w:t>泄水</w:t>
      </w:r>
      <w:r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</w:rPr>
        <w:t>建筑物由</w:t>
      </w:r>
      <w:r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  <w:lang w:eastAsia="zh-CN"/>
        </w:rPr>
        <w:t>土坝和泄水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建筑物</w:t>
      </w:r>
      <w:r>
        <w:rPr>
          <w:rFonts w:hint="default" w:ascii="Times New Roman" w:hAnsi="Times New Roman" w:eastAsia="仿宋_GB2312" w:cs="Times New Roman"/>
          <w:i w:val="0"/>
          <w:iCs w:val="0"/>
          <w:spacing w:val="2"/>
          <w:sz w:val="32"/>
          <w:szCs w:val="32"/>
        </w:rPr>
        <w:t>组成。筑坝方式为碾压式黄土均质土坝。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（二）主要技术参数</w:t>
      </w:r>
    </w:p>
    <w:tbl>
      <w:tblPr>
        <w:tblStyle w:val="5"/>
        <w:tblW w:w="8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775"/>
        <w:gridCol w:w="2460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淤地坝名称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  <w:t>冯家大沟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  <w:t>淤地坝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建设时间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2008.12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坝控面积(km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工程等级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  <w:t>淤地坝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总库容(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拦泥库容(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设计洪水标准(%)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1/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校核洪水标准(%)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1/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设计洪水位(m)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校核洪水位(m)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坝高(m)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22.5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坝顶高程(m)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1906.8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坝顶长度(m)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坝顶宽度(m)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lang w:val="en-US" w:eastAsia="zh-CN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枢纽组成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土坝，放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水建筑物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最大泄量(m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  <w:t>/s)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三）淤地坝度汛安全存在的主要问题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根据往年降雨量预估，现北面泄洪口高度无法保证较大山洪排洪需要；南边水泥泄洪口因长期未维修养护，出现裂缝，不能保证较大山洪排洪需要；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上下游坝坡与岸坡结合处未设排水沟、坝坡存在多处冲沟、冲坑。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（四）该坝安排专人对大坝日常安全运行进行巡查；发生汛情、地震、大风后进行专门检查。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主要观测大坝是否有沉陷，位移、裂缝、渗流及管涌现象。一旦出现汛情或险情，除了用手机传输信息外，还在乡、村设有两级预警。乡级预警系统配有传真机，乡级无线广播，电动防空警报器各一台，并配备一台50KW汽油发电机一台，一个配电盘和100米电缆。设备都安装并存放在乡政府。村级预警设备主要配备无线广播，手摇警报器和锣。其中无线广播和手摇报警器每个行政村各配备一套，锣若干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（五）该淤地坝总库容为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万m³，由土坝和泄水建筑物组成。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一般的运行方式是汛期空库运行。主要功能是拦泥、淤地、解决当地交通和牲畜饮水困难，重点保护对象有下游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景庄村农户生命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安全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及耕地安全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</w:rPr>
        <w:t>险情分析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就当前情况来看，可能导致溃坝的主要因素是坝后反滤体的损毁和坝坡排水不畅，一旦在汛期高水位运行，使得坝后渗流加剧，导致流土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从而形成漏洞，最终导致溃坝发生。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三、预防措施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sz w:val="32"/>
          <w:szCs w:val="32"/>
        </w:rPr>
        <w:t xml:space="preserve"> </w:t>
      </w:r>
      <w:bookmarkStart w:id="0" w:name="_Toc357780717"/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（一）防汛组织机构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1" w:name="_Toc357780718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依照《防汛法》规定，防汛抢险必须实行行政首长负责，根据分级分部门负责的原则，成立工程防汛应急指挥部，指挥部成员由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直各单位，乡党委、政府的主要负责人组成，具体负责工程防汛抢险、防灾减灾及灾后恢复工作的统一领导和指挥。在保障工作全面、有序开展的同时，各领导成员按照职责必须负责具体的工作。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2" w:name="_Toc357780902"/>
      <w:bookmarkStart w:id="3" w:name="_Toc357780730"/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沙坡头区香山乡冯家大沟淤地坝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防汛应急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指挥部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518" w:leftChars="304" w:hanging="2880" w:hangingChars="9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杜新宏</w:t>
      </w:r>
      <w:r>
        <w:rPr>
          <w:rFonts w:hint="eastAsia" w:eastAsia="仿宋_GB2312" w:cs="Times New Roman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5118" w:leftChars="304" w:hanging="4480" w:hangingChars="14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田进成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乡党委委员、副乡长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应急抢险专家组</w:t>
      </w:r>
      <w:r>
        <w:rPr>
          <w:rFonts w:hint="eastAsia" w:eastAsia="仿宋_GB2312" w:cs="Times New Roman"/>
          <w:i w:val="0"/>
          <w:iCs w:val="0"/>
          <w:sz w:val="32"/>
          <w:szCs w:val="32"/>
          <w:lang w:eastAsia="zh-CN"/>
        </w:rPr>
        <w:t>：</w:t>
      </w:r>
      <w:bookmarkStart w:id="13" w:name="_GoBack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组</w:t>
      </w:r>
      <w:r>
        <w:rPr>
          <w:rFonts w:hint="eastAsia" w:eastAsia="仿宋_GB2312" w:cs="Times New Roman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徐怀孝</w:t>
      </w:r>
      <w:r>
        <w:rPr>
          <w:rFonts w:hint="eastAsia" w:eastAsia="仿宋_GB2312" w:cs="Times New Roman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 xml:space="preserve">水利技术服务中心主任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员：李长有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农村水利服务中心主任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firstLine="1280" w:firstLineChars="4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刘新生  水土保持工作站主任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firstLine="1280" w:firstLineChars="4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郭文宝  河长制工作服务中心主任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firstLine="1280" w:firstLineChars="4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张林贵  水土保持工作站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firstLine="1280" w:firstLineChars="4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李海学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 xml:space="preserve"> 水利安全与质量监督管理站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防汛责任人和抢险队伍的落实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根据行政首长负责制，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乡长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担任防汛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责任人，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副乡长为运行管理单位负责人，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负责组建防汛抢险队伍，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日常运行管理及巡护等。防汛抢险队伍由乡政府干部职工组成，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专业抢险队伍18人，队长由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乡副乡长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担任；由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景庄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行政村基干民兵和青壮年组成50名以上群众机动抢险队伍，队长由村支书担任；防汛工作必须责任到人；其次，该乡防汛领导小组要按照防洪规划、操作规程和泄洪建筑物的运用程序及下游河道的洪水情况，制定出优化调度方案和群众安全撤离路线，并做好防汛抢险物资的储备、管理和调运，为防汛工作做好一切准备工作；抢险队伍必须明确自己职责和义务，并加强演练，随时准备投入抢险救灾第一线。该淤地坝管护人是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张学福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，主要负责淤地坝的日常巡视、年度巡视及特别巡视检查工作，对发现的异常现象，及时反映给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副组长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，再由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副组长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报告给应急抢险专家组，由专家组现场组织抢修。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汛前检查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由主管单位会同管护人一起对淤地坝进行一次全面的检查。发现隐患，及时制定方案，在汛期来临之前消除隐患。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管护人的巡视分为日常巡视、年度巡视和特别巡视。日常巡视每周一次，或每月不得少于两次；年度巡视要在每年的汛期来临之前；特别巡视是指发生汛情或大风、地震之后以及主汛期之内。发生汛情或大风、地震之后及时上坝巡视，而主汛期内必须每天进行巡视。对在巡视中发现的异常现象要及时上报有关责任人，管护人具体巡视的部位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（1）坝顶：检查坝顶有无裂缝，有无异常变形、有无积水、有无植物滋生现象。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（2）坝坡：检查迎水坡护面有无裂缝、剥落、滑动、隆起、塌坑、冲刷或植物滋生等现象。背水坡有无裂缝、剥落、滑动、隆起、塌坑、雨林沟等现象。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（3）坝端：检查坝体与岸坡连接处有无滑动，裂缝。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（4）坝基与坝区：检查坝基与坝区有无阴湿、渗水、管涌、流土或隆起等现象。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（5）观测设施：检查观测设施是否正常。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（6）泄水建筑物：对泄水建筑物的前、中、后段分别进行检查，看是否存在冲刷、渗漏现象。进水和泄水是否畅通。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发生汛情</w:t>
      </w:r>
      <w:r>
        <w:rPr>
          <w:rFonts w:hint="eastAsia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险情时，管护人必须第一时间到达现场，就汛情、险情的具体情况汇报给第一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责任人或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第二责任人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第一责任人</w:t>
      </w:r>
      <w:r>
        <w:rPr>
          <w:rFonts w:hint="eastAsia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和第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二责任人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在收到汛情信息后，尽快赶到汛情、险情发生地现场，就汛情、险情情况组织防汛，抢险。同时把发生汛情、险情的时间，地点，程度等内容上报给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防汛指挥部。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防汛值班工作要树立常备不懈的思想，实行带班领导责任制和值班人员岗位责任制，遵循局部利益服从全局利益的原则。防汛值班从汛期开始到汛期结束，严格实行24小时值班制度。值班期间，如遇雨情、汛情、险情等情况，必须及时报告带班领导，并根据领导指示上传下达。如遇特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情况，可直接上报。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四、抢险措施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按照《黄土高原淤地坝工程险情划分标准和重大险情灾情信息报送办法》划分的险情类别和特征，分别制定相应的抢险方案和措施。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（一）当淤地坝坝体出现裂缝时，首先要搞清楚形成裂缝的原因。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查明裂缝的种类是表面裂缝还是内部裂缝；是纵向裂缝还是横向裂缝；是沉陷裂缝、滑坡裂缝、干缩裂缝还是冻融裂缝然后在制定处理方案。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一般情况下，对裂缝采取开挖回填和横墙隔断法进行处理，在处理前需用过滤的石灰水进行灌缝。当出现横向裂缝或滑动裂缝是，必须进行灌浆处理，灌浆处理的原则是：由外到里，由疏到密，浆液由稀到稠。在发生重大险情时，要特别注意观测裂缝处理的部位，一旦发现有险情复发的情况，立即通知抢险指挥部，做好下游群众转移到安全地带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当出现漏洞险情时，一般情况下，采取前堵后排，临背并举的原则，在临水面采取塞堵法、盖堵法和戗堤法。在背水坡漏洞的出水口用反滤材料压盖的方法制止土料流失，避免险情扩大。当出现较大或重大险情时一方面组织抢险，另一方面通知下游的群众做好人员和财产转移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当坝体出现管涌现象时，一般情况采取反滤压盖的方法进行抢险。当出现较大或重大险情时，在背水坡脚附近用土袋抢筑月堤，将管涌流土围在月堤内，缩小上下游水位差。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为了防止出现漫溢坝顶，根据预报和实际情况，在洪水到来之前，应预先在坝顶抢筑子埝，子埝所需材料主要是编织袋，草袋等。抢筑子埝必须注意，应计划周密，统一指挥，全线施工，同步进行，绝不能留有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（二）淤地坝的泄水建筑物是日常巡查的重点所在，必须保证泄水建筑物的正常运转和输水道畅通。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发生一般险情时，一旦有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泄水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工程堵塞现象，立即组织人员进行疏通，确保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泄水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工程的正常运转。坝体基部出现掏刷悬空等险情时，首先要调查清楚造成掏刷悬空的原因，然后根据不同情况进行对掏刷悬空部位进行回填。当发生较大险情时，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第一责任人</w:t>
      </w:r>
      <w:r>
        <w:rPr>
          <w:rFonts w:hint="eastAsia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和第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二责任人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要亲临现场，根据预报情况进行调洪演算，制定出临时破口分洪方案等应急措施并组织及时转移下游群众。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（三）在汛期到来之前，要对发生塌陷的反滤体进行维修，清除塌方处淤泥，添加反滤材料，使反滤体正常工作。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（四）物资保障</w:t>
      </w:r>
      <w:bookmarkEnd w:id="3"/>
      <w:bookmarkStart w:id="4" w:name="_Toc357780731"/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防汛物资的储备工作是防汛抢险必要条件之一，要抓好物资储备计划，以利防汛抗洪抢险需要。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5" w:name="_Toc357780732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纺织袋1000条，存放地点：乡政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府库存1000条，根据抢险要求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0分钟可运输到坝址处。</w:t>
      </w:r>
      <w:bookmarkEnd w:id="5"/>
      <w:bookmarkStart w:id="6" w:name="_Toc3577807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水泥10吨，铁线1500公斤，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根据要求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小时运输到位。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  <w:bookmarkStart w:id="7" w:name="_Toc357780734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3.铁铲80把，存放地点：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乡政府库存20把，所属行政村保管60把，根据抢险要求20分钟可运输到位</w:t>
      </w:r>
      <w:bookmarkEnd w:id="7"/>
      <w:bookmarkStart w:id="8" w:name="_Toc357780735"/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泥土、砂石等抢险物资可在邻近调运车辆挖取运往抢险地，根据抢险要求30分钟可运输到位。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bookmarkStart w:id="9" w:name="_Toc357780736"/>
      <w:bookmarkStart w:id="10" w:name="_Toc357780737"/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（五）通讯保障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水情应急传递方式：工程在正常运行情况下，管理人通过水利工作站有线电话进行水情的发报工作，如遇非常时期，可增加移动电话及无线电对讲机来应急通讯，保证工程汛情的传递。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11" w:name="_Toc357780738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抢险指挥通讯：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在防汛抢险时，工程应急指挥部可采用移动电话来指挥抢险工作，根据抢险通讯需要，配备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广播报警器、铜锣等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。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五、避险措施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（一）较大险情避险措施。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首先按照本预案执行，认真实施运行方案，按照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防汛指挥部的要求，做到24小时值班，随时与气象部门联系，做好汛情记录，工程管理站值班人员密切观察工程汛期运行状况，随时提供洪峰流量、水位、历时等水文特征值，并做好一切防灾抢险准备工作。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（二）重大险情避险措施。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当发生超标准洪水、突发性洪水或因地震、爆炸等原因而引发险情时，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香山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乡防汛抢险领导机构要立即启动预先制定的应急方案发布预警信号，快速集合抢险队伍投入一线实施抢险。同时利用有效手段，通知下游群众按照预先制定的撤离路线安全撤离，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第一责任人</w:t>
      </w:r>
      <w:r>
        <w:rPr>
          <w:rFonts w:hint="eastAsia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和第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二责任人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要亲赴现场果断处理，沉着应对，正确指挥处理抢险的每一道环节，同时加紧联系，上报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办支援，力争将损失降低到最低限度。根据工程的地质地形条件，采取有效措施尽可能预防减轻特大和突发性洪水引发的灾害。根据特大、突发性洪水的特征，通过分析洪水历时的长短，进行调洪演算，制定出临时破口分洪方案等应急措施，分析将要出现的溃坝洪峰流量，洪水总量及淹没范围等。一旦出现洪水险情，值班人员要通过电话（夜间用火把、火炮）等预警信号或得力交通工具（自行车、摩托车、机动车辆等），通知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香山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乡防汛机构集合抢险队伍迅速赶赴现场实施抢险，并组织下游村庄农户安全撤离。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（三）发生较大险情时，第一责任人和第二责任人必须第一时间赶到现场，组织抢险。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并制定预警、组织人员避险的决策。当发生重大险情时，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第一责任人</w:t>
      </w:r>
      <w:r>
        <w:rPr>
          <w:rFonts w:hint="eastAsia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和第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  <w:t>二责任人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必须在第一时间内把险情上</w:t>
      </w:r>
      <w:r>
        <w:rPr>
          <w:rFonts w:hint="eastAsia" w:eastAsia="仿宋_GB2312" w:cs="Times New Roman"/>
          <w:i w:val="0"/>
          <w:iCs w:val="0"/>
          <w:sz w:val="32"/>
          <w:szCs w:val="32"/>
          <w:lang w:eastAsia="zh-CN"/>
        </w:rPr>
        <w:t>报至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防汛指挥部，在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防汛指挥部的统一指挥下，进行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</w:rPr>
        <w:t>防汛抢险工作。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（四）明确险情预告的等级，根据险情等级，用最快最简捷的方式通告给相关负责人。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（五）冯家大沟淤地坝安全避险的地点为河道两岸的高台，发生险情需要人员撤离时，由第一责任人组织撤离的范围路线。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12" w:name="_Toc357780741"/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val="en-US" w:eastAsia="zh-CN"/>
        </w:rPr>
        <w:t>加强组织救护工作</w:t>
      </w:r>
      <w:bookmarkEnd w:id="12"/>
      <w:r>
        <w:rPr>
          <w:rFonts w:hint="default" w:ascii="Times New Roman" w:hAnsi="Times New Roman" w:eastAsia="楷体" w:cs="Times New Roman"/>
          <w:b/>
          <w:bCs/>
          <w:i w:val="0"/>
          <w:i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由于暴雨、洪涝袭击，可能导致灾后各种疾病的发生，乡防汛领导机构必须通过与乡卫生院密切联系，组织落实防疾医疗队，在疾病发生的地方，尽可能有医护人员实施救护、预防，以防止流行疾病的泛滥蔓延，从而为受灾群众创造良好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eastAsia="zh-CN"/>
        </w:rPr>
        <w:t>六、附图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人员撤离路线及避险地点平面图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343525" cy="4640580"/>
            <wp:effectExtent l="0" t="0" r="9525" b="7620"/>
            <wp:docPr id="3" name="图片 1" descr="微信图片_2021071420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10714201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spacing w:line="500" w:lineRule="exact"/>
      </w:pPr>
    </w:p>
    <w:sectPr>
      <w:headerReference r:id="rId3" w:type="default"/>
      <w:footerReference r:id="rId4" w:type="default"/>
      <w:pgSz w:w="11907" w:h="16840"/>
      <w:pgMar w:top="1984" w:right="1474" w:bottom="1757" w:left="1587" w:header="1304" w:footer="1304" w:gutter="0"/>
      <w:pgNumType w:fmt="decimal" w:start="3"/>
      <w:cols w:space="720" w:num="1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宋体" w:hAnsi="宋体" w:eastAsia="宋体" w:cs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60A515D1"/>
    <w:rsid w:val="1D477C4D"/>
    <w:rsid w:val="22FD2CF1"/>
    <w:rsid w:val="2FD864C3"/>
    <w:rsid w:val="380513D2"/>
    <w:rsid w:val="4058320E"/>
    <w:rsid w:val="44784B34"/>
    <w:rsid w:val="60A515D1"/>
    <w:rsid w:val="6CA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4644</Words>
  <Characters>4802</Characters>
  <Lines>0</Lines>
  <Paragraphs>0</Paragraphs>
  <TotalTime>2</TotalTime>
  <ScaleCrop>false</ScaleCrop>
  <LinksUpToDate>false</LinksUpToDate>
  <CharactersWithSpaces>4844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2023-06-24T09:55:00Z</dcterms:created>
  <dc:creator>无知的@韌</dc:creator>
  <cp:lastModifiedBy>醉生梦死的coffee</cp:lastModifiedBy>
  <cp:lastPrinted>2023-06-24T10:00:00Z</cp:lastPrinted>
  <dcterms:modified xsi:type="dcterms:W3CDTF">2023-08-22T03:28:52Z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BE69C263663E4005904F84D357814075_13</vt:lpwstr>
  </property>
</Properties>
</file>